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5C" w:rsidRPr="00037EE3" w:rsidRDefault="00C0555C" w:rsidP="005F70D7">
      <w:pPr>
        <w:pStyle w:val="Header"/>
        <w:ind w:left="360"/>
        <w:rPr>
          <w:rFonts w:asciiTheme="minorHAnsi" w:hAnsiTheme="minorHAnsi" w:cstheme="minorHAnsi"/>
          <w:lang w:eastAsia="en-US"/>
        </w:rPr>
      </w:pPr>
      <w:bookmarkStart w:id="0" w:name="_Toc50936072"/>
    </w:p>
    <w:p w:rsidR="00B60939" w:rsidRPr="00037EE3" w:rsidRDefault="00E82B39" w:rsidP="00AD1896">
      <w:pPr>
        <w:pStyle w:val="1-MainHeading"/>
      </w:pPr>
      <w:r w:rsidRPr="00037EE3">
        <w:t>6.09</w:t>
      </w:r>
      <w:r w:rsidR="00163F66" w:rsidRPr="00037EE3">
        <w:tab/>
      </w:r>
      <w:r w:rsidRPr="00037EE3">
        <w:t>PROGESTERONE</w:t>
      </w:r>
      <w:r w:rsidR="00163F66" w:rsidRPr="00037EE3">
        <w:t>,</w:t>
      </w:r>
      <w:r w:rsidR="00163F66" w:rsidRPr="00037EE3">
        <w:br/>
      </w:r>
      <w:r w:rsidR="00281974" w:rsidRPr="00037EE3">
        <w:t xml:space="preserve">Capsule </w:t>
      </w:r>
      <w:r w:rsidR="00C47BF8" w:rsidRPr="00037EE3">
        <w:t>20</w:t>
      </w:r>
      <w:r w:rsidR="00AF08C5" w:rsidRPr="00037EE3">
        <w:t>0 mg</w:t>
      </w:r>
      <w:r w:rsidR="004A6040" w:rsidRPr="00037EE3">
        <w:t>,</w:t>
      </w:r>
      <w:r w:rsidR="00AD1896" w:rsidRPr="00037EE3">
        <w:br/>
      </w:r>
      <w:r w:rsidR="00D712E4" w:rsidRPr="00037EE3">
        <w:t>Utrogestan®</w:t>
      </w:r>
      <w:r w:rsidR="00AD1896" w:rsidRPr="00037EE3">
        <w:rPr>
          <w:vertAlign w:val="superscript"/>
        </w:rPr>
        <w:br/>
      </w:r>
      <w:r w:rsidR="00C47BF8" w:rsidRPr="00037EE3">
        <w:t>Besins</w:t>
      </w:r>
      <w:r w:rsidRPr="00037EE3">
        <w:t xml:space="preserve"> Healthcare Australia Pty Ltd</w:t>
      </w:r>
      <w:r w:rsidR="00B60939" w:rsidRPr="00037EE3">
        <w:t>.</w:t>
      </w:r>
      <w:bookmarkEnd w:id="0"/>
    </w:p>
    <w:p w:rsidR="00B50DB8" w:rsidRPr="00037EE3" w:rsidRDefault="00B50DB8" w:rsidP="004A6040">
      <w:pPr>
        <w:pStyle w:val="2-SectionHeading"/>
      </w:pPr>
      <w:bookmarkStart w:id="1" w:name="_Toc50936074"/>
      <w:r w:rsidRPr="00037EE3">
        <w:t xml:space="preserve">Purpose of </w:t>
      </w:r>
      <w:r w:rsidR="00CD7193" w:rsidRPr="00037EE3">
        <w:t>s</w:t>
      </w:r>
      <w:r w:rsidR="00BB3A45" w:rsidRPr="00037EE3">
        <w:t>ubmission</w:t>
      </w:r>
      <w:bookmarkEnd w:id="1"/>
    </w:p>
    <w:p w:rsidR="002C2775" w:rsidRPr="00037EE3" w:rsidRDefault="007170DA" w:rsidP="004E18E9">
      <w:pPr>
        <w:pStyle w:val="3-BodyText"/>
      </w:pPr>
      <w:r w:rsidRPr="00037EE3">
        <w:t xml:space="preserve">The submission requested </w:t>
      </w:r>
      <w:r w:rsidR="007509B2" w:rsidRPr="00037EE3">
        <w:t xml:space="preserve">a General Schedule, </w:t>
      </w:r>
      <w:r w:rsidR="008B1757" w:rsidRPr="00037EE3">
        <w:t>Authority Required</w:t>
      </w:r>
      <w:r w:rsidR="007509B2" w:rsidRPr="00037EE3">
        <w:t xml:space="preserve"> (STREAMLINED)</w:t>
      </w:r>
      <w:r w:rsidR="008B1757" w:rsidRPr="00037EE3">
        <w:t xml:space="preserve"> listing for </w:t>
      </w:r>
      <w:r w:rsidR="005A0028" w:rsidRPr="00037EE3">
        <w:t>progesterone (</w:t>
      </w:r>
      <w:r w:rsidR="00D712E4" w:rsidRPr="00037EE3">
        <w:t>Utrogestan®</w:t>
      </w:r>
      <w:r w:rsidR="005A0028" w:rsidRPr="00037EE3">
        <w:t>)</w:t>
      </w:r>
      <w:r w:rsidR="008B1757" w:rsidRPr="00037EE3">
        <w:t xml:space="preserve"> for </w:t>
      </w:r>
      <w:r w:rsidR="0050174E" w:rsidRPr="00037EE3">
        <w:t xml:space="preserve">the </w:t>
      </w:r>
      <w:r w:rsidR="00D95A3B" w:rsidRPr="00037EE3">
        <w:t>prevention of preterm birth in women with singleton pregnancies and a short cervix (≤2</w:t>
      </w:r>
      <w:r w:rsidR="00AF08C5" w:rsidRPr="00037EE3">
        <w:t>5 mm</w:t>
      </w:r>
      <w:r w:rsidR="00D95A3B" w:rsidRPr="00037EE3">
        <w:t>) and/or a history of preterm birth</w:t>
      </w:r>
      <w:r w:rsidR="008B1757" w:rsidRPr="00037EE3">
        <w:t xml:space="preserve">. </w:t>
      </w:r>
    </w:p>
    <w:p w:rsidR="00D95A3B" w:rsidRPr="00037EE3" w:rsidRDefault="005750C5" w:rsidP="004E18E9">
      <w:pPr>
        <w:pStyle w:val="3-BodyText"/>
      </w:pPr>
      <w:r w:rsidRPr="00037EE3">
        <w:t>Listing was requested on the basis of a</w:t>
      </w:r>
      <w:r w:rsidR="00D95A3B" w:rsidRPr="00037EE3">
        <w:t xml:space="preserve"> </w:t>
      </w:r>
      <w:r w:rsidR="008C786D" w:rsidRPr="00037EE3">
        <w:t xml:space="preserve">clinical </w:t>
      </w:r>
      <w:r w:rsidR="00D95A3B" w:rsidRPr="00037EE3">
        <w:t xml:space="preserve">claim </w:t>
      </w:r>
      <w:r w:rsidR="008C786D" w:rsidRPr="00037EE3">
        <w:t xml:space="preserve">of superior efficacy and non-inferior safety </w:t>
      </w:r>
      <w:r w:rsidR="00D95A3B" w:rsidRPr="00037EE3">
        <w:t>supported by a cost analysis.</w:t>
      </w:r>
      <w:r w:rsidRPr="00037EE3">
        <w:t xml:space="preserve"> </w:t>
      </w:r>
    </w:p>
    <w:p w:rsidR="008B1757" w:rsidRPr="00037EE3" w:rsidRDefault="008B1757" w:rsidP="004A6040">
      <w:pPr>
        <w:pStyle w:val="TableFigureHeading"/>
        <w:rPr>
          <w:rStyle w:val="CommentReference"/>
          <w:b/>
          <w:szCs w:val="24"/>
        </w:rPr>
      </w:pPr>
      <w:r w:rsidRPr="00037EE3">
        <w:rPr>
          <w:rStyle w:val="CommentReference"/>
          <w:b/>
          <w:szCs w:val="24"/>
        </w:rPr>
        <w:t xml:space="preserve">Table </w:t>
      </w:r>
      <w:r w:rsidR="006161D5" w:rsidRPr="00037EE3">
        <w:rPr>
          <w:rStyle w:val="CommentReference"/>
          <w:b/>
          <w:szCs w:val="24"/>
        </w:rPr>
        <w:t>1</w:t>
      </w:r>
      <w:r w:rsidRPr="00037EE3">
        <w:rPr>
          <w:rStyle w:val="CommentReference"/>
          <w:b/>
          <w:szCs w:val="24"/>
        </w:rPr>
        <w:t>:</w:t>
      </w:r>
      <w:r w:rsidR="00BC591F" w:rsidRPr="00037EE3">
        <w:rPr>
          <w:rStyle w:val="CommentReference"/>
          <w:b/>
          <w:szCs w:val="24"/>
        </w:rPr>
        <w:t xml:space="preserve"> </w:t>
      </w:r>
      <w:r w:rsidRPr="00037EE3">
        <w:rPr>
          <w:rStyle w:val="CommentReference"/>
          <w:b/>
          <w:szCs w:val="24"/>
        </w:rPr>
        <w:t>Key components of the clinical issue addressed by the submission</w:t>
      </w:r>
      <w:r w:rsidR="007170DA" w:rsidRPr="00037EE3">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037EE3" w:rsidTr="00A30C0C">
        <w:trPr>
          <w:cantSplit/>
          <w:tblHeader/>
        </w:trPr>
        <w:tc>
          <w:tcPr>
            <w:tcW w:w="924" w:type="pct"/>
            <w:shd w:val="clear" w:color="auto" w:fill="auto"/>
          </w:tcPr>
          <w:p w:rsidR="008B1757" w:rsidRPr="00037EE3" w:rsidRDefault="008B1757" w:rsidP="004A6040">
            <w:pPr>
              <w:pStyle w:val="In-tableHeading"/>
              <w:rPr>
                <w:szCs w:val="20"/>
                <w:lang w:val="en-AU"/>
              </w:rPr>
            </w:pPr>
            <w:r w:rsidRPr="00037EE3">
              <w:rPr>
                <w:lang w:val="en-AU"/>
              </w:rPr>
              <w:t>Component</w:t>
            </w:r>
          </w:p>
        </w:tc>
        <w:tc>
          <w:tcPr>
            <w:tcW w:w="4076" w:type="pct"/>
            <w:shd w:val="clear" w:color="auto" w:fill="auto"/>
          </w:tcPr>
          <w:p w:rsidR="008B1757" w:rsidRPr="00037EE3" w:rsidRDefault="008B1757" w:rsidP="004A6040">
            <w:pPr>
              <w:pStyle w:val="In-tableHeading"/>
              <w:rPr>
                <w:lang w:val="en-AU"/>
              </w:rPr>
            </w:pPr>
            <w:r w:rsidRPr="00037EE3">
              <w:rPr>
                <w:lang w:val="en-AU"/>
              </w:rPr>
              <w:t>Description</w:t>
            </w:r>
          </w:p>
        </w:tc>
      </w:tr>
      <w:tr w:rsidR="00D95A3B" w:rsidRPr="00037EE3" w:rsidTr="00A30C0C">
        <w:trPr>
          <w:cantSplit/>
        </w:trPr>
        <w:tc>
          <w:tcPr>
            <w:tcW w:w="924" w:type="pct"/>
            <w:shd w:val="clear" w:color="auto" w:fill="auto"/>
          </w:tcPr>
          <w:p w:rsidR="00D95A3B" w:rsidRPr="00037EE3" w:rsidRDefault="00D95A3B" w:rsidP="00D95A3B">
            <w:pPr>
              <w:pStyle w:val="TableText0"/>
            </w:pPr>
            <w:r w:rsidRPr="00037EE3">
              <w:t>Population</w:t>
            </w:r>
          </w:p>
        </w:tc>
        <w:tc>
          <w:tcPr>
            <w:tcW w:w="4076" w:type="pct"/>
            <w:shd w:val="clear" w:color="auto" w:fill="auto"/>
            <w:vAlign w:val="center"/>
          </w:tcPr>
          <w:p w:rsidR="00D95A3B" w:rsidRPr="00037EE3" w:rsidRDefault="00D95A3B" w:rsidP="00D95A3B">
            <w:pPr>
              <w:pStyle w:val="TableText0"/>
              <w:rPr>
                <w:szCs w:val="20"/>
              </w:rPr>
            </w:pPr>
            <w:r w:rsidRPr="00037EE3">
              <w:t>Pregnant women (singleton pregnancy) with a short cervix and/or a history of spontaneous preterm birth.</w:t>
            </w:r>
          </w:p>
        </w:tc>
      </w:tr>
      <w:tr w:rsidR="00D95A3B" w:rsidRPr="00037EE3" w:rsidTr="00A30C0C">
        <w:trPr>
          <w:cantSplit/>
        </w:trPr>
        <w:tc>
          <w:tcPr>
            <w:tcW w:w="924" w:type="pct"/>
            <w:shd w:val="clear" w:color="auto" w:fill="auto"/>
          </w:tcPr>
          <w:p w:rsidR="00D95A3B" w:rsidRPr="00037EE3" w:rsidRDefault="00D95A3B" w:rsidP="00D95A3B">
            <w:pPr>
              <w:pStyle w:val="TableText0"/>
            </w:pPr>
            <w:r w:rsidRPr="00037EE3">
              <w:t>Intervention</w:t>
            </w:r>
          </w:p>
        </w:tc>
        <w:tc>
          <w:tcPr>
            <w:tcW w:w="4076" w:type="pct"/>
            <w:shd w:val="clear" w:color="auto" w:fill="auto"/>
            <w:vAlign w:val="center"/>
          </w:tcPr>
          <w:p w:rsidR="00D95A3B" w:rsidRPr="00037EE3" w:rsidRDefault="00D95A3B" w:rsidP="00D95A3B">
            <w:pPr>
              <w:pStyle w:val="TableText0"/>
            </w:pPr>
            <w:r w:rsidRPr="00037EE3">
              <w:t>Progesterone (Utrogestan) soft capsule 20</w:t>
            </w:r>
            <w:r w:rsidR="00AF08C5" w:rsidRPr="00037EE3">
              <w:t>0 mg</w:t>
            </w:r>
            <w:r w:rsidRPr="00037EE3">
              <w:t xml:space="preserve"> (for vaginal use) once daily, recommended at bedtime. </w:t>
            </w:r>
          </w:p>
        </w:tc>
      </w:tr>
      <w:tr w:rsidR="00D95A3B" w:rsidRPr="00037EE3" w:rsidTr="00A30C0C">
        <w:trPr>
          <w:cantSplit/>
        </w:trPr>
        <w:tc>
          <w:tcPr>
            <w:tcW w:w="924" w:type="pct"/>
            <w:shd w:val="clear" w:color="auto" w:fill="auto"/>
          </w:tcPr>
          <w:p w:rsidR="00D95A3B" w:rsidRPr="00037EE3" w:rsidRDefault="00D95A3B" w:rsidP="00D95A3B">
            <w:pPr>
              <w:pStyle w:val="TableText0"/>
            </w:pPr>
            <w:r w:rsidRPr="00037EE3">
              <w:t>Comparator</w:t>
            </w:r>
          </w:p>
        </w:tc>
        <w:tc>
          <w:tcPr>
            <w:tcW w:w="4076" w:type="pct"/>
            <w:shd w:val="clear" w:color="auto" w:fill="auto"/>
            <w:vAlign w:val="center"/>
          </w:tcPr>
          <w:p w:rsidR="00D95A3B" w:rsidRPr="00037EE3" w:rsidRDefault="00620447" w:rsidP="00D95A3B">
            <w:pPr>
              <w:pStyle w:val="TableText0"/>
            </w:pPr>
            <w:r w:rsidRPr="00037EE3">
              <w:t>Standard of Care (</w:t>
            </w:r>
            <w:r w:rsidR="005A0028" w:rsidRPr="00037EE3">
              <w:t>SOC</w:t>
            </w:r>
            <w:r w:rsidRPr="00037EE3">
              <w:t>)</w:t>
            </w:r>
            <w:r w:rsidR="00D95A3B" w:rsidRPr="00037EE3">
              <w:t xml:space="preserve"> </w:t>
            </w:r>
          </w:p>
        </w:tc>
      </w:tr>
      <w:tr w:rsidR="00D95A3B" w:rsidRPr="00037EE3" w:rsidTr="00A30C0C">
        <w:trPr>
          <w:cantSplit/>
        </w:trPr>
        <w:tc>
          <w:tcPr>
            <w:tcW w:w="924" w:type="pct"/>
            <w:shd w:val="clear" w:color="auto" w:fill="auto"/>
          </w:tcPr>
          <w:p w:rsidR="00D95A3B" w:rsidRPr="00037EE3" w:rsidRDefault="00D95A3B" w:rsidP="00D95A3B">
            <w:pPr>
              <w:pStyle w:val="TableText0"/>
            </w:pPr>
            <w:r w:rsidRPr="00037EE3">
              <w:t>Outcomes</w:t>
            </w:r>
          </w:p>
        </w:tc>
        <w:tc>
          <w:tcPr>
            <w:tcW w:w="4076" w:type="pct"/>
            <w:shd w:val="clear" w:color="auto" w:fill="auto"/>
            <w:vAlign w:val="center"/>
          </w:tcPr>
          <w:p w:rsidR="00D95A3B" w:rsidRPr="00037EE3" w:rsidRDefault="00D95A3B" w:rsidP="00D95A3B">
            <w:pPr>
              <w:pStyle w:val="TableText0"/>
              <w:rPr>
                <w:rFonts w:eastAsia="Times New Roman" w:cs="Arial"/>
                <w:bCs w:val="0"/>
                <w:snapToGrid w:val="0"/>
                <w:color w:val="0066FF"/>
                <w:szCs w:val="20"/>
              </w:rPr>
            </w:pPr>
            <w:r w:rsidRPr="00037EE3">
              <w:t>Reduction in risk of preterm birth; time to preterm birth/pregnancy prolongation; frequency of spontaneous preterm birth; respiratory distress syndrome; neonatal morbidity and mortality; low birth weight; admission to neonatal intensive care unit.</w:t>
            </w:r>
          </w:p>
        </w:tc>
      </w:tr>
      <w:tr w:rsidR="00D95A3B" w:rsidRPr="00037EE3" w:rsidTr="00A30C0C">
        <w:trPr>
          <w:cantSplit/>
        </w:trPr>
        <w:tc>
          <w:tcPr>
            <w:tcW w:w="924" w:type="pct"/>
            <w:shd w:val="clear" w:color="auto" w:fill="auto"/>
          </w:tcPr>
          <w:p w:rsidR="00D95A3B" w:rsidRPr="00037EE3" w:rsidRDefault="00D95A3B" w:rsidP="00D95A3B">
            <w:pPr>
              <w:pStyle w:val="TableText0"/>
            </w:pPr>
            <w:r w:rsidRPr="00037EE3">
              <w:t>Clinical claim</w:t>
            </w:r>
          </w:p>
        </w:tc>
        <w:tc>
          <w:tcPr>
            <w:tcW w:w="4076" w:type="pct"/>
            <w:shd w:val="clear" w:color="auto" w:fill="auto"/>
            <w:vAlign w:val="center"/>
          </w:tcPr>
          <w:p w:rsidR="00D95A3B" w:rsidRPr="00037EE3" w:rsidRDefault="00D95A3B" w:rsidP="00D95A3B">
            <w:pPr>
              <w:pStyle w:val="TableText0"/>
              <w:rPr>
                <w:rFonts w:eastAsia="Times New Roman" w:cs="Arial"/>
                <w:bCs w:val="0"/>
                <w:snapToGrid w:val="0"/>
                <w:color w:val="0066FF"/>
                <w:szCs w:val="20"/>
              </w:rPr>
            </w:pPr>
            <w:r w:rsidRPr="00037EE3">
              <w:t xml:space="preserve">Treatment with Utrogestan in women with a short cervix and/or history of spontaneous preterm birth is well tolerated and more effective than SOC in the prevention of preterm birth. </w:t>
            </w:r>
          </w:p>
        </w:tc>
      </w:tr>
    </w:tbl>
    <w:p w:rsidR="00D95A3B" w:rsidRPr="00037EE3" w:rsidRDefault="00D95A3B" w:rsidP="00D95A3B">
      <w:pPr>
        <w:pStyle w:val="TableFigureFooter"/>
      </w:pPr>
      <w:r w:rsidRPr="00037EE3">
        <w:t>Source: Table 1.1, p21 of the submission.</w:t>
      </w:r>
    </w:p>
    <w:p w:rsidR="005C25FF" w:rsidRPr="00037EE3" w:rsidRDefault="005C25FF" w:rsidP="004A6040">
      <w:pPr>
        <w:pStyle w:val="2-SectionHeading"/>
      </w:pPr>
      <w:bookmarkStart w:id="2" w:name="_Toc50936075"/>
      <w:r w:rsidRPr="00037EE3">
        <w:t>Background</w:t>
      </w:r>
      <w:bookmarkEnd w:id="2"/>
    </w:p>
    <w:p w:rsidR="005C25FF" w:rsidRPr="00037EE3" w:rsidRDefault="005C25FF" w:rsidP="004A6040">
      <w:pPr>
        <w:pStyle w:val="4-SubsectionHeading"/>
      </w:pPr>
      <w:bookmarkStart w:id="3" w:name="_Toc22897638"/>
      <w:bookmarkStart w:id="4" w:name="_Toc50936076"/>
      <w:r w:rsidRPr="00037EE3">
        <w:t>Registration status</w:t>
      </w:r>
      <w:bookmarkEnd w:id="3"/>
      <w:bookmarkEnd w:id="4"/>
    </w:p>
    <w:p w:rsidR="007D5FE4" w:rsidRPr="00037EE3" w:rsidRDefault="00D95A3B" w:rsidP="00CC2580">
      <w:pPr>
        <w:pStyle w:val="3-BodyText"/>
      </w:pPr>
      <w:r w:rsidRPr="00037EE3">
        <w:t>Utrogestan received TGA approval for use in women at risk of preterm birth in singleton pregnancies on 12 November 2019.</w:t>
      </w:r>
      <w:r w:rsidR="00AD656C" w:rsidRPr="00037EE3">
        <w:t xml:space="preserve"> The TGA approved indication is: “Prevention of preterm birth in women with singleton pregnancy who have a short cervix (mid-trimester sonographic cervix ≤25 mm) and/or a history of spontaneous preterm birth”.</w:t>
      </w:r>
      <w:r w:rsidRPr="00037EE3">
        <w:t xml:space="preserve"> </w:t>
      </w:r>
    </w:p>
    <w:p w:rsidR="00617E12" w:rsidRPr="00037EE3" w:rsidRDefault="00B50DB8" w:rsidP="00617E12">
      <w:pPr>
        <w:pStyle w:val="2-SectionHeading"/>
      </w:pPr>
      <w:bookmarkStart w:id="5" w:name="_Toc50936077"/>
      <w:r w:rsidRPr="00037EE3">
        <w:t>Requested listing</w:t>
      </w:r>
      <w:bookmarkEnd w:id="5"/>
    </w:p>
    <w:p w:rsidR="00C85B44" w:rsidRPr="00037EE3" w:rsidRDefault="00C85B44" w:rsidP="00E0141E">
      <w:pPr>
        <w:pStyle w:val="3-BodyText"/>
        <w:rPr>
          <w:rFonts w:ascii="Arial Narrow" w:hAnsi="Arial Narrow" w:cstheme="minorHAnsi"/>
          <w:sz w:val="18"/>
          <w:szCs w:val="18"/>
        </w:rPr>
      </w:pPr>
      <w:r w:rsidRPr="00037EE3">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9"/>
        <w:gridCol w:w="860"/>
        <w:gridCol w:w="858"/>
        <w:gridCol w:w="716"/>
        <w:gridCol w:w="2577"/>
      </w:tblGrid>
      <w:tr w:rsidR="00C85B44" w:rsidRPr="00037EE3" w:rsidTr="00C1582B">
        <w:trPr>
          <w:cantSplit/>
          <w:trHeight w:val="471"/>
        </w:trPr>
        <w:tc>
          <w:tcPr>
            <w:tcW w:w="1506" w:type="pct"/>
          </w:tcPr>
          <w:p w:rsidR="00C85B44" w:rsidRPr="00037EE3" w:rsidRDefault="00C85B44" w:rsidP="00C1582B">
            <w:pPr>
              <w:keepNext/>
              <w:ind w:left="-108"/>
              <w:rPr>
                <w:rFonts w:ascii="Arial Narrow" w:hAnsi="Arial Narrow" w:cs="Arial"/>
                <w:b/>
                <w:sz w:val="18"/>
                <w:szCs w:val="18"/>
              </w:rPr>
            </w:pPr>
            <w:r w:rsidRPr="00037EE3">
              <w:rPr>
                <w:rFonts w:ascii="Arial Narrow" w:hAnsi="Arial Narrow" w:cs="Arial"/>
                <w:b/>
                <w:sz w:val="18"/>
                <w:szCs w:val="18"/>
              </w:rPr>
              <w:lastRenderedPageBreak/>
              <w:t xml:space="preserve">MEDICINAL </w:t>
            </w:r>
            <w:r w:rsidR="00037EE3" w:rsidRPr="00037EE3">
              <w:rPr>
                <w:rFonts w:ascii="Arial Narrow" w:hAnsi="Arial Narrow" w:cs="Arial"/>
                <w:b/>
                <w:sz w:val="18"/>
                <w:szCs w:val="18"/>
              </w:rPr>
              <w:t>PRODUCT</w:t>
            </w:r>
            <w:r w:rsidRPr="00037EE3">
              <w:rPr>
                <w:rFonts w:ascii="Arial Narrow" w:hAnsi="Arial Narrow" w:cs="Arial"/>
                <w:b/>
                <w:sz w:val="18"/>
                <w:szCs w:val="18"/>
              </w:rPr>
              <w:t>,</w:t>
            </w:r>
          </w:p>
          <w:p w:rsidR="00C85B44" w:rsidRPr="00037EE3" w:rsidRDefault="00C85B44" w:rsidP="00C1582B">
            <w:pPr>
              <w:keepNext/>
              <w:ind w:left="-108"/>
              <w:rPr>
                <w:rFonts w:ascii="Arial Narrow" w:hAnsi="Arial Narrow" w:cs="Arial"/>
                <w:b/>
                <w:sz w:val="18"/>
                <w:szCs w:val="18"/>
              </w:rPr>
            </w:pPr>
            <w:r w:rsidRPr="00037EE3">
              <w:rPr>
                <w:rFonts w:ascii="Arial Narrow" w:hAnsi="Arial Narrow" w:cs="Arial"/>
                <w:b/>
                <w:sz w:val="18"/>
                <w:szCs w:val="18"/>
              </w:rPr>
              <w:t>medicinal product pack</w:t>
            </w:r>
          </w:p>
        </w:tc>
        <w:tc>
          <w:tcPr>
            <w:tcW w:w="714" w:type="pct"/>
          </w:tcPr>
          <w:p w:rsidR="00C85B44" w:rsidRPr="00037EE3" w:rsidRDefault="00C85B44" w:rsidP="00C1582B">
            <w:pPr>
              <w:keepNext/>
              <w:ind w:left="-108"/>
              <w:jc w:val="center"/>
              <w:rPr>
                <w:rFonts w:ascii="Arial Narrow" w:hAnsi="Arial Narrow" w:cs="Arial"/>
                <w:b/>
                <w:sz w:val="18"/>
                <w:szCs w:val="18"/>
              </w:rPr>
            </w:pPr>
            <w:r w:rsidRPr="00037EE3">
              <w:rPr>
                <w:rFonts w:ascii="Arial Narrow" w:hAnsi="Arial Narrow" w:cs="Arial"/>
                <w:b/>
                <w:sz w:val="18"/>
                <w:szCs w:val="18"/>
              </w:rPr>
              <w:t>PBS item code</w:t>
            </w:r>
          </w:p>
        </w:tc>
        <w:tc>
          <w:tcPr>
            <w:tcW w:w="477" w:type="pct"/>
          </w:tcPr>
          <w:p w:rsidR="00C85B44" w:rsidRPr="00037EE3" w:rsidRDefault="00C85B44" w:rsidP="00C1582B">
            <w:pPr>
              <w:keepNext/>
              <w:ind w:left="-108"/>
              <w:jc w:val="center"/>
              <w:rPr>
                <w:rFonts w:ascii="Arial Narrow" w:hAnsi="Arial Narrow" w:cs="Arial"/>
                <w:b/>
                <w:sz w:val="18"/>
                <w:szCs w:val="18"/>
              </w:rPr>
            </w:pPr>
            <w:r w:rsidRPr="00037EE3">
              <w:rPr>
                <w:rFonts w:ascii="Arial Narrow" w:hAnsi="Arial Narrow" w:cs="Arial"/>
                <w:b/>
                <w:sz w:val="18"/>
                <w:szCs w:val="18"/>
              </w:rPr>
              <w:t>Max. qty packs</w:t>
            </w:r>
          </w:p>
        </w:tc>
        <w:tc>
          <w:tcPr>
            <w:tcW w:w="476" w:type="pct"/>
          </w:tcPr>
          <w:p w:rsidR="00C85B44" w:rsidRPr="00037EE3" w:rsidRDefault="00C85B44" w:rsidP="00C1582B">
            <w:pPr>
              <w:keepNext/>
              <w:ind w:left="-108"/>
              <w:jc w:val="center"/>
              <w:rPr>
                <w:rFonts w:ascii="Arial Narrow" w:hAnsi="Arial Narrow" w:cs="Arial"/>
                <w:b/>
                <w:sz w:val="18"/>
                <w:szCs w:val="18"/>
              </w:rPr>
            </w:pPr>
            <w:r w:rsidRPr="00037EE3">
              <w:rPr>
                <w:rFonts w:ascii="Arial Narrow" w:hAnsi="Arial Narrow" w:cs="Arial"/>
                <w:b/>
                <w:sz w:val="18"/>
                <w:szCs w:val="18"/>
              </w:rPr>
              <w:t>Max. qty units</w:t>
            </w:r>
          </w:p>
        </w:tc>
        <w:tc>
          <w:tcPr>
            <w:tcW w:w="397" w:type="pct"/>
          </w:tcPr>
          <w:p w:rsidR="00C85B44" w:rsidRPr="00037EE3" w:rsidRDefault="00C85B44" w:rsidP="00C1582B">
            <w:pPr>
              <w:keepNext/>
              <w:ind w:left="-108"/>
              <w:jc w:val="center"/>
              <w:rPr>
                <w:rFonts w:ascii="Arial Narrow" w:hAnsi="Arial Narrow" w:cs="Arial"/>
                <w:b/>
                <w:sz w:val="18"/>
                <w:szCs w:val="18"/>
              </w:rPr>
            </w:pPr>
            <w:r w:rsidRPr="00037EE3">
              <w:rPr>
                <w:rFonts w:ascii="Arial Narrow" w:hAnsi="Arial Narrow" w:cs="Arial"/>
                <w:b/>
                <w:sz w:val="18"/>
                <w:szCs w:val="18"/>
              </w:rPr>
              <w:t>№.of</w:t>
            </w:r>
          </w:p>
          <w:p w:rsidR="00C85B44" w:rsidRPr="00037EE3" w:rsidRDefault="00C85B44" w:rsidP="00C1582B">
            <w:pPr>
              <w:keepNext/>
              <w:ind w:left="-108"/>
              <w:jc w:val="center"/>
              <w:rPr>
                <w:rFonts w:ascii="Arial Narrow" w:hAnsi="Arial Narrow" w:cs="Arial"/>
                <w:b/>
                <w:sz w:val="18"/>
                <w:szCs w:val="18"/>
              </w:rPr>
            </w:pPr>
            <w:r w:rsidRPr="00037EE3">
              <w:rPr>
                <w:rFonts w:ascii="Arial Narrow" w:hAnsi="Arial Narrow" w:cs="Arial"/>
                <w:b/>
                <w:sz w:val="18"/>
                <w:szCs w:val="18"/>
              </w:rPr>
              <w:t>Rpts</w:t>
            </w:r>
          </w:p>
        </w:tc>
        <w:tc>
          <w:tcPr>
            <w:tcW w:w="1429" w:type="pct"/>
          </w:tcPr>
          <w:p w:rsidR="00C85B44" w:rsidRPr="00037EE3" w:rsidRDefault="00C85B44" w:rsidP="00C1582B">
            <w:pPr>
              <w:keepNext/>
              <w:rPr>
                <w:rFonts w:ascii="Arial Narrow" w:hAnsi="Arial Narrow" w:cs="Arial"/>
                <w:b/>
                <w:sz w:val="18"/>
                <w:szCs w:val="18"/>
              </w:rPr>
            </w:pPr>
            <w:r w:rsidRPr="00037EE3">
              <w:rPr>
                <w:rFonts w:ascii="Arial Narrow" w:hAnsi="Arial Narrow" w:cs="Arial"/>
                <w:b/>
                <w:sz w:val="18"/>
                <w:szCs w:val="18"/>
              </w:rPr>
              <w:t>Available brands</w:t>
            </w:r>
          </w:p>
        </w:tc>
      </w:tr>
      <w:tr w:rsidR="00C85B44" w:rsidRPr="00037EE3" w:rsidTr="00C1582B">
        <w:trPr>
          <w:cantSplit/>
          <w:trHeight w:val="761"/>
        </w:trPr>
        <w:tc>
          <w:tcPr>
            <w:tcW w:w="1506" w:type="pct"/>
          </w:tcPr>
          <w:p w:rsidR="00C85B44" w:rsidRPr="00037EE3" w:rsidRDefault="00C85B44" w:rsidP="00C1582B">
            <w:pPr>
              <w:keepNext/>
              <w:ind w:left="-108"/>
              <w:rPr>
                <w:rFonts w:ascii="Arial Narrow" w:hAnsi="Arial Narrow" w:cs="Arial"/>
                <w:sz w:val="18"/>
                <w:szCs w:val="18"/>
              </w:rPr>
            </w:pPr>
            <w:r w:rsidRPr="00037EE3">
              <w:rPr>
                <w:rFonts w:ascii="Arial Narrow" w:hAnsi="Arial Narrow" w:cs="Arial"/>
                <w:sz w:val="18"/>
                <w:szCs w:val="18"/>
              </w:rPr>
              <w:t>PROGESTERONE</w:t>
            </w:r>
          </w:p>
          <w:p w:rsidR="00C85B44" w:rsidRPr="00037EE3" w:rsidRDefault="00C85B44" w:rsidP="00C1582B">
            <w:pPr>
              <w:keepNext/>
              <w:ind w:left="-108"/>
              <w:rPr>
                <w:rFonts w:ascii="Arial Narrow" w:hAnsi="Arial Narrow" w:cs="Arial"/>
                <w:sz w:val="18"/>
                <w:szCs w:val="18"/>
              </w:rPr>
            </w:pPr>
          </w:p>
          <w:p w:rsidR="00C85B44" w:rsidRPr="00037EE3" w:rsidRDefault="00C85B44" w:rsidP="00C1582B">
            <w:pPr>
              <w:keepNext/>
              <w:ind w:left="-108"/>
              <w:rPr>
                <w:rFonts w:ascii="Arial Narrow" w:hAnsi="Arial Narrow" w:cs="Arial"/>
                <w:sz w:val="18"/>
                <w:szCs w:val="18"/>
              </w:rPr>
            </w:pPr>
            <w:r w:rsidRPr="00037EE3">
              <w:rPr>
                <w:rFonts w:ascii="Arial Narrow" w:hAnsi="Arial Narrow" w:cs="Arial"/>
                <w:sz w:val="18"/>
                <w:szCs w:val="18"/>
              </w:rPr>
              <w:t>progesterone 200 mg capsule, 42</w:t>
            </w:r>
          </w:p>
        </w:tc>
        <w:tc>
          <w:tcPr>
            <w:tcW w:w="714" w:type="pct"/>
          </w:tcPr>
          <w:p w:rsidR="00C85B44" w:rsidRPr="00037EE3" w:rsidRDefault="00C85B44" w:rsidP="00C1582B">
            <w:pPr>
              <w:keepNext/>
              <w:ind w:left="-108"/>
              <w:jc w:val="center"/>
              <w:rPr>
                <w:rFonts w:ascii="Arial Narrow" w:hAnsi="Arial Narrow" w:cs="Arial"/>
                <w:sz w:val="18"/>
                <w:szCs w:val="18"/>
              </w:rPr>
            </w:pPr>
          </w:p>
          <w:p w:rsidR="00C85B44" w:rsidRPr="00037EE3" w:rsidRDefault="00C85B44" w:rsidP="00C1582B">
            <w:pPr>
              <w:keepNext/>
              <w:ind w:left="-108"/>
              <w:jc w:val="center"/>
              <w:rPr>
                <w:rFonts w:ascii="Arial Narrow" w:hAnsi="Arial Narrow" w:cs="Arial"/>
                <w:sz w:val="18"/>
                <w:szCs w:val="18"/>
              </w:rPr>
            </w:pPr>
          </w:p>
          <w:p w:rsidR="00C85B44" w:rsidRPr="00037EE3" w:rsidRDefault="00C85B44" w:rsidP="00C1582B">
            <w:pPr>
              <w:keepNext/>
              <w:ind w:left="-108"/>
              <w:jc w:val="center"/>
              <w:rPr>
                <w:rFonts w:ascii="Arial Narrow" w:hAnsi="Arial Narrow" w:cs="Arial"/>
                <w:sz w:val="18"/>
                <w:szCs w:val="18"/>
              </w:rPr>
            </w:pPr>
            <w:r w:rsidRPr="00037EE3">
              <w:rPr>
                <w:rFonts w:ascii="Arial Narrow" w:hAnsi="Arial Narrow" w:cs="Arial"/>
                <w:sz w:val="18"/>
                <w:szCs w:val="18"/>
              </w:rPr>
              <w:t>NEW</w:t>
            </w:r>
          </w:p>
        </w:tc>
        <w:tc>
          <w:tcPr>
            <w:tcW w:w="477" w:type="pct"/>
          </w:tcPr>
          <w:p w:rsidR="00C85B44" w:rsidRPr="00037EE3" w:rsidRDefault="00C85B44" w:rsidP="00C1582B">
            <w:pPr>
              <w:keepNext/>
              <w:jc w:val="center"/>
              <w:rPr>
                <w:rFonts w:ascii="Arial Narrow" w:hAnsi="Arial Narrow" w:cs="Arial"/>
                <w:sz w:val="18"/>
                <w:szCs w:val="18"/>
              </w:rPr>
            </w:pPr>
          </w:p>
          <w:p w:rsidR="00C85B44" w:rsidRPr="00037EE3" w:rsidRDefault="00C85B44" w:rsidP="00C1582B">
            <w:pPr>
              <w:keepNext/>
              <w:ind w:left="-108"/>
              <w:jc w:val="center"/>
              <w:rPr>
                <w:rFonts w:ascii="Arial Narrow" w:hAnsi="Arial Narrow" w:cs="Arial"/>
                <w:sz w:val="18"/>
                <w:szCs w:val="18"/>
              </w:rPr>
            </w:pPr>
          </w:p>
          <w:p w:rsidR="00C85B44" w:rsidRPr="00037EE3" w:rsidRDefault="00C85B44" w:rsidP="00C1582B">
            <w:pPr>
              <w:keepNext/>
              <w:jc w:val="center"/>
              <w:rPr>
                <w:rFonts w:ascii="Arial Narrow" w:hAnsi="Arial Narrow" w:cs="Arial"/>
                <w:sz w:val="18"/>
                <w:szCs w:val="18"/>
              </w:rPr>
            </w:pPr>
            <w:r w:rsidRPr="00037EE3">
              <w:rPr>
                <w:rFonts w:ascii="Arial Narrow" w:hAnsi="Arial Narrow" w:cs="Arial"/>
                <w:sz w:val="18"/>
                <w:szCs w:val="18"/>
              </w:rPr>
              <w:t>1</w:t>
            </w:r>
          </w:p>
        </w:tc>
        <w:tc>
          <w:tcPr>
            <w:tcW w:w="476" w:type="pct"/>
          </w:tcPr>
          <w:p w:rsidR="00C85B44" w:rsidRPr="00037EE3" w:rsidRDefault="00C85B44" w:rsidP="00C1582B">
            <w:pPr>
              <w:keepNext/>
              <w:ind w:left="-108"/>
              <w:jc w:val="center"/>
              <w:rPr>
                <w:rFonts w:ascii="Arial Narrow" w:hAnsi="Arial Narrow" w:cs="Arial"/>
                <w:sz w:val="18"/>
                <w:szCs w:val="18"/>
              </w:rPr>
            </w:pPr>
          </w:p>
          <w:p w:rsidR="00C85B44" w:rsidRPr="00037EE3" w:rsidRDefault="00C85B44" w:rsidP="00C1582B">
            <w:pPr>
              <w:keepNext/>
              <w:rPr>
                <w:rFonts w:ascii="Arial Narrow" w:hAnsi="Arial Narrow" w:cs="Arial"/>
                <w:sz w:val="18"/>
                <w:szCs w:val="18"/>
              </w:rPr>
            </w:pPr>
          </w:p>
          <w:p w:rsidR="00C85B44" w:rsidRPr="00037EE3" w:rsidRDefault="00C85B44" w:rsidP="00C1582B">
            <w:pPr>
              <w:keepNext/>
              <w:ind w:left="-108"/>
              <w:jc w:val="center"/>
              <w:rPr>
                <w:rFonts w:ascii="Arial Narrow" w:hAnsi="Arial Narrow" w:cs="Arial"/>
                <w:sz w:val="18"/>
                <w:szCs w:val="18"/>
              </w:rPr>
            </w:pPr>
            <w:r w:rsidRPr="00037EE3">
              <w:rPr>
                <w:rFonts w:ascii="Arial Narrow" w:hAnsi="Arial Narrow" w:cs="Arial"/>
                <w:sz w:val="18"/>
                <w:szCs w:val="18"/>
              </w:rPr>
              <w:t>42</w:t>
            </w:r>
          </w:p>
        </w:tc>
        <w:tc>
          <w:tcPr>
            <w:tcW w:w="397" w:type="pct"/>
          </w:tcPr>
          <w:p w:rsidR="00C85B44" w:rsidRPr="00037EE3" w:rsidRDefault="00C85B44" w:rsidP="00C1582B">
            <w:pPr>
              <w:keepNext/>
              <w:ind w:left="-108"/>
              <w:jc w:val="center"/>
              <w:rPr>
                <w:rFonts w:ascii="Arial Narrow" w:hAnsi="Arial Narrow" w:cs="Arial"/>
                <w:sz w:val="18"/>
                <w:szCs w:val="18"/>
              </w:rPr>
            </w:pPr>
          </w:p>
          <w:p w:rsidR="00C85B44" w:rsidRPr="00037EE3" w:rsidRDefault="00C85B44" w:rsidP="00C1582B">
            <w:pPr>
              <w:keepNext/>
              <w:ind w:left="-108"/>
              <w:jc w:val="center"/>
              <w:rPr>
                <w:rFonts w:ascii="Arial Narrow" w:hAnsi="Arial Narrow" w:cs="Arial"/>
                <w:sz w:val="18"/>
                <w:szCs w:val="18"/>
              </w:rPr>
            </w:pPr>
          </w:p>
          <w:p w:rsidR="00C85B44" w:rsidRPr="00037EE3" w:rsidRDefault="00C85B44" w:rsidP="00C1582B">
            <w:pPr>
              <w:keepNext/>
              <w:ind w:left="-108"/>
              <w:jc w:val="center"/>
              <w:rPr>
                <w:rFonts w:ascii="Arial Narrow" w:hAnsi="Arial Narrow" w:cs="Arial"/>
                <w:sz w:val="18"/>
                <w:szCs w:val="18"/>
              </w:rPr>
            </w:pPr>
            <w:r w:rsidRPr="00037EE3">
              <w:rPr>
                <w:rFonts w:ascii="Arial Narrow" w:hAnsi="Arial Narrow" w:cs="Arial"/>
                <w:sz w:val="18"/>
                <w:szCs w:val="18"/>
              </w:rPr>
              <w:t>3</w:t>
            </w:r>
          </w:p>
          <w:p w:rsidR="00C85B44" w:rsidRPr="00037EE3" w:rsidRDefault="00C85B44" w:rsidP="00C1582B">
            <w:pPr>
              <w:keepNext/>
              <w:rPr>
                <w:rFonts w:ascii="Arial Narrow" w:hAnsi="Arial Narrow" w:cs="Arial"/>
                <w:sz w:val="18"/>
                <w:szCs w:val="18"/>
              </w:rPr>
            </w:pPr>
          </w:p>
        </w:tc>
        <w:tc>
          <w:tcPr>
            <w:tcW w:w="1429" w:type="pct"/>
          </w:tcPr>
          <w:p w:rsidR="00C85B44" w:rsidRPr="00037EE3" w:rsidRDefault="00C85B44" w:rsidP="00C1582B">
            <w:pPr>
              <w:keepNext/>
              <w:rPr>
                <w:rFonts w:ascii="Arial Narrow" w:hAnsi="Arial Narrow" w:cs="Arial"/>
                <w:sz w:val="18"/>
                <w:szCs w:val="18"/>
              </w:rPr>
            </w:pPr>
          </w:p>
          <w:p w:rsidR="00C85B44" w:rsidRPr="00037EE3" w:rsidRDefault="00C85B44" w:rsidP="00C1582B">
            <w:pPr>
              <w:keepNext/>
              <w:rPr>
                <w:rFonts w:ascii="Arial Narrow" w:hAnsi="Arial Narrow" w:cs="Arial"/>
                <w:sz w:val="18"/>
                <w:szCs w:val="18"/>
              </w:rPr>
            </w:pPr>
          </w:p>
          <w:p w:rsidR="00C85B44" w:rsidRPr="00037EE3" w:rsidRDefault="00C85B44" w:rsidP="00C1582B">
            <w:pPr>
              <w:keepNext/>
              <w:rPr>
                <w:rFonts w:ascii="Arial Narrow" w:hAnsi="Arial Narrow" w:cs="Arial"/>
                <w:sz w:val="18"/>
                <w:szCs w:val="18"/>
              </w:rPr>
            </w:pPr>
            <w:r w:rsidRPr="00037EE3">
              <w:rPr>
                <w:rFonts w:ascii="Arial Narrow" w:hAnsi="Arial Narrow" w:cs="Arial"/>
                <w:sz w:val="18"/>
                <w:szCs w:val="18"/>
              </w:rPr>
              <w:t>Utrogestan</w:t>
            </w:r>
          </w:p>
          <w:p w:rsidR="00C85B44" w:rsidRPr="00037EE3" w:rsidRDefault="00C85B44" w:rsidP="00C1582B">
            <w:pPr>
              <w:keepNext/>
              <w:rPr>
                <w:rFonts w:ascii="Arial Narrow" w:hAnsi="Arial Narrow" w:cs="Arial"/>
                <w:sz w:val="18"/>
                <w:szCs w:val="18"/>
              </w:rPr>
            </w:pPr>
          </w:p>
        </w:tc>
      </w:tr>
    </w:tbl>
    <w:p w:rsidR="00C85B44" w:rsidRPr="00037EE3" w:rsidRDefault="00C85B44" w:rsidP="00C85B44"/>
    <w:p w:rsidR="00C85B44" w:rsidRPr="00037EE3" w:rsidRDefault="00C85B44" w:rsidP="00C85B44">
      <w:pPr>
        <w:rPr>
          <w:rFonts w:ascii="Arial Narrow" w:hAnsi="Arial Narrow"/>
          <w:b/>
          <w:sz w:val="18"/>
          <w:szCs w:val="18"/>
        </w:rPr>
      </w:pPr>
      <w:r w:rsidRPr="00037EE3">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271F89" w:rsidRPr="00037EE3" w:rsidTr="00271F89">
        <w:tc>
          <w:tcPr>
            <w:tcW w:w="5000" w:type="pct"/>
            <w:tcBorders>
              <w:top w:val="single" w:sz="4" w:space="0" w:color="auto"/>
              <w:left w:val="single" w:sz="4" w:space="0" w:color="auto"/>
              <w:bottom w:val="single" w:sz="4" w:space="0" w:color="auto"/>
              <w:right w:val="single" w:sz="4" w:space="0" w:color="auto"/>
            </w:tcBorders>
          </w:tcPr>
          <w:p w:rsidR="00271F89" w:rsidRPr="00037EE3" w:rsidRDefault="00271F89" w:rsidP="00C1582B">
            <w:pPr>
              <w:rPr>
                <w:rFonts w:ascii="Arial Narrow" w:hAnsi="Arial Narrow" w:cs="Arial"/>
                <w:sz w:val="18"/>
                <w:szCs w:val="18"/>
              </w:rPr>
            </w:pPr>
            <w:r w:rsidRPr="00037EE3">
              <w:rPr>
                <w:rFonts w:ascii="Arial Narrow" w:hAnsi="Arial Narrow" w:cs="Arial"/>
                <w:b/>
                <w:sz w:val="18"/>
                <w:szCs w:val="18"/>
              </w:rPr>
              <w:t xml:space="preserve">Category / Program:   </w:t>
            </w:r>
            <w:r w:rsidRPr="00037EE3">
              <w:rPr>
                <w:rFonts w:ascii="Arial Narrow" w:hAnsi="Arial Narrow" w:cs="Arial"/>
                <w:sz w:val="18"/>
                <w:szCs w:val="18"/>
              </w:rPr>
              <w:t xml:space="preserve">GENERAL – General Schedule (Code GE) </w:t>
            </w:r>
          </w:p>
        </w:tc>
      </w:tr>
      <w:tr w:rsidR="00271F89" w:rsidRPr="00037EE3" w:rsidTr="00271F89">
        <w:trPr>
          <w:trHeight w:val="168"/>
        </w:trPr>
        <w:tc>
          <w:tcPr>
            <w:tcW w:w="5000" w:type="pct"/>
            <w:tcBorders>
              <w:top w:val="single" w:sz="4" w:space="0" w:color="auto"/>
              <w:left w:val="single" w:sz="4" w:space="0" w:color="auto"/>
              <w:bottom w:val="single" w:sz="4" w:space="0" w:color="auto"/>
              <w:right w:val="single" w:sz="4" w:space="0" w:color="auto"/>
            </w:tcBorders>
          </w:tcPr>
          <w:p w:rsidR="00271F89" w:rsidRPr="00037EE3" w:rsidRDefault="00271F89" w:rsidP="00C1582B">
            <w:pPr>
              <w:rPr>
                <w:rFonts w:ascii="Arial Narrow" w:hAnsi="Arial Narrow" w:cs="Arial"/>
                <w:sz w:val="18"/>
                <w:szCs w:val="18"/>
              </w:rPr>
            </w:pPr>
            <w:r w:rsidRPr="00037EE3">
              <w:rPr>
                <w:rFonts w:ascii="Arial Narrow" w:hAnsi="Arial Narrow" w:cs="Arial"/>
                <w:b/>
                <w:sz w:val="18"/>
                <w:szCs w:val="18"/>
              </w:rPr>
              <w:t xml:space="preserve">Prescriber type:  </w:t>
            </w:r>
            <w:r w:rsidRPr="00037EE3">
              <w:rPr>
                <w:rFonts w:ascii="Arial Narrow" w:hAnsi="Arial Narrow" w:cs="Arial"/>
                <w:sz w:val="18"/>
                <w:szCs w:val="18"/>
              </w:rPr>
              <w:fldChar w:fldCharType="begin">
                <w:ffData>
                  <w:name w:val=""/>
                  <w:enabled/>
                  <w:calcOnExit w:val="0"/>
                  <w:checkBox>
                    <w:sizeAuto/>
                    <w:default w:val="1"/>
                  </w:checkBox>
                </w:ffData>
              </w:fldChar>
            </w:r>
            <w:r w:rsidRPr="00037EE3">
              <w:rPr>
                <w:rFonts w:ascii="Arial Narrow" w:hAnsi="Arial Narrow" w:cs="Arial"/>
                <w:sz w:val="18"/>
                <w:szCs w:val="18"/>
              </w:rPr>
              <w:instrText xml:space="preserve"> FORMCHECKBOX </w:instrText>
            </w:r>
            <w:r w:rsidR="00CD28E6">
              <w:rPr>
                <w:rFonts w:ascii="Arial Narrow" w:hAnsi="Arial Narrow" w:cs="Arial"/>
                <w:sz w:val="18"/>
                <w:szCs w:val="18"/>
              </w:rPr>
            </w:r>
            <w:r w:rsidR="00CD28E6">
              <w:rPr>
                <w:rFonts w:ascii="Arial Narrow" w:hAnsi="Arial Narrow" w:cs="Arial"/>
                <w:sz w:val="18"/>
                <w:szCs w:val="18"/>
              </w:rPr>
              <w:fldChar w:fldCharType="separate"/>
            </w:r>
            <w:r w:rsidRPr="00037EE3">
              <w:rPr>
                <w:rFonts w:ascii="Arial Narrow" w:hAnsi="Arial Narrow" w:cs="Arial"/>
                <w:sz w:val="18"/>
                <w:szCs w:val="18"/>
              </w:rPr>
              <w:fldChar w:fldCharType="end"/>
            </w:r>
            <w:r w:rsidRPr="00037EE3">
              <w:rPr>
                <w:rFonts w:ascii="Arial Narrow" w:hAnsi="Arial Narrow" w:cs="Arial"/>
                <w:i/>
                <w:sz w:val="18"/>
                <w:szCs w:val="18"/>
              </w:rPr>
              <w:t>Medical Practitioners</w:t>
            </w:r>
            <w:r w:rsidRPr="00037EE3">
              <w:rPr>
                <w:rFonts w:ascii="Arial Narrow" w:hAnsi="Arial Narrow" w:cs="Arial"/>
                <w:sz w:val="18"/>
                <w:szCs w:val="18"/>
              </w:rPr>
              <w:t xml:space="preserve">  </w:t>
            </w:r>
          </w:p>
        </w:tc>
      </w:tr>
      <w:tr w:rsidR="00271F89" w:rsidRPr="00037EE3" w:rsidTr="00271F89">
        <w:tc>
          <w:tcPr>
            <w:tcW w:w="5000" w:type="pct"/>
            <w:tcBorders>
              <w:top w:val="single" w:sz="4" w:space="0" w:color="auto"/>
              <w:left w:val="single" w:sz="4" w:space="0" w:color="auto"/>
              <w:bottom w:val="single" w:sz="4" w:space="0" w:color="auto"/>
              <w:right w:val="single" w:sz="4" w:space="0" w:color="auto"/>
            </w:tcBorders>
          </w:tcPr>
          <w:p w:rsidR="00271F89" w:rsidRPr="00037EE3" w:rsidRDefault="00271F89" w:rsidP="00C1582B">
            <w:pPr>
              <w:rPr>
                <w:rFonts w:ascii="Arial Narrow" w:hAnsi="Arial Narrow" w:cs="Arial"/>
                <w:b/>
                <w:sz w:val="18"/>
                <w:szCs w:val="18"/>
              </w:rPr>
            </w:pPr>
            <w:r w:rsidRPr="00037EE3">
              <w:rPr>
                <w:rFonts w:ascii="Arial Narrow" w:hAnsi="Arial Narrow" w:cs="Arial"/>
                <w:b/>
                <w:sz w:val="18"/>
                <w:szCs w:val="18"/>
              </w:rPr>
              <w:t xml:space="preserve">Restriction type / Method: </w:t>
            </w:r>
            <w:r w:rsidRPr="00037EE3">
              <w:rPr>
                <w:rFonts w:ascii="Arial Narrow" w:hAnsi="Arial Narrow" w:cs="Arial"/>
                <w:sz w:val="18"/>
                <w:szCs w:val="18"/>
              </w:rPr>
              <w:fldChar w:fldCharType="begin">
                <w:ffData>
                  <w:name w:val=""/>
                  <w:enabled/>
                  <w:calcOnExit w:val="0"/>
                  <w:checkBox>
                    <w:sizeAuto/>
                    <w:default w:val="1"/>
                  </w:checkBox>
                </w:ffData>
              </w:fldChar>
            </w:r>
            <w:r w:rsidRPr="00037EE3">
              <w:rPr>
                <w:rFonts w:ascii="Arial Narrow" w:hAnsi="Arial Narrow" w:cs="Arial"/>
                <w:sz w:val="18"/>
                <w:szCs w:val="18"/>
              </w:rPr>
              <w:instrText xml:space="preserve"> FORMCHECKBOX </w:instrText>
            </w:r>
            <w:r w:rsidR="00CD28E6">
              <w:rPr>
                <w:rFonts w:ascii="Arial Narrow" w:hAnsi="Arial Narrow" w:cs="Arial"/>
                <w:sz w:val="18"/>
                <w:szCs w:val="18"/>
              </w:rPr>
            </w:r>
            <w:r w:rsidR="00CD28E6">
              <w:rPr>
                <w:rFonts w:ascii="Arial Narrow" w:hAnsi="Arial Narrow" w:cs="Arial"/>
                <w:sz w:val="18"/>
                <w:szCs w:val="18"/>
              </w:rPr>
              <w:fldChar w:fldCharType="separate"/>
            </w:r>
            <w:r w:rsidRPr="00037EE3">
              <w:rPr>
                <w:rFonts w:ascii="Arial Narrow" w:hAnsi="Arial Narrow" w:cs="Arial"/>
                <w:sz w:val="18"/>
                <w:szCs w:val="18"/>
              </w:rPr>
              <w:fldChar w:fldCharType="end"/>
            </w:r>
            <w:r w:rsidRPr="00037EE3">
              <w:rPr>
                <w:rFonts w:ascii="Arial Narrow" w:hAnsi="Arial Narrow" w:cs="Arial"/>
                <w:sz w:val="18"/>
                <w:szCs w:val="18"/>
              </w:rPr>
              <w:t>Authority Required – Streamlined [new code]</w:t>
            </w:r>
          </w:p>
        </w:tc>
      </w:tr>
      <w:tr w:rsidR="00271F89" w:rsidRPr="00037EE3" w:rsidTr="00271F89">
        <w:tc>
          <w:tcPr>
            <w:tcW w:w="5000" w:type="pct"/>
            <w:vAlign w:val="center"/>
          </w:tcPr>
          <w:p w:rsidR="00271F89" w:rsidRPr="00037EE3" w:rsidRDefault="00271F89" w:rsidP="00C1582B">
            <w:pPr>
              <w:rPr>
                <w:rFonts w:ascii="Arial Narrow" w:hAnsi="Arial Narrow"/>
                <w:b/>
                <w:bCs/>
                <w:i/>
                <w:color w:val="333333"/>
                <w:sz w:val="18"/>
                <w:szCs w:val="18"/>
                <w:lang w:eastAsia="en-AU"/>
              </w:rPr>
            </w:pPr>
            <w:r w:rsidRPr="00037EE3">
              <w:rPr>
                <w:rFonts w:ascii="Arial Narrow" w:hAnsi="Arial Narrow"/>
                <w:b/>
                <w:bCs/>
                <w:color w:val="333333"/>
                <w:sz w:val="18"/>
                <w:szCs w:val="18"/>
                <w:lang w:eastAsia="en-AU"/>
              </w:rPr>
              <w:t xml:space="preserve">Condition: </w:t>
            </w:r>
            <w:r w:rsidRPr="00037EE3">
              <w:rPr>
                <w:rFonts w:ascii="Arial Narrow" w:hAnsi="Arial Narrow"/>
                <w:bCs/>
                <w:strike/>
                <w:color w:val="333333"/>
                <w:sz w:val="18"/>
                <w:szCs w:val="18"/>
                <w:lang w:eastAsia="en-AU"/>
              </w:rPr>
              <w:t>Pregnancy</w:t>
            </w:r>
            <w:r w:rsidRPr="00037EE3">
              <w:rPr>
                <w:rFonts w:ascii="Arial Narrow" w:hAnsi="Arial Narrow"/>
                <w:bCs/>
                <w:i/>
                <w:strike/>
                <w:color w:val="333333"/>
                <w:sz w:val="18"/>
                <w:szCs w:val="18"/>
                <w:lang w:eastAsia="en-AU"/>
              </w:rPr>
              <w:t xml:space="preserve"> </w:t>
            </w:r>
            <w:r w:rsidRPr="00037EE3">
              <w:rPr>
                <w:rFonts w:ascii="Arial Narrow" w:hAnsi="Arial Narrow"/>
                <w:bCs/>
                <w:i/>
                <w:color w:val="333333"/>
                <w:sz w:val="18"/>
                <w:szCs w:val="18"/>
                <w:lang w:eastAsia="en-AU"/>
              </w:rPr>
              <w:t>Prevention of preterm birth</w:t>
            </w:r>
          </w:p>
        </w:tc>
      </w:tr>
      <w:tr w:rsidR="00271F89" w:rsidRPr="00037EE3" w:rsidTr="00271F89">
        <w:tc>
          <w:tcPr>
            <w:tcW w:w="5000" w:type="pct"/>
            <w:vAlign w:val="center"/>
            <w:hideMark/>
          </w:tcPr>
          <w:p w:rsidR="00271F89" w:rsidRPr="00037EE3" w:rsidRDefault="00271F89" w:rsidP="00C1582B">
            <w:pPr>
              <w:rPr>
                <w:rFonts w:ascii="Arial Narrow" w:hAnsi="Arial Narrow"/>
                <w:color w:val="333333"/>
                <w:sz w:val="18"/>
                <w:szCs w:val="18"/>
                <w:lang w:eastAsia="en-AU"/>
              </w:rPr>
            </w:pPr>
            <w:r w:rsidRPr="00037EE3">
              <w:rPr>
                <w:rFonts w:ascii="Arial Narrow" w:hAnsi="Arial Narrow"/>
                <w:b/>
                <w:bCs/>
                <w:color w:val="333333"/>
                <w:sz w:val="18"/>
                <w:szCs w:val="18"/>
                <w:lang w:eastAsia="en-AU"/>
              </w:rPr>
              <w:t>Indication:</w:t>
            </w:r>
            <w:r w:rsidRPr="00037EE3">
              <w:rPr>
                <w:rFonts w:ascii="Arial Narrow" w:hAnsi="Arial Narrow"/>
                <w:color w:val="333333"/>
                <w:sz w:val="18"/>
                <w:szCs w:val="18"/>
                <w:lang w:eastAsia="en-AU"/>
              </w:rPr>
              <w:t xml:space="preserve"> </w:t>
            </w:r>
            <w:r w:rsidRPr="00037EE3">
              <w:rPr>
                <w:rFonts w:ascii="Arial Narrow" w:hAnsi="Arial Narrow"/>
                <w:strike/>
                <w:color w:val="333333"/>
                <w:sz w:val="18"/>
                <w:szCs w:val="18"/>
                <w:lang w:eastAsia="en-AU"/>
              </w:rPr>
              <w:t>Support during pregnancy</w:t>
            </w:r>
            <w:r w:rsidRPr="00037EE3">
              <w:rPr>
                <w:rFonts w:eastAsiaTheme="majorEastAsia" w:cstheme="majorBidi"/>
                <w:sz w:val="22"/>
                <w:szCs w:val="22"/>
                <w:lang w:bidi="en-US"/>
              </w:rPr>
              <w:t xml:space="preserve"> </w:t>
            </w:r>
            <w:r w:rsidRPr="00037EE3">
              <w:rPr>
                <w:rFonts w:ascii="Arial Narrow" w:hAnsi="Arial Narrow"/>
                <w:bCs/>
                <w:i/>
                <w:color w:val="333333"/>
                <w:sz w:val="18"/>
                <w:szCs w:val="18"/>
                <w:lang w:eastAsia="en-AU"/>
              </w:rPr>
              <w:t>Prevention of preterm birth</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b/>
                <w:bCs/>
                <w:strike/>
                <w:color w:val="333333"/>
                <w:sz w:val="18"/>
                <w:szCs w:val="18"/>
                <w:lang w:eastAsia="en-AU"/>
              </w:rPr>
              <w:t>Treatment Phase:</w:t>
            </w:r>
            <w:r w:rsidRPr="00037EE3">
              <w:rPr>
                <w:rFonts w:ascii="Arial Narrow" w:hAnsi="Arial Narrow"/>
                <w:strike/>
                <w:color w:val="333333"/>
                <w:sz w:val="18"/>
                <w:szCs w:val="18"/>
                <w:lang w:eastAsia="en-AU"/>
              </w:rPr>
              <w:t xml:space="preserve"> Initial treatment </w:t>
            </w:r>
            <w:r w:rsidRPr="00037EE3">
              <w:rPr>
                <w:rFonts w:ascii="Arial Narrow" w:hAnsi="Arial Narrow"/>
                <w:color w:val="333333"/>
                <w:sz w:val="18"/>
                <w:szCs w:val="18"/>
                <w:lang w:eastAsia="en-AU"/>
              </w:rPr>
              <w:t>[blank]</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b/>
                <w:bCs/>
                <w:strike/>
                <w:color w:val="333333"/>
                <w:sz w:val="18"/>
                <w:szCs w:val="18"/>
                <w:lang w:eastAsia="en-AU"/>
              </w:rPr>
              <w:t>Clinical criteria:</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strike/>
                <w:color w:val="333333"/>
                <w:sz w:val="18"/>
                <w:szCs w:val="18"/>
                <w:lang w:eastAsia="en-AU"/>
              </w:rPr>
              <w:t>Patient must be pregnant</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b/>
                <w:bCs/>
                <w:strike/>
                <w:color w:val="333333"/>
                <w:sz w:val="18"/>
                <w:szCs w:val="18"/>
                <w:lang w:eastAsia="en-AU"/>
              </w:rPr>
              <w:t>AND</w:t>
            </w:r>
          </w:p>
        </w:tc>
      </w:tr>
      <w:tr w:rsidR="00271F89" w:rsidRPr="00037EE3" w:rsidTr="00271F89">
        <w:tc>
          <w:tcPr>
            <w:tcW w:w="5000" w:type="pct"/>
            <w:vAlign w:val="center"/>
            <w:hideMark/>
          </w:tcPr>
          <w:p w:rsidR="00271F89" w:rsidRPr="00037EE3" w:rsidRDefault="00271F89" w:rsidP="00C1582B">
            <w:pPr>
              <w:rPr>
                <w:rFonts w:ascii="Arial Narrow" w:hAnsi="Arial Narrow"/>
                <w:color w:val="333333"/>
                <w:sz w:val="18"/>
                <w:szCs w:val="18"/>
                <w:lang w:eastAsia="en-AU"/>
              </w:rPr>
            </w:pPr>
            <w:r w:rsidRPr="00037EE3">
              <w:rPr>
                <w:rFonts w:ascii="Arial Narrow" w:hAnsi="Arial Narrow"/>
                <w:b/>
                <w:bCs/>
                <w:color w:val="333333"/>
                <w:sz w:val="18"/>
                <w:szCs w:val="18"/>
                <w:lang w:eastAsia="en-AU"/>
              </w:rPr>
              <w:t>Clinical criteria:</w:t>
            </w:r>
          </w:p>
        </w:tc>
      </w:tr>
      <w:tr w:rsidR="00271F89" w:rsidRPr="00037EE3" w:rsidTr="00271F89">
        <w:tc>
          <w:tcPr>
            <w:tcW w:w="5000" w:type="pct"/>
            <w:vAlign w:val="center"/>
            <w:hideMark/>
          </w:tcPr>
          <w:p w:rsidR="00271F89" w:rsidRPr="00037EE3" w:rsidRDefault="00271F89" w:rsidP="00C1582B">
            <w:pPr>
              <w:rPr>
                <w:rFonts w:ascii="Arial Narrow" w:hAnsi="Arial Narrow"/>
                <w:color w:val="333333"/>
                <w:sz w:val="18"/>
                <w:szCs w:val="18"/>
                <w:lang w:eastAsia="en-AU"/>
              </w:rPr>
            </w:pPr>
            <w:r w:rsidRPr="00037EE3">
              <w:rPr>
                <w:rFonts w:ascii="Arial Narrow" w:hAnsi="Arial Narrow"/>
                <w:color w:val="333333"/>
                <w:sz w:val="18"/>
                <w:szCs w:val="18"/>
                <w:lang w:eastAsia="en-AU"/>
              </w:rPr>
              <w:t>Patient must have a singleton pregnancy</w:t>
            </w:r>
          </w:p>
        </w:tc>
      </w:tr>
      <w:tr w:rsidR="00271F89" w:rsidRPr="00037EE3" w:rsidTr="00271F89">
        <w:tc>
          <w:tcPr>
            <w:tcW w:w="5000" w:type="pct"/>
            <w:vAlign w:val="center"/>
            <w:hideMark/>
          </w:tcPr>
          <w:p w:rsidR="00271F89" w:rsidRPr="00037EE3" w:rsidRDefault="00271F89" w:rsidP="00C1582B">
            <w:pPr>
              <w:rPr>
                <w:rFonts w:ascii="Arial Narrow" w:hAnsi="Arial Narrow"/>
                <w:color w:val="333333"/>
                <w:sz w:val="18"/>
                <w:szCs w:val="18"/>
                <w:lang w:eastAsia="en-AU"/>
              </w:rPr>
            </w:pPr>
            <w:r w:rsidRPr="00037EE3">
              <w:rPr>
                <w:rFonts w:ascii="Arial Narrow" w:hAnsi="Arial Narrow"/>
                <w:b/>
                <w:bCs/>
                <w:color w:val="333333"/>
                <w:sz w:val="18"/>
                <w:szCs w:val="18"/>
                <w:lang w:eastAsia="en-AU"/>
              </w:rPr>
              <w:t>AND</w:t>
            </w:r>
          </w:p>
        </w:tc>
      </w:tr>
      <w:tr w:rsidR="00271F89" w:rsidRPr="00037EE3" w:rsidTr="00271F89">
        <w:tc>
          <w:tcPr>
            <w:tcW w:w="5000" w:type="pct"/>
            <w:vAlign w:val="center"/>
            <w:hideMark/>
          </w:tcPr>
          <w:p w:rsidR="00271F89" w:rsidRPr="00037EE3" w:rsidRDefault="00271F89" w:rsidP="00C1582B">
            <w:pPr>
              <w:rPr>
                <w:rFonts w:ascii="Arial Narrow" w:hAnsi="Arial Narrow"/>
                <w:color w:val="333333"/>
                <w:sz w:val="18"/>
                <w:szCs w:val="18"/>
                <w:lang w:eastAsia="en-AU"/>
              </w:rPr>
            </w:pPr>
            <w:r w:rsidRPr="00037EE3">
              <w:rPr>
                <w:rFonts w:ascii="Arial Narrow" w:hAnsi="Arial Narrow"/>
                <w:b/>
                <w:bCs/>
                <w:color w:val="333333"/>
                <w:sz w:val="18"/>
                <w:szCs w:val="18"/>
                <w:lang w:eastAsia="en-AU"/>
              </w:rPr>
              <w:t>Clinical criteria:</w:t>
            </w:r>
          </w:p>
        </w:tc>
      </w:tr>
      <w:tr w:rsidR="00271F89" w:rsidRPr="00037EE3" w:rsidTr="00271F89">
        <w:tc>
          <w:tcPr>
            <w:tcW w:w="5000" w:type="pct"/>
            <w:vAlign w:val="center"/>
            <w:hideMark/>
          </w:tcPr>
          <w:p w:rsidR="00271F89" w:rsidRPr="00037EE3" w:rsidRDefault="00271F89" w:rsidP="00C1582B">
            <w:pPr>
              <w:rPr>
                <w:rFonts w:ascii="Arial Narrow" w:hAnsi="Arial Narrow"/>
                <w:color w:val="333333"/>
                <w:sz w:val="18"/>
                <w:szCs w:val="18"/>
                <w:lang w:eastAsia="en-AU"/>
              </w:rPr>
            </w:pPr>
            <w:r w:rsidRPr="00037EE3">
              <w:rPr>
                <w:rFonts w:ascii="Arial Narrow" w:hAnsi="Arial Narrow"/>
                <w:color w:val="333333"/>
                <w:sz w:val="18"/>
                <w:szCs w:val="18"/>
                <w:lang w:eastAsia="en-AU"/>
              </w:rPr>
              <w:t>Patient must have a short cervix (midtrimester sonographic cervix ≤25 mm)</w:t>
            </w:r>
            <w:r w:rsidRPr="00037EE3">
              <w:rPr>
                <w:rFonts w:ascii="Arial Narrow" w:hAnsi="Arial Narrow"/>
                <w:i/>
                <w:color w:val="333333"/>
                <w:sz w:val="18"/>
                <w:szCs w:val="18"/>
                <w:lang w:eastAsia="en-AU"/>
              </w:rPr>
              <w:t xml:space="preserve">; </w:t>
            </w:r>
            <w:r w:rsidRPr="00037EE3">
              <w:rPr>
                <w:rFonts w:ascii="Arial Narrow" w:hAnsi="Arial Narrow"/>
                <w:i/>
                <w:strike/>
                <w:color w:val="333333"/>
                <w:sz w:val="18"/>
                <w:szCs w:val="18"/>
                <w:lang w:eastAsia="en-AU"/>
              </w:rPr>
              <w:t>and/</w:t>
            </w:r>
            <w:r w:rsidRPr="00037EE3">
              <w:rPr>
                <w:rFonts w:ascii="Arial Narrow" w:hAnsi="Arial Narrow"/>
                <w:i/>
                <w:color w:val="333333"/>
                <w:sz w:val="18"/>
                <w:szCs w:val="18"/>
                <w:lang w:eastAsia="en-AU"/>
              </w:rPr>
              <w:t>or</w:t>
            </w:r>
          </w:p>
        </w:tc>
      </w:tr>
      <w:tr w:rsidR="00271F89" w:rsidRPr="00037EE3" w:rsidTr="00271F89">
        <w:tc>
          <w:tcPr>
            <w:tcW w:w="5000" w:type="pct"/>
            <w:vAlign w:val="center"/>
          </w:tcPr>
          <w:p w:rsidR="00271F89" w:rsidRPr="00037EE3" w:rsidRDefault="00271F89" w:rsidP="00C1582B">
            <w:pPr>
              <w:rPr>
                <w:rFonts w:ascii="Arial Narrow" w:hAnsi="Arial Narrow"/>
                <w:bCs/>
                <w:color w:val="333333"/>
                <w:sz w:val="18"/>
                <w:szCs w:val="18"/>
                <w:lang w:eastAsia="en-AU"/>
              </w:rPr>
            </w:pPr>
            <w:r w:rsidRPr="00037EE3">
              <w:rPr>
                <w:rFonts w:ascii="Arial Narrow" w:hAnsi="Arial Narrow"/>
                <w:bCs/>
                <w:color w:val="333333"/>
                <w:sz w:val="18"/>
                <w:szCs w:val="18"/>
                <w:lang w:eastAsia="en-AU"/>
              </w:rPr>
              <w:t>Patient must have a history of spontaneous preterm birth</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b/>
                <w:bCs/>
                <w:strike/>
                <w:color w:val="333333"/>
                <w:sz w:val="18"/>
                <w:szCs w:val="18"/>
                <w:lang w:eastAsia="en-AU"/>
              </w:rPr>
              <w:t>AND</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b/>
                <w:bCs/>
                <w:strike/>
                <w:color w:val="333333"/>
                <w:sz w:val="18"/>
                <w:szCs w:val="18"/>
                <w:lang w:eastAsia="en-AU"/>
              </w:rPr>
              <w:t>Population criteria:</w:t>
            </w:r>
          </w:p>
        </w:tc>
      </w:tr>
      <w:tr w:rsidR="00271F89" w:rsidRPr="00037EE3" w:rsidTr="00271F89">
        <w:tc>
          <w:tcPr>
            <w:tcW w:w="5000" w:type="pct"/>
            <w:vAlign w:val="center"/>
            <w:hideMark/>
          </w:tcPr>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strike/>
                <w:color w:val="333333"/>
                <w:sz w:val="18"/>
                <w:szCs w:val="18"/>
                <w:lang w:eastAsia="en-AU"/>
              </w:rPr>
              <w:t xml:space="preserve">Female </w:t>
            </w:r>
          </w:p>
        </w:tc>
      </w:tr>
      <w:tr w:rsidR="00271F89" w:rsidRPr="00037EE3" w:rsidTr="00271F89">
        <w:tc>
          <w:tcPr>
            <w:tcW w:w="5000" w:type="pct"/>
            <w:vAlign w:val="center"/>
          </w:tcPr>
          <w:p w:rsidR="00271F89" w:rsidRPr="00037EE3" w:rsidRDefault="00271F89" w:rsidP="00C1582B">
            <w:pPr>
              <w:rPr>
                <w:rFonts w:ascii="Arial Narrow" w:hAnsi="Arial Narrow"/>
                <w:b/>
                <w:i/>
                <w:color w:val="333333"/>
                <w:sz w:val="18"/>
                <w:szCs w:val="18"/>
                <w:lang w:eastAsia="en-AU"/>
              </w:rPr>
            </w:pPr>
            <w:r w:rsidRPr="00037EE3">
              <w:rPr>
                <w:rFonts w:ascii="Arial Narrow" w:hAnsi="Arial Narrow"/>
                <w:b/>
                <w:i/>
                <w:color w:val="333333"/>
                <w:sz w:val="18"/>
                <w:szCs w:val="18"/>
                <w:lang w:eastAsia="en-AU"/>
              </w:rPr>
              <w:t xml:space="preserve">Administrative Advice: </w:t>
            </w:r>
          </w:p>
          <w:p w:rsidR="00271F89" w:rsidRPr="00037EE3" w:rsidRDefault="00271F89" w:rsidP="00C1582B">
            <w:pPr>
              <w:rPr>
                <w:rFonts w:ascii="Arial Narrow" w:hAnsi="Arial Narrow"/>
                <w:strike/>
                <w:color w:val="333333"/>
                <w:sz w:val="18"/>
                <w:szCs w:val="18"/>
                <w:lang w:eastAsia="en-AU"/>
              </w:rPr>
            </w:pPr>
            <w:r w:rsidRPr="00037EE3">
              <w:rPr>
                <w:rFonts w:ascii="Arial Narrow" w:hAnsi="Arial Narrow"/>
                <w:i/>
                <w:color w:val="333333"/>
                <w:sz w:val="18"/>
                <w:szCs w:val="18"/>
                <w:lang w:eastAsia="en-AU"/>
              </w:rPr>
              <w:t>No increase in the maximum quantity or number of units may be authorised.</w:t>
            </w:r>
          </w:p>
        </w:tc>
      </w:tr>
      <w:tr w:rsidR="00271F89" w:rsidRPr="00037EE3" w:rsidTr="00271F89">
        <w:tc>
          <w:tcPr>
            <w:tcW w:w="5000" w:type="pct"/>
            <w:vAlign w:val="center"/>
          </w:tcPr>
          <w:p w:rsidR="00271F89" w:rsidRPr="00037EE3" w:rsidRDefault="00271F89" w:rsidP="00C1582B">
            <w:pPr>
              <w:rPr>
                <w:rFonts w:ascii="Arial Narrow" w:hAnsi="Arial Narrow"/>
                <w:b/>
                <w:i/>
                <w:color w:val="333333"/>
                <w:sz w:val="18"/>
                <w:szCs w:val="18"/>
                <w:lang w:eastAsia="en-AU"/>
              </w:rPr>
            </w:pPr>
            <w:r w:rsidRPr="00037EE3">
              <w:rPr>
                <w:rFonts w:ascii="Arial Narrow" w:hAnsi="Arial Narrow"/>
                <w:b/>
                <w:i/>
                <w:color w:val="333333"/>
                <w:sz w:val="18"/>
                <w:szCs w:val="18"/>
                <w:lang w:eastAsia="en-AU"/>
              </w:rPr>
              <w:t xml:space="preserve">Administrative Advice: </w:t>
            </w:r>
          </w:p>
          <w:p w:rsidR="00271F89" w:rsidRPr="00037EE3" w:rsidRDefault="00271F89" w:rsidP="00C1582B">
            <w:pPr>
              <w:rPr>
                <w:rFonts w:ascii="Arial Narrow" w:hAnsi="Arial Narrow"/>
                <w:i/>
                <w:color w:val="333333"/>
                <w:sz w:val="18"/>
                <w:szCs w:val="18"/>
                <w:lang w:eastAsia="en-AU"/>
              </w:rPr>
            </w:pPr>
            <w:r w:rsidRPr="00037EE3">
              <w:rPr>
                <w:rFonts w:ascii="Arial Narrow" w:hAnsi="Arial Narrow"/>
                <w:i/>
                <w:color w:val="333333"/>
                <w:sz w:val="18"/>
                <w:szCs w:val="18"/>
                <w:lang w:eastAsia="en-AU"/>
              </w:rPr>
              <w:t>No increase in the maximum number of repeats may be authorised.</w:t>
            </w:r>
          </w:p>
        </w:tc>
      </w:tr>
    </w:tbl>
    <w:p w:rsidR="00C85B44" w:rsidRPr="00037EE3" w:rsidRDefault="00C85B44" w:rsidP="00C85B44">
      <w:pPr>
        <w:pStyle w:val="3-BodyText"/>
        <w:numPr>
          <w:ilvl w:val="0"/>
          <w:numId w:val="0"/>
        </w:numPr>
      </w:pPr>
    </w:p>
    <w:p w:rsidR="00353473" w:rsidRPr="00037EE3" w:rsidRDefault="00353473" w:rsidP="004E18E9">
      <w:pPr>
        <w:pStyle w:val="3-BodyText"/>
      </w:pPr>
      <w:r w:rsidRPr="00037EE3">
        <w:t xml:space="preserve">The </w:t>
      </w:r>
      <w:r w:rsidR="00826EF7" w:rsidRPr="00037EE3">
        <w:t xml:space="preserve">proposed </w:t>
      </w:r>
      <w:r w:rsidRPr="00037EE3">
        <w:t xml:space="preserve">maximum quantity of 1 pack of 42 capsules and 3 repeats </w:t>
      </w:r>
      <w:r w:rsidR="00D00B3E" w:rsidRPr="00037EE3">
        <w:t xml:space="preserve">would </w:t>
      </w:r>
      <w:r w:rsidRPr="00037EE3">
        <w:t>allow for the maximum recommended duration of treatment, which is 20 weeks.</w:t>
      </w:r>
      <w:r w:rsidR="00576993" w:rsidRPr="00037EE3">
        <w:t xml:space="preserve"> </w:t>
      </w:r>
      <w:r w:rsidRPr="00037EE3">
        <w:t>Treatment is initiated during the second trimester (16-24 weeks gestation) and is to be continued to the end of gestation.</w:t>
      </w:r>
      <w:r w:rsidR="00576993" w:rsidRPr="00037EE3">
        <w:t xml:space="preserve"> </w:t>
      </w:r>
      <w:r w:rsidRPr="00037EE3">
        <w:rPr>
          <w:iCs/>
        </w:rPr>
        <w:t xml:space="preserve">The requested amount, including the 3 repeats, </w:t>
      </w:r>
      <w:r w:rsidR="00E0141E" w:rsidRPr="00037EE3">
        <w:rPr>
          <w:iCs/>
        </w:rPr>
        <w:t xml:space="preserve">would </w:t>
      </w:r>
      <w:r w:rsidRPr="00037EE3">
        <w:rPr>
          <w:iCs/>
        </w:rPr>
        <w:t>actually provide for 24 weeks of treatment.</w:t>
      </w:r>
      <w:r w:rsidR="00576993" w:rsidRPr="00037EE3">
        <w:t xml:space="preserve"> </w:t>
      </w:r>
      <w:r w:rsidR="00301C2B" w:rsidRPr="00037EE3">
        <w:rPr>
          <w:iCs/>
        </w:rPr>
        <w:t>T</w:t>
      </w:r>
      <w:r w:rsidRPr="00037EE3">
        <w:rPr>
          <w:iCs/>
        </w:rPr>
        <w:t>he product information (PI) state</w:t>
      </w:r>
      <w:r w:rsidR="00E0141E" w:rsidRPr="00037EE3">
        <w:rPr>
          <w:iCs/>
        </w:rPr>
        <w:t>d</w:t>
      </w:r>
      <w:r w:rsidRPr="00037EE3">
        <w:rPr>
          <w:iCs/>
        </w:rPr>
        <w:t xml:space="preserve"> that</w:t>
      </w:r>
      <w:r w:rsidR="00D00B3E" w:rsidRPr="00037EE3">
        <w:rPr>
          <w:iCs/>
        </w:rPr>
        <w:t xml:space="preserve"> the usual dose is 20</w:t>
      </w:r>
      <w:r w:rsidR="00AF08C5" w:rsidRPr="00037EE3">
        <w:rPr>
          <w:iCs/>
        </w:rPr>
        <w:t>0 mg</w:t>
      </w:r>
      <w:r w:rsidR="00D00B3E" w:rsidRPr="00037EE3">
        <w:rPr>
          <w:iCs/>
        </w:rPr>
        <w:t>/day, and that</w:t>
      </w:r>
      <w:r w:rsidRPr="00037EE3">
        <w:rPr>
          <w:iCs/>
        </w:rPr>
        <w:t xml:space="preserve"> treatment is to be continued until the end of the 36</w:t>
      </w:r>
      <w:r w:rsidRPr="00037EE3">
        <w:rPr>
          <w:iCs/>
          <w:vertAlign w:val="superscript"/>
        </w:rPr>
        <w:t>th</w:t>
      </w:r>
      <w:r w:rsidRPr="00037EE3">
        <w:rPr>
          <w:iCs/>
        </w:rPr>
        <w:t xml:space="preserve"> week of gestation or until delivery.</w:t>
      </w:r>
      <w:r w:rsidR="00576993" w:rsidRPr="00037EE3">
        <w:rPr>
          <w:iCs/>
        </w:rPr>
        <w:t xml:space="preserve"> </w:t>
      </w:r>
      <w:r w:rsidRPr="00037EE3">
        <w:rPr>
          <w:iCs/>
        </w:rPr>
        <w:t>Thus, it is possible that treatment could commence at week 16 and continue until week 40.</w:t>
      </w:r>
      <w:r w:rsidR="00576993" w:rsidRPr="00037EE3">
        <w:rPr>
          <w:iCs/>
        </w:rPr>
        <w:t xml:space="preserve"> </w:t>
      </w:r>
    </w:p>
    <w:p w:rsidR="00355CB4" w:rsidRPr="00037EE3" w:rsidRDefault="00355CB4" w:rsidP="00355CB4">
      <w:pPr>
        <w:pStyle w:val="3-BodyText"/>
      </w:pPr>
      <w:r w:rsidRPr="00037EE3">
        <w:rPr>
          <w:iCs/>
        </w:rPr>
        <w:t xml:space="preserve">The PBAC considered progesterone should be initiated after the first trimester of pregnancy (not prior to 16 weeks gestation), and that this should be specified in the restriction. </w:t>
      </w:r>
    </w:p>
    <w:p w:rsidR="00DE3988" w:rsidRPr="00037EE3" w:rsidRDefault="00DE3988" w:rsidP="004E18E9">
      <w:pPr>
        <w:pStyle w:val="3-BodyText"/>
      </w:pPr>
      <w:r w:rsidRPr="00037EE3">
        <w:t xml:space="preserve">The requested restriction </w:t>
      </w:r>
      <w:r w:rsidR="00E0141E" w:rsidRPr="00037EE3">
        <w:t>was</w:t>
      </w:r>
      <w:r w:rsidRPr="00037EE3">
        <w:t xml:space="preserve"> consistent with the approved TGA indication. </w:t>
      </w:r>
    </w:p>
    <w:p w:rsidR="007D5FE4" w:rsidRPr="00037EE3" w:rsidRDefault="007D5FE4" w:rsidP="007D5FE4">
      <w:pPr>
        <w:pStyle w:val="3-BodyText"/>
        <w:numPr>
          <w:ilvl w:val="0"/>
          <w:numId w:val="0"/>
        </w:numPr>
        <w:ind w:left="720"/>
        <w:rPr>
          <w:i/>
        </w:rPr>
      </w:pPr>
      <w:r w:rsidRPr="00037EE3">
        <w:rPr>
          <w:i/>
        </w:rPr>
        <w:t>For more detail on PBAC’s view, see section 7 PBAC outcome.</w:t>
      </w:r>
    </w:p>
    <w:p w:rsidR="00B50DB8" w:rsidRPr="00037EE3" w:rsidRDefault="00203181" w:rsidP="004E18E9">
      <w:pPr>
        <w:pStyle w:val="2-SectionHeading"/>
      </w:pPr>
      <w:bookmarkStart w:id="6" w:name="_Toc50936078"/>
      <w:r w:rsidRPr="00037EE3">
        <w:lastRenderedPageBreak/>
        <w:t xml:space="preserve">Population and </w:t>
      </w:r>
      <w:r w:rsidR="008E0D3C" w:rsidRPr="00037EE3">
        <w:t>d</w:t>
      </w:r>
      <w:r w:rsidRPr="00037EE3">
        <w:t>isease</w:t>
      </w:r>
      <w:bookmarkEnd w:id="6"/>
    </w:p>
    <w:p w:rsidR="00FA33F5" w:rsidRPr="00037EE3" w:rsidRDefault="00FA33F5" w:rsidP="004E18E9">
      <w:pPr>
        <w:pStyle w:val="3-BodyText"/>
      </w:pPr>
      <w:r w:rsidRPr="00037EE3">
        <w:t>The submission st</w:t>
      </w:r>
      <w:r w:rsidR="003D3737" w:rsidRPr="00037EE3">
        <w:t>ated (p15) that preterm birth was</w:t>
      </w:r>
      <w:r w:rsidRPr="00037EE3">
        <w:t xml:space="preserve"> the single greatest cause of death and disability in children up to 5 years of age in the developed world.</w:t>
      </w:r>
      <w:r w:rsidR="00576993" w:rsidRPr="00037EE3">
        <w:t xml:space="preserve"> </w:t>
      </w:r>
      <w:r w:rsidRPr="00037EE3">
        <w:t xml:space="preserve">The submission indicated that based on 2018 </w:t>
      </w:r>
      <w:r w:rsidR="00D00B3E" w:rsidRPr="00037EE3">
        <w:t>Australian Institute of Health and Welfare (</w:t>
      </w:r>
      <w:r w:rsidRPr="00037EE3">
        <w:t>AIHW</w:t>
      </w:r>
      <w:r w:rsidR="00D00B3E" w:rsidRPr="00037EE3">
        <w:t>)</w:t>
      </w:r>
      <w:r w:rsidRPr="00037EE3">
        <w:t xml:space="preserve"> data</w:t>
      </w:r>
      <w:r w:rsidR="00D00B3E" w:rsidRPr="00037EE3">
        <w:t>:</w:t>
      </w:r>
      <w:r w:rsidRPr="00037EE3">
        <w:t xml:space="preserve"> sp</w:t>
      </w:r>
      <w:r w:rsidR="003D3737" w:rsidRPr="00037EE3">
        <w:t>ontaneous preterm birth accounted</w:t>
      </w:r>
      <w:r w:rsidRPr="00037EE3">
        <w:t xml:space="preserve"> for around 14% of perinatal deaths in Australia</w:t>
      </w:r>
      <w:r w:rsidR="00D00B3E" w:rsidRPr="00037EE3">
        <w:t>; and</w:t>
      </w:r>
      <w:r w:rsidRPr="00037EE3">
        <w:t xml:space="preserve"> infants born prior to 32 weeks gestation </w:t>
      </w:r>
      <w:r w:rsidR="003D3737" w:rsidRPr="00037EE3">
        <w:t>were</w:t>
      </w:r>
      <w:r w:rsidRPr="00037EE3">
        <w:t xml:space="preserve"> at increased risk of complications in infancy and contribute</w:t>
      </w:r>
      <w:r w:rsidR="003D3737" w:rsidRPr="00037EE3">
        <w:t>d</w:t>
      </w:r>
      <w:r w:rsidRPr="00037EE3">
        <w:t xml:space="preserve"> to more than 50% of all perinatal mortality.</w:t>
      </w:r>
      <w:r w:rsidR="00576993" w:rsidRPr="00037EE3">
        <w:t xml:space="preserve"> </w:t>
      </w:r>
      <w:r w:rsidRPr="00037EE3">
        <w:t>The submi</w:t>
      </w:r>
      <w:r w:rsidR="003D3737" w:rsidRPr="00037EE3">
        <w:t>ssion added that preterm birth wa</w:t>
      </w:r>
      <w:r w:rsidRPr="00037EE3">
        <w:t>s associated with long-term neurological disability, admission to neonatal intensive care, severe morbidity in the first weeks of life, prolonged hospital stay after birth, readmission to hospital in the first year of life and increased risk of chronic lung disease. These latter claims were sourced from the World Health Organization (WHO) as part of a global report on preterm birth (2012).</w:t>
      </w:r>
      <w:r w:rsidR="006A7E10" w:rsidRPr="00037EE3">
        <w:t xml:space="preserve"> The ESC acknowledged the risk factors of previous spontaneous pre-term birth and a short cervix on ultrasound, in line with the restriction criteria, and also identified additional risk factors of smoking, Aboriginal</w:t>
      </w:r>
      <w:r w:rsidR="00EB253B" w:rsidRPr="00037EE3">
        <w:t xml:space="preserve"> and </w:t>
      </w:r>
      <w:r w:rsidR="006A7E10" w:rsidRPr="00037EE3">
        <w:t>Torres Strait Islander descent and lack of support/socio-economic disadvantage.</w:t>
      </w:r>
    </w:p>
    <w:p w:rsidR="00AF1772" w:rsidRPr="00037EE3" w:rsidRDefault="00AF1772" w:rsidP="004E18E9">
      <w:pPr>
        <w:pStyle w:val="3-BodyText"/>
      </w:pPr>
      <w:r w:rsidRPr="00037EE3">
        <w:t>The submission cited Royal Australia and New Zealand College of Obstetricians and Gynaecologists (RANZCOG) clinical guidelines and stated that all Australian and most international guidelines recommend the use of progesterone for prevention of preterm birth.</w:t>
      </w:r>
      <w:r w:rsidR="00576993" w:rsidRPr="00037EE3">
        <w:t xml:space="preserve"> </w:t>
      </w:r>
      <w:r w:rsidRPr="00037EE3">
        <w:t xml:space="preserve">The submission stated (p16) that Australian </w:t>
      </w:r>
      <w:r w:rsidR="00D00B3E" w:rsidRPr="00037EE3">
        <w:t xml:space="preserve">Department of </w:t>
      </w:r>
      <w:r w:rsidRPr="00037EE3">
        <w:t>Health recommendations include</w:t>
      </w:r>
      <w:r w:rsidR="003D3737" w:rsidRPr="00037EE3">
        <w:t>d</w:t>
      </w:r>
      <w:r w:rsidRPr="00037EE3">
        <w:t xml:space="preserve"> progesterone under its Pregnancy Guidelines, and lack of PBS a</w:t>
      </w:r>
      <w:r w:rsidR="003D3737" w:rsidRPr="00037EE3">
        <w:t>ccess for all women was</w:t>
      </w:r>
      <w:r w:rsidRPr="00037EE3">
        <w:t xml:space="preserve"> at odds with</w:t>
      </w:r>
      <w:r w:rsidR="003D3737" w:rsidRPr="00037EE3">
        <w:t xml:space="preserve"> this recommendation and resulted</w:t>
      </w:r>
      <w:r w:rsidRPr="00037EE3">
        <w:t xml:space="preserve"> in inequity of access to treatment.</w:t>
      </w:r>
      <w:r w:rsidR="00F600C3" w:rsidRPr="00037EE3">
        <w:t xml:space="preserve"> The </w:t>
      </w:r>
      <w:r w:rsidR="008A31D7" w:rsidRPr="00037EE3">
        <w:t xml:space="preserve">PBAC </w:t>
      </w:r>
      <w:r w:rsidR="00F600C3" w:rsidRPr="00037EE3">
        <w:t>noted that a large number of clinical guidelines support</w:t>
      </w:r>
      <w:r w:rsidR="003D3737" w:rsidRPr="00037EE3">
        <w:t>ed</w:t>
      </w:r>
      <w:r w:rsidR="00F600C3" w:rsidRPr="00037EE3">
        <w:t xml:space="preserve"> the use of progesterone for prevention of preterm birth in the proposed PBS population</w:t>
      </w:r>
      <w:r w:rsidR="00E0141E" w:rsidRPr="00037EE3">
        <w:t xml:space="preserve">, including the </w:t>
      </w:r>
      <w:r w:rsidR="008A31D7" w:rsidRPr="00037EE3">
        <w:t>NICE guidelines</w:t>
      </w:r>
      <w:r w:rsidR="00EA5F3D" w:rsidRPr="00037EE3">
        <w:t xml:space="preserve"> on preterm labour and birth</w:t>
      </w:r>
      <w:r w:rsidR="00EA5F3D" w:rsidRPr="00037EE3">
        <w:rPr>
          <w:rStyle w:val="FootnoteReference"/>
        </w:rPr>
        <w:footnoteReference w:id="1"/>
      </w:r>
      <w:r w:rsidR="00EA5F3D" w:rsidRPr="00037EE3">
        <w:t>.</w:t>
      </w:r>
    </w:p>
    <w:p w:rsidR="00AF1772" w:rsidRPr="00037EE3" w:rsidRDefault="00AF1772" w:rsidP="004E18E9">
      <w:pPr>
        <w:pStyle w:val="3-BodyText"/>
      </w:pPr>
      <w:r w:rsidRPr="00037EE3">
        <w:t>The submission also noted that prevention of preterm birth in Aboriginal and Torres Strait Islander (Indigenous) families is a major public health priority in Australia and noted that based on 2014 AIHW data, approximately 14% of babies of indigenous mothers were born preterm,</w:t>
      </w:r>
      <w:r w:rsidR="00576993" w:rsidRPr="00037EE3">
        <w:t xml:space="preserve"> </w:t>
      </w:r>
      <w:r w:rsidRPr="00037EE3">
        <w:t>compared to 8% of babies of non-indigenous mothers.</w:t>
      </w:r>
      <w:r w:rsidR="00576993" w:rsidRPr="00037EE3">
        <w:t xml:space="preserve"> </w:t>
      </w:r>
      <w:r w:rsidRPr="00037EE3">
        <w:rPr>
          <w:rFonts w:cs="Segoe UI"/>
          <w:shd w:val="clear" w:color="auto" w:fill="FFFFFF"/>
        </w:rPr>
        <w:t>The submission cited Newnham (2020), which indicated that</w:t>
      </w:r>
      <w:r w:rsidR="00D44EBB" w:rsidRPr="00037EE3">
        <w:rPr>
          <w:rFonts w:cs="Segoe UI"/>
          <w:shd w:val="clear" w:color="auto" w:fill="FFFFFF"/>
        </w:rPr>
        <w:t xml:space="preserve"> </w:t>
      </w:r>
      <w:r w:rsidR="00C975B1" w:rsidRPr="00037EE3">
        <w:rPr>
          <w:rFonts w:cs="Segoe UI"/>
          <w:shd w:val="clear" w:color="auto" w:fill="FFFFFF"/>
        </w:rPr>
        <w:t xml:space="preserve">a suite of </w:t>
      </w:r>
      <w:r w:rsidRPr="00037EE3">
        <w:rPr>
          <w:rFonts w:cs="Segoe UI"/>
          <w:shd w:val="clear" w:color="auto" w:fill="FFFFFF"/>
        </w:rPr>
        <w:t>interventions including progesterone resulted in a significant reduction in preterm birth rates in women in the Kimberley region classified as low risk.</w:t>
      </w:r>
      <w:r w:rsidR="00576993" w:rsidRPr="00037EE3">
        <w:rPr>
          <w:rFonts w:cs="Segoe UI"/>
          <w:shd w:val="clear" w:color="auto" w:fill="FFFFFF"/>
        </w:rPr>
        <w:t xml:space="preserve"> </w:t>
      </w:r>
      <w:r w:rsidRPr="00037EE3">
        <w:rPr>
          <w:rFonts w:cs="Segoe UI"/>
          <w:iCs/>
          <w:shd w:val="clear" w:color="auto" w:fill="FFFFFF"/>
        </w:rPr>
        <w:t>While the Newnham (2020) paper indicated that high and low risk was based on maternal characteristics including age, ethnicity, smoking, socioeconomic status, medical conditions and obstetric history, no information was provided as to the definition of low risk that was used.</w:t>
      </w:r>
      <w:r w:rsidR="00576993" w:rsidRPr="00037EE3">
        <w:rPr>
          <w:rFonts w:cs="Segoe UI"/>
          <w:shd w:val="clear" w:color="auto" w:fill="FFFFFF"/>
        </w:rPr>
        <w:t xml:space="preserve"> </w:t>
      </w:r>
      <w:r w:rsidRPr="00037EE3">
        <w:rPr>
          <w:rFonts w:cs="Segoe UI"/>
          <w:iCs/>
          <w:shd w:val="clear" w:color="auto" w:fill="FFFFFF"/>
        </w:rPr>
        <w:t xml:space="preserve">The Newnham (2020) paper also indicated there was no advantage </w:t>
      </w:r>
      <w:r w:rsidRPr="00037EE3">
        <w:rPr>
          <w:rFonts w:cs="Segoe UI"/>
          <w:iCs/>
          <w:shd w:val="clear" w:color="auto" w:fill="FFFFFF"/>
        </w:rPr>
        <w:lastRenderedPageBreak/>
        <w:t>observed for women at high risk.</w:t>
      </w:r>
      <w:r w:rsidR="00576993" w:rsidRPr="00037EE3">
        <w:rPr>
          <w:rFonts w:cs="Segoe UI"/>
          <w:iCs/>
          <w:shd w:val="clear" w:color="auto" w:fill="FFFFFF"/>
        </w:rPr>
        <w:t xml:space="preserve"> </w:t>
      </w:r>
      <w:r w:rsidRPr="00037EE3">
        <w:rPr>
          <w:rFonts w:cs="Segoe UI"/>
          <w:iCs/>
          <w:shd w:val="clear" w:color="auto" w:fill="FFFFFF"/>
        </w:rPr>
        <w:t>Thus, the applicability of the benefit cited by the submission t</w:t>
      </w:r>
      <w:r w:rsidR="003D3737" w:rsidRPr="00037EE3">
        <w:rPr>
          <w:rFonts w:cs="Segoe UI"/>
          <w:iCs/>
          <w:shd w:val="clear" w:color="auto" w:fill="FFFFFF"/>
        </w:rPr>
        <w:t>o the proposed PBS population was</w:t>
      </w:r>
      <w:r w:rsidRPr="00037EE3">
        <w:rPr>
          <w:rFonts w:cs="Segoe UI"/>
          <w:iCs/>
          <w:shd w:val="clear" w:color="auto" w:fill="FFFFFF"/>
        </w:rPr>
        <w:t xml:space="preserve"> not clear.</w:t>
      </w:r>
    </w:p>
    <w:p w:rsidR="007D5FE4" w:rsidRPr="00037EE3" w:rsidRDefault="007D5FE4" w:rsidP="007D5FE4">
      <w:pPr>
        <w:pStyle w:val="3-BodyText"/>
        <w:numPr>
          <w:ilvl w:val="0"/>
          <w:numId w:val="0"/>
        </w:numPr>
        <w:ind w:left="720"/>
        <w:rPr>
          <w:i/>
        </w:rPr>
      </w:pPr>
      <w:r w:rsidRPr="00037EE3">
        <w:rPr>
          <w:i/>
        </w:rPr>
        <w:t>For more detail on PBAC’s view, see section 7 PBAC outcome.</w:t>
      </w:r>
    </w:p>
    <w:p w:rsidR="00B50DB8" w:rsidRPr="00037EE3" w:rsidRDefault="00B50DB8" w:rsidP="004E18E9">
      <w:pPr>
        <w:pStyle w:val="2-SectionHeading"/>
      </w:pPr>
      <w:bookmarkStart w:id="7" w:name="_Toc50936079"/>
      <w:r w:rsidRPr="00037EE3">
        <w:t>Comparator</w:t>
      </w:r>
      <w:bookmarkEnd w:id="7"/>
    </w:p>
    <w:p w:rsidR="00AF1772" w:rsidRPr="00037EE3" w:rsidRDefault="00AF1772" w:rsidP="00882E3C">
      <w:pPr>
        <w:pStyle w:val="3-BodyText"/>
        <w:rPr>
          <w:snapToGrid/>
        </w:rPr>
      </w:pPr>
      <w:r w:rsidRPr="00037EE3">
        <w:t>The submission nominated standard of care (SOC) as the main comparator.</w:t>
      </w:r>
      <w:r w:rsidR="00576993" w:rsidRPr="00037EE3">
        <w:t xml:space="preserve"> </w:t>
      </w:r>
      <w:r w:rsidRPr="00037EE3">
        <w:t>The main reason for the nomination of SOC as the comparator was that there was no other treatment on the PBS for the</w:t>
      </w:r>
      <w:r w:rsidR="003D3737" w:rsidRPr="00037EE3">
        <w:t xml:space="preserve"> proposed indication, and SOC was</w:t>
      </w:r>
      <w:r w:rsidRPr="00037EE3">
        <w:t xml:space="preserve"> in line with Australian guidelines</w:t>
      </w:r>
      <w:r w:rsidR="000B1013" w:rsidRPr="00037EE3">
        <w:t xml:space="preserve"> and</w:t>
      </w:r>
      <w:r w:rsidR="00133992" w:rsidRPr="00037EE3">
        <w:t xml:space="preserve"> </w:t>
      </w:r>
      <w:r w:rsidRPr="00037EE3">
        <w:t>Australian clinical practice</w:t>
      </w:r>
      <w:r w:rsidR="00287744" w:rsidRPr="00037EE3">
        <w:t xml:space="preserve">. </w:t>
      </w:r>
    </w:p>
    <w:p w:rsidR="00200DB0" w:rsidRPr="00037EE3" w:rsidRDefault="00200DB0" w:rsidP="00882E3C">
      <w:pPr>
        <w:pStyle w:val="3-BodyText"/>
        <w:rPr>
          <w:snapToGrid/>
        </w:rPr>
      </w:pPr>
      <w:r w:rsidRPr="00037EE3">
        <w:rPr>
          <w:iCs/>
        </w:rPr>
        <w:t>The submission included cervical cerclage as an example of SOC, but did not further justify the inclusion of this surgical procedure.</w:t>
      </w:r>
      <w:r w:rsidR="00576993" w:rsidRPr="00037EE3">
        <w:rPr>
          <w:iCs/>
        </w:rPr>
        <w:t xml:space="preserve"> </w:t>
      </w:r>
      <w:r w:rsidRPr="00037EE3">
        <w:t>Current guidelines appear to suggest that cervical cerclage can be used where there is both a history of preterm birth and a short cervix</w:t>
      </w:r>
      <w:r w:rsidR="007D7BAE" w:rsidRPr="00037EE3">
        <w:t xml:space="preserve">, and the ESC considered that it is </w:t>
      </w:r>
      <w:r w:rsidR="004A7A16" w:rsidRPr="00037EE3">
        <w:t>especially</w:t>
      </w:r>
      <w:r w:rsidR="007D7BAE" w:rsidRPr="00037EE3">
        <w:t xml:space="preserve"> useful with progressive cervical shortening</w:t>
      </w:r>
      <w:r w:rsidRPr="00037EE3">
        <w:t>; therefore, cervical cerclage would be appropriate for a proportion of the proposed PBS population.</w:t>
      </w:r>
      <w:r w:rsidR="00D44EBB" w:rsidRPr="00037EE3">
        <w:t xml:space="preserve"> </w:t>
      </w:r>
      <w:r w:rsidR="007D7BAE" w:rsidRPr="00037EE3">
        <w:rPr>
          <w:rFonts w:cstheme="minorHAnsi"/>
        </w:rPr>
        <w:t>The ESC noted that Western Australian clinical guidelines indicate that cervical cerclage may be used as part of a stepped approach</w:t>
      </w:r>
      <w:r w:rsidR="00693859" w:rsidRPr="00037EE3">
        <w:rPr>
          <w:rFonts w:cstheme="minorHAnsi"/>
        </w:rPr>
        <w:t xml:space="preserve"> with or without progesterone</w:t>
      </w:r>
      <w:r w:rsidR="007D7BAE" w:rsidRPr="00037EE3">
        <w:rPr>
          <w:rFonts w:cstheme="minorHAnsi"/>
        </w:rPr>
        <w:t>.</w:t>
      </w:r>
    </w:p>
    <w:p w:rsidR="00CB59D8" w:rsidRPr="00037EE3" w:rsidRDefault="00BE3811" w:rsidP="00CB59D8">
      <w:pPr>
        <w:pStyle w:val="3-BodyText"/>
        <w:rPr>
          <w:rFonts w:ascii="Calibri" w:hAnsi="Calibri" w:cs="Calibri"/>
          <w:b/>
        </w:rPr>
      </w:pPr>
      <w:r w:rsidRPr="00037EE3">
        <w:rPr>
          <w:rFonts w:ascii="Calibri" w:hAnsi="Calibri" w:cs="Calibri"/>
        </w:rPr>
        <w:t>The submission identified Oripro</w:t>
      </w:r>
      <w:r w:rsidR="00287744" w:rsidRPr="00037EE3">
        <w:rPr>
          <w:rFonts w:ascii="Calibri" w:hAnsi="Calibri" w:cs="Calibri"/>
        </w:rPr>
        <w:t>® (progesterone)</w:t>
      </w:r>
      <w:r w:rsidR="003A4B7B" w:rsidRPr="00037EE3">
        <w:rPr>
          <w:rFonts w:ascii="Calibri" w:hAnsi="Calibri" w:cs="Calibri"/>
        </w:rPr>
        <w:t xml:space="preserve"> </w:t>
      </w:r>
      <w:r w:rsidR="00287744" w:rsidRPr="00037EE3">
        <w:rPr>
          <w:rFonts w:ascii="Calibri" w:hAnsi="Calibri" w:cs="Calibri"/>
        </w:rPr>
        <w:t xml:space="preserve">as a near market comparator. </w:t>
      </w:r>
      <w:r w:rsidRPr="00037EE3">
        <w:rPr>
          <w:rFonts w:ascii="Calibri" w:hAnsi="Calibri" w:cs="Calibri"/>
        </w:rPr>
        <w:t>The submission stated (p22) that the trials used to gain TGA approval for Oripro were not s</w:t>
      </w:r>
      <w:r w:rsidR="00287744" w:rsidRPr="00037EE3">
        <w:rPr>
          <w:rFonts w:ascii="Calibri" w:hAnsi="Calibri" w:cs="Calibri"/>
        </w:rPr>
        <w:t xml:space="preserve">pecific to Oripro. </w:t>
      </w:r>
      <w:r w:rsidRPr="00037EE3">
        <w:rPr>
          <w:rFonts w:ascii="Calibri" w:hAnsi="Calibri" w:cs="Calibri"/>
        </w:rPr>
        <w:t>The submission provided no further discussion of Oripro</w:t>
      </w:r>
      <w:r w:rsidR="003A4910" w:rsidRPr="00037EE3">
        <w:rPr>
          <w:rFonts w:ascii="Calibri" w:hAnsi="Calibri" w:cs="Calibri"/>
        </w:rPr>
        <w:t xml:space="preserve"> </w:t>
      </w:r>
      <w:r w:rsidRPr="00037EE3">
        <w:rPr>
          <w:rFonts w:ascii="Calibri" w:hAnsi="Calibri" w:cs="Calibri"/>
        </w:rPr>
        <w:t>as a near market comparator.</w:t>
      </w:r>
      <w:r w:rsidR="00576993" w:rsidRPr="00037EE3">
        <w:rPr>
          <w:rFonts w:ascii="Calibri" w:hAnsi="Calibri" w:cs="Calibri"/>
        </w:rPr>
        <w:t xml:space="preserve"> </w:t>
      </w:r>
      <w:r w:rsidR="00C73328" w:rsidRPr="00037EE3">
        <w:rPr>
          <w:rFonts w:ascii="Calibri" w:hAnsi="Calibri" w:cs="Calibri"/>
        </w:rPr>
        <w:t xml:space="preserve">Oripro </w:t>
      </w:r>
      <w:r w:rsidR="00355CB4" w:rsidRPr="00037EE3">
        <w:rPr>
          <w:rFonts w:ascii="Calibri" w:hAnsi="Calibri" w:cs="Calibri"/>
        </w:rPr>
        <w:t xml:space="preserve">was </w:t>
      </w:r>
      <w:r w:rsidR="00C73328" w:rsidRPr="00037EE3">
        <w:rPr>
          <w:rFonts w:ascii="Calibri" w:hAnsi="Calibri" w:cs="Calibri"/>
        </w:rPr>
        <w:t>also considered at the November 2020 PBAC Meeting</w:t>
      </w:r>
      <w:r w:rsidR="00550A04" w:rsidRPr="00037EE3">
        <w:rPr>
          <w:rFonts w:ascii="Calibri" w:hAnsi="Calibri" w:cs="Calibri"/>
        </w:rPr>
        <w:t xml:space="preserve"> for the same PBS population</w:t>
      </w:r>
      <w:r w:rsidR="00C73328" w:rsidRPr="00037EE3">
        <w:rPr>
          <w:rFonts w:ascii="Calibri" w:hAnsi="Calibri" w:cs="Calibri"/>
        </w:rPr>
        <w:t>.</w:t>
      </w:r>
      <w:r w:rsidR="00576993" w:rsidRPr="00037EE3">
        <w:rPr>
          <w:rFonts w:ascii="Calibri" w:hAnsi="Calibri" w:cs="Calibri"/>
        </w:rPr>
        <w:t xml:space="preserve"> </w:t>
      </w:r>
      <w:bookmarkStart w:id="8" w:name="_Toc22897640"/>
    </w:p>
    <w:p w:rsidR="007D5FE4" w:rsidRPr="00037EE3" w:rsidRDefault="007D5FE4" w:rsidP="00CF1FF9">
      <w:pPr>
        <w:pStyle w:val="3-BodyText"/>
        <w:numPr>
          <w:ilvl w:val="0"/>
          <w:numId w:val="0"/>
        </w:numPr>
        <w:ind w:left="862"/>
        <w:rPr>
          <w:i/>
        </w:rPr>
      </w:pPr>
      <w:r w:rsidRPr="00037EE3">
        <w:rPr>
          <w:i/>
        </w:rPr>
        <w:t>For more detail on PBAC’s view, see section 7 PBAC outcome.</w:t>
      </w:r>
    </w:p>
    <w:p w:rsidR="00223D5A" w:rsidRPr="00037EE3" w:rsidRDefault="00223D5A" w:rsidP="003A4910">
      <w:pPr>
        <w:pStyle w:val="2-SectionHeading"/>
      </w:pPr>
      <w:bookmarkStart w:id="9" w:name="_Toc50936080"/>
      <w:r w:rsidRPr="00037EE3">
        <w:t>Consideration of the evidence</w:t>
      </w:r>
      <w:bookmarkEnd w:id="9"/>
    </w:p>
    <w:bookmarkEnd w:id="8"/>
    <w:p w:rsidR="00D96998" w:rsidRPr="00037EE3" w:rsidRDefault="00D96998" w:rsidP="007F53AD">
      <w:pPr>
        <w:pStyle w:val="4-SubsectionHeading"/>
      </w:pPr>
      <w:r w:rsidRPr="00037EE3">
        <w:t>Sponsor hearing</w:t>
      </w:r>
    </w:p>
    <w:p w:rsidR="008D4427" w:rsidRPr="00F777AE" w:rsidRDefault="00192315" w:rsidP="00F777AE">
      <w:pPr>
        <w:widowControl w:val="0"/>
        <w:numPr>
          <w:ilvl w:val="1"/>
          <w:numId w:val="1"/>
        </w:numPr>
        <w:spacing w:after="120"/>
        <w:ind w:left="720"/>
        <w:rPr>
          <w:rFonts w:asciiTheme="minorHAnsi" w:hAnsiTheme="minorHAnsi" w:cs="Arial"/>
          <w:bCs/>
          <w:snapToGrid w:val="0"/>
        </w:rPr>
      </w:pPr>
      <w:r w:rsidRPr="00525B39">
        <w:rPr>
          <w:rFonts w:asciiTheme="minorHAnsi" w:hAnsiTheme="minorHAnsi" w:cs="Arial"/>
          <w:bCs/>
          <w:snapToGrid w:val="0"/>
        </w:rPr>
        <w:t>The sponsor requ</w:t>
      </w:r>
      <w:r>
        <w:rPr>
          <w:rFonts w:asciiTheme="minorHAnsi" w:hAnsiTheme="minorHAnsi" w:cs="Arial"/>
          <w:bCs/>
          <w:snapToGrid w:val="0"/>
        </w:rPr>
        <w:t xml:space="preserve">ested a hearing for this item. </w:t>
      </w:r>
      <w:r w:rsidR="008D4427" w:rsidRPr="00F777AE">
        <w:rPr>
          <w:rFonts w:asciiTheme="minorHAnsi" w:hAnsiTheme="minorHAnsi" w:cs="Arial"/>
          <w:bCs/>
          <w:snapToGrid w:val="0"/>
        </w:rPr>
        <w:t>The clinician discussed the clinical evidence available to support the effectiveness of progesterone in preventing pre-term birth, and presented information about the use of progesterone in practice.</w:t>
      </w:r>
    </w:p>
    <w:p w:rsidR="00F777AE" w:rsidRDefault="00F777AE" w:rsidP="00F777AE">
      <w:pPr>
        <w:widowControl w:val="0"/>
        <w:numPr>
          <w:ilvl w:val="1"/>
          <w:numId w:val="1"/>
        </w:numPr>
        <w:spacing w:after="120"/>
        <w:ind w:left="720"/>
        <w:rPr>
          <w:rFonts w:asciiTheme="minorHAnsi" w:hAnsiTheme="minorHAnsi" w:cs="Arial"/>
          <w:bCs/>
          <w:snapToGrid w:val="0"/>
        </w:rPr>
      </w:pPr>
      <w:r w:rsidRPr="00525B39">
        <w:rPr>
          <w:rFonts w:asciiTheme="minorHAnsi" w:hAnsiTheme="minorHAnsi" w:cs="Arial"/>
          <w:bCs/>
          <w:snapToGrid w:val="0"/>
        </w:rPr>
        <w:t>The PBAC considered that the hearing was informative as it provided a clinical perspective on</w:t>
      </w:r>
      <w:r>
        <w:rPr>
          <w:rFonts w:asciiTheme="minorHAnsi" w:hAnsiTheme="minorHAnsi" w:cs="Arial"/>
          <w:bCs/>
          <w:snapToGrid w:val="0"/>
        </w:rPr>
        <w:t xml:space="preserve"> preventing pre-term birth</w:t>
      </w:r>
      <w:r w:rsidRPr="00525B39">
        <w:rPr>
          <w:rFonts w:asciiTheme="minorHAnsi" w:hAnsiTheme="minorHAnsi" w:cs="Arial"/>
          <w:bCs/>
          <w:snapToGrid w:val="0"/>
        </w:rPr>
        <w:t>.</w:t>
      </w:r>
    </w:p>
    <w:p w:rsidR="00192315" w:rsidRPr="00525B39" w:rsidRDefault="00192315" w:rsidP="00192315">
      <w:pPr>
        <w:widowControl w:val="0"/>
        <w:numPr>
          <w:ilvl w:val="1"/>
          <w:numId w:val="1"/>
        </w:numPr>
        <w:spacing w:after="120"/>
        <w:ind w:left="720"/>
        <w:rPr>
          <w:rFonts w:asciiTheme="minorHAnsi" w:hAnsiTheme="minorHAnsi" w:cs="Arial"/>
          <w:bCs/>
          <w:snapToGrid w:val="0"/>
        </w:rPr>
      </w:pPr>
      <w:r>
        <w:rPr>
          <w:rFonts w:asciiTheme="minorHAnsi" w:hAnsiTheme="minorHAnsi" w:cs="Arial"/>
          <w:bCs/>
          <w:snapToGrid w:val="0"/>
        </w:rPr>
        <w:t>The PBAC noted that the clinician referred to prevent</w:t>
      </w:r>
      <w:r w:rsidR="008D4427">
        <w:rPr>
          <w:rFonts w:asciiTheme="minorHAnsi" w:hAnsiTheme="minorHAnsi" w:cs="Arial"/>
          <w:bCs/>
          <w:snapToGrid w:val="0"/>
        </w:rPr>
        <w:t>ion of</w:t>
      </w:r>
      <w:r>
        <w:rPr>
          <w:rFonts w:asciiTheme="minorHAnsi" w:hAnsiTheme="minorHAnsi" w:cs="Arial"/>
          <w:bCs/>
          <w:snapToGrid w:val="0"/>
        </w:rPr>
        <w:t xml:space="preserve"> miscarriage in women with a history of repeated miscarriage, although this indication does not fall within the requested population. </w:t>
      </w:r>
    </w:p>
    <w:p w:rsidR="00D96998" w:rsidRPr="00037EE3" w:rsidRDefault="00D96998" w:rsidP="007F53AD">
      <w:pPr>
        <w:pStyle w:val="4-SubsectionHeading"/>
      </w:pPr>
      <w:r w:rsidRPr="00037EE3">
        <w:t>Consumer comments</w:t>
      </w:r>
    </w:p>
    <w:p w:rsidR="00D96998" w:rsidRDefault="00D96998" w:rsidP="00CF1FF9">
      <w:pPr>
        <w:pStyle w:val="3-BodyText"/>
        <w:ind w:left="709" w:hanging="709"/>
        <w:rPr>
          <w:bCs/>
        </w:rPr>
      </w:pPr>
      <w:r w:rsidRPr="00037EE3">
        <w:rPr>
          <w:bCs/>
        </w:rPr>
        <w:t>The PBAC noted that no consumer comments were received for this item.</w:t>
      </w:r>
    </w:p>
    <w:p w:rsidR="00CA05F4" w:rsidRPr="00037EE3" w:rsidRDefault="00CA05F4" w:rsidP="00CF1FF9">
      <w:pPr>
        <w:pStyle w:val="3-BodyText"/>
        <w:ind w:left="709" w:hanging="709"/>
        <w:rPr>
          <w:bCs/>
        </w:rPr>
      </w:pPr>
      <w:r>
        <w:rPr>
          <w:bCs/>
        </w:rPr>
        <w:t xml:space="preserve">The PBAC noted that consumer comments were received for </w:t>
      </w:r>
      <w:r w:rsidR="00435007">
        <w:rPr>
          <w:bCs/>
        </w:rPr>
        <w:t>Oripro</w:t>
      </w:r>
      <w:r>
        <w:rPr>
          <w:bCs/>
        </w:rPr>
        <w:t xml:space="preserve"> and are included in the </w:t>
      </w:r>
      <w:r w:rsidR="004F2B19">
        <w:rPr>
          <w:bCs/>
        </w:rPr>
        <w:t xml:space="preserve">Public Summary Document (PSD) </w:t>
      </w:r>
      <w:r>
        <w:rPr>
          <w:bCs/>
        </w:rPr>
        <w:t xml:space="preserve">for </w:t>
      </w:r>
      <w:r w:rsidR="00435007">
        <w:rPr>
          <w:bCs/>
        </w:rPr>
        <w:t>Oripro</w:t>
      </w:r>
      <w:r>
        <w:rPr>
          <w:bCs/>
        </w:rPr>
        <w:t xml:space="preserve">. </w:t>
      </w:r>
    </w:p>
    <w:p w:rsidR="00D96998" w:rsidRPr="00037EE3" w:rsidRDefault="00D96998" w:rsidP="00D96998">
      <w:pPr>
        <w:pStyle w:val="4-SubsectionHeading"/>
      </w:pPr>
      <w:bookmarkStart w:id="10" w:name="_Toc50936081"/>
      <w:r w:rsidRPr="00037EE3">
        <w:lastRenderedPageBreak/>
        <w:t>Clinical trials</w:t>
      </w:r>
      <w:bookmarkEnd w:id="10"/>
    </w:p>
    <w:p w:rsidR="007F1017" w:rsidRPr="00037EE3" w:rsidRDefault="00BE3811" w:rsidP="00CF1FF9">
      <w:pPr>
        <w:pStyle w:val="3-BodyText"/>
        <w:ind w:left="709"/>
      </w:pPr>
      <w:r w:rsidRPr="00037EE3">
        <w:t xml:space="preserve">The submission </w:t>
      </w:r>
      <w:r w:rsidR="000B1013" w:rsidRPr="00037EE3">
        <w:t xml:space="preserve">included </w:t>
      </w:r>
      <w:r w:rsidRPr="00037EE3">
        <w:t xml:space="preserve">two clinical trials (UTRO-200-PTD and Fonseca 2007) </w:t>
      </w:r>
      <w:r w:rsidR="000B1013" w:rsidRPr="00037EE3">
        <w:t>and</w:t>
      </w:r>
      <w:r w:rsidRPr="00037EE3">
        <w:t xml:space="preserve"> one meta-analysis (Romero 2018). The clinical claim and economic evaluation were based on data from the Romero (2018) meta-analysis.</w:t>
      </w:r>
    </w:p>
    <w:p w:rsidR="00862502" w:rsidRPr="00037EE3" w:rsidRDefault="00A73134" w:rsidP="00CF1FF9">
      <w:pPr>
        <w:pStyle w:val="3-BodyText"/>
        <w:ind w:left="709"/>
      </w:pPr>
      <w:r w:rsidRPr="00037EE3">
        <w:rPr>
          <w:snapToGrid/>
        </w:rPr>
        <w:t>Details of the trials</w:t>
      </w:r>
      <w:r w:rsidR="008D48FF" w:rsidRPr="00037EE3">
        <w:rPr>
          <w:snapToGrid/>
        </w:rPr>
        <w:t xml:space="preserve"> </w:t>
      </w:r>
      <w:r w:rsidRPr="00037EE3">
        <w:rPr>
          <w:snapToGrid/>
        </w:rPr>
        <w:t>presented in the submission are provided in the table below.</w:t>
      </w:r>
      <w:r w:rsidR="00BC591F" w:rsidRPr="00037EE3">
        <w:rPr>
          <w:snapToGrid/>
        </w:rPr>
        <w:t xml:space="preserve"> </w:t>
      </w:r>
    </w:p>
    <w:p w:rsidR="008E0D3C" w:rsidRPr="00037EE3" w:rsidRDefault="008E0D3C" w:rsidP="002E4F02">
      <w:pPr>
        <w:pStyle w:val="TableFigureHeading"/>
        <w:rPr>
          <w:rStyle w:val="CommentReference"/>
          <w:b/>
          <w:szCs w:val="24"/>
        </w:rPr>
      </w:pPr>
      <w:r w:rsidRPr="00037EE3">
        <w:rPr>
          <w:rStyle w:val="CommentReference"/>
          <w:b/>
          <w:szCs w:val="24"/>
        </w:rPr>
        <w:t xml:space="preserve">Table </w:t>
      </w:r>
      <w:r w:rsidR="006161D5" w:rsidRPr="00037EE3">
        <w:rPr>
          <w:rStyle w:val="CommentReference"/>
          <w:b/>
          <w:szCs w:val="24"/>
        </w:rPr>
        <w:t>2</w:t>
      </w:r>
      <w:r w:rsidRPr="00037EE3">
        <w:rPr>
          <w:rStyle w:val="CommentReference"/>
          <w:b/>
          <w:szCs w:val="24"/>
        </w:rPr>
        <w:t>:</w:t>
      </w:r>
      <w:r w:rsidR="00BC591F" w:rsidRPr="00037EE3">
        <w:rPr>
          <w:rStyle w:val="CommentReference"/>
          <w:b/>
          <w:szCs w:val="24"/>
        </w:rPr>
        <w:t xml:space="preserve"> </w:t>
      </w:r>
      <w:r w:rsidRPr="00037EE3">
        <w:rPr>
          <w:rStyle w:val="CommentReference"/>
          <w:b/>
          <w:szCs w:val="24"/>
        </w:rPr>
        <w:t xml:space="preserve">Trials </w:t>
      </w:r>
      <w:r w:rsidR="007C7CB5" w:rsidRPr="00037EE3">
        <w:rPr>
          <w:rStyle w:val="CommentReference"/>
          <w:b/>
          <w:szCs w:val="24"/>
        </w:rPr>
        <w:t xml:space="preserve">and meta-analyses </w:t>
      </w:r>
      <w:r w:rsidRPr="00037EE3">
        <w:rPr>
          <w:rStyle w:val="CommentReference"/>
          <w:b/>
          <w:szCs w:val="24"/>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92ADF" w:rsidRPr="00037EE3" w:rsidTr="00AD3218">
        <w:trPr>
          <w:tblHeader/>
        </w:trPr>
        <w:tc>
          <w:tcPr>
            <w:tcW w:w="796" w:type="pct"/>
            <w:tcBorders>
              <w:bottom w:val="single" w:sz="4" w:space="0" w:color="auto"/>
            </w:tcBorders>
            <w:vAlign w:val="center"/>
          </w:tcPr>
          <w:p w:rsidR="00492ADF" w:rsidRPr="00037EE3" w:rsidRDefault="00492ADF" w:rsidP="00D10B7D">
            <w:pPr>
              <w:pStyle w:val="In-tableHeading"/>
              <w:rPr>
                <w:lang w:val="en-AU"/>
              </w:rPr>
            </w:pPr>
            <w:r w:rsidRPr="00037EE3">
              <w:rPr>
                <w:lang w:val="en-AU"/>
              </w:rPr>
              <w:t>Trial ID</w:t>
            </w:r>
          </w:p>
        </w:tc>
        <w:tc>
          <w:tcPr>
            <w:tcW w:w="3027" w:type="pct"/>
            <w:tcBorders>
              <w:bottom w:val="single" w:sz="4" w:space="0" w:color="auto"/>
            </w:tcBorders>
            <w:vAlign w:val="center"/>
          </w:tcPr>
          <w:p w:rsidR="00492ADF" w:rsidRPr="00037EE3" w:rsidRDefault="00492ADF" w:rsidP="00D10B7D">
            <w:pPr>
              <w:pStyle w:val="In-tableHeading"/>
              <w:jc w:val="center"/>
              <w:rPr>
                <w:lang w:val="en-AU"/>
              </w:rPr>
            </w:pPr>
            <w:r w:rsidRPr="00037EE3">
              <w:rPr>
                <w:lang w:val="en-AU"/>
              </w:rPr>
              <w:t>Protocol title/ Publication title</w:t>
            </w:r>
          </w:p>
        </w:tc>
        <w:tc>
          <w:tcPr>
            <w:tcW w:w="1177" w:type="pct"/>
            <w:tcBorders>
              <w:bottom w:val="single" w:sz="4" w:space="0" w:color="auto"/>
            </w:tcBorders>
            <w:vAlign w:val="center"/>
          </w:tcPr>
          <w:p w:rsidR="00492ADF" w:rsidRPr="00037EE3" w:rsidRDefault="00492ADF" w:rsidP="00D10B7D">
            <w:pPr>
              <w:pStyle w:val="In-tableHeading"/>
              <w:jc w:val="center"/>
              <w:rPr>
                <w:lang w:val="en-AU"/>
              </w:rPr>
            </w:pPr>
            <w:r w:rsidRPr="00037EE3">
              <w:rPr>
                <w:lang w:val="en-AU"/>
              </w:rPr>
              <w:t>Publication citation</w:t>
            </w:r>
          </w:p>
        </w:tc>
      </w:tr>
      <w:tr w:rsidR="00492ADF" w:rsidRPr="00037EE3" w:rsidTr="00AD3218">
        <w:tc>
          <w:tcPr>
            <w:tcW w:w="796" w:type="pct"/>
            <w:tcBorders>
              <w:bottom w:val="single" w:sz="4" w:space="0" w:color="auto"/>
            </w:tcBorders>
            <w:vAlign w:val="center"/>
          </w:tcPr>
          <w:p w:rsidR="00492ADF" w:rsidRPr="00037EE3" w:rsidRDefault="00492ADF" w:rsidP="00D10B7D">
            <w:pPr>
              <w:pStyle w:val="TableText0"/>
            </w:pPr>
            <w:r w:rsidRPr="00037EE3">
              <w:t>UTRO-200-PTD/MISTERI</w:t>
            </w:r>
          </w:p>
        </w:tc>
        <w:tc>
          <w:tcPr>
            <w:tcW w:w="3027" w:type="pct"/>
            <w:tcBorders>
              <w:bottom w:val="single" w:sz="4" w:space="0" w:color="auto"/>
            </w:tcBorders>
            <w:vAlign w:val="center"/>
          </w:tcPr>
          <w:p w:rsidR="00492ADF" w:rsidRPr="00037EE3" w:rsidRDefault="00492ADF" w:rsidP="00D10B7D">
            <w:pPr>
              <w:pStyle w:val="TableText0"/>
              <w:rPr>
                <w:szCs w:val="18"/>
              </w:rPr>
            </w:pPr>
            <w:r w:rsidRPr="00037EE3">
              <w:rPr>
                <w:szCs w:val="18"/>
              </w:rPr>
              <w:t xml:space="preserve">Multinational, </w:t>
            </w:r>
            <w:r w:rsidR="007E10F0" w:rsidRPr="00037EE3">
              <w:rPr>
                <w:szCs w:val="18"/>
              </w:rPr>
              <w:t>multicentre</w:t>
            </w:r>
            <w:r w:rsidRPr="00037EE3">
              <w:rPr>
                <w:szCs w:val="18"/>
              </w:rPr>
              <w:t>, open-label, parallel group trial to evaluate efficacy and safety of micronized progesterone (vaginal capsules) in high risk for preterm delivery women.</w:t>
            </w:r>
          </w:p>
        </w:tc>
        <w:tc>
          <w:tcPr>
            <w:tcW w:w="1177" w:type="pct"/>
            <w:tcBorders>
              <w:bottom w:val="single" w:sz="4" w:space="0" w:color="auto"/>
            </w:tcBorders>
            <w:vAlign w:val="center"/>
          </w:tcPr>
          <w:p w:rsidR="00492ADF" w:rsidRPr="00037EE3" w:rsidRDefault="00492ADF" w:rsidP="00D10B7D">
            <w:pPr>
              <w:pStyle w:val="TableText0"/>
            </w:pPr>
            <w:r w:rsidRPr="00037EE3">
              <w:t>June 2014</w:t>
            </w:r>
          </w:p>
        </w:tc>
      </w:tr>
      <w:tr w:rsidR="00492ADF" w:rsidRPr="00037EE3" w:rsidTr="00AD3218">
        <w:tc>
          <w:tcPr>
            <w:tcW w:w="796" w:type="pct"/>
            <w:tcBorders>
              <w:top w:val="single" w:sz="4" w:space="0" w:color="auto"/>
              <w:bottom w:val="single" w:sz="4" w:space="0" w:color="auto"/>
            </w:tcBorders>
            <w:vAlign w:val="center"/>
          </w:tcPr>
          <w:p w:rsidR="00492ADF" w:rsidRPr="00037EE3" w:rsidRDefault="00492ADF" w:rsidP="00D10B7D">
            <w:pPr>
              <w:pStyle w:val="TableText0"/>
            </w:pPr>
            <w:r w:rsidRPr="00037EE3">
              <w:t>Fonseca 2007</w:t>
            </w:r>
          </w:p>
        </w:tc>
        <w:tc>
          <w:tcPr>
            <w:tcW w:w="3027" w:type="pct"/>
            <w:tcBorders>
              <w:top w:val="single" w:sz="4" w:space="0" w:color="auto"/>
              <w:bottom w:val="single" w:sz="4" w:space="0" w:color="auto"/>
            </w:tcBorders>
            <w:vAlign w:val="center"/>
          </w:tcPr>
          <w:p w:rsidR="00492ADF" w:rsidRPr="00037EE3" w:rsidRDefault="00492ADF" w:rsidP="00D10B7D">
            <w:pPr>
              <w:pStyle w:val="TableText0"/>
              <w:rPr>
                <w:szCs w:val="18"/>
              </w:rPr>
            </w:pPr>
            <w:r w:rsidRPr="00037EE3">
              <w:rPr>
                <w:szCs w:val="18"/>
              </w:rPr>
              <w:t>Fonseca EB, Celik E et al.</w:t>
            </w:r>
            <w:r w:rsidR="00576993" w:rsidRPr="00037EE3">
              <w:rPr>
                <w:szCs w:val="18"/>
              </w:rPr>
              <w:t xml:space="preserve"> </w:t>
            </w:r>
            <w:r w:rsidRPr="00037EE3">
              <w:rPr>
                <w:szCs w:val="18"/>
              </w:rPr>
              <w:t>Progesterone and the risk of preterm birth among women with a short cervix.</w:t>
            </w:r>
          </w:p>
        </w:tc>
        <w:tc>
          <w:tcPr>
            <w:tcW w:w="1177" w:type="pct"/>
            <w:tcBorders>
              <w:top w:val="single" w:sz="4" w:space="0" w:color="auto"/>
              <w:bottom w:val="single" w:sz="4" w:space="0" w:color="auto"/>
            </w:tcBorders>
            <w:vAlign w:val="center"/>
          </w:tcPr>
          <w:p w:rsidR="00492ADF" w:rsidRPr="00037EE3" w:rsidRDefault="00492ADF" w:rsidP="00D10B7D">
            <w:pPr>
              <w:pStyle w:val="TableText0"/>
              <w:rPr>
                <w:i/>
              </w:rPr>
            </w:pPr>
            <w:r w:rsidRPr="00037EE3">
              <w:rPr>
                <w:i/>
                <w:szCs w:val="18"/>
              </w:rPr>
              <w:t>NEJM</w:t>
            </w:r>
            <w:r w:rsidRPr="00037EE3">
              <w:rPr>
                <w:szCs w:val="18"/>
              </w:rPr>
              <w:t xml:space="preserve"> 2007; 357 462-469.</w:t>
            </w:r>
          </w:p>
        </w:tc>
      </w:tr>
      <w:tr w:rsidR="00492ADF" w:rsidRPr="00037EE3" w:rsidTr="00AD3218">
        <w:tc>
          <w:tcPr>
            <w:tcW w:w="796" w:type="pct"/>
            <w:tcBorders>
              <w:top w:val="single" w:sz="4" w:space="0" w:color="auto"/>
              <w:bottom w:val="single" w:sz="4" w:space="0" w:color="auto"/>
            </w:tcBorders>
            <w:vAlign w:val="center"/>
          </w:tcPr>
          <w:p w:rsidR="00492ADF" w:rsidRPr="00037EE3" w:rsidRDefault="00492ADF" w:rsidP="00D10B7D">
            <w:pPr>
              <w:pStyle w:val="TableText0"/>
            </w:pPr>
            <w:r w:rsidRPr="00037EE3">
              <w:t>Romero 2018</w:t>
            </w:r>
          </w:p>
        </w:tc>
        <w:tc>
          <w:tcPr>
            <w:tcW w:w="3027" w:type="pct"/>
            <w:tcBorders>
              <w:top w:val="single" w:sz="4" w:space="0" w:color="auto"/>
              <w:bottom w:val="single" w:sz="4" w:space="0" w:color="auto"/>
            </w:tcBorders>
            <w:vAlign w:val="center"/>
          </w:tcPr>
          <w:p w:rsidR="00492ADF" w:rsidRPr="00037EE3" w:rsidRDefault="00492ADF" w:rsidP="00D10B7D">
            <w:pPr>
              <w:pStyle w:val="TableText0"/>
              <w:rPr>
                <w:szCs w:val="18"/>
              </w:rPr>
            </w:pPr>
            <w:r w:rsidRPr="00037EE3">
              <w:rPr>
                <w:szCs w:val="18"/>
              </w:rPr>
              <w:t>Romero R, Conde-Agudelo A et al. Vaginal progesterone for preventing preterm birth and adverse perinatal outcomes in singleton gestations with a short cervix: a meta-analysis of individual patient data.</w:t>
            </w:r>
          </w:p>
        </w:tc>
        <w:tc>
          <w:tcPr>
            <w:tcW w:w="1177" w:type="pct"/>
            <w:tcBorders>
              <w:top w:val="single" w:sz="4" w:space="0" w:color="auto"/>
              <w:bottom w:val="single" w:sz="4" w:space="0" w:color="auto"/>
            </w:tcBorders>
            <w:vAlign w:val="center"/>
          </w:tcPr>
          <w:p w:rsidR="00492ADF" w:rsidRPr="00037EE3" w:rsidRDefault="00492ADF" w:rsidP="00D10B7D">
            <w:pPr>
              <w:pStyle w:val="TableText0"/>
            </w:pPr>
            <w:r w:rsidRPr="00037EE3">
              <w:rPr>
                <w:i/>
                <w:szCs w:val="18"/>
              </w:rPr>
              <w:t>Am J Obstet Gynecol</w:t>
            </w:r>
            <w:r w:rsidRPr="00037EE3">
              <w:rPr>
                <w:szCs w:val="18"/>
              </w:rPr>
              <w:t xml:space="preserve"> 2018; 218(2): 161-180.</w:t>
            </w:r>
          </w:p>
        </w:tc>
      </w:tr>
    </w:tbl>
    <w:p w:rsidR="008E0D3C" w:rsidRPr="00037EE3" w:rsidRDefault="00492ADF" w:rsidP="00EC5836">
      <w:pPr>
        <w:pStyle w:val="TableFigureFooter"/>
        <w:rPr>
          <w:sz w:val="20"/>
        </w:rPr>
      </w:pPr>
      <w:r w:rsidRPr="00037EE3">
        <w:t>Source: Table 2.5, p39 of the submission</w:t>
      </w:r>
      <w:r w:rsidR="008E0D3C" w:rsidRPr="00037EE3">
        <w:t>.</w:t>
      </w:r>
    </w:p>
    <w:p w:rsidR="00005FD6" w:rsidRPr="00037EE3" w:rsidRDefault="00E14206" w:rsidP="00CF1FF9">
      <w:pPr>
        <w:pStyle w:val="3-BodyText"/>
        <w:ind w:left="709"/>
        <w:rPr>
          <w:color w:val="0066FF"/>
        </w:rPr>
      </w:pPr>
      <w:r w:rsidRPr="00037EE3">
        <w:rPr>
          <w:iCs/>
        </w:rPr>
        <w:t xml:space="preserve">While the literature searches were satisfactory in that relevant trials and meta-analyses were identified, the searches did not identify additional publications that were </w:t>
      </w:r>
      <w:r w:rsidR="007D7BAE" w:rsidRPr="00037EE3">
        <w:rPr>
          <w:iCs/>
        </w:rPr>
        <w:t xml:space="preserve">potentially also </w:t>
      </w:r>
      <w:r w:rsidRPr="00037EE3">
        <w:rPr>
          <w:iCs/>
        </w:rPr>
        <w:t>relevant, such as a 2019 NICE evidence review</w:t>
      </w:r>
      <w:r w:rsidRPr="00037EE3">
        <w:rPr>
          <w:rStyle w:val="FootnoteReference"/>
          <w:iCs/>
        </w:rPr>
        <w:footnoteReference w:id="2"/>
      </w:r>
      <w:r w:rsidRPr="00037EE3">
        <w:rPr>
          <w:iCs/>
        </w:rPr>
        <w:t xml:space="preserve"> of the clinical effectiveness of progesterone for prevention of preterm labour and birth, a Cochrane overview of systematic reviews of interventions to prevent preterm birth(Medley 2018</w:t>
      </w:r>
      <w:r w:rsidRPr="00037EE3">
        <w:rPr>
          <w:rStyle w:val="FootnoteReference"/>
          <w:iCs/>
        </w:rPr>
        <w:footnoteReference w:id="3"/>
      </w:r>
      <w:r w:rsidRPr="00037EE3">
        <w:rPr>
          <w:iCs/>
        </w:rPr>
        <w:t xml:space="preserve">), as well </w:t>
      </w:r>
      <w:r w:rsidR="00C73328" w:rsidRPr="00037EE3">
        <w:rPr>
          <w:iCs/>
        </w:rPr>
        <w:t xml:space="preserve">as </w:t>
      </w:r>
      <w:r w:rsidRPr="00037EE3">
        <w:rPr>
          <w:iCs/>
        </w:rPr>
        <w:t>additional reviews and discussion of the use of progesterone in pregnancy (e</w:t>
      </w:r>
      <w:r w:rsidR="00C73328" w:rsidRPr="00037EE3">
        <w:rPr>
          <w:iCs/>
        </w:rPr>
        <w:t>.</w:t>
      </w:r>
      <w:r w:rsidRPr="00037EE3">
        <w:rPr>
          <w:iCs/>
        </w:rPr>
        <w:t>g</w:t>
      </w:r>
      <w:r w:rsidR="00C73328" w:rsidRPr="00037EE3">
        <w:rPr>
          <w:iCs/>
        </w:rPr>
        <w:t>.</w:t>
      </w:r>
      <w:r w:rsidRPr="00037EE3">
        <w:rPr>
          <w:iCs/>
        </w:rPr>
        <w:t xml:space="preserve"> Prior 2017</w:t>
      </w:r>
      <w:r w:rsidRPr="00037EE3">
        <w:rPr>
          <w:rStyle w:val="FootnoteReference"/>
          <w:iCs/>
        </w:rPr>
        <w:footnoteReference w:id="4"/>
      </w:r>
      <w:r w:rsidRPr="00037EE3">
        <w:rPr>
          <w:iCs/>
        </w:rPr>
        <w:t>).</w:t>
      </w:r>
      <w:r w:rsidR="00673C2C" w:rsidRPr="00037EE3">
        <w:rPr>
          <w:iCs/>
        </w:rPr>
        <w:t xml:space="preserve"> </w:t>
      </w:r>
      <w:r w:rsidR="00471516" w:rsidRPr="00037EE3">
        <w:rPr>
          <w:iCs/>
        </w:rPr>
        <w:t>The ESC considered</w:t>
      </w:r>
      <w:r w:rsidR="007D7BAE" w:rsidRPr="00037EE3">
        <w:rPr>
          <w:iCs/>
        </w:rPr>
        <w:t xml:space="preserve"> that these reviews supported the clinical claim for progesterone for the requested </w:t>
      </w:r>
      <w:r w:rsidR="00E0141E" w:rsidRPr="00037EE3">
        <w:rPr>
          <w:iCs/>
        </w:rPr>
        <w:t xml:space="preserve">PBS </w:t>
      </w:r>
      <w:r w:rsidR="007D7BAE" w:rsidRPr="00037EE3">
        <w:rPr>
          <w:iCs/>
        </w:rPr>
        <w:t>population.</w:t>
      </w:r>
      <w:r w:rsidR="00005FD6" w:rsidRPr="00037EE3">
        <w:rPr>
          <w:rFonts w:cstheme="minorHAnsi"/>
          <w:iCs/>
        </w:rPr>
        <w:t xml:space="preserve"> The ESC noted that </w:t>
      </w:r>
      <w:r w:rsidR="00003AB0" w:rsidRPr="00037EE3">
        <w:rPr>
          <w:rFonts w:cstheme="minorHAnsi"/>
          <w:color w:val="202124"/>
        </w:rPr>
        <w:t>t</w:t>
      </w:r>
      <w:r w:rsidR="00005FD6" w:rsidRPr="00037EE3">
        <w:rPr>
          <w:rFonts w:cstheme="minorHAnsi"/>
          <w:color w:val="202124"/>
        </w:rPr>
        <w:t>he Patient-Centered Outcomes Research Institute</w:t>
      </w:r>
      <w:r w:rsidR="00003AB0" w:rsidRPr="00037EE3">
        <w:rPr>
          <w:rFonts w:cstheme="minorHAnsi"/>
          <w:color w:val="202124"/>
        </w:rPr>
        <w:t xml:space="preserve"> (PCORI)</w:t>
      </w:r>
      <w:r w:rsidR="00005FD6" w:rsidRPr="00037EE3">
        <w:rPr>
          <w:rFonts w:cstheme="minorHAnsi"/>
          <w:color w:val="202124"/>
        </w:rPr>
        <w:t xml:space="preserve"> is undertaking</w:t>
      </w:r>
      <w:r w:rsidR="00005FD6" w:rsidRPr="00037EE3">
        <w:rPr>
          <w:rFonts w:cstheme="minorHAnsi"/>
          <w:iCs/>
        </w:rPr>
        <w:t xml:space="preserve"> a large, individual</w:t>
      </w:r>
      <w:r w:rsidR="00003AB0" w:rsidRPr="00037EE3">
        <w:rPr>
          <w:rFonts w:cstheme="minorHAnsi"/>
          <w:iCs/>
        </w:rPr>
        <w:t xml:space="preserve"> </w:t>
      </w:r>
      <w:r w:rsidR="00005FD6" w:rsidRPr="00037EE3">
        <w:rPr>
          <w:rFonts w:cstheme="minorHAnsi"/>
          <w:iCs/>
        </w:rPr>
        <w:t>level meta-analysis</w:t>
      </w:r>
      <w:r w:rsidR="00037206" w:rsidRPr="00037EE3">
        <w:rPr>
          <w:rStyle w:val="FootnoteReference"/>
          <w:rFonts w:cstheme="minorHAnsi"/>
          <w:iCs/>
        </w:rPr>
        <w:footnoteReference w:id="5"/>
      </w:r>
      <w:r w:rsidR="00005FD6" w:rsidRPr="00037EE3">
        <w:rPr>
          <w:rFonts w:cstheme="minorHAnsi"/>
          <w:iCs/>
        </w:rPr>
        <w:t>, which should provide more definitive evidence for the effectiveness of progesterone in preterm birth</w:t>
      </w:r>
      <w:r w:rsidR="00037EE3">
        <w:rPr>
          <w:rFonts w:cstheme="minorHAnsi"/>
          <w:iCs/>
        </w:rPr>
        <w:t xml:space="preserve">. </w:t>
      </w:r>
    </w:p>
    <w:p w:rsidR="007F1017" w:rsidRPr="00037EE3" w:rsidRDefault="008F120A" w:rsidP="00CF1FF9">
      <w:pPr>
        <w:pStyle w:val="3-BodyText"/>
        <w:ind w:left="709"/>
        <w:rPr>
          <w:color w:val="0066FF"/>
        </w:rPr>
      </w:pPr>
      <w:r w:rsidRPr="00037EE3">
        <w:t>The key features of the randomised trials</w:t>
      </w:r>
      <w:r w:rsidR="00E14206" w:rsidRPr="00037EE3">
        <w:t xml:space="preserve"> and meta-analysis</w:t>
      </w:r>
      <w:r w:rsidRPr="00037EE3">
        <w:t xml:space="preserve"> are summarised in the table below.</w:t>
      </w:r>
      <w:r w:rsidR="00BC591F" w:rsidRPr="00037EE3">
        <w:t xml:space="preserve"> </w:t>
      </w:r>
    </w:p>
    <w:p w:rsidR="007E10F0" w:rsidRDefault="007E10F0">
      <w:pPr>
        <w:jc w:val="left"/>
        <w:rPr>
          <w:rStyle w:val="CommentReference"/>
          <w:rFonts w:eastAsiaTheme="majorEastAsia" w:cstheme="majorBidi"/>
          <w:bCs/>
          <w:szCs w:val="24"/>
          <w:lang w:eastAsia="en-AU"/>
        </w:rPr>
      </w:pPr>
      <w:r>
        <w:rPr>
          <w:rStyle w:val="CommentReference"/>
          <w:b w:val="0"/>
          <w:szCs w:val="24"/>
        </w:rPr>
        <w:br w:type="page"/>
      </w:r>
    </w:p>
    <w:p w:rsidR="007F1017" w:rsidRPr="00037EE3" w:rsidRDefault="007F1017" w:rsidP="00EC5836">
      <w:pPr>
        <w:pStyle w:val="TableFigureHeading"/>
        <w:rPr>
          <w:rStyle w:val="CommentReference"/>
          <w:b/>
          <w:szCs w:val="24"/>
        </w:rPr>
      </w:pPr>
      <w:r w:rsidRPr="00037EE3">
        <w:rPr>
          <w:rStyle w:val="CommentReference"/>
          <w:b/>
          <w:szCs w:val="24"/>
        </w:rPr>
        <w:lastRenderedPageBreak/>
        <w:t xml:space="preserve">Table </w:t>
      </w:r>
      <w:r w:rsidR="006161D5" w:rsidRPr="00037EE3">
        <w:rPr>
          <w:rStyle w:val="CommentReference"/>
          <w:b/>
          <w:szCs w:val="24"/>
        </w:rPr>
        <w:t>3</w:t>
      </w:r>
      <w:r w:rsidRPr="00037EE3">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6"/>
        <w:gridCol w:w="2437"/>
        <w:gridCol w:w="1538"/>
        <w:gridCol w:w="698"/>
        <w:gridCol w:w="1282"/>
        <w:gridCol w:w="1316"/>
        <w:gridCol w:w="950"/>
      </w:tblGrid>
      <w:tr w:rsidR="009E7729" w:rsidRPr="00037EE3" w:rsidTr="00AD3218">
        <w:trPr>
          <w:tblHeader/>
        </w:trPr>
        <w:tc>
          <w:tcPr>
            <w:tcW w:w="441" w:type="pct"/>
            <w:shd w:val="clear" w:color="auto" w:fill="auto"/>
            <w:vAlign w:val="center"/>
          </w:tcPr>
          <w:p w:rsidR="009E7729" w:rsidRPr="00037EE3" w:rsidRDefault="009E7729" w:rsidP="00D95A3B">
            <w:pPr>
              <w:pStyle w:val="Tabletext"/>
              <w:keepNext/>
              <w:rPr>
                <w:b/>
                <w:bCs/>
              </w:rPr>
            </w:pPr>
            <w:r w:rsidRPr="00037EE3">
              <w:rPr>
                <w:b/>
                <w:bCs/>
              </w:rPr>
              <w:t>Trial</w:t>
            </w:r>
          </w:p>
        </w:tc>
        <w:tc>
          <w:tcPr>
            <w:tcW w:w="1351" w:type="pct"/>
            <w:shd w:val="clear" w:color="auto" w:fill="auto"/>
            <w:vAlign w:val="center"/>
          </w:tcPr>
          <w:p w:rsidR="009E7729" w:rsidRPr="00037EE3" w:rsidRDefault="009E7729" w:rsidP="00D95A3B">
            <w:pPr>
              <w:pStyle w:val="Tabletext"/>
              <w:keepNext/>
              <w:jc w:val="center"/>
              <w:rPr>
                <w:b/>
                <w:bCs/>
              </w:rPr>
            </w:pPr>
            <w:r w:rsidRPr="00037EE3">
              <w:rPr>
                <w:b/>
                <w:bCs/>
              </w:rPr>
              <w:t>N</w:t>
            </w:r>
          </w:p>
        </w:tc>
        <w:tc>
          <w:tcPr>
            <w:tcW w:w="853" w:type="pct"/>
            <w:shd w:val="clear" w:color="auto" w:fill="auto"/>
            <w:vAlign w:val="center"/>
          </w:tcPr>
          <w:p w:rsidR="009E7729" w:rsidRPr="00037EE3" w:rsidRDefault="009E7729" w:rsidP="00D95A3B">
            <w:pPr>
              <w:pStyle w:val="Tabletext"/>
              <w:keepNext/>
              <w:jc w:val="center"/>
              <w:rPr>
                <w:b/>
                <w:bCs/>
              </w:rPr>
            </w:pPr>
            <w:r w:rsidRPr="00037EE3">
              <w:rPr>
                <w:b/>
                <w:bCs/>
              </w:rPr>
              <w:t>Design/ location</w:t>
            </w:r>
          </w:p>
        </w:tc>
        <w:tc>
          <w:tcPr>
            <w:tcW w:w="387" w:type="pct"/>
            <w:shd w:val="clear" w:color="auto" w:fill="auto"/>
            <w:vAlign w:val="center"/>
          </w:tcPr>
          <w:p w:rsidR="009E7729" w:rsidRPr="00037EE3" w:rsidRDefault="009E7729" w:rsidP="00D95A3B">
            <w:pPr>
              <w:pStyle w:val="Tabletext"/>
              <w:keepNext/>
              <w:jc w:val="center"/>
              <w:rPr>
                <w:b/>
                <w:bCs/>
              </w:rPr>
            </w:pPr>
            <w:r w:rsidRPr="00037EE3">
              <w:rPr>
                <w:b/>
                <w:bCs/>
              </w:rPr>
              <w:t>Risk of bias</w:t>
            </w:r>
          </w:p>
        </w:tc>
        <w:tc>
          <w:tcPr>
            <w:tcW w:w="711" w:type="pct"/>
            <w:shd w:val="clear" w:color="auto" w:fill="auto"/>
            <w:vAlign w:val="center"/>
          </w:tcPr>
          <w:p w:rsidR="009E7729" w:rsidRPr="00037EE3" w:rsidRDefault="00946C2C" w:rsidP="00D95A3B">
            <w:pPr>
              <w:pStyle w:val="Tabletext"/>
              <w:keepNext/>
              <w:jc w:val="center"/>
              <w:rPr>
                <w:b/>
                <w:bCs/>
              </w:rPr>
            </w:pPr>
            <w:r w:rsidRPr="00037EE3">
              <w:rPr>
                <w:b/>
                <w:bCs/>
              </w:rPr>
              <w:t xml:space="preserve">Study </w:t>
            </w:r>
            <w:r w:rsidR="009E7729" w:rsidRPr="00037EE3">
              <w:rPr>
                <w:b/>
                <w:bCs/>
              </w:rPr>
              <w:t>population</w:t>
            </w:r>
          </w:p>
        </w:tc>
        <w:tc>
          <w:tcPr>
            <w:tcW w:w="730" w:type="pct"/>
            <w:vAlign w:val="center"/>
          </w:tcPr>
          <w:p w:rsidR="009E7729" w:rsidRPr="00037EE3" w:rsidRDefault="009E7729" w:rsidP="00D95A3B">
            <w:pPr>
              <w:pStyle w:val="Tabletext"/>
              <w:keepNext/>
              <w:jc w:val="center"/>
              <w:rPr>
                <w:b/>
                <w:bCs/>
              </w:rPr>
            </w:pPr>
            <w:r w:rsidRPr="00037EE3">
              <w:rPr>
                <w:b/>
                <w:bCs/>
              </w:rPr>
              <w:t>Outcome(s)</w:t>
            </w:r>
          </w:p>
        </w:tc>
        <w:tc>
          <w:tcPr>
            <w:tcW w:w="527" w:type="pct"/>
            <w:vAlign w:val="center"/>
          </w:tcPr>
          <w:p w:rsidR="009E7729" w:rsidRPr="00037EE3" w:rsidRDefault="009E7729" w:rsidP="00D95A3B">
            <w:pPr>
              <w:pStyle w:val="Tabletext"/>
              <w:keepNext/>
              <w:jc w:val="center"/>
              <w:rPr>
                <w:b/>
                <w:bCs/>
              </w:rPr>
            </w:pPr>
            <w:r w:rsidRPr="00037EE3">
              <w:rPr>
                <w:b/>
                <w:bCs/>
              </w:rPr>
              <w:t>Use in cost analysis</w:t>
            </w:r>
          </w:p>
        </w:tc>
      </w:tr>
      <w:tr w:rsidR="009E7729" w:rsidRPr="00037EE3" w:rsidTr="00AD3218">
        <w:tc>
          <w:tcPr>
            <w:tcW w:w="441" w:type="pct"/>
            <w:shd w:val="clear" w:color="auto" w:fill="auto"/>
            <w:vAlign w:val="center"/>
          </w:tcPr>
          <w:p w:rsidR="009E7729" w:rsidRPr="00037EE3" w:rsidRDefault="009E7729" w:rsidP="00D95A3B">
            <w:pPr>
              <w:pStyle w:val="Tabletext"/>
            </w:pPr>
            <w:r w:rsidRPr="00037EE3">
              <w:t>UTRO-200-PTD</w:t>
            </w:r>
          </w:p>
        </w:tc>
        <w:tc>
          <w:tcPr>
            <w:tcW w:w="1351" w:type="pct"/>
            <w:shd w:val="clear" w:color="auto" w:fill="auto"/>
            <w:vAlign w:val="center"/>
          </w:tcPr>
          <w:p w:rsidR="009E7729" w:rsidRPr="00037EE3" w:rsidRDefault="009E7729" w:rsidP="00D95A3B">
            <w:pPr>
              <w:pStyle w:val="Tabletext"/>
            </w:pPr>
            <w:r w:rsidRPr="00037EE3">
              <w:t>Progesterone 20</w:t>
            </w:r>
            <w:r w:rsidR="00AF08C5" w:rsidRPr="00037EE3">
              <w:t>0 mg</w:t>
            </w:r>
            <w:r w:rsidRPr="00037EE3">
              <w:t>: N=220</w:t>
            </w:r>
          </w:p>
        </w:tc>
        <w:tc>
          <w:tcPr>
            <w:tcW w:w="853" w:type="pct"/>
            <w:shd w:val="clear" w:color="auto" w:fill="auto"/>
            <w:vAlign w:val="center"/>
          </w:tcPr>
          <w:p w:rsidR="00342E33" w:rsidRPr="00037EE3" w:rsidRDefault="009E7729" w:rsidP="00D95A3B">
            <w:pPr>
              <w:pStyle w:val="Tabletext"/>
            </w:pPr>
            <w:r w:rsidRPr="00037EE3">
              <w:t>OL, MC</w:t>
            </w:r>
          </w:p>
          <w:p w:rsidR="0061229D" w:rsidRPr="00037EE3" w:rsidRDefault="0061229D" w:rsidP="00D95A3B">
            <w:pPr>
              <w:pStyle w:val="Tabletext"/>
            </w:pPr>
            <w:r w:rsidRPr="00037EE3">
              <w:t>Russia, Ukraine, Belarus</w:t>
            </w:r>
          </w:p>
        </w:tc>
        <w:tc>
          <w:tcPr>
            <w:tcW w:w="387" w:type="pct"/>
            <w:shd w:val="clear" w:color="auto" w:fill="auto"/>
            <w:vAlign w:val="center"/>
          </w:tcPr>
          <w:p w:rsidR="009E7729" w:rsidRPr="00037EE3" w:rsidRDefault="009E7729" w:rsidP="00D95A3B">
            <w:pPr>
              <w:pStyle w:val="Tabletext"/>
              <w:jc w:val="center"/>
            </w:pPr>
            <w:r w:rsidRPr="00037EE3">
              <w:t>High</w:t>
            </w:r>
          </w:p>
        </w:tc>
        <w:tc>
          <w:tcPr>
            <w:tcW w:w="711" w:type="pct"/>
            <w:shd w:val="clear" w:color="auto" w:fill="auto"/>
            <w:vAlign w:val="center"/>
          </w:tcPr>
          <w:p w:rsidR="009E7729" w:rsidRPr="00037EE3" w:rsidRDefault="009E7729" w:rsidP="00D95A3B">
            <w:pPr>
              <w:pStyle w:val="Tabletext"/>
            </w:pPr>
            <w:r w:rsidRPr="00037EE3">
              <w:t>Short cervix &lt;2</w:t>
            </w:r>
            <w:r w:rsidR="00AF08C5" w:rsidRPr="00037EE3">
              <w:t>5 mm</w:t>
            </w:r>
            <w:r w:rsidRPr="00037EE3">
              <w:t>; history of preterm birth</w:t>
            </w:r>
          </w:p>
        </w:tc>
        <w:tc>
          <w:tcPr>
            <w:tcW w:w="730" w:type="pct"/>
            <w:vAlign w:val="center"/>
          </w:tcPr>
          <w:p w:rsidR="009E7729" w:rsidRPr="00037EE3" w:rsidRDefault="009E7729" w:rsidP="00D95A3B">
            <w:pPr>
              <w:pStyle w:val="Tabletext"/>
            </w:pPr>
            <w:r w:rsidRPr="00037EE3">
              <w:t>Preterm delivery &lt;34 weeks</w:t>
            </w:r>
          </w:p>
        </w:tc>
        <w:tc>
          <w:tcPr>
            <w:tcW w:w="527" w:type="pct"/>
            <w:vAlign w:val="center"/>
          </w:tcPr>
          <w:p w:rsidR="009E7729" w:rsidRPr="00037EE3" w:rsidRDefault="009E7729" w:rsidP="00D95A3B">
            <w:pPr>
              <w:pStyle w:val="Tabletext"/>
              <w:jc w:val="center"/>
            </w:pPr>
            <w:r w:rsidRPr="00037EE3">
              <w:t>No</w:t>
            </w:r>
          </w:p>
        </w:tc>
      </w:tr>
      <w:tr w:rsidR="009E7729" w:rsidRPr="00037EE3" w:rsidTr="00AD3218">
        <w:tc>
          <w:tcPr>
            <w:tcW w:w="441" w:type="pct"/>
            <w:shd w:val="clear" w:color="auto" w:fill="auto"/>
            <w:vAlign w:val="center"/>
          </w:tcPr>
          <w:p w:rsidR="009E7729" w:rsidRPr="00037EE3" w:rsidRDefault="009E7729" w:rsidP="00D95A3B">
            <w:pPr>
              <w:pStyle w:val="Tabletext"/>
            </w:pPr>
            <w:r w:rsidRPr="00037EE3">
              <w:t>Fonseca 2007</w:t>
            </w:r>
          </w:p>
        </w:tc>
        <w:tc>
          <w:tcPr>
            <w:tcW w:w="1351" w:type="pct"/>
            <w:shd w:val="clear" w:color="auto" w:fill="auto"/>
            <w:vAlign w:val="center"/>
          </w:tcPr>
          <w:p w:rsidR="009E7729" w:rsidRPr="00037EE3" w:rsidRDefault="009E7729" w:rsidP="00D95A3B">
            <w:pPr>
              <w:pStyle w:val="Tabletext"/>
            </w:pPr>
            <w:r w:rsidRPr="00037EE3">
              <w:t>Progesterone 20</w:t>
            </w:r>
            <w:r w:rsidR="00AF08C5" w:rsidRPr="00037EE3">
              <w:t>0 mg</w:t>
            </w:r>
            <w:r w:rsidRPr="00037EE3">
              <w:t>: N=125</w:t>
            </w:r>
          </w:p>
          <w:p w:rsidR="009E7729" w:rsidRPr="00037EE3" w:rsidRDefault="009E7729" w:rsidP="00D95A3B">
            <w:pPr>
              <w:pStyle w:val="Tabletext"/>
            </w:pPr>
            <w:r w:rsidRPr="00037EE3">
              <w:t>SOC: N=125</w:t>
            </w:r>
          </w:p>
          <w:p w:rsidR="009E7729" w:rsidRPr="00037EE3" w:rsidRDefault="009E7729" w:rsidP="00D95A3B">
            <w:pPr>
              <w:pStyle w:val="Tabletext"/>
            </w:pPr>
            <w:r w:rsidRPr="00037EE3">
              <w:t>Total: N=250</w:t>
            </w:r>
          </w:p>
        </w:tc>
        <w:tc>
          <w:tcPr>
            <w:tcW w:w="853" w:type="pct"/>
            <w:shd w:val="clear" w:color="auto" w:fill="auto"/>
            <w:vAlign w:val="center"/>
          </w:tcPr>
          <w:p w:rsidR="009E7729" w:rsidRPr="00037EE3" w:rsidRDefault="009E7729" w:rsidP="00D95A3B">
            <w:pPr>
              <w:pStyle w:val="Tabletext"/>
            </w:pPr>
            <w:r w:rsidRPr="00037EE3">
              <w:t>R, DB, MC</w:t>
            </w:r>
          </w:p>
          <w:p w:rsidR="009E7729" w:rsidRPr="00037EE3" w:rsidRDefault="009E7729" w:rsidP="00D95A3B">
            <w:pPr>
              <w:pStyle w:val="Tabletext"/>
            </w:pPr>
            <w:r w:rsidRPr="00037EE3">
              <w:t>UK, Chile, Brazil, Greece</w:t>
            </w:r>
          </w:p>
        </w:tc>
        <w:tc>
          <w:tcPr>
            <w:tcW w:w="387" w:type="pct"/>
            <w:shd w:val="clear" w:color="auto" w:fill="auto"/>
            <w:vAlign w:val="center"/>
          </w:tcPr>
          <w:p w:rsidR="009E7729" w:rsidRPr="00037EE3" w:rsidRDefault="009E7729" w:rsidP="00D95A3B">
            <w:pPr>
              <w:pStyle w:val="Tabletext"/>
              <w:jc w:val="center"/>
            </w:pPr>
            <w:r w:rsidRPr="00037EE3">
              <w:t>Low</w:t>
            </w:r>
          </w:p>
        </w:tc>
        <w:tc>
          <w:tcPr>
            <w:tcW w:w="711" w:type="pct"/>
            <w:shd w:val="clear" w:color="auto" w:fill="auto"/>
            <w:vAlign w:val="center"/>
          </w:tcPr>
          <w:p w:rsidR="009E7729" w:rsidRPr="00037EE3" w:rsidRDefault="009E7729" w:rsidP="00D95A3B">
            <w:pPr>
              <w:pStyle w:val="Tabletext"/>
            </w:pPr>
            <w:r w:rsidRPr="00037EE3">
              <w:t>Short cervix ≤1</w:t>
            </w:r>
            <w:r w:rsidR="00AF08C5" w:rsidRPr="00037EE3">
              <w:t>5 mm</w:t>
            </w:r>
          </w:p>
        </w:tc>
        <w:tc>
          <w:tcPr>
            <w:tcW w:w="730" w:type="pct"/>
            <w:vAlign w:val="center"/>
          </w:tcPr>
          <w:p w:rsidR="009E7729" w:rsidRPr="00037EE3" w:rsidRDefault="009E7729" w:rsidP="00D95A3B">
            <w:pPr>
              <w:pStyle w:val="Tabletext"/>
            </w:pPr>
            <w:r w:rsidRPr="00037EE3">
              <w:t>Preterm delivery &lt;34 weeks</w:t>
            </w:r>
          </w:p>
        </w:tc>
        <w:tc>
          <w:tcPr>
            <w:tcW w:w="527" w:type="pct"/>
            <w:vAlign w:val="center"/>
          </w:tcPr>
          <w:p w:rsidR="009E7729" w:rsidRPr="00037EE3" w:rsidRDefault="009E7729" w:rsidP="00D95A3B">
            <w:pPr>
              <w:pStyle w:val="Tabletext"/>
              <w:jc w:val="center"/>
            </w:pPr>
            <w:r w:rsidRPr="00037EE3">
              <w:t>No</w:t>
            </w:r>
          </w:p>
        </w:tc>
      </w:tr>
      <w:tr w:rsidR="009E7729" w:rsidRPr="00037EE3" w:rsidTr="00AD3218">
        <w:tc>
          <w:tcPr>
            <w:tcW w:w="441" w:type="pct"/>
            <w:shd w:val="clear" w:color="auto" w:fill="auto"/>
            <w:vAlign w:val="center"/>
          </w:tcPr>
          <w:p w:rsidR="009E7729" w:rsidRPr="00037EE3" w:rsidRDefault="009E7729" w:rsidP="00D95A3B">
            <w:pPr>
              <w:pStyle w:val="Tabletext"/>
            </w:pPr>
            <w:r w:rsidRPr="00037EE3">
              <w:t>Romero 2018</w:t>
            </w:r>
          </w:p>
        </w:tc>
        <w:tc>
          <w:tcPr>
            <w:tcW w:w="1351" w:type="pct"/>
            <w:shd w:val="clear" w:color="auto" w:fill="auto"/>
            <w:vAlign w:val="center"/>
          </w:tcPr>
          <w:p w:rsidR="009E7729" w:rsidRPr="00037EE3" w:rsidRDefault="009E7729" w:rsidP="00D95A3B">
            <w:pPr>
              <w:pStyle w:val="Tabletext"/>
            </w:pPr>
            <w:r w:rsidRPr="00037EE3">
              <w:t>Progesterone 90-20</w:t>
            </w:r>
            <w:r w:rsidR="00AF08C5" w:rsidRPr="00037EE3">
              <w:t>0 mg</w:t>
            </w:r>
            <w:r w:rsidRPr="00037EE3">
              <w:t>: N=498</w:t>
            </w:r>
          </w:p>
          <w:p w:rsidR="009E7729" w:rsidRPr="00037EE3" w:rsidRDefault="009E7729" w:rsidP="00D95A3B">
            <w:pPr>
              <w:pStyle w:val="Tabletext"/>
            </w:pPr>
            <w:r w:rsidRPr="00037EE3">
              <w:t>SOC: N=476</w:t>
            </w:r>
          </w:p>
          <w:p w:rsidR="009E7729" w:rsidRPr="00037EE3" w:rsidRDefault="009E7729" w:rsidP="00D95A3B">
            <w:pPr>
              <w:pStyle w:val="Tabletext"/>
            </w:pPr>
            <w:r w:rsidRPr="00037EE3">
              <w:t>Total: N=974</w:t>
            </w:r>
          </w:p>
          <w:p w:rsidR="009E7729" w:rsidRPr="00037EE3" w:rsidRDefault="009E7729" w:rsidP="00D95A3B">
            <w:pPr>
              <w:pStyle w:val="Tabletext"/>
            </w:pPr>
            <w:r w:rsidRPr="00037EE3">
              <w:t>from 5 trials: Fonseca 2007, O’Brien 2007, Hassan 2011, Cetingoz 2011, Norman 2016</w:t>
            </w:r>
          </w:p>
        </w:tc>
        <w:tc>
          <w:tcPr>
            <w:tcW w:w="853" w:type="pct"/>
            <w:shd w:val="clear" w:color="auto" w:fill="auto"/>
            <w:vAlign w:val="center"/>
          </w:tcPr>
          <w:p w:rsidR="009E7729" w:rsidRPr="00037EE3" w:rsidRDefault="009E7729" w:rsidP="00D95A3B">
            <w:pPr>
              <w:pStyle w:val="Tabletext"/>
            </w:pPr>
            <w:r w:rsidRPr="00037EE3">
              <w:t>IPD meta-analysis</w:t>
            </w:r>
          </w:p>
          <w:p w:rsidR="009E7729" w:rsidRPr="00037EE3" w:rsidRDefault="009E7729" w:rsidP="00D95A3B">
            <w:pPr>
              <w:pStyle w:val="Tabletext"/>
            </w:pPr>
            <w:r w:rsidRPr="00037EE3">
              <w:t>UK, Chile, Brazil, Greece, US, South Africa, India, Czech Republic, Chile, El Salvador, Turkey, Belarus, Israel, Italy, Russia, Ukraine, Sweden</w:t>
            </w:r>
          </w:p>
        </w:tc>
        <w:tc>
          <w:tcPr>
            <w:tcW w:w="387" w:type="pct"/>
            <w:shd w:val="clear" w:color="auto" w:fill="auto"/>
            <w:vAlign w:val="center"/>
          </w:tcPr>
          <w:p w:rsidR="009E7729" w:rsidRPr="00037EE3" w:rsidRDefault="009E7729" w:rsidP="00D95A3B">
            <w:pPr>
              <w:pStyle w:val="Tabletext"/>
              <w:jc w:val="center"/>
            </w:pPr>
            <w:r w:rsidRPr="00037EE3">
              <w:t>Low</w:t>
            </w:r>
          </w:p>
        </w:tc>
        <w:tc>
          <w:tcPr>
            <w:tcW w:w="711" w:type="pct"/>
            <w:shd w:val="clear" w:color="auto" w:fill="auto"/>
            <w:vAlign w:val="center"/>
          </w:tcPr>
          <w:p w:rsidR="009E7729" w:rsidRPr="00037EE3" w:rsidRDefault="009E7729" w:rsidP="00D95A3B">
            <w:pPr>
              <w:pStyle w:val="Tabletext"/>
            </w:pPr>
            <w:r w:rsidRPr="00037EE3">
              <w:t>Singleton or twin pregnancy, cervical length &lt;2</w:t>
            </w:r>
            <w:r w:rsidR="00AF08C5" w:rsidRPr="00037EE3">
              <w:t>5 mm</w:t>
            </w:r>
          </w:p>
        </w:tc>
        <w:tc>
          <w:tcPr>
            <w:tcW w:w="730" w:type="pct"/>
            <w:vAlign w:val="center"/>
          </w:tcPr>
          <w:p w:rsidR="009E7729" w:rsidRPr="00037EE3" w:rsidRDefault="009E7729" w:rsidP="00D95A3B">
            <w:pPr>
              <w:pStyle w:val="Tabletext"/>
            </w:pPr>
            <w:r w:rsidRPr="00037EE3">
              <w:t>Preterm delivery &lt;33 weeks</w:t>
            </w:r>
          </w:p>
        </w:tc>
        <w:tc>
          <w:tcPr>
            <w:tcW w:w="527" w:type="pct"/>
            <w:vAlign w:val="center"/>
          </w:tcPr>
          <w:p w:rsidR="009E7729" w:rsidRPr="00037EE3" w:rsidRDefault="009E7729" w:rsidP="00D95A3B">
            <w:pPr>
              <w:pStyle w:val="Tabletext"/>
              <w:jc w:val="center"/>
            </w:pPr>
            <w:r w:rsidRPr="00037EE3">
              <w:t>Yes</w:t>
            </w:r>
          </w:p>
        </w:tc>
      </w:tr>
    </w:tbl>
    <w:p w:rsidR="009E7729" w:rsidRPr="00037EE3" w:rsidRDefault="009E7729" w:rsidP="009E7729">
      <w:pPr>
        <w:pStyle w:val="TableFooter"/>
      </w:pPr>
      <w:r w:rsidRPr="00037EE3">
        <w:t>Source:</w:t>
      </w:r>
      <w:r w:rsidR="00576993" w:rsidRPr="00037EE3">
        <w:t xml:space="preserve"> </w:t>
      </w:r>
      <w:r w:rsidRPr="00037EE3">
        <w:t>Table 2.8, p47; Table 2.9, p49; Table 2.56, p92-93 of the submission.</w:t>
      </w:r>
    </w:p>
    <w:p w:rsidR="00620C25" w:rsidRPr="00037EE3" w:rsidRDefault="009E7729" w:rsidP="009E7729">
      <w:pPr>
        <w:pStyle w:val="TableFooter"/>
        <w:spacing w:after="120"/>
      </w:pPr>
      <w:r w:rsidRPr="00037EE3">
        <w:t xml:space="preserve">DB=double blind; IPD=individual </w:t>
      </w:r>
      <w:r w:rsidR="000E0599">
        <w:t>participant</w:t>
      </w:r>
      <w:r w:rsidR="000E0599" w:rsidRPr="00037EE3">
        <w:t xml:space="preserve"> </w:t>
      </w:r>
      <w:r w:rsidRPr="00037EE3">
        <w:t xml:space="preserve">data; MC=multi-centre; </w:t>
      </w:r>
      <w:r w:rsidR="0061229D" w:rsidRPr="00037EE3">
        <w:t xml:space="preserve">OL=open label; </w:t>
      </w:r>
      <w:r w:rsidRPr="00037EE3">
        <w:t>R=randomised; SOC=standard of care</w:t>
      </w:r>
    </w:p>
    <w:p w:rsidR="003536F8" w:rsidRPr="00037EE3" w:rsidRDefault="003536F8" w:rsidP="00CF1FF9">
      <w:pPr>
        <w:pStyle w:val="3-BodyText"/>
        <w:ind w:left="709"/>
      </w:pPr>
      <w:r w:rsidRPr="00037EE3">
        <w:t xml:space="preserve">The UTRO-200-PTD </w:t>
      </w:r>
      <w:r w:rsidR="002D363E" w:rsidRPr="00037EE3">
        <w:t xml:space="preserve">trial </w:t>
      </w:r>
      <w:r w:rsidR="00404B48" w:rsidRPr="00037EE3">
        <w:t xml:space="preserve">recruited </w:t>
      </w:r>
      <w:r w:rsidR="00946C2C" w:rsidRPr="00037EE3">
        <w:t xml:space="preserve">women </w:t>
      </w:r>
      <w:r w:rsidR="002D363E" w:rsidRPr="00037EE3">
        <w:t xml:space="preserve">in Russia, Ukraine and </w:t>
      </w:r>
      <w:r w:rsidR="0061229D" w:rsidRPr="00037EE3">
        <w:t>Belarus</w:t>
      </w:r>
      <w:r w:rsidR="002D363E" w:rsidRPr="00037EE3">
        <w:t>.</w:t>
      </w:r>
      <w:r w:rsidR="00576993" w:rsidRPr="00037EE3">
        <w:t xml:space="preserve"> </w:t>
      </w:r>
      <w:r w:rsidR="002D363E" w:rsidRPr="00037EE3">
        <w:t>It was an open-label</w:t>
      </w:r>
      <w:r w:rsidR="0061229D" w:rsidRPr="00037EE3">
        <w:t>,</w:t>
      </w:r>
      <w:r w:rsidR="002D363E" w:rsidRPr="00037EE3">
        <w:t xml:space="preserve"> </w:t>
      </w:r>
      <w:r w:rsidR="00C47FC0" w:rsidRPr="00037EE3">
        <w:t>non-comparative</w:t>
      </w:r>
      <w:r w:rsidRPr="00037EE3">
        <w:t xml:space="preserve"> trial</w:t>
      </w:r>
      <w:r w:rsidR="0061229D" w:rsidRPr="00037EE3">
        <w:t xml:space="preserve"> including </w:t>
      </w:r>
      <w:r w:rsidR="00946C2C" w:rsidRPr="00037EE3">
        <w:t>women</w:t>
      </w:r>
      <w:r w:rsidR="0061229D" w:rsidRPr="00037EE3">
        <w:t xml:space="preserve"> with a short cervix (&gt;1</w:t>
      </w:r>
      <w:r w:rsidR="00AF08C5" w:rsidRPr="00037EE3">
        <w:t>0 mm</w:t>
      </w:r>
      <w:r w:rsidR="0061229D" w:rsidRPr="00037EE3">
        <w:t xml:space="preserve"> and &lt;2</w:t>
      </w:r>
      <w:r w:rsidR="00AF08C5" w:rsidRPr="00037EE3">
        <w:t>5 mm</w:t>
      </w:r>
      <w:r w:rsidR="0061229D" w:rsidRPr="00037EE3">
        <w:t>) or a history of preterm birth.</w:t>
      </w:r>
      <w:r w:rsidR="00576993" w:rsidRPr="00037EE3">
        <w:t xml:space="preserve"> </w:t>
      </w:r>
      <w:r w:rsidR="0061229D" w:rsidRPr="00037EE3">
        <w:rPr>
          <w:iCs/>
        </w:rPr>
        <w:t xml:space="preserve">The trial </w:t>
      </w:r>
      <w:r w:rsidR="001078FD" w:rsidRPr="00037EE3">
        <w:rPr>
          <w:iCs/>
        </w:rPr>
        <w:t>was considered to have a high risk of bias as it was not blinded</w:t>
      </w:r>
      <w:r w:rsidR="00A02BA2" w:rsidRPr="00037EE3">
        <w:rPr>
          <w:iCs/>
        </w:rPr>
        <w:t>, although the objective outcomes assessed in the trial minimised the risk of bias</w:t>
      </w:r>
      <w:r w:rsidR="001078FD" w:rsidRPr="00037EE3">
        <w:rPr>
          <w:iCs/>
        </w:rPr>
        <w:t>.</w:t>
      </w:r>
      <w:r w:rsidR="00576993" w:rsidRPr="00037EE3">
        <w:t xml:space="preserve"> </w:t>
      </w:r>
      <w:r w:rsidR="001078FD" w:rsidRPr="00037EE3">
        <w:t>Resul</w:t>
      </w:r>
      <w:r w:rsidR="00C47FC0" w:rsidRPr="00037EE3">
        <w:t>t</w:t>
      </w:r>
      <w:r w:rsidR="001078FD" w:rsidRPr="00037EE3">
        <w:t>s of the trial were not used as part of the cost analysis.</w:t>
      </w:r>
      <w:r w:rsidRPr="00037EE3">
        <w:t xml:space="preserve"> </w:t>
      </w:r>
    </w:p>
    <w:p w:rsidR="009E7729" w:rsidRPr="00037EE3" w:rsidRDefault="009E7729" w:rsidP="00CF1FF9">
      <w:pPr>
        <w:pStyle w:val="3-BodyText"/>
        <w:ind w:left="709"/>
      </w:pPr>
      <w:r w:rsidRPr="00037EE3">
        <w:t>The Romero (2018) meta-analysis was based on five trials</w:t>
      </w:r>
      <w:r w:rsidR="000C2CA7" w:rsidRPr="00037EE3">
        <w:t xml:space="preserve"> (</w:t>
      </w:r>
      <w:r w:rsidRPr="00037EE3">
        <w:t>Fonseca 2007</w:t>
      </w:r>
      <w:r w:rsidR="000C2CA7" w:rsidRPr="00037EE3">
        <w:t>;</w:t>
      </w:r>
      <w:r w:rsidRPr="00037EE3">
        <w:t xml:space="preserve"> O’Brien 2007</w:t>
      </w:r>
      <w:r w:rsidR="000C2CA7" w:rsidRPr="00037EE3">
        <w:t>;</w:t>
      </w:r>
      <w:r w:rsidRPr="00037EE3">
        <w:t xml:space="preserve"> Hassan 2011</w:t>
      </w:r>
      <w:r w:rsidR="000C2CA7" w:rsidRPr="00037EE3">
        <w:t>;</w:t>
      </w:r>
      <w:r w:rsidRPr="00037EE3">
        <w:t xml:space="preserve"> Cetingoz 2011</w:t>
      </w:r>
      <w:r w:rsidR="00ED1E06" w:rsidRPr="00037EE3">
        <w:t>; Norman</w:t>
      </w:r>
      <w:r w:rsidRPr="00037EE3">
        <w:t xml:space="preserve"> 2016</w:t>
      </w:r>
      <w:r w:rsidR="000C2CA7" w:rsidRPr="00037EE3">
        <w:t>)</w:t>
      </w:r>
      <w:r w:rsidRPr="00037EE3">
        <w:t>.</w:t>
      </w:r>
      <w:r w:rsidR="00576993" w:rsidRPr="00037EE3">
        <w:t xml:space="preserve"> </w:t>
      </w:r>
      <w:r w:rsidR="00946C2C" w:rsidRPr="00037EE3">
        <w:t xml:space="preserve">Women </w:t>
      </w:r>
      <w:r w:rsidRPr="00037EE3">
        <w:t>in these trials had cervical length &lt;2</w:t>
      </w:r>
      <w:r w:rsidR="00AF08C5" w:rsidRPr="00037EE3">
        <w:t>5 mm</w:t>
      </w:r>
      <w:r w:rsidRPr="00037EE3">
        <w:t xml:space="preserve"> and/or a history of preterm birth.</w:t>
      </w:r>
      <w:r w:rsidR="00576993" w:rsidRPr="00037EE3">
        <w:t xml:space="preserve"> </w:t>
      </w:r>
      <w:r w:rsidRPr="00037EE3">
        <w:rPr>
          <w:iCs/>
        </w:rPr>
        <w:t>Two of the trials (Fonseca 2007 and Cetingoz 2011) included twin pregnancies.</w:t>
      </w:r>
      <w:r w:rsidR="00576993" w:rsidRPr="00037EE3">
        <w:rPr>
          <w:iCs/>
        </w:rPr>
        <w:t xml:space="preserve"> </w:t>
      </w:r>
      <w:r w:rsidRPr="00037EE3">
        <w:rPr>
          <w:iCs/>
        </w:rPr>
        <w:t>The submission did not provide any discussion on the impact this may have on the applicability of the Romero (2018) meta-analysis to the proposed PBS population, which is for singleton pregnancies only.</w:t>
      </w:r>
    </w:p>
    <w:p w:rsidR="000C2CA7" w:rsidRPr="00037EE3" w:rsidRDefault="009E7729" w:rsidP="001066D4">
      <w:pPr>
        <w:pStyle w:val="3-BodyText"/>
        <w:ind w:left="709" w:hanging="709"/>
        <w:rPr>
          <w:iCs/>
        </w:rPr>
      </w:pPr>
      <w:bookmarkStart w:id="11" w:name="_Ref50448737"/>
      <w:r w:rsidRPr="00037EE3">
        <w:t>The submission provided justification for exclusion of two trials (Norman 2016; van Os 2015</w:t>
      </w:r>
      <w:r w:rsidR="001477C9" w:rsidRPr="00037EE3">
        <w:t>) and three meta-analyses (Dodd 2013; Romero 2016; Jarde 2017).</w:t>
      </w:r>
      <w:r w:rsidR="00576993" w:rsidRPr="00037EE3">
        <w:t xml:space="preserve"> </w:t>
      </w:r>
      <w:r w:rsidR="001477C9" w:rsidRPr="00037EE3">
        <w:rPr>
          <w:iCs/>
        </w:rPr>
        <w:t xml:space="preserve">The exclusion of the meta-analyses was reasonable, as the Romero (2018) analysis </w:t>
      </w:r>
      <w:r w:rsidR="00174993" w:rsidRPr="00037EE3">
        <w:rPr>
          <w:iCs/>
        </w:rPr>
        <w:t>included many of the same trials assessed in the other meta-analyses</w:t>
      </w:r>
      <w:r w:rsidR="001477C9" w:rsidRPr="00037EE3">
        <w:rPr>
          <w:iCs/>
        </w:rPr>
        <w:t>.</w:t>
      </w:r>
      <w:r w:rsidR="00576993" w:rsidRPr="00037EE3">
        <w:rPr>
          <w:iCs/>
        </w:rPr>
        <w:t xml:space="preserve"> </w:t>
      </w:r>
      <w:r w:rsidR="00567BF3" w:rsidRPr="00037EE3">
        <w:t>However, the ESC noted Jarde 2017 concluded</w:t>
      </w:r>
      <w:r w:rsidR="00693859" w:rsidRPr="00037EE3">
        <w:t xml:space="preserve"> that for women with either a prior preterm birth</w:t>
      </w:r>
      <w:r w:rsidR="00EA0E9C" w:rsidRPr="00037EE3">
        <w:t xml:space="preserve"> </w:t>
      </w:r>
      <w:r w:rsidR="00693859" w:rsidRPr="00037EE3">
        <w:t>or a sh</w:t>
      </w:r>
      <w:r w:rsidR="00EA0E9C" w:rsidRPr="00037EE3">
        <w:t>ortened cervix</w:t>
      </w:r>
      <w:r w:rsidR="00693859" w:rsidRPr="00037EE3">
        <w:t>, progesterone was effective</w:t>
      </w:r>
      <w:r w:rsidR="00567BF3" w:rsidRPr="00037EE3">
        <w:t>: “Vaginal progesterone was the only intervention with consistent effectiveness for preventing preterm birth in singleton at risk pregnancies overall and in those with a previous preterm birth”.</w:t>
      </w:r>
    </w:p>
    <w:p w:rsidR="009E7729" w:rsidRPr="00037EE3" w:rsidRDefault="000C2CA7" w:rsidP="001066D4">
      <w:pPr>
        <w:pStyle w:val="3-BodyText"/>
        <w:ind w:left="709" w:hanging="709"/>
        <w:rPr>
          <w:iCs/>
        </w:rPr>
      </w:pPr>
      <w:r w:rsidRPr="00037EE3">
        <w:rPr>
          <w:iCs/>
        </w:rPr>
        <w:t>T</w:t>
      </w:r>
      <w:r w:rsidR="001477C9" w:rsidRPr="00037EE3">
        <w:rPr>
          <w:iCs/>
        </w:rPr>
        <w:t>he submission did not identify</w:t>
      </w:r>
      <w:r w:rsidR="00EA0E9C" w:rsidRPr="00037EE3">
        <w:rPr>
          <w:iCs/>
        </w:rPr>
        <w:t xml:space="preserve"> </w:t>
      </w:r>
      <w:r w:rsidRPr="00037EE3">
        <w:rPr>
          <w:iCs/>
        </w:rPr>
        <w:t>an</w:t>
      </w:r>
      <w:r w:rsidR="001477C9" w:rsidRPr="00037EE3">
        <w:rPr>
          <w:iCs/>
        </w:rPr>
        <w:t xml:space="preserve"> overview of Cochrane systematic reviews (Medley 2018</w:t>
      </w:r>
      <w:r w:rsidR="00E0141E" w:rsidRPr="00037EE3">
        <w:rPr>
          <w:iCs/>
        </w:rPr>
        <w:t>, paragraph 6.5</w:t>
      </w:r>
      <w:r w:rsidR="001477C9" w:rsidRPr="00037EE3">
        <w:rPr>
          <w:iCs/>
        </w:rPr>
        <w:t>)</w:t>
      </w:r>
      <w:r w:rsidRPr="00037EE3">
        <w:rPr>
          <w:iCs/>
        </w:rPr>
        <w:t>, which</w:t>
      </w:r>
      <w:r w:rsidR="00EA0E9C" w:rsidRPr="00037EE3">
        <w:rPr>
          <w:iCs/>
        </w:rPr>
        <w:t xml:space="preserve"> </w:t>
      </w:r>
      <w:r w:rsidRPr="00037EE3">
        <w:rPr>
          <w:iCs/>
        </w:rPr>
        <w:t xml:space="preserve">described </w:t>
      </w:r>
      <w:r w:rsidR="001477C9" w:rsidRPr="00037EE3">
        <w:rPr>
          <w:iCs/>
        </w:rPr>
        <w:t>83 systematic reviews assessing ways to prevent preterm birth, of which 70 have outcome data.</w:t>
      </w:r>
      <w:r w:rsidR="00576993" w:rsidRPr="00037EE3">
        <w:rPr>
          <w:iCs/>
        </w:rPr>
        <w:t xml:space="preserve"> </w:t>
      </w:r>
      <w:r w:rsidR="001477C9" w:rsidRPr="00037EE3">
        <w:rPr>
          <w:iCs/>
        </w:rPr>
        <w:t>Of the 70 reviews, 36 were reviews of interventions with the aim of preventing preterm birth</w:t>
      </w:r>
      <w:r w:rsidR="00943C88" w:rsidRPr="00037EE3">
        <w:rPr>
          <w:iCs/>
        </w:rPr>
        <w:t>, including cervical cerclage, midwife-led models of care and zinc supplementation</w:t>
      </w:r>
      <w:r w:rsidR="001477C9" w:rsidRPr="00037EE3">
        <w:rPr>
          <w:iCs/>
        </w:rPr>
        <w:t>.</w:t>
      </w:r>
      <w:r w:rsidR="00576993" w:rsidRPr="00037EE3">
        <w:rPr>
          <w:iCs/>
        </w:rPr>
        <w:t xml:space="preserve"> </w:t>
      </w:r>
      <w:r w:rsidRPr="00037EE3">
        <w:rPr>
          <w:iCs/>
        </w:rPr>
        <w:t>The ESC</w:t>
      </w:r>
      <w:r w:rsidR="008B1E40" w:rsidRPr="00037EE3">
        <w:rPr>
          <w:iCs/>
        </w:rPr>
        <w:t xml:space="preserve"> noted that much of these outcome data </w:t>
      </w:r>
      <w:r w:rsidR="003973D8" w:rsidRPr="00037EE3">
        <w:rPr>
          <w:iCs/>
        </w:rPr>
        <w:t xml:space="preserve">were </w:t>
      </w:r>
      <w:r w:rsidR="008B1E40" w:rsidRPr="00037EE3">
        <w:rPr>
          <w:iCs/>
        </w:rPr>
        <w:t>not relevant to the submission.</w:t>
      </w:r>
      <w:r w:rsidRPr="00037EE3">
        <w:rPr>
          <w:iCs/>
        </w:rPr>
        <w:t xml:space="preserve"> </w:t>
      </w:r>
      <w:bookmarkEnd w:id="11"/>
    </w:p>
    <w:p w:rsidR="008B1E40" w:rsidRPr="00037EE3" w:rsidRDefault="001477C9" w:rsidP="001066D4">
      <w:pPr>
        <w:pStyle w:val="3-BodyText"/>
        <w:ind w:left="709" w:hanging="709"/>
      </w:pPr>
      <w:r w:rsidRPr="00037EE3">
        <w:rPr>
          <w:iCs/>
        </w:rPr>
        <w:lastRenderedPageBreak/>
        <w:t>A systematic review and meta-analysis by Prior 2017</w:t>
      </w:r>
      <w:r w:rsidR="008B1E40" w:rsidRPr="00037EE3">
        <w:rPr>
          <w:iCs/>
        </w:rPr>
        <w:t>, also not identified in the submission</w:t>
      </w:r>
      <w:r w:rsidR="00E0141E" w:rsidRPr="00037EE3">
        <w:rPr>
          <w:iCs/>
        </w:rPr>
        <w:t xml:space="preserve"> (paragraph 6.5)</w:t>
      </w:r>
      <w:r w:rsidR="008B1E40" w:rsidRPr="00037EE3">
        <w:rPr>
          <w:iCs/>
        </w:rPr>
        <w:t>,</w:t>
      </w:r>
      <w:r w:rsidRPr="00037EE3">
        <w:rPr>
          <w:iCs/>
        </w:rPr>
        <w:t xml:space="preserve"> discussed that earlier studies and reviews may have been biased by either selective publication or selective choice of outcome.</w:t>
      </w:r>
      <w:r w:rsidR="00576993" w:rsidRPr="00037EE3">
        <w:rPr>
          <w:iCs/>
        </w:rPr>
        <w:t xml:space="preserve"> </w:t>
      </w:r>
      <w:r w:rsidR="00C97DCC" w:rsidRPr="00037EE3">
        <w:rPr>
          <w:iCs/>
        </w:rPr>
        <w:t>The</w:t>
      </w:r>
      <w:r w:rsidR="00C47FC0" w:rsidRPr="00037EE3">
        <w:rPr>
          <w:iCs/>
        </w:rPr>
        <w:t xml:space="preserve"> Prior 2017</w:t>
      </w:r>
      <w:r w:rsidR="00C97DCC" w:rsidRPr="00037EE3">
        <w:rPr>
          <w:iCs/>
        </w:rPr>
        <w:t xml:space="preserve"> paper presented a meta-analysis assessing preterm birth using only trials that were registered</w:t>
      </w:r>
      <w:r w:rsidR="00987DB7" w:rsidRPr="00037EE3">
        <w:rPr>
          <w:iCs/>
        </w:rPr>
        <w:t xml:space="preserve"> (</w:t>
      </w:r>
      <w:r w:rsidR="000E02FB" w:rsidRPr="00037EE3">
        <w:rPr>
          <w:iCs/>
        </w:rPr>
        <w:t>i</w:t>
      </w:r>
      <w:r w:rsidR="00987DB7" w:rsidRPr="00037EE3">
        <w:rPr>
          <w:iCs/>
        </w:rPr>
        <w:t xml:space="preserve">n publicly </w:t>
      </w:r>
      <w:r w:rsidR="005656A1" w:rsidRPr="00037EE3">
        <w:rPr>
          <w:iCs/>
        </w:rPr>
        <w:t xml:space="preserve">available </w:t>
      </w:r>
      <w:r w:rsidR="00987DB7" w:rsidRPr="00037EE3">
        <w:rPr>
          <w:iCs/>
        </w:rPr>
        <w:t>trial registries</w:t>
      </w:r>
      <w:r w:rsidR="005656A1" w:rsidRPr="00037EE3">
        <w:rPr>
          <w:iCs/>
        </w:rPr>
        <w:t xml:space="preserve"> recognised by the WHO</w:t>
      </w:r>
      <w:r w:rsidR="00987DB7" w:rsidRPr="00037EE3">
        <w:rPr>
          <w:rStyle w:val="FootnoteReference"/>
          <w:iCs/>
        </w:rPr>
        <w:footnoteReference w:id="6"/>
      </w:r>
      <w:r w:rsidR="00987DB7" w:rsidRPr="00037EE3">
        <w:rPr>
          <w:iCs/>
        </w:rPr>
        <w:t>)</w:t>
      </w:r>
      <w:r w:rsidR="00C97DCC" w:rsidRPr="00037EE3">
        <w:rPr>
          <w:iCs/>
        </w:rPr>
        <w:t xml:space="preserve"> and reported predefined primary outcomes</w:t>
      </w:r>
      <w:r w:rsidR="0072418A" w:rsidRPr="00037EE3">
        <w:rPr>
          <w:iCs/>
        </w:rPr>
        <w:t xml:space="preserve">, </w:t>
      </w:r>
      <w:r w:rsidR="00944C53" w:rsidRPr="00037EE3">
        <w:rPr>
          <w:iCs/>
        </w:rPr>
        <w:t>i.e.</w:t>
      </w:r>
      <w:r w:rsidR="0072418A" w:rsidRPr="00037EE3">
        <w:rPr>
          <w:iCs/>
        </w:rPr>
        <w:t xml:space="preserve"> at less risk of bias due to selective publication or selective choice of outcome</w:t>
      </w:r>
      <w:r w:rsidR="00C97DCC" w:rsidRPr="00037EE3">
        <w:rPr>
          <w:iCs/>
        </w:rPr>
        <w:t>.</w:t>
      </w:r>
      <w:r w:rsidR="00576993" w:rsidRPr="00037EE3">
        <w:rPr>
          <w:iCs/>
        </w:rPr>
        <w:t xml:space="preserve"> </w:t>
      </w:r>
      <w:r w:rsidR="00C97DCC" w:rsidRPr="00037EE3">
        <w:rPr>
          <w:iCs/>
        </w:rPr>
        <w:t xml:space="preserve">This analysis included </w:t>
      </w:r>
      <w:r w:rsidR="00E0141E" w:rsidRPr="00037EE3">
        <w:rPr>
          <w:iCs/>
        </w:rPr>
        <w:t>eight</w:t>
      </w:r>
      <w:r w:rsidR="00C97DCC" w:rsidRPr="00037EE3">
        <w:rPr>
          <w:iCs/>
        </w:rPr>
        <w:t xml:space="preserve"> trials and found no advantage for progesterone </w:t>
      </w:r>
      <w:r w:rsidR="00DA03FB" w:rsidRPr="00037EE3">
        <w:rPr>
          <w:iCs/>
        </w:rPr>
        <w:t xml:space="preserve">in preventing preterm birth prior to 34 weeks </w:t>
      </w:r>
      <w:r w:rsidR="00C97DCC" w:rsidRPr="00037EE3">
        <w:rPr>
          <w:iCs/>
        </w:rPr>
        <w:t>(RR=0.90; 95% CI: 0.77, 1.06)</w:t>
      </w:r>
      <w:r w:rsidR="008B1E40" w:rsidRPr="00037EE3">
        <w:t>, and had an I</w:t>
      </w:r>
      <w:r w:rsidR="008B1E40" w:rsidRPr="00037EE3">
        <w:rPr>
          <w:vertAlign w:val="superscript"/>
        </w:rPr>
        <w:t>2</w:t>
      </w:r>
      <w:r w:rsidR="008B1E40" w:rsidRPr="00037EE3">
        <w:t xml:space="preserve"> value of 33%, indicating some heterogeneity</w:t>
      </w:r>
      <w:r w:rsidR="00C97DCC" w:rsidRPr="00037EE3">
        <w:rPr>
          <w:iCs/>
        </w:rPr>
        <w:t>.</w:t>
      </w:r>
      <w:r w:rsidR="00576993" w:rsidRPr="00037EE3">
        <w:rPr>
          <w:iCs/>
        </w:rPr>
        <w:t xml:space="preserve"> </w:t>
      </w:r>
      <w:r w:rsidR="008B1E40" w:rsidRPr="00037EE3">
        <w:rPr>
          <w:iCs/>
        </w:rPr>
        <w:t>However, t</w:t>
      </w:r>
      <w:r w:rsidR="00C97DCC" w:rsidRPr="00037EE3">
        <w:rPr>
          <w:iCs/>
        </w:rPr>
        <w:t xml:space="preserve">he analysis </w:t>
      </w:r>
      <w:r w:rsidR="008449BA">
        <w:rPr>
          <w:iCs/>
        </w:rPr>
        <w:t>included trials that used intramuscular progestogens, and was not exclusive to vaginal progestogens</w:t>
      </w:r>
      <w:r w:rsidR="00E22CC6">
        <w:rPr>
          <w:iCs/>
        </w:rPr>
        <w:t>.</w:t>
      </w:r>
    </w:p>
    <w:p w:rsidR="009E7729" w:rsidRPr="00037EE3" w:rsidRDefault="0072418A" w:rsidP="001066D4">
      <w:pPr>
        <w:pStyle w:val="3-BodyText"/>
        <w:ind w:left="709" w:hanging="709"/>
      </w:pPr>
      <w:r w:rsidRPr="00037EE3">
        <w:rPr>
          <w:iCs/>
        </w:rPr>
        <w:t>Only three of the trials included in the Romero (2018) meta-analysis were registered</w:t>
      </w:r>
      <w:r w:rsidR="001013CF" w:rsidRPr="00037EE3">
        <w:rPr>
          <w:iCs/>
        </w:rPr>
        <w:t xml:space="preserve"> (in WHO-recognised publicly registered trial registries</w:t>
      </w:r>
      <w:r w:rsidR="00E0141E" w:rsidRPr="00037EE3">
        <w:rPr>
          <w:iCs/>
          <w:vertAlign w:val="superscript"/>
        </w:rPr>
        <w:t>6</w:t>
      </w:r>
      <w:r w:rsidR="001013CF" w:rsidRPr="00037EE3">
        <w:rPr>
          <w:iCs/>
        </w:rPr>
        <w:t>)</w:t>
      </w:r>
      <w:r w:rsidRPr="00037EE3">
        <w:rPr>
          <w:iCs/>
        </w:rPr>
        <w:t xml:space="preserve"> and used predefined primary </w:t>
      </w:r>
      <w:r w:rsidR="00944C53" w:rsidRPr="00037EE3">
        <w:rPr>
          <w:iCs/>
        </w:rPr>
        <w:t>outcomes (</w:t>
      </w:r>
      <w:r w:rsidRPr="00037EE3">
        <w:rPr>
          <w:iCs/>
        </w:rPr>
        <w:t>O’Brien 2007; Hassan 2011; Norman 2016).</w:t>
      </w:r>
    </w:p>
    <w:p w:rsidR="00B60939" w:rsidRPr="00037EE3" w:rsidRDefault="00B60939" w:rsidP="00EC5836">
      <w:pPr>
        <w:pStyle w:val="4-SubsectionHeading"/>
      </w:pPr>
      <w:bookmarkStart w:id="12" w:name="_Toc22897641"/>
      <w:bookmarkStart w:id="13" w:name="_Toc50936082"/>
      <w:r w:rsidRPr="00037EE3">
        <w:t>Comparative effectiveness</w:t>
      </w:r>
      <w:bookmarkEnd w:id="12"/>
      <w:bookmarkEnd w:id="13"/>
    </w:p>
    <w:p w:rsidR="00BD7F81" w:rsidRPr="00037EE3" w:rsidRDefault="00BD7F81" w:rsidP="00BD7F81">
      <w:pPr>
        <w:pStyle w:val="3-BodyText"/>
        <w:numPr>
          <w:ilvl w:val="0"/>
          <w:numId w:val="0"/>
        </w:numPr>
        <w:rPr>
          <w:u w:val="single"/>
        </w:rPr>
      </w:pPr>
      <w:r w:rsidRPr="00037EE3">
        <w:rPr>
          <w:u w:val="single"/>
        </w:rPr>
        <w:t>UTRO-200-PTD</w:t>
      </w:r>
    </w:p>
    <w:p w:rsidR="00BD7F81" w:rsidRPr="00037EE3" w:rsidRDefault="00BD7F81" w:rsidP="001066D4">
      <w:pPr>
        <w:pStyle w:val="3-BodyText"/>
        <w:ind w:left="709"/>
      </w:pPr>
      <w:r w:rsidRPr="00037EE3">
        <w:t>The table below summarises the key results from UTRO-200-PTD for prevention of preterm birth</w:t>
      </w:r>
      <w:r w:rsidR="001312F6" w:rsidRPr="00037EE3">
        <w:t xml:space="preserve"> compared to preterm birth population risk in literature data</w:t>
      </w:r>
      <w:r w:rsidRPr="00037EE3">
        <w:t>.</w:t>
      </w:r>
    </w:p>
    <w:p w:rsidR="00BD7F81" w:rsidRPr="00037EE3" w:rsidRDefault="00BD7F81" w:rsidP="00AD3218">
      <w:pPr>
        <w:pStyle w:val="TableFigureHeading"/>
        <w:rPr>
          <w:rStyle w:val="CommentReference"/>
          <w:b/>
        </w:rPr>
      </w:pPr>
      <w:r w:rsidRPr="00037EE3">
        <w:rPr>
          <w:rStyle w:val="CommentReference"/>
          <w:b/>
        </w:rPr>
        <w:t xml:space="preserve">Table </w:t>
      </w:r>
      <w:r w:rsidR="006161D5" w:rsidRPr="00037EE3">
        <w:rPr>
          <w:rStyle w:val="CommentReference"/>
          <w:b/>
        </w:rPr>
        <w:t>4</w:t>
      </w:r>
      <w:r w:rsidRPr="00037EE3">
        <w:rPr>
          <w:rStyle w:val="CommentReference"/>
          <w:b/>
        </w:rPr>
        <w:t>: Occurrence of preterm birth (&lt;34 weeks) in UTRO-200-PTD</w:t>
      </w:r>
      <w:r w:rsidR="001312F6" w:rsidRPr="00037EE3">
        <w:rPr>
          <w:rStyle w:val="CommentReference"/>
          <w:b/>
        </w:rPr>
        <w:t xml:space="preserve"> in comparison to literature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1861"/>
        <w:gridCol w:w="1856"/>
        <w:gridCol w:w="1295"/>
      </w:tblGrid>
      <w:tr w:rsidR="00BD7F81" w:rsidRPr="00037EE3" w:rsidTr="00AD3218">
        <w:trPr>
          <w:tblHeader/>
        </w:trPr>
        <w:tc>
          <w:tcPr>
            <w:tcW w:w="2220" w:type="pct"/>
            <w:vAlign w:val="center"/>
          </w:tcPr>
          <w:p w:rsidR="00BD7F81" w:rsidRPr="00037EE3" w:rsidRDefault="00BD7F81" w:rsidP="00D95A3B">
            <w:pPr>
              <w:pStyle w:val="In-tableHeading"/>
              <w:keepNext w:val="0"/>
              <w:widowControl w:val="0"/>
              <w:rPr>
                <w:lang w:val="en-AU"/>
              </w:rPr>
            </w:pPr>
            <w:r w:rsidRPr="00037EE3">
              <w:rPr>
                <w:lang w:val="en-AU"/>
              </w:rPr>
              <w:t>Assessment group</w:t>
            </w:r>
          </w:p>
        </w:tc>
        <w:tc>
          <w:tcPr>
            <w:tcW w:w="1032" w:type="pct"/>
            <w:vAlign w:val="center"/>
          </w:tcPr>
          <w:p w:rsidR="00BD7F81" w:rsidRPr="00037EE3" w:rsidRDefault="00BD7F81" w:rsidP="00D95A3B">
            <w:pPr>
              <w:pStyle w:val="In-tableHeading"/>
              <w:keepNext w:val="0"/>
              <w:widowControl w:val="0"/>
              <w:jc w:val="center"/>
              <w:rPr>
                <w:lang w:val="en-AU"/>
              </w:rPr>
            </w:pPr>
            <w:r w:rsidRPr="00037EE3">
              <w:rPr>
                <w:lang w:val="en-AU"/>
              </w:rPr>
              <w:t>RR (95% CI)</w:t>
            </w:r>
          </w:p>
        </w:tc>
        <w:tc>
          <w:tcPr>
            <w:tcW w:w="1029" w:type="pct"/>
            <w:vAlign w:val="center"/>
          </w:tcPr>
          <w:p w:rsidR="00BD7F81" w:rsidRPr="00037EE3" w:rsidRDefault="00BD7F81" w:rsidP="00D95A3B">
            <w:pPr>
              <w:pStyle w:val="In-tableHeading"/>
              <w:keepNext w:val="0"/>
              <w:widowControl w:val="0"/>
              <w:jc w:val="center"/>
              <w:rPr>
                <w:lang w:val="en-AU"/>
              </w:rPr>
            </w:pPr>
            <w:r w:rsidRPr="00037EE3">
              <w:rPr>
                <w:lang w:val="en-AU"/>
              </w:rPr>
              <w:t>RRR (95% CI)</w:t>
            </w:r>
          </w:p>
        </w:tc>
        <w:tc>
          <w:tcPr>
            <w:tcW w:w="718" w:type="pct"/>
            <w:vAlign w:val="center"/>
          </w:tcPr>
          <w:p w:rsidR="00BD7F81" w:rsidRPr="00037EE3" w:rsidRDefault="00BD7F81" w:rsidP="00D95A3B">
            <w:pPr>
              <w:pStyle w:val="In-tableHeading"/>
              <w:keepNext w:val="0"/>
              <w:widowControl w:val="0"/>
              <w:jc w:val="center"/>
              <w:rPr>
                <w:lang w:val="en-AU"/>
              </w:rPr>
            </w:pPr>
            <w:r w:rsidRPr="00037EE3">
              <w:rPr>
                <w:lang w:val="en-AU"/>
              </w:rPr>
              <w:t>NNT (95% CI)</w:t>
            </w:r>
          </w:p>
        </w:tc>
      </w:tr>
      <w:tr w:rsidR="00BD7F81" w:rsidRPr="00037EE3" w:rsidTr="00AD3218">
        <w:tc>
          <w:tcPr>
            <w:tcW w:w="2220" w:type="pct"/>
            <w:vAlign w:val="center"/>
          </w:tcPr>
          <w:p w:rsidR="00BD7F81" w:rsidRPr="00037EE3" w:rsidRDefault="00BD7F81" w:rsidP="00D95A3B">
            <w:pPr>
              <w:pStyle w:val="TableText0"/>
              <w:keepNext w:val="0"/>
              <w:widowControl w:val="0"/>
            </w:pPr>
            <w:r w:rsidRPr="00037EE3">
              <w:t>Cervical shortening (N</w:t>
            </w:r>
            <w:r w:rsidR="008C3FD2" w:rsidRPr="00037EE3">
              <w:t>=109</w:t>
            </w:r>
            <w:r w:rsidRPr="00037EE3">
              <w:t>)</w:t>
            </w:r>
          </w:p>
        </w:tc>
        <w:tc>
          <w:tcPr>
            <w:tcW w:w="1032" w:type="pct"/>
            <w:vAlign w:val="center"/>
          </w:tcPr>
          <w:p w:rsidR="00BD7F81" w:rsidRPr="00037EE3" w:rsidRDefault="00BD7F81" w:rsidP="00D95A3B">
            <w:pPr>
              <w:pStyle w:val="TableText0"/>
              <w:keepNext w:val="0"/>
              <w:widowControl w:val="0"/>
              <w:jc w:val="center"/>
              <w:rPr>
                <w:b/>
                <w:bCs w:val="0"/>
              </w:rPr>
            </w:pPr>
            <w:r w:rsidRPr="00037EE3">
              <w:rPr>
                <w:b/>
                <w:bCs w:val="0"/>
              </w:rPr>
              <w:t>0.22 (0.1, 0.48)</w:t>
            </w:r>
          </w:p>
        </w:tc>
        <w:tc>
          <w:tcPr>
            <w:tcW w:w="1029" w:type="pct"/>
            <w:vAlign w:val="center"/>
          </w:tcPr>
          <w:p w:rsidR="00BD7F81" w:rsidRPr="00037EE3" w:rsidRDefault="00BD7F81" w:rsidP="00D95A3B">
            <w:pPr>
              <w:pStyle w:val="TableText0"/>
              <w:keepNext w:val="0"/>
              <w:widowControl w:val="0"/>
              <w:jc w:val="center"/>
              <w:rPr>
                <w:b/>
                <w:bCs w:val="0"/>
              </w:rPr>
            </w:pPr>
            <w:r w:rsidRPr="00037EE3">
              <w:rPr>
                <w:b/>
                <w:bCs w:val="0"/>
              </w:rPr>
              <w:t>0.8 (0.52, 0.9)</w:t>
            </w:r>
          </w:p>
        </w:tc>
        <w:tc>
          <w:tcPr>
            <w:tcW w:w="718" w:type="pct"/>
            <w:vAlign w:val="center"/>
          </w:tcPr>
          <w:p w:rsidR="00BD7F81" w:rsidRPr="00037EE3" w:rsidRDefault="00BD7F81" w:rsidP="00D95A3B">
            <w:pPr>
              <w:pStyle w:val="TableText0"/>
              <w:keepNext w:val="0"/>
              <w:widowControl w:val="0"/>
              <w:jc w:val="center"/>
              <w:rPr>
                <w:b/>
                <w:bCs w:val="0"/>
              </w:rPr>
            </w:pPr>
            <w:r w:rsidRPr="00037EE3">
              <w:rPr>
                <w:b/>
                <w:bCs w:val="0"/>
              </w:rPr>
              <w:t>5 (4, 8)</w:t>
            </w:r>
          </w:p>
        </w:tc>
      </w:tr>
      <w:tr w:rsidR="00BD7F81" w:rsidRPr="00037EE3" w:rsidTr="00AD3218">
        <w:tc>
          <w:tcPr>
            <w:tcW w:w="2220" w:type="pct"/>
            <w:vAlign w:val="center"/>
          </w:tcPr>
          <w:p w:rsidR="00BD7F81" w:rsidRPr="00037EE3" w:rsidRDefault="00BD7F81" w:rsidP="00D95A3B">
            <w:pPr>
              <w:pStyle w:val="TableText0"/>
              <w:keepNext w:val="0"/>
              <w:widowControl w:val="0"/>
            </w:pPr>
            <w:r w:rsidRPr="00037EE3">
              <w:t>Medical history (N</w:t>
            </w:r>
            <w:r w:rsidR="008C3FD2" w:rsidRPr="00037EE3">
              <w:t>=110</w:t>
            </w:r>
            <w:r w:rsidRPr="00037EE3">
              <w:t>)</w:t>
            </w:r>
          </w:p>
        </w:tc>
        <w:tc>
          <w:tcPr>
            <w:tcW w:w="1032" w:type="pct"/>
            <w:vAlign w:val="center"/>
          </w:tcPr>
          <w:p w:rsidR="00BD7F81" w:rsidRPr="00037EE3" w:rsidRDefault="00BD7F81" w:rsidP="00D95A3B">
            <w:pPr>
              <w:pStyle w:val="TableText0"/>
              <w:keepNext w:val="0"/>
              <w:widowControl w:val="0"/>
              <w:jc w:val="center"/>
              <w:rPr>
                <w:b/>
                <w:bCs w:val="0"/>
              </w:rPr>
            </w:pPr>
            <w:r w:rsidRPr="00037EE3">
              <w:rPr>
                <w:b/>
                <w:bCs w:val="0"/>
              </w:rPr>
              <w:t>0.22 (0.1, 0.48)</w:t>
            </w:r>
          </w:p>
        </w:tc>
        <w:tc>
          <w:tcPr>
            <w:tcW w:w="1029" w:type="pct"/>
            <w:vAlign w:val="center"/>
          </w:tcPr>
          <w:p w:rsidR="00BD7F81" w:rsidRPr="00037EE3" w:rsidRDefault="00BD7F81" w:rsidP="00D95A3B">
            <w:pPr>
              <w:pStyle w:val="TableText0"/>
              <w:keepNext w:val="0"/>
              <w:widowControl w:val="0"/>
              <w:jc w:val="center"/>
              <w:rPr>
                <w:b/>
                <w:bCs w:val="0"/>
              </w:rPr>
            </w:pPr>
            <w:r w:rsidRPr="00037EE3">
              <w:rPr>
                <w:b/>
                <w:bCs w:val="0"/>
              </w:rPr>
              <w:t>0.8 (0.52, 0.9)</w:t>
            </w:r>
          </w:p>
        </w:tc>
        <w:tc>
          <w:tcPr>
            <w:tcW w:w="718" w:type="pct"/>
            <w:vAlign w:val="center"/>
          </w:tcPr>
          <w:p w:rsidR="00BD7F81" w:rsidRPr="00037EE3" w:rsidRDefault="00BD7F81" w:rsidP="00D95A3B">
            <w:pPr>
              <w:pStyle w:val="TableText0"/>
              <w:keepNext w:val="0"/>
              <w:widowControl w:val="0"/>
              <w:jc w:val="center"/>
              <w:rPr>
                <w:b/>
                <w:bCs w:val="0"/>
              </w:rPr>
            </w:pPr>
            <w:r w:rsidRPr="00037EE3">
              <w:rPr>
                <w:b/>
                <w:bCs w:val="0"/>
              </w:rPr>
              <w:t>5 (4, 8)</w:t>
            </w:r>
          </w:p>
        </w:tc>
      </w:tr>
      <w:tr w:rsidR="00BD7F81" w:rsidRPr="00037EE3" w:rsidTr="00AD3218">
        <w:tc>
          <w:tcPr>
            <w:tcW w:w="2220" w:type="pct"/>
            <w:vAlign w:val="center"/>
          </w:tcPr>
          <w:p w:rsidR="00BD7F81" w:rsidRPr="00037EE3" w:rsidRDefault="00BD7F81" w:rsidP="00D95A3B">
            <w:pPr>
              <w:pStyle w:val="TableText0"/>
              <w:keepNext w:val="0"/>
              <w:widowControl w:val="0"/>
            </w:pPr>
            <w:r w:rsidRPr="00037EE3">
              <w:t>Total group (N=219)</w:t>
            </w:r>
          </w:p>
        </w:tc>
        <w:tc>
          <w:tcPr>
            <w:tcW w:w="1032" w:type="pct"/>
            <w:vAlign w:val="center"/>
          </w:tcPr>
          <w:p w:rsidR="00BD7F81" w:rsidRPr="00037EE3" w:rsidRDefault="00BD7F81" w:rsidP="00D95A3B">
            <w:pPr>
              <w:pStyle w:val="TableText0"/>
              <w:keepNext w:val="0"/>
              <w:widowControl w:val="0"/>
              <w:jc w:val="center"/>
              <w:rPr>
                <w:b/>
                <w:bCs w:val="0"/>
              </w:rPr>
            </w:pPr>
            <w:r w:rsidRPr="00037EE3">
              <w:rPr>
                <w:b/>
                <w:bCs w:val="0"/>
              </w:rPr>
              <w:t>0.22 (0.12, 0.4)</w:t>
            </w:r>
          </w:p>
        </w:tc>
        <w:tc>
          <w:tcPr>
            <w:tcW w:w="1029" w:type="pct"/>
            <w:vAlign w:val="center"/>
          </w:tcPr>
          <w:p w:rsidR="00BD7F81" w:rsidRPr="00037EE3" w:rsidRDefault="00BD7F81" w:rsidP="00D95A3B">
            <w:pPr>
              <w:pStyle w:val="TableText0"/>
              <w:keepNext w:val="0"/>
              <w:widowControl w:val="0"/>
              <w:jc w:val="center"/>
              <w:rPr>
                <w:b/>
                <w:bCs w:val="0"/>
              </w:rPr>
            </w:pPr>
            <w:r w:rsidRPr="00037EE3">
              <w:rPr>
                <w:b/>
                <w:bCs w:val="0"/>
              </w:rPr>
              <w:t>0.78 (0.61, 0.88)</w:t>
            </w:r>
          </w:p>
        </w:tc>
        <w:tc>
          <w:tcPr>
            <w:tcW w:w="718" w:type="pct"/>
            <w:vAlign w:val="center"/>
          </w:tcPr>
          <w:p w:rsidR="00BD7F81" w:rsidRPr="00037EE3" w:rsidRDefault="00BD7F81" w:rsidP="00D95A3B">
            <w:pPr>
              <w:pStyle w:val="TableText0"/>
              <w:keepNext w:val="0"/>
              <w:widowControl w:val="0"/>
              <w:jc w:val="center"/>
              <w:rPr>
                <w:b/>
                <w:bCs w:val="0"/>
              </w:rPr>
            </w:pPr>
            <w:r w:rsidRPr="00037EE3">
              <w:rPr>
                <w:b/>
                <w:bCs w:val="0"/>
              </w:rPr>
              <w:t>5 (4, 7)</w:t>
            </w:r>
          </w:p>
        </w:tc>
      </w:tr>
    </w:tbl>
    <w:p w:rsidR="00BD7F81" w:rsidRPr="00037EE3" w:rsidRDefault="00BD7F81" w:rsidP="00BD7F81">
      <w:pPr>
        <w:pStyle w:val="TableFigureFooter"/>
      </w:pPr>
      <w:r w:rsidRPr="00037EE3">
        <w:t>Source: Table 2.22, p70 of the submission.</w:t>
      </w:r>
    </w:p>
    <w:p w:rsidR="00BD7F81" w:rsidRPr="00037EE3" w:rsidRDefault="00BD7F81" w:rsidP="00BD7F81">
      <w:pPr>
        <w:pStyle w:val="TableFigureFooter"/>
      </w:pPr>
      <w:r w:rsidRPr="00037EE3">
        <w:t>CI=confidence interval; NNT=number needed to treat; RR=relative risk; RRR=relative risk reduction</w:t>
      </w:r>
      <w:r w:rsidR="008C3FD2" w:rsidRPr="00037EE3">
        <w:t xml:space="preserve">; </w:t>
      </w:r>
      <w:r w:rsidR="008C3FD2" w:rsidRPr="00037EE3">
        <w:rPr>
          <w:b/>
          <w:bCs/>
        </w:rPr>
        <w:t>bold</w:t>
      </w:r>
      <w:r w:rsidR="008C3FD2" w:rsidRPr="00037EE3">
        <w:t>=statistically significant</w:t>
      </w:r>
    </w:p>
    <w:p w:rsidR="00BD7F81" w:rsidRPr="00037EE3" w:rsidRDefault="00BD7F81" w:rsidP="001066D4">
      <w:pPr>
        <w:pStyle w:val="3-BodyText"/>
        <w:ind w:left="709" w:hanging="709"/>
      </w:pPr>
      <w:r w:rsidRPr="00037EE3">
        <w:t>The submission claimed (p71) that the risk of preterm birth to 34 weeks was reduced in all groups in the trial, with statistically significant risk reductions observed.</w:t>
      </w:r>
      <w:r w:rsidR="00576993" w:rsidRPr="00037EE3">
        <w:t xml:space="preserve"> </w:t>
      </w:r>
      <w:r w:rsidRPr="00037EE3">
        <w:rPr>
          <w:iCs/>
        </w:rPr>
        <w:t xml:space="preserve">The relative risk and relative risk reduction calculated for </w:t>
      </w:r>
      <w:r w:rsidR="00946C2C" w:rsidRPr="00037EE3">
        <w:rPr>
          <w:iCs/>
        </w:rPr>
        <w:t xml:space="preserve">women </w:t>
      </w:r>
      <w:r w:rsidR="001312F6" w:rsidRPr="00037EE3">
        <w:rPr>
          <w:iCs/>
        </w:rPr>
        <w:t xml:space="preserve">enrolled in </w:t>
      </w:r>
      <w:r w:rsidRPr="00037EE3">
        <w:rPr>
          <w:iCs/>
        </w:rPr>
        <w:t xml:space="preserve">UTRO-200-PTD (all </w:t>
      </w:r>
      <w:r w:rsidR="00946C2C" w:rsidRPr="00037EE3">
        <w:rPr>
          <w:iCs/>
        </w:rPr>
        <w:t xml:space="preserve">women </w:t>
      </w:r>
      <w:r w:rsidRPr="00037EE3">
        <w:rPr>
          <w:iCs/>
        </w:rPr>
        <w:t>received Utrogestan) was based on a comparison with a literature population.</w:t>
      </w:r>
      <w:r w:rsidR="00576993" w:rsidRPr="00037EE3">
        <w:rPr>
          <w:iCs/>
        </w:rPr>
        <w:t xml:space="preserve"> </w:t>
      </w:r>
      <w:r w:rsidRPr="00037EE3">
        <w:rPr>
          <w:iCs/>
        </w:rPr>
        <w:t xml:space="preserve">Neither the submission </w:t>
      </w:r>
      <w:r w:rsidR="007C19BB" w:rsidRPr="00037EE3">
        <w:rPr>
          <w:iCs/>
        </w:rPr>
        <w:t>n</w:t>
      </w:r>
      <w:r w:rsidRPr="00037EE3">
        <w:rPr>
          <w:iCs/>
        </w:rPr>
        <w:t>or the</w:t>
      </w:r>
      <w:r w:rsidR="00E802A7" w:rsidRPr="00037EE3">
        <w:rPr>
          <w:iCs/>
        </w:rPr>
        <w:t xml:space="preserve"> clinical study report</w:t>
      </w:r>
      <w:r w:rsidRPr="00037EE3">
        <w:rPr>
          <w:iCs/>
        </w:rPr>
        <w:t xml:space="preserve"> </w:t>
      </w:r>
      <w:r w:rsidR="00E802A7" w:rsidRPr="00037EE3">
        <w:rPr>
          <w:iCs/>
        </w:rPr>
        <w:t>(</w:t>
      </w:r>
      <w:r w:rsidRPr="00037EE3">
        <w:rPr>
          <w:iCs/>
        </w:rPr>
        <w:t>CSR</w:t>
      </w:r>
      <w:r w:rsidR="00E802A7" w:rsidRPr="00037EE3">
        <w:rPr>
          <w:iCs/>
        </w:rPr>
        <w:t>)</w:t>
      </w:r>
      <w:r w:rsidRPr="00037EE3">
        <w:rPr>
          <w:iCs/>
        </w:rPr>
        <w:t xml:space="preserve"> provided any information on this population, and </w:t>
      </w:r>
      <w:r w:rsidR="00A0187E" w:rsidRPr="00037EE3">
        <w:rPr>
          <w:iCs/>
        </w:rPr>
        <w:t xml:space="preserve">the </w:t>
      </w:r>
      <w:r w:rsidRPr="00037EE3">
        <w:rPr>
          <w:iCs/>
        </w:rPr>
        <w:t>rates of preterm birth used, although the CSR stated (p46) that</w:t>
      </w:r>
      <w:r w:rsidR="0028164D" w:rsidRPr="00037EE3">
        <w:rPr>
          <w:iCs/>
        </w:rPr>
        <w:t xml:space="preserve"> the</w:t>
      </w:r>
      <w:r w:rsidRPr="00037EE3">
        <w:rPr>
          <w:iCs/>
        </w:rPr>
        <w:t xml:space="preserve"> preterm birth population risk is at least 25% according to literature data.</w:t>
      </w:r>
      <w:r w:rsidR="00576993" w:rsidRPr="00037EE3">
        <w:rPr>
          <w:iCs/>
        </w:rPr>
        <w:t xml:space="preserve"> </w:t>
      </w:r>
      <w:r w:rsidRPr="00037EE3">
        <w:rPr>
          <w:iCs/>
        </w:rPr>
        <w:t xml:space="preserve">Hence, the reported differences </w:t>
      </w:r>
      <w:r w:rsidR="003973D8" w:rsidRPr="00037EE3">
        <w:rPr>
          <w:iCs/>
        </w:rPr>
        <w:t xml:space="preserve">were </w:t>
      </w:r>
      <w:r w:rsidRPr="00037EE3">
        <w:rPr>
          <w:iCs/>
        </w:rPr>
        <w:t>difficult to interpret.</w:t>
      </w:r>
    </w:p>
    <w:p w:rsidR="00BD7F81" w:rsidRPr="00037EE3" w:rsidRDefault="00BD7F81" w:rsidP="00BD7F81">
      <w:pPr>
        <w:pStyle w:val="3-BodyText"/>
        <w:numPr>
          <w:ilvl w:val="0"/>
          <w:numId w:val="0"/>
        </w:numPr>
        <w:rPr>
          <w:u w:val="single"/>
        </w:rPr>
      </w:pPr>
      <w:r w:rsidRPr="00037EE3">
        <w:rPr>
          <w:u w:val="single"/>
        </w:rPr>
        <w:t>Fonseca 2007</w:t>
      </w:r>
    </w:p>
    <w:p w:rsidR="00BD7F81" w:rsidRPr="00037EE3" w:rsidRDefault="00BD7F81" w:rsidP="001066D4">
      <w:pPr>
        <w:pStyle w:val="3-BodyText"/>
        <w:ind w:left="709" w:hanging="709"/>
      </w:pPr>
      <w:r w:rsidRPr="00037EE3">
        <w:t xml:space="preserve">The submission reported that the rate </w:t>
      </w:r>
      <w:r w:rsidR="0028164D" w:rsidRPr="00037EE3">
        <w:t xml:space="preserve">for the </w:t>
      </w:r>
      <w:r w:rsidRPr="00037EE3">
        <w:t>primary outcome, spontaneous birth &lt;34 weeks of gestation, was</w:t>
      </w:r>
      <w:r w:rsidR="00933CD1" w:rsidRPr="00037EE3">
        <w:t xml:space="preserve"> significantly reduced</w:t>
      </w:r>
      <w:r w:rsidRPr="00037EE3">
        <w:t xml:space="preserve"> in the progesterone group</w:t>
      </w:r>
      <w:r w:rsidR="00933CD1" w:rsidRPr="00037EE3">
        <w:t xml:space="preserve"> (19.2%) compared to</w:t>
      </w:r>
      <w:r w:rsidR="00576993" w:rsidRPr="00037EE3">
        <w:t xml:space="preserve"> </w:t>
      </w:r>
      <w:r w:rsidRPr="00037EE3">
        <w:t>the SOC group</w:t>
      </w:r>
      <w:r w:rsidR="00933CD1" w:rsidRPr="00037EE3">
        <w:t xml:space="preserve"> (34.4%)</w:t>
      </w:r>
      <w:r w:rsidRPr="00037EE3">
        <w:t xml:space="preserve"> </w:t>
      </w:r>
      <w:r w:rsidR="00C729E0" w:rsidRPr="00037EE3">
        <w:t>(</w:t>
      </w:r>
      <w:r w:rsidRPr="00037EE3">
        <w:t>RR=0.56; 95% CI: 0.36, 0.86).</w:t>
      </w:r>
      <w:r w:rsidR="00576993" w:rsidRPr="00037EE3">
        <w:t xml:space="preserve"> </w:t>
      </w:r>
      <w:r w:rsidRPr="00037EE3">
        <w:t xml:space="preserve">For singleton pregnancies, the incidence of preterm birth was 17.5% for </w:t>
      </w:r>
      <w:r w:rsidR="00E0141E" w:rsidRPr="00037EE3">
        <w:t xml:space="preserve">women treated with </w:t>
      </w:r>
      <w:r w:rsidRPr="00037EE3">
        <w:lastRenderedPageBreak/>
        <w:t xml:space="preserve">progesterone compared to 32.1% for </w:t>
      </w:r>
      <w:r w:rsidR="00E0141E" w:rsidRPr="00037EE3">
        <w:t xml:space="preserve">women treated with </w:t>
      </w:r>
      <w:r w:rsidRPr="00037EE3">
        <w:t>SOC</w:t>
      </w:r>
      <w:r w:rsidR="009B19ED" w:rsidRPr="00037EE3">
        <w:t xml:space="preserve"> (</w:t>
      </w:r>
      <w:r w:rsidRPr="00037EE3">
        <w:t>RR=0.</w:t>
      </w:r>
      <w:r w:rsidR="00436555" w:rsidRPr="00037EE3">
        <w:t>54</w:t>
      </w:r>
      <w:r w:rsidRPr="00037EE3">
        <w:t>; 95% CI: 0.</w:t>
      </w:r>
      <w:r w:rsidR="00436555" w:rsidRPr="00037EE3">
        <w:t>34</w:t>
      </w:r>
      <w:r w:rsidRPr="00037EE3">
        <w:t>, 0.</w:t>
      </w:r>
      <w:r w:rsidR="00436555" w:rsidRPr="00037EE3">
        <w:t>88</w:t>
      </w:r>
      <w:r w:rsidR="009B19ED" w:rsidRPr="00037EE3">
        <w:t>)</w:t>
      </w:r>
      <w:r w:rsidRPr="00037EE3">
        <w:t>.</w:t>
      </w:r>
      <w:r w:rsidR="00576993" w:rsidRPr="00037EE3">
        <w:t xml:space="preserve"> </w:t>
      </w:r>
    </w:p>
    <w:p w:rsidR="00BD7F81" w:rsidRPr="00037EE3" w:rsidRDefault="00BD7F81" w:rsidP="00BD7F81">
      <w:pPr>
        <w:pStyle w:val="3-BodyText"/>
        <w:numPr>
          <w:ilvl w:val="0"/>
          <w:numId w:val="0"/>
        </w:numPr>
        <w:rPr>
          <w:u w:val="single"/>
        </w:rPr>
      </w:pPr>
      <w:r w:rsidRPr="00037EE3">
        <w:rPr>
          <w:u w:val="single"/>
        </w:rPr>
        <w:t>Romero 2018</w:t>
      </w:r>
    </w:p>
    <w:p w:rsidR="00BD7F81" w:rsidRPr="00037EE3" w:rsidRDefault="00D24E55" w:rsidP="00656B15">
      <w:pPr>
        <w:pStyle w:val="3-BodyText"/>
        <w:ind w:left="709"/>
      </w:pPr>
      <w:r w:rsidRPr="00037EE3">
        <w:t>The primary outcome in the Romero (2018) meta-analysis was risk of preterm birth at &lt;33 weeks.</w:t>
      </w:r>
      <w:r w:rsidR="00576993" w:rsidRPr="00037EE3">
        <w:t xml:space="preserve"> </w:t>
      </w:r>
      <w:r w:rsidRPr="00037EE3">
        <w:t>The results for the key analysis are provided in the forest plot below.</w:t>
      </w:r>
    </w:p>
    <w:p w:rsidR="00D24E55" w:rsidRPr="00037EE3" w:rsidRDefault="00D24E55" w:rsidP="00AD3218">
      <w:pPr>
        <w:pStyle w:val="TableFigureHeading"/>
      </w:pPr>
      <w:r w:rsidRPr="00037EE3">
        <w:t xml:space="preserve">Figure </w:t>
      </w:r>
      <w:r w:rsidR="006161D5" w:rsidRPr="00037EE3">
        <w:t>1</w:t>
      </w:r>
      <w:r w:rsidRPr="00037EE3">
        <w:t>:</w:t>
      </w:r>
      <w:r w:rsidR="00576993" w:rsidRPr="00037EE3">
        <w:t xml:space="preserve"> </w:t>
      </w:r>
      <w:r w:rsidRPr="00037EE3">
        <w:t>Romero (2018) – effect of vaginal progesterone of preterm birth &lt;33 weeks of gestation</w:t>
      </w:r>
    </w:p>
    <w:p w:rsidR="00D24E55" w:rsidRPr="00037EE3" w:rsidRDefault="00D24E55" w:rsidP="007B385B">
      <w:pPr>
        <w:keepNext/>
        <w:keepLines/>
      </w:pPr>
      <w:r w:rsidRPr="00037EE3">
        <w:rPr>
          <w:rFonts w:asciiTheme="minorHAnsi" w:hAnsiTheme="minorHAnsi"/>
          <w:noProof/>
          <w:lang w:eastAsia="en-AU"/>
        </w:rPr>
        <w:drawing>
          <wp:inline distT="0" distB="0" distL="0" distR="0" wp14:anchorId="549EAC58" wp14:editId="66469FE1">
            <wp:extent cx="5732145" cy="2941320"/>
            <wp:effectExtent l="0" t="0" r="1905" b="0"/>
            <wp:docPr id="2" name="Picture 2" title="Figure 1: Romero (2018) – effect of vaginal progesterone of preterm birth &lt;33 weeks of ge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32145" cy="2941320"/>
                    </a:xfrm>
                    <a:prstGeom prst="rect">
                      <a:avLst/>
                    </a:prstGeom>
                  </pic:spPr>
                </pic:pic>
              </a:graphicData>
            </a:graphic>
          </wp:inline>
        </w:drawing>
      </w:r>
    </w:p>
    <w:p w:rsidR="00D24E55" w:rsidRPr="00037EE3" w:rsidRDefault="00D24E55" w:rsidP="00AD3218">
      <w:pPr>
        <w:pStyle w:val="TableFigureFooter"/>
      </w:pPr>
      <w:r w:rsidRPr="00037EE3">
        <w:t>Source:</w:t>
      </w:r>
      <w:r w:rsidR="00576993" w:rsidRPr="00037EE3">
        <w:t xml:space="preserve"> </w:t>
      </w:r>
      <w:r w:rsidRPr="00037EE3">
        <w:t>Figure 2.6, p98 of the submission.</w:t>
      </w:r>
    </w:p>
    <w:p w:rsidR="00BD7F81" w:rsidRPr="00037EE3" w:rsidRDefault="00D24E55" w:rsidP="00656B15">
      <w:pPr>
        <w:pStyle w:val="3-BodyText"/>
        <w:ind w:left="709" w:hanging="709"/>
      </w:pPr>
      <w:r w:rsidRPr="00037EE3">
        <w:t>The analysis showed that vaginal progesterone statistically significantly reduced the risk of preterm birth at &lt;33 weeks gestation (14%) compared to SOC (22%), with RR=0.62; 95% CI: 0.47, 0.81.</w:t>
      </w:r>
      <w:r w:rsidR="00576993" w:rsidRPr="00037EE3">
        <w:t xml:space="preserve"> </w:t>
      </w:r>
      <w:r w:rsidRPr="00037EE3">
        <w:rPr>
          <w:iCs/>
        </w:rPr>
        <w:t>The meta-analysis had an I</w:t>
      </w:r>
      <w:r w:rsidRPr="00037EE3">
        <w:rPr>
          <w:iCs/>
          <w:vertAlign w:val="superscript"/>
        </w:rPr>
        <w:t>2</w:t>
      </w:r>
      <w:r w:rsidRPr="00037EE3">
        <w:rPr>
          <w:iCs/>
        </w:rPr>
        <w:t xml:space="preserve"> value of 0%, suggesting that heterogeneity may not be </w:t>
      </w:r>
      <w:r w:rsidR="0028164D" w:rsidRPr="00037EE3">
        <w:rPr>
          <w:iCs/>
        </w:rPr>
        <w:t>an issue</w:t>
      </w:r>
      <w:r w:rsidRPr="00037EE3">
        <w:rPr>
          <w:iCs/>
        </w:rPr>
        <w:t>.</w:t>
      </w:r>
    </w:p>
    <w:p w:rsidR="00DA03FB" w:rsidRPr="00037EE3" w:rsidRDefault="0028164D" w:rsidP="00656B15">
      <w:pPr>
        <w:pStyle w:val="3-BodyText"/>
        <w:ind w:left="709" w:hanging="709"/>
      </w:pPr>
      <w:r w:rsidRPr="00037EE3">
        <w:rPr>
          <w:iCs/>
        </w:rPr>
        <w:t>F</w:t>
      </w:r>
      <w:r w:rsidR="00D24E55" w:rsidRPr="00037EE3">
        <w:rPr>
          <w:iCs/>
        </w:rPr>
        <w:t>or the primary outcome of the meta-analysis</w:t>
      </w:r>
      <w:r w:rsidR="003D3737" w:rsidRPr="00037EE3">
        <w:rPr>
          <w:iCs/>
        </w:rPr>
        <w:t xml:space="preserve"> (</w:t>
      </w:r>
      <w:r w:rsidR="00D24E55" w:rsidRPr="00037EE3">
        <w:rPr>
          <w:iCs/>
        </w:rPr>
        <w:t>preterm birth at &lt;33 weeks</w:t>
      </w:r>
      <w:r w:rsidR="003D3737" w:rsidRPr="00037EE3">
        <w:rPr>
          <w:iCs/>
        </w:rPr>
        <w:t>)</w:t>
      </w:r>
      <w:r w:rsidR="00D24E55" w:rsidRPr="00037EE3">
        <w:rPr>
          <w:iCs/>
        </w:rPr>
        <w:t xml:space="preserve"> only one trial showed an advantage for progesterone</w:t>
      </w:r>
      <w:r w:rsidR="0008236C" w:rsidRPr="00037EE3">
        <w:rPr>
          <w:iCs/>
        </w:rPr>
        <w:t xml:space="preserve"> (Hassan 2011)</w:t>
      </w:r>
      <w:r w:rsidR="00D24E55" w:rsidRPr="00037EE3">
        <w:rPr>
          <w:iCs/>
        </w:rPr>
        <w:t>, three of the trials showed no advantage for progesterone</w:t>
      </w:r>
      <w:r w:rsidR="0008236C" w:rsidRPr="00037EE3">
        <w:rPr>
          <w:iCs/>
        </w:rPr>
        <w:t xml:space="preserve"> (O’Brien 2007; Cetingoz 2011; Norman 2016)</w:t>
      </w:r>
      <w:r w:rsidR="00D24E55" w:rsidRPr="00037EE3">
        <w:rPr>
          <w:iCs/>
        </w:rPr>
        <w:t xml:space="preserve"> and one trial had a borderline advantage</w:t>
      </w:r>
      <w:r w:rsidR="0008236C" w:rsidRPr="00037EE3">
        <w:rPr>
          <w:iCs/>
        </w:rPr>
        <w:t xml:space="preserve"> (Fonseca 2007</w:t>
      </w:r>
      <w:r w:rsidR="005D31E4" w:rsidRPr="00037EE3">
        <w:rPr>
          <w:rStyle w:val="FootnoteReference"/>
          <w:iCs/>
        </w:rPr>
        <w:footnoteReference w:id="7"/>
      </w:r>
      <w:r w:rsidR="0008236C" w:rsidRPr="00037EE3">
        <w:rPr>
          <w:iCs/>
        </w:rPr>
        <w:t>)</w:t>
      </w:r>
      <w:r w:rsidR="00D24E55" w:rsidRPr="00037EE3">
        <w:rPr>
          <w:iCs/>
        </w:rPr>
        <w:t>.</w:t>
      </w:r>
      <w:r w:rsidR="00576993" w:rsidRPr="00037EE3">
        <w:rPr>
          <w:iCs/>
        </w:rPr>
        <w:t xml:space="preserve"> </w:t>
      </w:r>
      <w:r w:rsidR="00DC60C2" w:rsidRPr="00037EE3">
        <w:t>The ESC noted that only a subset of the population reported in the Norman 2016 study met the proposed PBS criteria.</w:t>
      </w:r>
      <w:r w:rsidR="00DC60C2" w:rsidRPr="00037EE3">
        <w:rPr>
          <w:rStyle w:val="FootnoteReference"/>
        </w:rPr>
        <w:footnoteReference w:id="8"/>
      </w:r>
    </w:p>
    <w:p w:rsidR="00D24E55" w:rsidRPr="00037EE3" w:rsidRDefault="00DA03FB" w:rsidP="00656B15">
      <w:pPr>
        <w:pStyle w:val="3-BodyText"/>
        <w:ind w:left="709" w:hanging="709"/>
      </w:pPr>
      <w:r w:rsidRPr="00037EE3">
        <w:rPr>
          <w:iCs/>
        </w:rPr>
        <w:t xml:space="preserve">The ESC considered </w:t>
      </w:r>
      <w:r w:rsidR="002F6633" w:rsidRPr="00037EE3">
        <w:rPr>
          <w:iCs/>
        </w:rPr>
        <w:t xml:space="preserve">that overall the results of the meta-analysis should be interpreted with </w:t>
      </w:r>
      <w:r w:rsidR="00ED1E06" w:rsidRPr="00037EE3">
        <w:rPr>
          <w:iCs/>
        </w:rPr>
        <w:t>caution given</w:t>
      </w:r>
      <w:r w:rsidRPr="00037EE3">
        <w:rPr>
          <w:iCs/>
        </w:rPr>
        <w:t xml:space="preserve"> the </w:t>
      </w:r>
      <w:r w:rsidR="002F6633" w:rsidRPr="00037EE3">
        <w:rPr>
          <w:iCs/>
        </w:rPr>
        <w:t>comments</w:t>
      </w:r>
      <w:r w:rsidRPr="00037EE3">
        <w:rPr>
          <w:iCs/>
        </w:rPr>
        <w:t xml:space="preserve"> in Prior (2017) relating to selection and reporting bias, and the trials included in Romero (2018</w:t>
      </w:r>
      <w:r w:rsidR="00ED1E06" w:rsidRPr="00037EE3">
        <w:rPr>
          <w:iCs/>
        </w:rPr>
        <w:t>).</w:t>
      </w:r>
    </w:p>
    <w:p w:rsidR="00FC3FC4" w:rsidRPr="00037EE3" w:rsidRDefault="00B60939" w:rsidP="007B385B">
      <w:pPr>
        <w:pStyle w:val="4-SubsectionHeading"/>
      </w:pPr>
      <w:bookmarkStart w:id="14" w:name="_Toc22897642"/>
      <w:bookmarkStart w:id="15" w:name="_Toc50936083"/>
      <w:r w:rsidRPr="00037EE3">
        <w:lastRenderedPageBreak/>
        <w:t>Comparative harms</w:t>
      </w:r>
      <w:bookmarkEnd w:id="14"/>
      <w:bookmarkEnd w:id="15"/>
    </w:p>
    <w:p w:rsidR="003F4041" w:rsidRPr="00037EE3" w:rsidRDefault="00476F8A" w:rsidP="00656B15">
      <w:pPr>
        <w:pStyle w:val="3-BodyText"/>
        <w:ind w:left="709" w:hanging="709"/>
      </w:pPr>
      <w:r w:rsidRPr="00037EE3">
        <w:rPr>
          <w:iCs/>
        </w:rPr>
        <w:t>T</w:t>
      </w:r>
      <w:r w:rsidR="00FC3FC4" w:rsidRPr="00037EE3">
        <w:rPr>
          <w:iCs/>
        </w:rPr>
        <w:t>he submission presented adverse event</w:t>
      </w:r>
      <w:r w:rsidR="00A0423E" w:rsidRPr="00037EE3">
        <w:rPr>
          <w:iCs/>
        </w:rPr>
        <w:t xml:space="preserve"> (AE)</w:t>
      </w:r>
      <w:r w:rsidR="00FC3FC4" w:rsidRPr="00037EE3">
        <w:rPr>
          <w:iCs/>
        </w:rPr>
        <w:t xml:space="preserve"> data from the UTRO-200-PTD trial, </w:t>
      </w:r>
      <w:r w:rsidRPr="00037EE3">
        <w:rPr>
          <w:iCs/>
        </w:rPr>
        <w:t>although</w:t>
      </w:r>
      <w:r w:rsidR="00FC3FC4" w:rsidRPr="00037EE3">
        <w:rPr>
          <w:iCs/>
        </w:rPr>
        <w:t xml:space="preserve"> the data presented was based on indications for caesarean section and postpartum outcomes.</w:t>
      </w:r>
      <w:r w:rsidR="00576993" w:rsidRPr="00037EE3">
        <w:rPr>
          <w:iCs/>
        </w:rPr>
        <w:t xml:space="preserve"> </w:t>
      </w:r>
      <w:r w:rsidR="00FC3FC4" w:rsidRPr="00037EE3">
        <w:t>The submission report</w:t>
      </w:r>
      <w:r w:rsidRPr="00037EE3">
        <w:t>ed</w:t>
      </w:r>
      <w:r w:rsidR="00FC3FC4" w:rsidRPr="00037EE3">
        <w:t xml:space="preserve"> that 110 </w:t>
      </w:r>
      <w:r w:rsidR="00946C2C" w:rsidRPr="00037EE3">
        <w:t xml:space="preserve">women </w:t>
      </w:r>
      <w:r w:rsidR="00FC3FC4" w:rsidRPr="00037EE3">
        <w:t>(50%) experienced at least one AE during the trial and there were six serious AEs reported</w:t>
      </w:r>
      <w:r w:rsidR="00423C37" w:rsidRPr="00037EE3">
        <w:t>: walking pneumonia, gestosis, foetal growth retardation, threatened preterm birth, premature discharge of amniotic fluid, and pruritus gravidarum</w:t>
      </w:r>
      <w:r w:rsidR="00FC3FC4" w:rsidRPr="00037EE3">
        <w:t>.</w:t>
      </w:r>
      <w:r w:rsidR="00576993" w:rsidRPr="00037EE3">
        <w:t xml:space="preserve"> </w:t>
      </w:r>
    </w:p>
    <w:p w:rsidR="003F4041" w:rsidRPr="00037EE3" w:rsidRDefault="003F4041" w:rsidP="00656B15">
      <w:pPr>
        <w:pStyle w:val="3-BodyText"/>
        <w:ind w:left="709" w:hanging="709"/>
      </w:pPr>
      <w:r w:rsidRPr="00037EE3">
        <w:t>The Fonseca (2007) trial reported there were no important AEs or side effects in the progesterone or placebo (SOC) groups.</w:t>
      </w:r>
      <w:r w:rsidR="00576993" w:rsidRPr="00037EE3">
        <w:t xml:space="preserve"> </w:t>
      </w:r>
      <w:r w:rsidRPr="00037EE3">
        <w:t xml:space="preserve">None of the </w:t>
      </w:r>
      <w:r w:rsidR="00946C2C" w:rsidRPr="00037EE3">
        <w:t xml:space="preserve">women </w:t>
      </w:r>
      <w:r w:rsidRPr="00037EE3">
        <w:t>reported an increase in frequency or severity of general or local side effects, such as sleepiness, fatigue, headaches or genital irritation, or any new symptoms after the onset of treatment.</w:t>
      </w:r>
      <w:r w:rsidR="00576993" w:rsidRPr="00037EE3">
        <w:t xml:space="preserve"> </w:t>
      </w:r>
      <w:r w:rsidRPr="00037EE3">
        <w:rPr>
          <w:iCs/>
        </w:rPr>
        <w:t xml:space="preserve">The Fonseca (2007) publication did not provide any numerical data on the occurrence of AEs and it </w:t>
      </w:r>
      <w:r w:rsidR="00E0141E" w:rsidRPr="00037EE3">
        <w:rPr>
          <w:iCs/>
        </w:rPr>
        <w:t>was</w:t>
      </w:r>
      <w:r w:rsidRPr="00037EE3">
        <w:rPr>
          <w:iCs/>
        </w:rPr>
        <w:t xml:space="preserve"> difficult to draw any conclusions on the safety of Utrogestan on the basis of this report.</w:t>
      </w:r>
    </w:p>
    <w:p w:rsidR="003F4041" w:rsidRPr="00037EE3" w:rsidRDefault="003F4041" w:rsidP="00656B15">
      <w:pPr>
        <w:pStyle w:val="3-BodyText"/>
        <w:ind w:left="709" w:hanging="709"/>
      </w:pPr>
      <w:r w:rsidRPr="00037EE3">
        <w:t>The Romero (2018) meta-analysis showed no statistically significant difference between the progesterone and SOC groups for the occurrence of any maternal adverse event (RR=1.21; 95% CI: 0.87, 1.69).</w:t>
      </w:r>
      <w:r w:rsidR="00576993" w:rsidRPr="00037EE3">
        <w:t xml:space="preserve"> </w:t>
      </w:r>
      <w:r w:rsidRPr="00037EE3">
        <w:t xml:space="preserve">Respiratory distress syndrome </w:t>
      </w:r>
      <w:r w:rsidR="0092698F" w:rsidRPr="00037EE3">
        <w:t xml:space="preserve">in newborns </w:t>
      </w:r>
      <w:r w:rsidRPr="00037EE3">
        <w:t>was significantly reduced</w:t>
      </w:r>
      <w:r w:rsidR="00E0141E" w:rsidRPr="00037EE3">
        <w:t xml:space="preserve"> where</w:t>
      </w:r>
      <w:r w:rsidRPr="00037EE3">
        <w:t xml:space="preserve"> </w:t>
      </w:r>
      <w:r w:rsidR="0092698F" w:rsidRPr="00037EE3">
        <w:t>mothers had rec</w:t>
      </w:r>
      <w:r w:rsidR="00F10835" w:rsidRPr="00037EE3">
        <w:t>ei</w:t>
      </w:r>
      <w:r w:rsidR="0092698F" w:rsidRPr="00037EE3">
        <w:t xml:space="preserve">ved </w:t>
      </w:r>
      <w:r w:rsidRPr="00037EE3">
        <w:t>progesterone</w:t>
      </w:r>
      <w:r w:rsidR="00E0141E" w:rsidRPr="00037EE3">
        <w:t xml:space="preserve"> during pregnancy</w:t>
      </w:r>
      <w:r w:rsidRPr="00037EE3">
        <w:t xml:space="preserve"> (RR=0.47; 95% CI: 0.27, 0.81).</w:t>
      </w:r>
      <w:r w:rsidR="00FC3FC4" w:rsidRPr="00037EE3">
        <w:t xml:space="preserve"> </w:t>
      </w:r>
    </w:p>
    <w:p w:rsidR="00255F09" w:rsidRPr="00037EE3" w:rsidRDefault="00255F09" w:rsidP="00656B15">
      <w:pPr>
        <w:pStyle w:val="3-BodyText"/>
        <w:ind w:left="709" w:hanging="709"/>
      </w:pPr>
      <w:r w:rsidRPr="00037EE3">
        <w:t>The submission noted that post-marketing information indicated that the frequency of vaginal haemorrhage, vaginal discharge and drug intolerance was not known, as it could not be estimated from the available data.</w:t>
      </w:r>
      <w:r w:rsidR="00576993" w:rsidRPr="00037EE3">
        <w:t xml:space="preserve"> </w:t>
      </w:r>
      <w:r w:rsidRPr="00037EE3">
        <w:rPr>
          <w:iCs/>
        </w:rPr>
        <w:t xml:space="preserve">Thus, the only available information for these outcomes was the trial data, and that presented by the submission showed one case of vaginal discharge between visit 1 and 2 for Utrogestan-treated </w:t>
      </w:r>
      <w:r w:rsidR="00946C2C" w:rsidRPr="00037EE3">
        <w:rPr>
          <w:iCs/>
        </w:rPr>
        <w:t xml:space="preserve">women </w:t>
      </w:r>
      <w:r w:rsidRPr="00037EE3">
        <w:rPr>
          <w:iCs/>
        </w:rPr>
        <w:t>in the UTRO-200-PTD trial (0.45%), and neither the Fonseca (2007) trial or the Romero (2018) meta-analysis reported vaginal discharge.</w:t>
      </w:r>
      <w:r w:rsidR="00576993" w:rsidRPr="00037EE3">
        <w:rPr>
          <w:iCs/>
        </w:rPr>
        <w:t xml:space="preserve"> </w:t>
      </w:r>
      <w:r w:rsidRPr="00037EE3">
        <w:rPr>
          <w:iCs/>
        </w:rPr>
        <w:t>Hence, there was no information provided by the submission regarding the AE of vaginal discharge.</w:t>
      </w:r>
      <w:r w:rsidR="00576993" w:rsidRPr="00037EE3">
        <w:t xml:space="preserve"> </w:t>
      </w:r>
    </w:p>
    <w:p w:rsidR="00ED1E06" w:rsidRPr="00037EE3" w:rsidRDefault="00EE11C6" w:rsidP="00656B15">
      <w:pPr>
        <w:pStyle w:val="3-BodyText"/>
        <w:ind w:left="709" w:hanging="709"/>
      </w:pPr>
      <w:r w:rsidRPr="00037EE3">
        <w:t>The ESC considered</w:t>
      </w:r>
      <w:r w:rsidR="009B19ED" w:rsidRPr="00037EE3">
        <w:t xml:space="preserve"> that</w:t>
      </w:r>
      <w:r w:rsidRPr="00037EE3">
        <w:t xml:space="preserve"> overall</w:t>
      </w:r>
      <w:r w:rsidR="009B19ED" w:rsidRPr="00037EE3">
        <w:t xml:space="preserve">, </w:t>
      </w:r>
      <w:r w:rsidRPr="00037EE3">
        <w:t xml:space="preserve">progesterone </w:t>
      </w:r>
      <w:r w:rsidR="009B19ED" w:rsidRPr="00037EE3">
        <w:t>appeared to be</w:t>
      </w:r>
      <w:r w:rsidRPr="00037EE3">
        <w:t xml:space="preserve"> well tolerated with no major safety concerns.</w:t>
      </w:r>
      <w:bookmarkStart w:id="16" w:name="_Toc22897643"/>
      <w:bookmarkStart w:id="17" w:name="_Toc50936084"/>
    </w:p>
    <w:p w:rsidR="007F1017" w:rsidRPr="00037EE3" w:rsidRDefault="007F1017" w:rsidP="00D86231">
      <w:pPr>
        <w:pStyle w:val="4-SubsectionHeading"/>
      </w:pPr>
      <w:r w:rsidRPr="00037EE3">
        <w:t>Benefits/harms</w:t>
      </w:r>
      <w:bookmarkEnd w:id="16"/>
      <w:bookmarkEnd w:id="17"/>
    </w:p>
    <w:p w:rsidR="00E723BA" w:rsidRPr="00037EE3" w:rsidRDefault="00EC00C9" w:rsidP="00E72A5B">
      <w:pPr>
        <w:pStyle w:val="3-BodyText"/>
        <w:ind w:left="709" w:hanging="709"/>
        <w:rPr>
          <w:rStyle w:val="CommentReference"/>
          <w:color w:val="0066FF"/>
        </w:rPr>
      </w:pPr>
      <w:r w:rsidRPr="00037EE3">
        <w:t xml:space="preserve">A summary of the comparative benefits and harms for </w:t>
      </w:r>
      <w:r w:rsidR="00B0561F" w:rsidRPr="00037EE3">
        <w:t xml:space="preserve">progesterone </w:t>
      </w:r>
      <w:r w:rsidRPr="00037EE3">
        <w:t xml:space="preserve">versus </w:t>
      </w:r>
      <w:r w:rsidR="009D7CEE" w:rsidRPr="00037EE3">
        <w:t>SOC</w:t>
      </w:r>
      <w:r w:rsidRPr="00037EE3">
        <w:t xml:space="preserve"> is presented in the table below.</w:t>
      </w:r>
    </w:p>
    <w:p w:rsidR="00B62715" w:rsidRPr="00037EE3" w:rsidRDefault="00B62715" w:rsidP="00EA3708">
      <w:pPr>
        <w:pStyle w:val="TableFigureHeading"/>
        <w:keepLines/>
        <w:rPr>
          <w:rStyle w:val="CommentReference"/>
          <w:b/>
          <w:szCs w:val="24"/>
        </w:rPr>
      </w:pPr>
      <w:r w:rsidRPr="00037EE3">
        <w:rPr>
          <w:rStyle w:val="CommentReference"/>
          <w:b/>
          <w:szCs w:val="24"/>
        </w:rPr>
        <w:lastRenderedPageBreak/>
        <w:t xml:space="preserve">Table </w:t>
      </w:r>
      <w:r w:rsidR="006161D5" w:rsidRPr="00037EE3">
        <w:rPr>
          <w:rStyle w:val="CommentReference"/>
          <w:b/>
          <w:szCs w:val="24"/>
        </w:rPr>
        <w:t>5</w:t>
      </w:r>
      <w:r w:rsidRPr="00037EE3">
        <w:rPr>
          <w:rStyle w:val="CommentReference"/>
          <w:b/>
          <w:szCs w:val="24"/>
        </w:rPr>
        <w:t xml:space="preserve">: Summary of comparative benefits and harms for </w:t>
      </w:r>
      <w:r w:rsidR="00B0561F" w:rsidRPr="00037EE3">
        <w:rPr>
          <w:rStyle w:val="CommentReference"/>
          <w:b/>
          <w:szCs w:val="24"/>
        </w:rPr>
        <w:t xml:space="preserve">progesterone </w:t>
      </w:r>
      <w:r w:rsidRPr="00037EE3">
        <w:rPr>
          <w:rStyle w:val="CommentReference"/>
          <w:b/>
          <w:szCs w:val="24"/>
        </w:rPr>
        <w:t xml:space="preserve">and </w:t>
      </w:r>
      <w:r w:rsidR="00853027" w:rsidRPr="00037EE3">
        <w:rPr>
          <w:rStyle w:val="CommentReference"/>
          <w:b/>
          <w:szCs w:val="24"/>
        </w:rPr>
        <w:t>SOC</w:t>
      </w:r>
    </w:p>
    <w:tbl>
      <w:tblPr>
        <w:tblStyle w:val="TableGrid"/>
        <w:tblW w:w="5000" w:type="pct"/>
        <w:tblLook w:val="04A0" w:firstRow="1" w:lastRow="0" w:firstColumn="1" w:lastColumn="0" w:noHBand="0" w:noVBand="1"/>
        <w:tblCaption w:val="Table 5: Summary of comparative benefits and harms for progesterone and SOC"/>
      </w:tblPr>
      <w:tblGrid>
        <w:gridCol w:w="1822"/>
        <w:gridCol w:w="1325"/>
        <w:gridCol w:w="1378"/>
        <w:gridCol w:w="1511"/>
        <w:gridCol w:w="1495"/>
        <w:gridCol w:w="1486"/>
      </w:tblGrid>
      <w:tr w:rsidR="00027D5F" w:rsidRPr="00037EE3" w:rsidTr="00CD28E6">
        <w:trPr>
          <w:tblHeader/>
        </w:trPr>
        <w:tc>
          <w:tcPr>
            <w:tcW w:w="1010" w:type="pct"/>
            <w:vAlign w:val="center"/>
          </w:tcPr>
          <w:p w:rsidR="00027D5F" w:rsidRPr="00037EE3" w:rsidRDefault="00027D5F" w:rsidP="00EA3708">
            <w:pPr>
              <w:keepNext/>
              <w:keepLines/>
              <w:rPr>
                <w:rFonts w:ascii="Arial Narrow" w:hAnsi="Arial Narrow"/>
                <w:b/>
                <w:bCs/>
                <w:sz w:val="20"/>
                <w:szCs w:val="20"/>
              </w:rPr>
            </w:pPr>
          </w:p>
        </w:tc>
        <w:tc>
          <w:tcPr>
            <w:tcW w:w="735" w:type="pct"/>
            <w:vAlign w:val="center"/>
          </w:tcPr>
          <w:p w:rsidR="00027D5F" w:rsidRPr="00037EE3" w:rsidRDefault="00027D5F" w:rsidP="00EA3708">
            <w:pPr>
              <w:pStyle w:val="In-tableHeading"/>
              <w:keepLines/>
              <w:jc w:val="center"/>
              <w:rPr>
                <w:bCs/>
                <w:szCs w:val="20"/>
                <w:lang w:val="en-AU"/>
              </w:rPr>
            </w:pPr>
          </w:p>
        </w:tc>
        <w:tc>
          <w:tcPr>
            <w:tcW w:w="764" w:type="pct"/>
            <w:vAlign w:val="center"/>
          </w:tcPr>
          <w:p w:rsidR="00027D5F" w:rsidRPr="00037EE3" w:rsidRDefault="00027D5F" w:rsidP="00EA3708">
            <w:pPr>
              <w:pStyle w:val="In-tableHeading"/>
              <w:keepLines/>
              <w:jc w:val="center"/>
              <w:rPr>
                <w:bCs/>
                <w:szCs w:val="20"/>
                <w:lang w:val="en-AU"/>
              </w:rPr>
            </w:pPr>
          </w:p>
        </w:tc>
        <w:tc>
          <w:tcPr>
            <w:tcW w:w="838" w:type="pct"/>
            <w:vAlign w:val="center"/>
          </w:tcPr>
          <w:p w:rsidR="00027D5F" w:rsidRPr="00037EE3" w:rsidRDefault="00027D5F" w:rsidP="00EA3708">
            <w:pPr>
              <w:pStyle w:val="In-tableHeading"/>
              <w:keepLines/>
              <w:jc w:val="center"/>
              <w:rPr>
                <w:bCs/>
                <w:szCs w:val="20"/>
                <w:lang w:val="en-AU"/>
              </w:rPr>
            </w:pPr>
          </w:p>
        </w:tc>
        <w:tc>
          <w:tcPr>
            <w:tcW w:w="1654" w:type="pct"/>
            <w:gridSpan w:val="2"/>
            <w:vAlign w:val="center"/>
          </w:tcPr>
          <w:p w:rsidR="00027D5F" w:rsidRPr="00037EE3" w:rsidRDefault="00027D5F" w:rsidP="00B0561F">
            <w:pPr>
              <w:pStyle w:val="In-tableHeading"/>
              <w:keepLines/>
              <w:jc w:val="center"/>
              <w:rPr>
                <w:bCs/>
                <w:szCs w:val="20"/>
                <w:lang w:val="en-AU"/>
              </w:rPr>
            </w:pPr>
            <w:r w:rsidRPr="00037EE3">
              <w:rPr>
                <w:bCs/>
                <w:szCs w:val="20"/>
                <w:lang w:val="en-AU"/>
              </w:rPr>
              <w:t xml:space="preserve">Event rate/100 </w:t>
            </w:r>
            <w:r w:rsidR="00B0561F" w:rsidRPr="00037EE3">
              <w:rPr>
                <w:bCs/>
                <w:szCs w:val="20"/>
                <w:lang w:val="en-AU"/>
              </w:rPr>
              <w:t>women</w:t>
            </w:r>
          </w:p>
        </w:tc>
      </w:tr>
      <w:tr w:rsidR="00B0561F" w:rsidRPr="00037EE3" w:rsidTr="00AD3218">
        <w:tc>
          <w:tcPr>
            <w:tcW w:w="1010" w:type="pct"/>
            <w:tcBorders>
              <w:bottom w:val="single" w:sz="4" w:space="0" w:color="auto"/>
            </w:tcBorders>
            <w:vAlign w:val="center"/>
          </w:tcPr>
          <w:p w:rsidR="00027D5F" w:rsidRPr="00037EE3" w:rsidRDefault="00027D5F" w:rsidP="00EA3708">
            <w:pPr>
              <w:keepNext/>
              <w:keepLines/>
              <w:rPr>
                <w:rFonts w:ascii="Arial Narrow" w:hAnsi="Arial Narrow"/>
                <w:b/>
                <w:bCs/>
                <w:sz w:val="20"/>
                <w:szCs w:val="20"/>
              </w:rPr>
            </w:pPr>
            <w:r w:rsidRPr="00037EE3">
              <w:rPr>
                <w:rFonts w:ascii="Arial Narrow" w:hAnsi="Arial Narrow"/>
                <w:b/>
                <w:bCs/>
                <w:sz w:val="20"/>
                <w:szCs w:val="20"/>
              </w:rPr>
              <w:t>Trial</w:t>
            </w:r>
          </w:p>
        </w:tc>
        <w:tc>
          <w:tcPr>
            <w:tcW w:w="735" w:type="pct"/>
            <w:tcBorders>
              <w:bottom w:val="single" w:sz="4" w:space="0" w:color="auto"/>
            </w:tcBorders>
            <w:vAlign w:val="center"/>
          </w:tcPr>
          <w:p w:rsidR="00027D5F" w:rsidRPr="00037EE3" w:rsidRDefault="00B0561F" w:rsidP="00EA3708">
            <w:pPr>
              <w:pStyle w:val="In-tableHeading"/>
              <w:keepLines/>
              <w:jc w:val="center"/>
              <w:rPr>
                <w:bCs/>
                <w:szCs w:val="20"/>
                <w:lang w:val="en-AU"/>
              </w:rPr>
            </w:pPr>
            <w:r w:rsidRPr="00037EE3">
              <w:rPr>
                <w:bCs/>
                <w:szCs w:val="20"/>
                <w:lang w:val="en-AU"/>
              </w:rPr>
              <w:t>Progesterone</w:t>
            </w:r>
          </w:p>
          <w:p w:rsidR="00027D5F" w:rsidRPr="00037EE3" w:rsidRDefault="00027D5F" w:rsidP="00EA3708">
            <w:pPr>
              <w:keepNext/>
              <w:keepLines/>
              <w:jc w:val="center"/>
              <w:rPr>
                <w:rFonts w:ascii="Arial Narrow" w:hAnsi="Arial Narrow"/>
                <w:b/>
                <w:bCs/>
                <w:sz w:val="20"/>
                <w:szCs w:val="20"/>
              </w:rPr>
            </w:pPr>
            <w:r w:rsidRPr="00037EE3">
              <w:rPr>
                <w:rFonts w:ascii="Arial Narrow" w:hAnsi="Arial Narrow"/>
                <w:b/>
                <w:bCs/>
                <w:sz w:val="20"/>
                <w:szCs w:val="20"/>
              </w:rPr>
              <w:t>n/N</w:t>
            </w:r>
          </w:p>
        </w:tc>
        <w:tc>
          <w:tcPr>
            <w:tcW w:w="764" w:type="pct"/>
            <w:tcBorders>
              <w:bottom w:val="single" w:sz="4" w:space="0" w:color="auto"/>
            </w:tcBorders>
            <w:vAlign w:val="center"/>
          </w:tcPr>
          <w:p w:rsidR="00027D5F" w:rsidRPr="00037EE3" w:rsidRDefault="00027D5F" w:rsidP="00EA3708">
            <w:pPr>
              <w:pStyle w:val="In-tableHeading"/>
              <w:keepLines/>
              <w:jc w:val="center"/>
              <w:rPr>
                <w:bCs/>
                <w:szCs w:val="20"/>
                <w:lang w:val="en-AU"/>
              </w:rPr>
            </w:pPr>
            <w:r w:rsidRPr="00037EE3">
              <w:rPr>
                <w:bCs/>
                <w:szCs w:val="20"/>
                <w:lang w:val="en-AU"/>
              </w:rPr>
              <w:t>SOC</w:t>
            </w:r>
          </w:p>
          <w:p w:rsidR="00027D5F" w:rsidRPr="00037EE3" w:rsidRDefault="00027D5F" w:rsidP="00EA3708">
            <w:pPr>
              <w:keepNext/>
              <w:keepLines/>
              <w:jc w:val="center"/>
              <w:rPr>
                <w:rFonts w:ascii="Arial Narrow" w:hAnsi="Arial Narrow"/>
                <w:b/>
                <w:bCs/>
                <w:sz w:val="20"/>
                <w:szCs w:val="20"/>
              </w:rPr>
            </w:pPr>
            <w:r w:rsidRPr="00037EE3">
              <w:rPr>
                <w:rFonts w:ascii="Arial Narrow" w:hAnsi="Arial Narrow"/>
                <w:b/>
                <w:bCs/>
                <w:sz w:val="20"/>
                <w:szCs w:val="20"/>
              </w:rPr>
              <w:t>n/N</w:t>
            </w:r>
          </w:p>
        </w:tc>
        <w:tc>
          <w:tcPr>
            <w:tcW w:w="838" w:type="pct"/>
            <w:tcBorders>
              <w:bottom w:val="single" w:sz="4" w:space="0" w:color="auto"/>
            </w:tcBorders>
            <w:vAlign w:val="center"/>
          </w:tcPr>
          <w:p w:rsidR="00027D5F" w:rsidRPr="00037EE3" w:rsidRDefault="00027D5F" w:rsidP="00EA3708">
            <w:pPr>
              <w:pStyle w:val="In-tableHeading"/>
              <w:keepLines/>
              <w:jc w:val="center"/>
              <w:rPr>
                <w:bCs/>
                <w:szCs w:val="20"/>
                <w:lang w:val="en-AU"/>
              </w:rPr>
            </w:pPr>
            <w:r w:rsidRPr="00037EE3">
              <w:rPr>
                <w:bCs/>
                <w:szCs w:val="20"/>
                <w:lang w:val="en-AU"/>
              </w:rPr>
              <w:t>RR</w:t>
            </w:r>
          </w:p>
          <w:p w:rsidR="00027D5F" w:rsidRPr="00037EE3" w:rsidRDefault="00027D5F" w:rsidP="00EA3708">
            <w:pPr>
              <w:keepNext/>
              <w:keepLines/>
              <w:jc w:val="center"/>
              <w:rPr>
                <w:rFonts w:ascii="Arial Narrow" w:hAnsi="Arial Narrow"/>
                <w:b/>
                <w:bCs/>
                <w:sz w:val="20"/>
                <w:szCs w:val="20"/>
              </w:rPr>
            </w:pPr>
            <w:r w:rsidRPr="00037EE3">
              <w:rPr>
                <w:rFonts w:ascii="Arial Narrow" w:hAnsi="Arial Narrow"/>
                <w:b/>
                <w:bCs/>
                <w:sz w:val="20"/>
                <w:szCs w:val="20"/>
              </w:rPr>
              <w:t>(95% CI)</w:t>
            </w:r>
          </w:p>
        </w:tc>
        <w:tc>
          <w:tcPr>
            <w:tcW w:w="829" w:type="pct"/>
            <w:tcBorders>
              <w:bottom w:val="single" w:sz="4" w:space="0" w:color="auto"/>
            </w:tcBorders>
            <w:vAlign w:val="center"/>
          </w:tcPr>
          <w:p w:rsidR="00027D5F" w:rsidRPr="00037EE3" w:rsidRDefault="00B0561F" w:rsidP="00EA3708">
            <w:pPr>
              <w:pStyle w:val="In-tableHeading"/>
              <w:keepLines/>
              <w:jc w:val="center"/>
              <w:rPr>
                <w:bCs/>
                <w:szCs w:val="20"/>
                <w:lang w:val="en-AU"/>
              </w:rPr>
            </w:pPr>
            <w:r w:rsidRPr="00037EE3">
              <w:rPr>
                <w:bCs/>
                <w:szCs w:val="20"/>
                <w:lang w:val="en-AU"/>
              </w:rPr>
              <w:t>Progesterone</w:t>
            </w:r>
          </w:p>
          <w:p w:rsidR="00027D5F" w:rsidRPr="00037EE3" w:rsidRDefault="00027D5F" w:rsidP="00EA3708">
            <w:pPr>
              <w:keepNext/>
              <w:keepLines/>
              <w:jc w:val="center"/>
              <w:rPr>
                <w:rFonts w:ascii="Arial Narrow" w:hAnsi="Arial Narrow"/>
                <w:b/>
                <w:bCs/>
                <w:sz w:val="20"/>
                <w:szCs w:val="20"/>
              </w:rPr>
            </w:pPr>
            <w:r w:rsidRPr="00037EE3">
              <w:rPr>
                <w:rFonts w:ascii="Arial Narrow" w:hAnsi="Arial Narrow"/>
                <w:b/>
                <w:bCs/>
                <w:sz w:val="20"/>
                <w:szCs w:val="20"/>
              </w:rPr>
              <w:t>n/N</w:t>
            </w:r>
          </w:p>
        </w:tc>
        <w:tc>
          <w:tcPr>
            <w:tcW w:w="825" w:type="pct"/>
            <w:tcBorders>
              <w:bottom w:val="single" w:sz="4" w:space="0" w:color="auto"/>
            </w:tcBorders>
            <w:vAlign w:val="center"/>
          </w:tcPr>
          <w:p w:rsidR="00027D5F" w:rsidRPr="00037EE3" w:rsidRDefault="00027D5F" w:rsidP="00EA3708">
            <w:pPr>
              <w:pStyle w:val="In-tableHeading"/>
              <w:keepLines/>
              <w:jc w:val="center"/>
              <w:rPr>
                <w:bCs/>
                <w:szCs w:val="20"/>
                <w:lang w:val="en-AU"/>
              </w:rPr>
            </w:pPr>
            <w:r w:rsidRPr="00037EE3">
              <w:rPr>
                <w:bCs/>
                <w:szCs w:val="20"/>
                <w:lang w:val="en-AU"/>
              </w:rPr>
              <w:t>SOC</w:t>
            </w:r>
          </w:p>
          <w:p w:rsidR="00027D5F" w:rsidRPr="00037EE3" w:rsidRDefault="00027D5F" w:rsidP="00EA3708">
            <w:pPr>
              <w:keepNext/>
              <w:keepLines/>
              <w:jc w:val="center"/>
              <w:rPr>
                <w:rFonts w:ascii="Arial Narrow" w:hAnsi="Arial Narrow"/>
                <w:b/>
                <w:bCs/>
                <w:sz w:val="20"/>
                <w:szCs w:val="20"/>
              </w:rPr>
            </w:pPr>
            <w:r w:rsidRPr="00037EE3">
              <w:rPr>
                <w:rFonts w:ascii="Arial Narrow" w:hAnsi="Arial Narrow"/>
                <w:b/>
                <w:bCs/>
                <w:sz w:val="20"/>
                <w:szCs w:val="20"/>
              </w:rPr>
              <w:t>n/N</w:t>
            </w:r>
          </w:p>
        </w:tc>
      </w:tr>
      <w:tr w:rsidR="00027D5F" w:rsidRPr="00037EE3" w:rsidTr="00AD3218">
        <w:tc>
          <w:tcPr>
            <w:tcW w:w="5000" w:type="pct"/>
            <w:gridSpan w:val="6"/>
            <w:tcBorders>
              <w:bottom w:val="double" w:sz="4" w:space="0" w:color="auto"/>
            </w:tcBorders>
            <w:vAlign w:val="center"/>
          </w:tcPr>
          <w:p w:rsidR="00027D5F" w:rsidRPr="00037EE3" w:rsidRDefault="00027D5F" w:rsidP="00EA3708">
            <w:pPr>
              <w:keepNext/>
              <w:keepLines/>
              <w:jc w:val="left"/>
              <w:rPr>
                <w:rFonts w:ascii="Arial Narrow" w:hAnsi="Arial Narrow"/>
                <w:b/>
                <w:bCs/>
                <w:sz w:val="20"/>
                <w:szCs w:val="20"/>
              </w:rPr>
            </w:pPr>
            <w:r w:rsidRPr="00037EE3">
              <w:rPr>
                <w:rFonts w:ascii="Arial Narrow" w:hAnsi="Arial Narrow"/>
                <w:b/>
                <w:bCs/>
                <w:sz w:val="20"/>
                <w:szCs w:val="20"/>
              </w:rPr>
              <w:t>Benefits</w:t>
            </w:r>
          </w:p>
        </w:tc>
      </w:tr>
      <w:tr w:rsidR="00027D5F" w:rsidRPr="00037EE3" w:rsidTr="00AD3218">
        <w:tc>
          <w:tcPr>
            <w:tcW w:w="5000" w:type="pct"/>
            <w:gridSpan w:val="6"/>
            <w:tcBorders>
              <w:top w:val="double" w:sz="4" w:space="0" w:color="auto"/>
            </w:tcBorders>
            <w:vAlign w:val="center"/>
          </w:tcPr>
          <w:p w:rsidR="00027D5F" w:rsidRPr="00037EE3" w:rsidRDefault="00027D5F" w:rsidP="00EA3708">
            <w:pPr>
              <w:keepNext/>
              <w:keepLines/>
              <w:jc w:val="left"/>
              <w:rPr>
                <w:rFonts w:ascii="Arial Narrow" w:hAnsi="Arial Narrow"/>
                <w:b/>
                <w:bCs/>
                <w:sz w:val="20"/>
                <w:szCs w:val="20"/>
              </w:rPr>
            </w:pPr>
            <w:r w:rsidRPr="00037EE3">
              <w:rPr>
                <w:rFonts w:ascii="Arial Narrow" w:hAnsi="Arial Narrow"/>
                <w:b/>
                <w:bCs/>
                <w:sz w:val="20"/>
                <w:szCs w:val="20"/>
              </w:rPr>
              <w:t>Preterm birth &lt;33 weeks</w:t>
            </w:r>
          </w:p>
        </w:tc>
      </w:tr>
      <w:tr w:rsidR="00B0561F" w:rsidRPr="00037EE3" w:rsidTr="00AD3218">
        <w:tc>
          <w:tcPr>
            <w:tcW w:w="1010" w:type="pct"/>
            <w:tcBorders>
              <w:bottom w:val="double" w:sz="4" w:space="0" w:color="auto"/>
            </w:tcBorders>
            <w:vAlign w:val="center"/>
          </w:tcPr>
          <w:p w:rsidR="00027D5F" w:rsidRPr="00037EE3" w:rsidRDefault="00027D5F" w:rsidP="00EA3708">
            <w:pPr>
              <w:keepNext/>
              <w:keepLines/>
              <w:jc w:val="left"/>
              <w:rPr>
                <w:rFonts w:ascii="Arial Narrow" w:hAnsi="Arial Narrow"/>
                <w:sz w:val="20"/>
                <w:szCs w:val="20"/>
              </w:rPr>
            </w:pPr>
            <w:r w:rsidRPr="00037EE3">
              <w:rPr>
                <w:rFonts w:ascii="Arial Narrow" w:hAnsi="Arial Narrow"/>
                <w:sz w:val="20"/>
                <w:szCs w:val="20"/>
              </w:rPr>
              <w:t>Romero 2018 meta-analysis (I</w:t>
            </w:r>
            <w:r w:rsidRPr="00037EE3">
              <w:rPr>
                <w:rFonts w:ascii="Arial Narrow" w:hAnsi="Arial Narrow"/>
                <w:sz w:val="20"/>
                <w:szCs w:val="20"/>
                <w:vertAlign w:val="superscript"/>
              </w:rPr>
              <w:t>2</w:t>
            </w:r>
            <w:r w:rsidRPr="00037EE3">
              <w:rPr>
                <w:rFonts w:ascii="Arial Narrow" w:hAnsi="Arial Narrow"/>
                <w:sz w:val="20"/>
                <w:szCs w:val="20"/>
              </w:rPr>
              <w:t>=0%)</w:t>
            </w:r>
          </w:p>
        </w:tc>
        <w:tc>
          <w:tcPr>
            <w:tcW w:w="735" w:type="pct"/>
            <w:tcBorders>
              <w:bottom w:val="double" w:sz="4" w:space="0" w:color="auto"/>
            </w:tcBorders>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70/498</w:t>
            </w:r>
          </w:p>
        </w:tc>
        <w:tc>
          <w:tcPr>
            <w:tcW w:w="764" w:type="pct"/>
            <w:tcBorders>
              <w:bottom w:val="double" w:sz="4" w:space="0" w:color="auto"/>
            </w:tcBorders>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107/476</w:t>
            </w:r>
          </w:p>
        </w:tc>
        <w:tc>
          <w:tcPr>
            <w:tcW w:w="838" w:type="pct"/>
            <w:tcBorders>
              <w:bottom w:val="double" w:sz="4" w:space="0" w:color="auto"/>
            </w:tcBorders>
            <w:vAlign w:val="center"/>
          </w:tcPr>
          <w:p w:rsidR="00027D5F" w:rsidRPr="00037EE3" w:rsidRDefault="00027D5F" w:rsidP="00EA3708">
            <w:pPr>
              <w:keepNext/>
              <w:keepLines/>
              <w:jc w:val="center"/>
              <w:rPr>
                <w:rFonts w:ascii="Arial Narrow" w:hAnsi="Arial Narrow"/>
                <w:b/>
                <w:bCs/>
                <w:sz w:val="20"/>
                <w:szCs w:val="20"/>
              </w:rPr>
            </w:pPr>
            <w:r w:rsidRPr="00037EE3">
              <w:rPr>
                <w:rFonts w:ascii="Arial Narrow" w:hAnsi="Arial Narrow"/>
                <w:b/>
                <w:bCs/>
                <w:sz w:val="20"/>
                <w:szCs w:val="20"/>
              </w:rPr>
              <w:t>0.62 (0.47, 0.81)</w:t>
            </w:r>
          </w:p>
        </w:tc>
        <w:tc>
          <w:tcPr>
            <w:tcW w:w="829" w:type="pct"/>
            <w:tcBorders>
              <w:bottom w:val="double" w:sz="4" w:space="0" w:color="auto"/>
            </w:tcBorders>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14.1</w:t>
            </w:r>
          </w:p>
        </w:tc>
        <w:tc>
          <w:tcPr>
            <w:tcW w:w="825" w:type="pct"/>
            <w:tcBorders>
              <w:bottom w:val="double" w:sz="4" w:space="0" w:color="auto"/>
            </w:tcBorders>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22.5</w:t>
            </w:r>
          </w:p>
        </w:tc>
      </w:tr>
      <w:tr w:rsidR="00027D5F" w:rsidRPr="00037EE3" w:rsidTr="00AD3218">
        <w:tc>
          <w:tcPr>
            <w:tcW w:w="5000" w:type="pct"/>
            <w:gridSpan w:val="6"/>
            <w:tcBorders>
              <w:top w:val="double" w:sz="4" w:space="0" w:color="auto"/>
            </w:tcBorders>
            <w:vAlign w:val="center"/>
          </w:tcPr>
          <w:p w:rsidR="00027D5F" w:rsidRPr="00037EE3" w:rsidRDefault="00027D5F" w:rsidP="00EA3708">
            <w:pPr>
              <w:keepNext/>
              <w:keepLines/>
              <w:jc w:val="left"/>
              <w:rPr>
                <w:rFonts w:ascii="Arial Narrow" w:hAnsi="Arial Narrow"/>
                <w:b/>
                <w:bCs/>
                <w:sz w:val="20"/>
                <w:szCs w:val="20"/>
              </w:rPr>
            </w:pPr>
            <w:r w:rsidRPr="00037EE3">
              <w:rPr>
                <w:rFonts w:ascii="Arial Narrow" w:hAnsi="Arial Narrow"/>
                <w:b/>
                <w:bCs/>
                <w:sz w:val="20"/>
                <w:szCs w:val="20"/>
              </w:rPr>
              <w:t>Harms</w:t>
            </w:r>
          </w:p>
        </w:tc>
      </w:tr>
      <w:tr w:rsidR="00027D5F" w:rsidRPr="00037EE3" w:rsidTr="00AD3218">
        <w:tc>
          <w:tcPr>
            <w:tcW w:w="5000" w:type="pct"/>
            <w:gridSpan w:val="6"/>
            <w:vAlign w:val="center"/>
          </w:tcPr>
          <w:p w:rsidR="00027D5F" w:rsidRPr="00037EE3" w:rsidRDefault="00027D5F" w:rsidP="00EA3708">
            <w:pPr>
              <w:keepNext/>
              <w:keepLines/>
              <w:jc w:val="left"/>
              <w:rPr>
                <w:rFonts w:ascii="Arial Narrow" w:hAnsi="Arial Narrow"/>
                <w:b/>
                <w:bCs/>
                <w:sz w:val="20"/>
                <w:szCs w:val="20"/>
              </w:rPr>
            </w:pPr>
            <w:r w:rsidRPr="00037EE3">
              <w:rPr>
                <w:rFonts w:ascii="Arial Narrow" w:hAnsi="Arial Narrow"/>
                <w:b/>
                <w:bCs/>
                <w:sz w:val="20"/>
                <w:szCs w:val="20"/>
              </w:rPr>
              <w:t>Maternal adverse events</w:t>
            </w:r>
          </w:p>
        </w:tc>
      </w:tr>
      <w:tr w:rsidR="00B0561F" w:rsidRPr="00037EE3" w:rsidTr="00AD3218">
        <w:tc>
          <w:tcPr>
            <w:tcW w:w="1010" w:type="pct"/>
            <w:vAlign w:val="center"/>
          </w:tcPr>
          <w:p w:rsidR="00027D5F" w:rsidRPr="00037EE3" w:rsidRDefault="00027D5F" w:rsidP="00EA3708">
            <w:pPr>
              <w:keepNext/>
              <w:keepLines/>
              <w:jc w:val="left"/>
              <w:rPr>
                <w:rFonts w:ascii="Arial Narrow" w:hAnsi="Arial Narrow"/>
                <w:sz w:val="20"/>
                <w:szCs w:val="20"/>
              </w:rPr>
            </w:pPr>
            <w:r w:rsidRPr="00037EE3">
              <w:rPr>
                <w:rFonts w:ascii="Arial Narrow" w:hAnsi="Arial Narrow"/>
                <w:sz w:val="20"/>
                <w:szCs w:val="20"/>
              </w:rPr>
              <w:t>Romero 2018 meta-analysis (I</w:t>
            </w:r>
            <w:r w:rsidRPr="00037EE3">
              <w:rPr>
                <w:rFonts w:ascii="Arial Narrow" w:hAnsi="Arial Narrow"/>
                <w:sz w:val="20"/>
                <w:szCs w:val="20"/>
                <w:vertAlign w:val="superscript"/>
              </w:rPr>
              <w:t>2</w:t>
            </w:r>
            <w:r w:rsidRPr="00037EE3">
              <w:rPr>
                <w:rFonts w:ascii="Arial Narrow" w:hAnsi="Arial Narrow"/>
                <w:sz w:val="20"/>
                <w:szCs w:val="20"/>
              </w:rPr>
              <w:t>=5%)</w:t>
            </w:r>
          </w:p>
        </w:tc>
        <w:tc>
          <w:tcPr>
            <w:tcW w:w="735" w:type="pct"/>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51/424</w:t>
            </w:r>
          </w:p>
        </w:tc>
        <w:tc>
          <w:tcPr>
            <w:tcW w:w="764" w:type="pct"/>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47/422</w:t>
            </w:r>
          </w:p>
        </w:tc>
        <w:tc>
          <w:tcPr>
            <w:tcW w:w="838" w:type="pct"/>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1.21 (0.87, 1.69)</w:t>
            </w:r>
          </w:p>
        </w:tc>
        <w:tc>
          <w:tcPr>
            <w:tcW w:w="829" w:type="pct"/>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12.0</w:t>
            </w:r>
          </w:p>
        </w:tc>
        <w:tc>
          <w:tcPr>
            <w:tcW w:w="825" w:type="pct"/>
            <w:vAlign w:val="center"/>
          </w:tcPr>
          <w:p w:rsidR="00027D5F" w:rsidRPr="00037EE3" w:rsidRDefault="00027D5F" w:rsidP="00EA3708">
            <w:pPr>
              <w:keepNext/>
              <w:keepLines/>
              <w:jc w:val="center"/>
              <w:rPr>
                <w:rFonts w:ascii="Arial Narrow" w:hAnsi="Arial Narrow"/>
                <w:sz w:val="20"/>
                <w:szCs w:val="20"/>
              </w:rPr>
            </w:pPr>
            <w:r w:rsidRPr="00037EE3">
              <w:rPr>
                <w:rFonts w:ascii="Arial Narrow" w:hAnsi="Arial Narrow"/>
                <w:sz w:val="20"/>
                <w:szCs w:val="20"/>
              </w:rPr>
              <w:t>11.1</w:t>
            </w:r>
          </w:p>
        </w:tc>
      </w:tr>
    </w:tbl>
    <w:p w:rsidR="00620C25" w:rsidRPr="00037EE3" w:rsidRDefault="00620C25" w:rsidP="00EA3708">
      <w:pPr>
        <w:pStyle w:val="TableFigureFooter"/>
        <w:keepNext/>
        <w:keepLines/>
        <w:rPr>
          <w:sz w:val="20"/>
        </w:rPr>
      </w:pPr>
      <w:r w:rsidRPr="00037EE3">
        <w:t xml:space="preserve">Source: </w:t>
      </w:r>
      <w:r w:rsidR="00430527" w:rsidRPr="00037EE3">
        <w:rPr>
          <w:szCs w:val="18"/>
        </w:rPr>
        <w:t xml:space="preserve">Figure 2.6, p98; </w:t>
      </w:r>
      <w:r w:rsidR="00430527" w:rsidRPr="00037EE3">
        <w:t>Table 2.59 p98-99 of the submission</w:t>
      </w:r>
    </w:p>
    <w:p w:rsidR="00620C25" w:rsidRPr="00037EE3" w:rsidRDefault="00D750A2" w:rsidP="00EA3708">
      <w:pPr>
        <w:pStyle w:val="TableFigureFooter"/>
        <w:keepNext/>
        <w:keepLines/>
      </w:pPr>
      <w:r w:rsidRPr="00037EE3">
        <w:t>RR=relative risk</w:t>
      </w:r>
      <w:r w:rsidR="00620C25" w:rsidRPr="00037EE3">
        <w:t xml:space="preserve">; </w:t>
      </w:r>
      <w:r w:rsidRPr="00037EE3">
        <w:t xml:space="preserve">SOC=standard of care; </w:t>
      </w:r>
      <w:r w:rsidRPr="00037EE3">
        <w:rPr>
          <w:b/>
          <w:bCs/>
        </w:rPr>
        <w:t>bold</w:t>
      </w:r>
      <w:r w:rsidRPr="00037EE3">
        <w:t>=statistically significant</w:t>
      </w:r>
    </w:p>
    <w:p w:rsidR="00B62715" w:rsidRPr="00037EE3" w:rsidRDefault="00D750A2" w:rsidP="00EA3708">
      <w:pPr>
        <w:pStyle w:val="TableFigureFooter"/>
        <w:keepNext/>
        <w:keepLines/>
        <w:tabs>
          <w:tab w:val="left" w:pos="142"/>
        </w:tabs>
      </w:pPr>
      <w:r w:rsidRPr="00037EE3">
        <w:rPr>
          <w:vertAlign w:val="superscript"/>
        </w:rPr>
        <w:t>a</w:t>
      </w:r>
      <w:r w:rsidRPr="00037EE3">
        <w:tab/>
        <w:t>Treatment duration ranged from 10 to 19 weeks in the five trials included in the Romero (2018) meta-analysis.</w:t>
      </w:r>
      <w:r w:rsidR="00576993" w:rsidRPr="00037EE3">
        <w:t xml:space="preserve"> </w:t>
      </w:r>
    </w:p>
    <w:p w:rsidR="00FC1884" w:rsidRPr="00037EE3" w:rsidRDefault="00EC00C9" w:rsidP="00E72A5B">
      <w:pPr>
        <w:pStyle w:val="3-BodyText"/>
        <w:spacing w:after="0"/>
        <w:ind w:left="709" w:hanging="709"/>
      </w:pPr>
      <w:r w:rsidRPr="00037EE3">
        <w:t xml:space="preserve">On the basis of </w:t>
      </w:r>
      <w:r w:rsidR="00054EF6" w:rsidRPr="00037EE3">
        <w:t>meta-analysis</w:t>
      </w:r>
      <w:r w:rsidRPr="00037EE3">
        <w:t xml:space="preserve"> evidence presented by the submission, for every 100 </w:t>
      </w:r>
      <w:r w:rsidR="004B32E8" w:rsidRPr="00037EE3">
        <w:t xml:space="preserve">women </w:t>
      </w:r>
      <w:r w:rsidRPr="00037EE3">
        <w:t xml:space="preserve">treated with </w:t>
      </w:r>
      <w:r w:rsidR="004B32E8" w:rsidRPr="00037EE3">
        <w:t xml:space="preserve">progesterone </w:t>
      </w:r>
      <w:r w:rsidRPr="00037EE3">
        <w:t xml:space="preserve">in comparison </w:t>
      </w:r>
      <w:r w:rsidR="006D68FB" w:rsidRPr="00037EE3">
        <w:t xml:space="preserve">with </w:t>
      </w:r>
      <w:r w:rsidR="00054EF6" w:rsidRPr="00037EE3">
        <w:t>SOC</w:t>
      </w:r>
      <w:r w:rsidR="00422260" w:rsidRPr="00037EE3">
        <w:t xml:space="preserve"> </w:t>
      </w:r>
      <w:r w:rsidR="00054EF6" w:rsidRPr="00037EE3">
        <w:t>for a treatment period of 10 to 19 weeks</w:t>
      </w:r>
      <w:r w:rsidR="001C2A9B" w:rsidRPr="00037EE3">
        <w:t>:</w:t>
      </w:r>
    </w:p>
    <w:p w:rsidR="00FC1884" w:rsidRPr="00037EE3" w:rsidRDefault="00EE11C6" w:rsidP="00E72A5B">
      <w:pPr>
        <w:pStyle w:val="Bulletpoints"/>
        <w:ind w:left="709" w:hanging="283"/>
      </w:pPr>
      <w:r w:rsidRPr="00037EE3">
        <w:t xml:space="preserve">There would be approximately 8 fewer preterm </w:t>
      </w:r>
      <w:r w:rsidR="00ED1E06" w:rsidRPr="00037EE3">
        <w:t>births</w:t>
      </w:r>
      <w:r w:rsidRPr="00037EE3">
        <w:t xml:space="preserve"> (defined as </w:t>
      </w:r>
      <w:r w:rsidR="00ED1E06" w:rsidRPr="00037EE3">
        <w:t>birth</w:t>
      </w:r>
      <w:r w:rsidRPr="00037EE3">
        <w:t xml:space="preserve"> prior to 33 weeks gestation).</w:t>
      </w:r>
      <w:r w:rsidR="00301FC3" w:rsidRPr="00037EE3" w:rsidDel="00301FC3">
        <w:t xml:space="preserve"> </w:t>
      </w:r>
    </w:p>
    <w:p w:rsidR="00FC1884" w:rsidRPr="00037EE3" w:rsidRDefault="004A1B49" w:rsidP="00E72A5B">
      <w:pPr>
        <w:pStyle w:val="Bulletpoints"/>
        <w:ind w:left="709" w:hanging="283"/>
      </w:pPr>
      <w:r w:rsidRPr="00037EE3">
        <w:t>There would be no difference in</w:t>
      </w:r>
      <w:r w:rsidR="00027D5F" w:rsidRPr="00037EE3">
        <w:t xml:space="preserve"> maternal</w:t>
      </w:r>
      <w:r w:rsidRPr="00037EE3">
        <w:t xml:space="preserve"> adverse events between those treated with progesterone and those treated with SOC</w:t>
      </w:r>
      <w:r w:rsidR="001C2A9B" w:rsidRPr="00037EE3">
        <w:t>.</w:t>
      </w:r>
    </w:p>
    <w:p w:rsidR="00931C02" w:rsidRPr="00037EE3" w:rsidRDefault="007E2EA9" w:rsidP="00E72A5B">
      <w:pPr>
        <w:pStyle w:val="3-BodyText"/>
        <w:spacing w:after="0"/>
        <w:ind w:left="709" w:hanging="709"/>
      </w:pPr>
      <w:r w:rsidRPr="00037EE3">
        <w:t>The ESC noted a significant reduction in the number of preterm births and no difference in harms</w:t>
      </w:r>
      <w:r w:rsidR="00C627D3" w:rsidRPr="00037EE3">
        <w:t xml:space="preserve">. </w:t>
      </w:r>
    </w:p>
    <w:p w:rsidR="00B60939" w:rsidRPr="00037EE3" w:rsidRDefault="00B60939" w:rsidP="00E9094A">
      <w:pPr>
        <w:pStyle w:val="4-SubsectionHeading"/>
      </w:pPr>
      <w:bookmarkStart w:id="18" w:name="_Toc22897644"/>
      <w:bookmarkStart w:id="19" w:name="_Toc50936085"/>
      <w:r w:rsidRPr="00037EE3">
        <w:t>Clinical claim</w:t>
      </w:r>
      <w:bookmarkEnd w:id="18"/>
      <w:bookmarkEnd w:id="19"/>
    </w:p>
    <w:p w:rsidR="000D4B66" w:rsidRPr="00037EE3" w:rsidRDefault="009D7CEE" w:rsidP="00E72A5B">
      <w:pPr>
        <w:pStyle w:val="3-BodyText"/>
        <w:ind w:left="709" w:hanging="709"/>
      </w:pPr>
      <w:r w:rsidRPr="00037EE3">
        <w:t xml:space="preserve">The submission described </w:t>
      </w:r>
      <w:r w:rsidR="004B32E8" w:rsidRPr="00037EE3">
        <w:t>progesterone (</w:t>
      </w:r>
      <w:r w:rsidRPr="00037EE3">
        <w:t>Utrogestan</w:t>
      </w:r>
      <w:r w:rsidR="004B32E8" w:rsidRPr="00037EE3">
        <w:t>)</w:t>
      </w:r>
      <w:r w:rsidRPr="00037EE3">
        <w:t xml:space="preserve"> as superior in terms of effectiveness compared with SOC and as having acceptable safety.</w:t>
      </w:r>
      <w:r w:rsidR="00576993" w:rsidRPr="00037EE3">
        <w:t xml:space="preserve"> </w:t>
      </w:r>
    </w:p>
    <w:p w:rsidR="00817B27" w:rsidRPr="00037EE3" w:rsidRDefault="00817B27" w:rsidP="00E72A5B">
      <w:pPr>
        <w:pStyle w:val="3-BodyText"/>
        <w:ind w:left="709" w:hanging="709"/>
        <w:rPr>
          <w:iCs/>
        </w:rPr>
      </w:pPr>
      <w:r w:rsidRPr="00037EE3">
        <w:rPr>
          <w:iCs/>
        </w:rPr>
        <w:t xml:space="preserve">The PBAC noted that the clinical evidence was of </w:t>
      </w:r>
      <w:r w:rsidRPr="00037EE3">
        <w:t xml:space="preserve">variable quality and applicability to the proposed PBS population. </w:t>
      </w:r>
    </w:p>
    <w:p w:rsidR="0041415B" w:rsidRPr="00037EE3" w:rsidRDefault="000D4B66" w:rsidP="00E72A5B">
      <w:pPr>
        <w:pStyle w:val="3-BodyText"/>
        <w:ind w:left="709" w:hanging="709"/>
        <w:rPr>
          <w:iCs/>
        </w:rPr>
      </w:pPr>
      <w:r w:rsidRPr="00037EE3">
        <w:t xml:space="preserve">The </w:t>
      </w:r>
      <w:r w:rsidR="00EF2A7C" w:rsidRPr="00037EE3">
        <w:t xml:space="preserve">PBAC </w:t>
      </w:r>
      <w:r w:rsidRPr="00037EE3">
        <w:t>considered that w</w:t>
      </w:r>
      <w:r w:rsidR="003E666C" w:rsidRPr="00037EE3">
        <w:t xml:space="preserve">hile the claim of acceptable safety was based on limited evidence, </w:t>
      </w:r>
      <w:r w:rsidRPr="00037EE3">
        <w:t xml:space="preserve">adverse effects </w:t>
      </w:r>
      <w:r w:rsidR="00301FC3" w:rsidRPr="00037EE3">
        <w:t>appeared to be minimal</w:t>
      </w:r>
      <w:r w:rsidRPr="00037EE3">
        <w:t>.</w:t>
      </w:r>
      <w:r w:rsidR="00576993" w:rsidRPr="00037EE3">
        <w:t xml:space="preserve"> </w:t>
      </w:r>
      <w:r w:rsidR="00310CD3" w:rsidRPr="00037EE3">
        <w:t>The PBAC considered that the claim of non-inferior safety was reasonable.</w:t>
      </w:r>
    </w:p>
    <w:p w:rsidR="00310CD3" w:rsidRPr="00037EE3" w:rsidRDefault="00310CD3" w:rsidP="00E72A5B">
      <w:pPr>
        <w:pStyle w:val="3-BodyText"/>
        <w:ind w:left="709" w:hanging="709"/>
      </w:pPr>
      <w:r w:rsidRPr="00037EE3">
        <w:t>T</w:t>
      </w:r>
      <w:r w:rsidRPr="00037EE3">
        <w:rPr>
          <w:iCs/>
        </w:rPr>
        <w:t xml:space="preserve">he PBAC considered that while the sponsor may have overstated the benefit of progesterone, </w:t>
      </w:r>
      <w:r w:rsidR="00817B27" w:rsidRPr="00037EE3">
        <w:t xml:space="preserve">on balance </w:t>
      </w:r>
      <w:r w:rsidRPr="00037EE3">
        <w:t>it was reasonable to accept that progesterone is associated with a risk reduction in preterm birth.</w:t>
      </w:r>
    </w:p>
    <w:p w:rsidR="00C656CE" w:rsidRPr="00037EE3" w:rsidRDefault="000D4B66" w:rsidP="00E72A5B">
      <w:pPr>
        <w:pStyle w:val="3-BodyText"/>
        <w:ind w:left="709" w:hanging="709"/>
      </w:pPr>
      <w:r w:rsidRPr="00037EE3">
        <w:t xml:space="preserve">The </w:t>
      </w:r>
      <w:r w:rsidR="003973D8" w:rsidRPr="00037EE3">
        <w:t>PBAC</w:t>
      </w:r>
      <w:r w:rsidRPr="00037EE3">
        <w:t xml:space="preserve"> noted that there is consistent recommendation of progesterone for the prevention of preterm birth in clinical guidelines.</w:t>
      </w:r>
    </w:p>
    <w:p w:rsidR="00B60939" w:rsidRPr="00037EE3" w:rsidRDefault="00B60939" w:rsidP="00E9094A">
      <w:pPr>
        <w:pStyle w:val="4-SubsectionHeading"/>
      </w:pPr>
      <w:bookmarkStart w:id="20" w:name="_Toc22897645"/>
      <w:bookmarkStart w:id="21" w:name="_Toc50936086"/>
      <w:r w:rsidRPr="00037EE3">
        <w:t>Economic analysis</w:t>
      </w:r>
      <w:bookmarkEnd w:id="20"/>
      <w:bookmarkEnd w:id="21"/>
      <w:r w:rsidR="00491B3A" w:rsidRPr="00037EE3">
        <w:t xml:space="preserve"> </w:t>
      </w:r>
    </w:p>
    <w:p w:rsidR="00727AE9" w:rsidRPr="00037EE3" w:rsidRDefault="00727AE9" w:rsidP="00E72A5B">
      <w:pPr>
        <w:pStyle w:val="3-BodyText"/>
        <w:ind w:left="709" w:hanging="709"/>
        <w:rPr>
          <w:b/>
          <w:bCs/>
        </w:rPr>
      </w:pPr>
      <w:r w:rsidRPr="00037EE3">
        <w:t>The submission presented a modified economic evaluation, consisting of a trial-based evaluation, and a cost analysis, comparing one group of women who receive Utrogestan treatment, and a second group who do not receive Utrogestan, assessing neonatal hospitalisations and neonatal morbidity to one year.</w:t>
      </w:r>
    </w:p>
    <w:p w:rsidR="00727AE9" w:rsidRPr="00037EE3" w:rsidRDefault="00727AE9" w:rsidP="00E72A5B">
      <w:pPr>
        <w:pStyle w:val="3-BodyText"/>
        <w:ind w:left="709" w:hanging="709"/>
        <w:rPr>
          <w:b/>
          <w:bCs/>
        </w:rPr>
      </w:pPr>
      <w:r w:rsidRPr="00037EE3">
        <w:lastRenderedPageBreak/>
        <w:t>The modified economic evaluation was based on the submission’s claim that Utrogestan had superior efficacy and non-inferior safety compared to SOC in the prevention of preterm birth.</w:t>
      </w:r>
      <w:r w:rsidR="00576993" w:rsidRPr="00037EE3">
        <w:t xml:space="preserve"> </w:t>
      </w:r>
    </w:p>
    <w:p w:rsidR="008C5739" w:rsidRPr="00037EE3" w:rsidRDefault="00727AE9" w:rsidP="00E72A5B">
      <w:pPr>
        <w:pStyle w:val="3-BodyText"/>
        <w:ind w:left="709" w:hanging="709"/>
        <w:rPr>
          <w:b/>
          <w:bCs/>
        </w:rPr>
      </w:pPr>
      <w:r w:rsidRPr="00037EE3">
        <w:t xml:space="preserve">The table below outlines the key aspects of the </w:t>
      </w:r>
      <w:r w:rsidR="00133E58" w:rsidRPr="00037EE3">
        <w:t xml:space="preserve">cost analysis </w:t>
      </w:r>
      <w:r w:rsidRPr="00037EE3">
        <w:t>presented.</w:t>
      </w:r>
      <w:r w:rsidR="00576993" w:rsidRPr="00037EE3">
        <w:rPr>
          <w:color w:val="0066FF"/>
        </w:rPr>
        <w:t xml:space="preserve"> </w:t>
      </w:r>
    </w:p>
    <w:p w:rsidR="00275C5A" w:rsidRPr="00037EE3" w:rsidRDefault="00275C5A" w:rsidP="00641FB3">
      <w:pPr>
        <w:pStyle w:val="TableFigureHeading"/>
        <w:rPr>
          <w:rStyle w:val="CommentReference"/>
          <w:b/>
          <w:szCs w:val="24"/>
        </w:rPr>
      </w:pPr>
      <w:r w:rsidRPr="00037EE3">
        <w:rPr>
          <w:rStyle w:val="CommentReference"/>
          <w:b/>
          <w:szCs w:val="24"/>
        </w:rPr>
        <w:t xml:space="preserve">Table </w:t>
      </w:r>
      <w:r w:rsidR="006161D5" w:rsidRPr="00037EE3">
        <w:rPr>
          <w:rStyle w:val="CommentReference"/>
          <w:b/>
          <w:szCs w:val="24"/>
        </w:rPr>
        <w:t>6</w:t>
      </w:r>
      <w:r w:rsidRPr="00037EE3">
        <w:rPr>
          <w:rStyle w:val="CommentReference"/>
          <w:b/>
          <w:szCs w:val="24"/>
        </w:rPr>
        <w:t xml:space="preserve">: </w:t>
      </w:r>
      <w:r w:rsidR="00727AE9" w:rsidRPr="00037EE3">
        <w:rPr>
          <w:rStyle w:val="CommentReference"/>
          <w:b/>
          <w:szCs w:val="24"/>
        </w:rPr>
        <w:t>Key components of the modified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024"/>
        <w:gridCol w:w="4013"/>
      </w:tblGrid>
      <w:tr w:rsidR="00727AE9" w:rsidRPr="00037EE3" w:rsidTr="00AD3218">
        <w:tc>
          <w:tcPr>
            <w:tcW w:w="1098" w:type="pct"/>
            <w:vAlign w:val="center"/>
          </w:tcPr>
          <w:p w:rsidR="00727AE9" w:rsidRPr="00037EE3" w:rsidRDefault="00727AE9" w:rsidP="00D10B7D">
            <w:pPr>
              <w:pStyle w:val="In-tableHeading"/>
              <w:keepNext w:val="0"/>
              <w:widowControl w:val="0"/>
              <w:jc w:val="center"/>
              <w:rPr>
                <w:lang w:val="en-AU"/>
              </w:rPr>
            </w:pPr>
            <w:r w:rsidRPr="00037EE3">
              <w:rPr>
                <w:lang w:val="en-AU"/>
              </w:rPr>
              <w:t>Component</w:t>
            </w:r>
          </w:p>
        </w:tc>
        <w:tc>
          <w:tcPr>
            <w:tcW w:w="1677" w:type="pct"/>
            <w:vAlign w:val="center"/>
          </w:tcPr>
          <w:p w:rsidR="00727AE9" w:rsidRPr="00037EE3" w:rsidRDefault="00727AE9" w:rsidP="00D10B7D">
            <w:pPr>
              <w:pStyle w:val="In-tableHeading"/>
              <w:keepNext w:val="0"/>
              <w:widowControl w:val="0"/>
              <w:tabs>
                <w:tab w:val="left" w:pos="1686"/>
              </w:tabs>
              <w:jc w:val="center"/>
              <w:rPr>
                <w:lang w:val="en-AU"/>
              </w:rPr>
            </w:pPr>
            <w:r w:rsidRPr="00037EE3">
              <w:rPr>
                <w:lang w:val="en-AU"/>
              </w:rPr>
              <w:t>Description</w:t>
            </w:r>
          </w:p>
        </w:tc>
        <w:tc>
          <w:tcPr>
            <w:tcW w:w="2225" w:type="pct"/>
            <w:vAlign w:val="center"/>
          </w:tcPr>
          <w:p w:rsidR="00727AE9" w:rsidRPr="00037EE3" w:rsidRDefault="00727AE9" w:rsidP="00D10B7D">
            <w:pPr>
              <w:pStyle w:val="In-tableHeading"/>
              <w:keepNext w:val="0"/>
              <w:widowControl w:val="0"/>
              <w:jc w:val="center"/>
              <w:rPr>
                <w:lang w:val="en-AU"/>
              </w:rPr>
            </w:pPr>
            <w:r w:rsidRPr="00037EE3">
              <w:rPr>
                <w:lang w:val="en-AU"/>
              </w:rPr>
              <w:t>Justification/comments</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Type of analysis</w:t>
            </w:r>
          </w:p>
        </w:tc>
        <w:tc>
          <w:tcPr>
            <w:tcW w:w="1677" w:type="pct"/>
            <w:vAlign w:val="center"/>
          </w:tcPr>
          <w:p w:rsidR="00727AE9" w:rsidRPr="00037EE3" w:rsidRDefault="00727AE9" w:rsidP="00D10B7D">
            <w:pPr>
              <w:pStyle w:val="TableText0"/>
              <w:keepNext w:val="0"/>
              <w:widowControl w:val="0"/>
              <w:tabs>
                <w:tab w:val="left" w:pos="1686"/>
              </w:tabs>
            </w:pPr>
            <w:r w:rsidRPr="00037EE3">
              <w:t>Trial-based analysis</w:t>
            </w:r>
          </w:p>
          <w:p w:rsidR="00727AE9" w:rsidRPr="00037EE3" w:rsidRDefault="00727AE9" w:rsidP="00D10B7D">
            <w:pPr>
              <w:pStyle w:val="TableText0"/>
              <w:keepNext w:val="0"/>
              <w:widowControl w:val="0"/>
              <w:tabs>
                <w:tab w:val="left" w:pos="1686"/>
              </w:tabs>
            </w:pPr>
            <w:r w:rsidRPr="00037EE3">
              <w:t>Cost analysis</w:t>
            </w:r>
          </w:p>
        </w:tc>
        <w:tc>
          <w:tcPr>
            <w:tcW w:w="2225" w:type="pct"/>
            <w:vAlign w:val="center"/>
          </w:tcPr>
          <w:p w:rsidR="00727AE9" w:rsidRPr="00037EE3" w:rsidRDefault="00727AE9" w:rsidP="00E25B43">
            <w:pPr>
              <w:pStyle w:val="TableText0"/>
              <w:keepNext w:val="0"/>
              <w:widowControl w:val="0"/>
              <w:rPr>
                <w:iCs/>
              </w:rPr>
            </w:pPr>
            <w:r w:rsidRPr="00037EE3">
              <w:rPr>
                <w:iCs/>
              </w:rPr>
              <w:t>Appropriate.</w:t>
            </w:r>
            <w:r w:rsidR="001F04CF" w:rsidRPr="00037EE3">
              <w:rPr>
                <w:iCs/>
              </w:rPr>
              <w:t xml:space="preserve"> </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Outcomes</w:t>
            </w:r>
          </w:p>
        </w:tc>
        <w:tc>
          <w:tcPr>
            <w:tcW w:w="1677" w:type="pct"/>
            <w:vAlign w:val="center"/>
          </w:tcPr>
          <w:p w:rsidR="00727AE9" w:rsidRPr="00037EE3" w:rsidRDefault="00727AE9" w:rsidP="00D10B7D">
            <w:pPr>
              <w:pStyle w:val="TableText0"/>
              <w:keepNext w:val="0"/>
              <w:widowControl w:val="0"/>
              <w:tabs>
                <w:tab w:val="left" w:pos="1686"/>
              </w:tabs>
            </w:pPr>
            <w:r w:rsidRPr="00037EE3">
              <w:t>Neonatal hospitalisations, neonatal morbidity</w:t>
            </w:r>
          </w:p>
        </w:tc>
        <w:tc>
          <w:tcPr>
            <w:tcW w:w="2225" w:type="pct"/>
            <w:vAlign w:val="center"/>
          </w:tcPr>
          <w:p w:rsidR="00727AE9" w:rsidRPr="00037EE3" w:rsidRDefault="00ED4A65" w:rsidP="00D10B7D">
            <w:pPr>
              <w:pStyle w:val="TableText0"/>
              <w:keepNext w:val="0"/>
              <w:widowControl w:val="0"/>
              <w:rPr>
                <w:iCs/>
              </w:rPr>
            </w:pPr>
            <w:r w:rsidRPr="00037EE3">
              <w:rPr>
                <w:iCs/>
              </w:rPr>
              <w:t>Reasonable, a</w:t>
            </w:r>
            <w:r w:rsidR="00DB7328" w:rsidRPr="00037EE3">
              <w:rPr>
                <w:iCs/>
              </w:rPr>
              <w:t>lthough subsequent costs (and benefits) associated with more infants who are alive is not included.</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Time horizon</w:t>
            </w:r>
          </w:p>
        </w:tc>
        <w:tc>
          <w:tcPr>
            <w:tcW w:w="1677" w:type="pct"/>
            <w:vAlign w:val="center"/>
          </w:tcPr>
          <w:p w:rsidR="00727AE9" w:rsidRPr="00037EE3" w:rsidRDefault="00727AE9" w:rsidP="00D10B7D">
            <w:pPr>
              <w:pStyle w:val="TableText0"/>
              <w:keepNext w:val="0"/>
              <w:widowControl w:val="0"/>
              <w:tabs>
                <w:tab w:val="left" w:pos="1686"/>
              </w:tabs>
            </w:pPr>
            <w:r w:rsidRPr="00037EE3">
              <w:t xml:space="preserve">Trial-based analysis: </w:t>
            </w:r>
            <w:r w:rsidRPr="00037EE3">
              <w:tab/>
              <w:t>16 weeks</w:t>
            </w:r>
          </w:p>
          <w:p w:rsidR="00727AE9" w:rsidRPr="00037EE3" w:rsidRDefault="00727AE9" w:rsidP="00D10B7D">
            <w:pPr>
              <w:pStyle w:val="TableText0"/>
              <w:keepNext w:val="0"/>
              <w:widowControl w:val="0"/>
              <w:tabs>
                <w:tab w:val="left" w:pos="1686"/>
              </w:tabs>
            </w:pPr>
            <w:r w:rsidRPr="00037EE3">
              <w:t xml:space="preserve">Cost analysis: </w:t>
            </w:r>
            <w:r w:rsidRPr="00037EE3">
              <w:tab/>
              <w:t>1 year</w:t>
            </w:r>
          </w:p>
        </w:tc>
        <w:tc>
          <w:tcPr>
            <w:tcW w:w="2225" w:type="pct"/>
            <w:vAlign w:val="center"/>
          </w:tcPr>
          <w:p w:rsidR="00727AE9" w:rsidRPr="00037EE3" w:rsidRDefault="00727AE9" w:rsidP="00D10B7D">
            <w:pPr>
              <w:pStyle w:val="TableText0"/>
              <w:keepNext w:val="0"/>
              <w:widowControl w:val="0"/>
              <w:rPr>
                <w:iCs/>
              </w:rPr>
            </w:pPr>
            <w:r w:rsidRPr="00037EE3">
              <w:rPr>
                <w:iCs/>
              </w:rPr>
              <w:t>Reasonable.</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Methods used to generate results</w:t>
            </w:r>
          </w:p>
        </w:tc>
        <w:tc>
          <w:tcPr>
            <w:tcW w:w="1677" w:type="pct"/>
            <w:vAlign w:val="center"/>
          </w:tcPr>
          <w:p w:rsidR="00727AE9" w:rsidRPr="00037EE3" w:rsidRDefault="00727AE9" w:rsidP="00D10B7D">
            <w:pPr>
              <w:pStyle w:val="TableText0"/>
              <w:keepNext w:val="0"/>
              <w:widowControl w:val="0"/>
              <w:tabs>
                <w:tab w:val="left" w:pos="1686"/>
              </w:tabs>
            </w:pPr>
            <w:r w:rsidRPr="00037EE3">
              <w:t>Preterm birth from Romero (2018) with hospitalisation costs applied by gestational age.</w:t>
            </w:r>
          </w:p>
        </w:tc>
        <w:tc>
          <w:tcPr>
            <w:tcW w:w="2225" w:type="pct"/>
            <w:vAlign w:val="center"/>
          </w:tcPr>
          <w:p w:rsidR="00727AE9" w:rsidRPr="00037EE3" w:rsidRDefault="005642BC" w:rsidP="005642BC">
            <w:pPr>
              <w:pStyle w:val="TableText0"/>
              <w:keepNext w:val="0"/>
              <w:widowControl w:val="0"/>
              <w:rPr>
                <w:iCs/>
              </w:rPr>
            </w:pPr>
            <w:r w:rsidRPr="00037EE3">
              <w:rPr>
                <w:iCs/>
              </w:rPr>
              <w:t>M</w:t>
            </w:r>
            <w:r w:rsidR="001A20AF" w:rsidRPr="00037EE3">
              <w:rPr>
                <w:iCs/>
              </w:rPr>
              <w:t xml:space="preserve">ay </w:t>
            </w:r>
            <w:r w:rsidR="00727AE9" w:rsidRPr="00037EE3">
              <w:rPr>
                <w:iCs/>
              </w:rPr>
              <w:t xml:space="preserve">not accurately reflect </w:t>
            </w:r>
            <w:r w:rsidRPr="00037EE3">
              <w:rPr>
                <w:iCs/>
              </w:rPr>
              <w:t xml:space="preserve">all of </w:t>
            </w:r>
            <w:r w:rsidR="00727AE9" w:rsidRPr="00037EE3">
              <w:rPr>
                <w:iCs/>
              </w:rPr>
              <w:t>the available evidence.</w:t>
            </w:r>
          </w:p>
        </w:tc>
      </w:tr>
      <w:tr w:rsidR="00727AE9" w:rsidRPr="00037EE3" w:rsidTr="00AD3218">
        <w:tc>
          <w:tcPr>
            <w:tcW w:w="5000" w:type="pct"/>
            <w:gridSpan w:val="3"/>
            <w:vAlign w:val="center"/>
          </w:tcPr>
          <w:p w:rsidR="00727AE9" w:rsidRPr="00037EE3" w:rsidRDefault="00727AE9" w:rsidP="00D10B7D">
            <w:pPr>
              <w:pStyle w:val="TableText0"/>
              <w:keepNext w:val="0"/>
              <w:widowControl w:val="0"/>
              <w:rPr>
                <w:b/>
                <w:bCs w:val="0"/>
              </w:rPr>
            </w:pPr>
            <w:r w:rsidRPr="00037EE3">
              <w:rPr>
                <w:b/>
                <w:bCs w:val="0"/>
              </w:rPr>
              <w:t>Key assumptions and components of the economic evaluation as presented by the submission</w:t>
            </w:r>
          </w:p>
        </w:tc>
      </w:tr>
      <w:tr w:rsidR="00727AE9" w:rsidRPr="00037EE3" w:rsidTr="00AD3218">
        <w:tc>
          <w:tcPr>
            <w:tcW w:w="1098" w:type="pct"/>
            <w:vAlign w:val="center"/>
          </w:tcPr>
          <w:p w:rsidR="00727AE9" w:rsidRPr="00037EE3" w:rsidRDefault="00727AE9" w:rsidP="00D10B7D">
            <w:pPr>
              <w:pStyle w:val="TableText0"/>
              <w:keepNext w:val="0"/>
              <w:widowControl w:val="0"/>
              <w:rPr>
                <w:b/>
                <w:bCs w:val="0"/>
              </w:rPr>
            </w:pPr>
            <w:r w:rsidRPr="00037EE3">
              <w:rPr>
                <w:b/>
                <w:bCs w:val="0"/>
              </w:rPr>
              <w:t>Component</w:t>
            </w:r>
          </w:p>
        </w:tc>
        <w:tc>
          <w:tcPr>
            <w:tcW w:w="1677" w:type="pct"/>
            <w:vAlign w:val="center"/>
          </w:tcPr>
          <w:p w:rsidR="00727AE9" w:rsidRPr="00037EE3" w:rsidRDefault="00727AE9" w:rsidP="00D10B7D">
            <w:pPr>
              <w:pStyle w:val="TableText0"/>
              <w:keepNext w:val="0"/>
              <w:widowControl w:val="0"/>
              <w:tabs>
                <w:tab w:val="left" w:pos="1686"/>
              </w:tabs>
              <w:jc w:val="center"/>
              <w:rPr>
                <w:b/>
                <w:bCs w:val="0"/>
              </w:rPr>
            </w:pPr>
            <w:r w:rsidRPr="00037EE3">
              <w:rPr>
                <w:b/>
                <w:bCs w:val="0"/>
              </w:rPr>
              <w:t>Claim or assumption</w:t>
            </w:r>
          </w:p>
        </w:tc>
        <w:tc>
          <w:tcPr>
            <w:tcW w:w="2225" w:type="pct"/>
            <w:vAlign w:val="center"/>
          </w:tcPr>
          <w:p w:rsidR="00727AE9" w:rsidRPr="00037EE3" w:rsidRDefault="00727AE9" w:rsidP="00D10B7D">
            <w:pPr>
              <w:pStyle w:val="TableText0"/>
              <w:keepNext w:val="0"/>
              <w:widowControl w:val="0"/>
              <w:jc w:val="center"/>
              <w:rPr>
                <w:b/>
                <w:bCs w:val="0"/>
              </w:rPr>
            </w:pPr>
            <w:r w:rsidRPr="00037EE3">
              <w:rPr>
                <w:b/>
                <w:bCs w:val="0"/>
              </w:rPr>
              <w:t>Justification/comments</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Therapeutic claim: effectiveness</w:t>
            </w:r>
          </w:p>
        </w:tc>
        <w:tc>
          <w:tcPr>
            <w:tcW w:w="1677" w:type="pct"/>
            <w:vAlign w:val="center"/>
          </w:tcPr>
          <w:p w:rsidR="00727AE9" w:rsidRPr="00037EE3" w:rsidRDefault="00727AE9" w:rsidP="00D10B7D">
            <w:pPr>
              <w:pStyle w:val="TableText0"/>
              <w:keepNext w:val="0"/>
              <w:widowControl w:val="0"/>
              <w:tabs>
                <w:tab w:val="left" w:pos="1686"/>
              </w:tabs>
            </w:pPr>
            <w:r w:rsidRPr="00037EE3">
              <w:t>Effectiveness is assumed to be superior.</w:t>
            </w:r>
          </w:p>
        </w:tc>
        <w:tc>
          <w:tcPr>
            <w:tcW w:w="2225" w:type="pct"/>
            <w:vAlign w:val="center"/>
          </w:tcPr>
          <w:p w:rsidR="00727AE9" w:rsidRPr="00037EE3" w:rsidRDefault="001A20AF" w:rsidP="00C02F23">
            <w:pPr>
              <w:pStyle w:val="TableText0"/>
              <w:keepNext w:val="0"/>
              <w:widowControl w:val="0"/>
              <w:rPr>
                <w:iCs/>
              </w:rPr>
            </w:pPr>
            <w:r w:rsidRPr="00037EE3">
              <w:rPr>
                <w:iCs/>
              </w:rPr>
              <w:t>Based on</w:t>
            </w:r>
            <w:r w:rsidR="00C02F23" w:rsidRPr="00037EE3">
              <w:rPr>
                <w:iCs/>
              </w:rPr>
              <w:t xml:space="preserve"> the Romero (2018) meta-analysis </w:t>
            </w:r>
            <w:r w:rsidRPr="00037EE3">
              <w:rPr>
                <w:iCs/>
              </w:rPr>
              <w:t>which may not have included all relevant studies</w:t>
            </w:r>
            <w:r w:rsidR="00AE55D7" w:rsidRPr="00037EE3">
              <w:rPr>
                <w:iCs/>
              </w:rPr>
              <w:t>.</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Therapeutic claim: safety</w:t>
            </w:r>
          </w:p>
        </w:tc>
        <w:tc>
          <w:tcPr>
            <w:tcW w:w="1677" w:type="pct"/>
            <w:vAlign w:val="center"/>
          </w:tcPr>
          <w:p w:rsidR="00727AE9" w:rsidRPr="00037EE3" w:rsidRDefault="00727AE9" w:rsidP="00D10B7D">
            <w:pPr>
              <w:pStyle w:val="TableText0"/>
              <w:keepNext w:val="0"/>
              <w:widowControl w:val="0"/>
              <w:tabs>
                <w:tab w:val="left" w:pos="1686"/>
              </w:tabs>
            </w:pPr>
            <w:r w:rsidRPr="00037EE3">
              <w:t>Safety is assumed to be non-inferior.</w:t>
            </w:r>
          </w:p>
        </w:tc>
        <w:tc>
          <w:tcPr>
            <w:tcW w:w="2225" w:type="pct"/>
            <w:vAlign w:val="center"/>
          </w:tcPr>
          <w:p w:rsidR="00727AE9" w:rsidRPr="00037EE3" w:rsidRDefault="00727AE9" w:rsidP="00D10B7D">
            <w:pPr>
              <w:pStyle w:val="TableText0"/>
              <w:keepNext w:val="0"/>
              <w:widowControl w:val="0"/>
              <w:rPr>
                <w:iCs/>
              </w:rPr>
            </w:pPr>
            <w:r w:rsidRPr="00037EE3">
              <w:rPr>
                <w:iCs/>
              </w:rPr>
              <w:t>Reasonable.</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Direct medicine costs</w:t>
            </w:r>
          </w:p>
        </w:tc>
        <w:tc>
          <w:tcPr>
            <w:tcW w:w="1677" w:type="pct"/>
            <w:vAlign w:val="center"/>
          </w:tcPr>
          <w:p w:rsidR="00727AE9" w:rsidRPr="00E02E34" w:rsidRDefault="00727AE9" w:rsidP="00D10B7D">
            <w:pPr>
              <w:pStyle w:val="TableText0"/>
              <w:keepNext w:val="0"/>
              <w:widowControl w:val="0"/>
              <w:tabs>
                <w:tab w:val="left" w:pos="1686"/>
              </w:tabs>
            </w:pPr>
            <w:r w:rsidRPr="00E02E34">
              <w:t>$</w:t>
            </w:r>
            <w:r w:rsidR="008F56EA">
              <w:rPr>
                <w:noProof/>
                <w:color w:val="000000"/>
                <w:highlight w:val="black"/>
              </w:rPr>
              <w:t>'''''''''''''''''</w:t>
            </w:r>
          </w:p>
        </w:tc>
        <w:tc>
          <w:tcPr>
            <w:tcW w:w="2225" w:type="pct"/>
            <w:vAlign w:val="center"/>
          </w:tcPr>
          <w:p w:rsidR="00727AE9" w:rsidRPr="00037EE3" w:rsidRDefault="00727AE9" w:rsidP="00946C2C">
            <w:pPr>
              <w:pStyle w:val="TableText0"/>
              <w:keepNext w:val="0"/>
              <w:widowControl w:val="0"/>
              <w:rPr>
                <w:iCs/>
              </w:rPr>
            </w:pPr>
            <w:r w:rsidRPr="00037EE3">
              <w:rPr>
                <w:iCs/>
              </w:rPr>
              <w:t>Assumes 100% compliance which was not reflected in the clinical trials.</w:t>
            </w:r>
            <w:r w:rsidR="00576993" w:rsidRPr="00037EE3">
              <w:rPr>
                <w:iCs/>
              </w:rPr>
              <w:t xml:space="preserve"> </w:t>
            </w:r>
            <w:r w:rsidRPr="00037EE3">
              <w:rPr>
                <w:iCs/>
              </w:rPr>
              <w:t xml:space="preserve">Also assumes use of a partial pack, however </w:t>
            </w:r>
            <w:r w:rsidR="00946C2C" w:rsidRPr="00037EE3">
              <w:rPr>
                <w:iCs/>
              </w:rPr>
              <w:t xml:space="preserve">women </w:t>
            </w:r>
            <w:r w:rsidRPr="00037EE3">
              <w:rPr>
                <w:iCs/>
              </w:rPr>
              <w:t>will not obtain 0.67 of a script so cost is underestimated.</w:t>
            </w:r>
            <w:r w:rsidR="00AE55D7" w:rsidRPr="00037EE3">
              <w:rPr>
                <w:iCs/>
              </w:rPr>
              <w:t xml:space="preserve"> The ESC considered the cost of progesterone should have been based on 3 full packs rather than 2.67 packs.</w:t>
            </w:r>
          </w:p>
        </w:tc>
      </w:tr>
      <w:tr w:rsidR="00727AE9" w:rsidRPr="00037EE3" w:rsidTr="00AD3218">
        <w:tc>
          <w:tcPr>
            <w:tcW w:w="1098" w:type="pct"/>
            <w:vAlign w:val="center"/>
          </w:tcPr>
          <w:p w:rsidR="00727AE9" w:rsidRPr="00037EE3" w:rsidRDefault="00727AE9" w:rsidP="00D10B7D">
            <w:pPr>
              <w:pStyle w:val="TableText0"/>
              <w:keepNext w:val="0"/>
              <w:widowControl w:val="0"/>
            </w:pPr>
            <w:r w:rsidRPr="00037EE3">
              <w:t>Other costs or cost offsets</w:t>
            </w:r>
          </w:p>
        </w:tc>
        <w:tc>
          <w:tcPr>
            <w:tcW w:w="1677" w:type="pct"/>
            <w:vAlign w:val="center"/>
          </w:tcPr>
          <w:p w:rsidR="00727AE9" w:rsidRPr="00037EE3" w:rsidRDefault="00727AE9" w:rsidP="00D10B7D">
            <w:pPr>
              <w:pStyle w:val="TableText0"/>
              <w:keepNext w:val="0"/>
              <w:widowControl w:val="0"/>
              <w:tabs>
                <w:tab w:val="left" w:pos="1686"/>
              </w:tabs>
            </w:pPr>
            <w:r w:rsidRPr="00037EE3">
              <w:t>Fewer hospitalisations due to preterm birth.</w:t>
            </w:r>
          </w:p>
        </w:tc>
        <w:tc>
          <w:tcPr>
            <w:tcW w:w="2225" w:type="pct"/>
            <w:vAlign w:val="center"/>
          </w:tcPr>
          <w:p w:rsidR="00727AE9" w:rsidRPr="00037EE3" w:rsidRDefault="00727AE9" w:rsidP="00D10B7D">
            <w:pPr>
              <w:pStyle w:val="TableText0"/>
              <w:keepNext w:val="0"/>
              <w:widowControl w:val="0"/>
              <w:rPr>
                <w:iCs/>
              </w:rPr>
            </w:pPr>
            <w:r w:rsidRPr="00037EE3">
              <w:rPr>
                <w:iCs/>
              </w:rPr>
              <w:t>Relies solely on Romero (2018) data.</w:t>
            </w:r>
          </w:p>
        </w:tc>
      </w:tr>
    </w:tbl>
    <w:p w:rsidR="00301FC3" w:rsidRPr="00037EE3" w:rsidRDefault="00727AE9" w:rsidP="00AD3218">
      <w:pPr>
        <w:pStyle w:val="TableFigureFooter"/>
        <w:rPr>
          <w:rStyle w:val="CommentReference"/>
        </w:rPr>
      </w:pPr>
      <w:r w:rsidRPr="00037EE3">
        <w:t>Source: Table 3.1, p133; Section 3.1.3, p135 of the submission.</w:t>
      </w:r>
    </w:p>
    <w:p w:rsidR="006A660B" w:rsidRPr="00037EE3" w:rsidRDefault="006A660B" w:rsidP="00E72A5B">
      <w:pPr>
        <w:pStyle w:val="3-BodyText"/>
        <w:ind w:left="709" w:hanging="709"/>
      </w:pPr>
      <w:r w:rsidRPr="00037EE3">
        <w:t xml:space="preserve">Table 7 outlines the </w:t>
      </w:r>
      <w:r w:rsidR="00ED1E06" w:rsidRPr="00037EE3">
        <w:t>costs applied</w:t>
      </w:r>
      <w:r w:rsidRPr="00037EE3">
        <w:t xml:space="preserve"> in the trial-based and cost analyses.</w:t>
      </w:r>
    </w:p>
    <w:p w:rsidR="000D4B66" w:rsidRPr="00037EE3" w:rsidRDefault="006161D5" w:rsidP="00AD3218">
      <w:pPr>
        <w:pStyle w:val="TableHeading0"/>
        <w:spacing w:after="0"/>
        <w:rPr>
          <w:rStyle w:val="CommentReference"/>
          <w:b/>
        </w:rPr>
      </w:pPr>
      <w:r w:rsidRPr="00037EE3">
        <w:rPr>
          <w:rStyle w:val="CommentReference"/>
          <w:b/>
        </w:rPr>
        <w:t xml:space="preserve">Table </w:t>
      </w:r>
      <w:r w:rsidRPr="00037EE3">
        <w:rPr>
          <w:rStyle w:val="CommentReference"/>
          <w:b/>
          <w:szCs w:val="24"/>
        </w:rPr>
        <w:t>7</w:t>
      </w:r>
      <w:r w:rsidR="000D4B66" w:rsidRPr="00037EE3">
        <w:rPr>
          <w:rStyle w:val="CommentReference"/>
          <w:b/>
        </w:rPr>
        <w:t>:</w:t>
      </w:r>
      <w:r w:rsidR="006A660B" w:rsidRPr="00037EE3">
        <w:rPr>
          <w:rStyle w:val="CommentReference"/>
          <w:b/>
        </w:rPr>
        <w:t xml:space="preserve"> </w:t>
      </w:r>
      <w:r w:rsidR="000D4B66" w:rsidRPr="00037EE3">
        <w:rPr>
          <w:rStyle w:val="CommentReference"/>
          <w:b/>
        </w:rPr>
        <w:t>Costs applied in the trial-based and cost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67"/>
        <w:gridCol w:w="1197"/>
        <w:gridCol w:w="4653"/>
      </w:tblGrid>
      <w:tr w:rsidR="000D4B66" w:rsidRPr="00037EE3" w:rsidTr="00AD3218">
        <w:trPr>
          <w:tblHeader/>
        </w:trPr>
        <w:tc>
          <w:tcPr>
            <w:tcW w:w="1756" w:type="pct"/>
            <w:vAlign w:val="center"/>
          </w:tcPr>
          <w:p w:rsidR="000D4B66" w:rsidRPr="00037EE3" w:rsidRDefault="000D4B66" w:rsidP="007B385B">
            <w:pPr>
              <w:pStyle w:val="In-tableHeading"/>
              <w:tabs>
                <w:tab w:val="left" w:pos="102"/>
                <w:tab w:val="left" w:pos="244"/>
              </w:tabs>
              <w:rPr>
                <w:szCs w:val="20"/>
                <w:lang w:val="en-AU"/>
              </w:rPr>
            </w:pPr>
            <w:r w:rsidRPr="00037EE3">
              <w:rPr>
                <w:szCs w:val="20"/>
                <w:lang w:val="en-AU"/>
              </w:rPr>
              <w:t>Component</w:t>
            </w:r>
          </w:p>
        </w:tc>
        <w:tc>
          <w:tcPr>
            <w:tcW w:w="664" w:type="pct"/>
            <w:vAlign w:val="center"/>
          </w:tcPr>
          <w:p w:rsidR="000D4B66" w:rsidRPr="00037EE3" w:rsidRDefault="000D4B66" w:rsidP="007B385B">
            <w:pPr>
              <w:pStyle w:val="In-tableHeading"/>
              <w:jc w:val="center"/>
              <w:rPr>
                <w:szCs w:val="20"/>
                <w:lang w:val="en-AU"/>
              </w:rPr>
            </w:pPr>
            <w:r w:rsidRPr="00037EE3">
              <w:rPr>
                <w:szCs w:val="20"/>
                <w:lang w:val="en-AU"/>
              </w:rPr>
              <w:t>Cost</w:t>
            </w:r>
          </w:p>
        </w:tc>
        <w:tc>
          <w:tcPr>
            <w:tcW w:w="2580" w:type="pct"/>
            <w:vAlign w:val="center"/>
          </w:tcPr>
          <w:p w:rsidR="000D4B66" w:rsidRPr="00037EE3" w:rsidRDefault="000D4B66" w:rsidP="007B385B">
            <w:pPr>
              <w:pStyle w:val="In-tableHeading"/>
              <w:jc w:val="center"/>
              <w:rPr>
                <w:szCs w:val="20"/>
                <w:lang w:val="en-AU"/>
              </w:rPr>
            </w:pPr>
            <w:r w:rsidRPr="00037EE3">
              <w:rPr>
                <w:szCs w:val="20"/>
                <w:lang w:val="en-AU"/>
              </w:rPr>
              <w:t>Description</w:t>
            </w:r>
          </w:p>
        </w:tc>
      </w:tr>
      <w:tr w:rsidR="000D4B66" w:rsidRPr="00037EE3" w:rsidTr="00AD3218">
        <w:tc>
          <w:tcPr>
            <w:tcW w:w="1756" w:type="pct"/>
            <w:vAlign w:val="center"/>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bCs w:val="0"/>
                <w:color w:val="000000"/>
                <w:szCs w:val="20"/>
              </w:rPr>
              <w:t>Utrogestan</w:t>
            </w:r>
          </w:p>
        </w:tc>
        <w:tc>
          <w:tcPr>
            <w:tcW w:w="664" w:type="pct"/>
            <w:vAlign w:val="center"/>
          </w:tcPr>
          <w:p w:rsidR="000D4B66" w:rsidRPr="00E02E34" w:rsidRDefault="000D4B66" w:rsidP="007B385B">
            <w:pPr>
              <w:pStyle w:val="TableText0"/>
              <w:jc w:val="center"/>
              <w:rPr>
                <w:rFonts w:cs="Calibri"/>
                <w:bCs w:val="0"/>
                <w:szCs w:val="20"/>
              </w:rPr>
            </w:pPr>
            <w:r w:rsidRPr="00270233">
              <w:rPr>
                <w:rFonts w:cs="Calibri"/>
                <w:bCs w:val="0"/>
                <w:szCs w:val="20"/>
              </w:rPr>
              <w:t>$</w:t>
            </w:r>
            <w:r w:rsidR="008F56EA">
              <w:rPr>
                <w:rFonts w:cs="Calibri"/>
                <w:bCs w:val="0"/>
                <w:noProof/>
                <w:color w:val="000000"/>
                <w:szCs w:val="20"/>
                <w:highlight w:val="black"/>
              </w:rPr>
              <w:t>''''''''''''''''</w:t>
            </w:r>
          </w:p>
        </w:tc>
        <w:tc>
          <w:tcPr>
            <w:tcW w:w="2580" w:type="pct"/>
            <w:vAlign w:val="center"/>
          </w:tcPr>
          <w:p w:rsidR="000D4B66" w:rsidRPr="00037EE3" w:rsidRDefault="000D4B66" w:rsidP="007B385B">
            <w:pPr>
              <w:pStyle w:val="TableText0"/>
              <w:rPr>
                <w:rFonts w:cs="Calibri"/>
                <w:bCs w:val="0"/>
                <w:szCs w:val="20"/>
              </w:rPr>
            </w:pPr>
            <w:r w:rsidRPr="00037EE3">
              <w:rPr>
                <w:rFonts w:cs="Calibri"/>
                <w:bCs w:val="0"/>
                <w:szCs w:val="20"/>
              </w:rPr>
              <w:t>Cost of course of treatment, based on assumed treatment duration of 16 weeks (2.67 packs) and full compliance. Applied in trial-based and cost analyses.</w:t>
            </w:r>
          </w:p>
        </w:tc>
      </w:tr>
      <w:tr w:rsidR="000D4B66" w:rsidRPr="00037EE3" w:rsidTr="00AD3218">
        <w:tc>
          <w:tcPr>
            <w:tcW w:w="1756" w:type="pct"/>
            <w:vAlign w:val="center"/>
          </w:tcPr>
          <w:p w:rsidR="000D4B66" w:rsidRPr="00037EE3" w:rsidRDefault="000D4B66" w:rsidP="007B385B">
            <w:pPr>
              <w:pStyle w:val="TableText0"/>
              <w:tabs>
                <w:tab w:val="left" w:pos="102"/>
                <w:tab w:val="left" w:pos="244"/>
              </w:tabs>
              <w:rPr>
                <w:rFonts w:cs="Calibri"/>
                <w:color w:val="000000"/>
                <w:szCs w:val="20"/>
              </w:rPr>
            </w:pPr>
            <w:r w:rsidRPr="00037EE3">
              <w:rPr>
                <w:rFonts w:cs="Calibri"/>
                <w:color w:val="000000"/>
                <w:szCs w:val="20"/>
              </w:rPr>
              <w:t>Preterm hospitalisation</w:t>
            </w:r>
          </w:p>
        </w:tc>
        <w:tc>
          <w:tcPr>
            <w:tcW w:w="664" w:type="pct"/>
            <w:vAlign w:val="center"/>
          </w:tcPr>
          <w:p w:rsidR="000D4B66" w:rsidRPr="00037EE3" w:rsidRDefault="000D4B66" w:rsidP="007B385B">
            <w:pPr>
              <w:pStyle w:val="TableText0"/>
              <w:jc w:val="center"/>
              <w:rPr>
                <w:rFonts w:cs="Calibri"/>
                <w:bCs w:val="0"/>
                <w:szCs w:val="20"/>
              </w:rPr>
            </w:pPr>
            <w:r w:rsidRPr="00037EE3">
              <w:rPr>
                <w:rFonts w:cs="Calibri"/>
                <w:bCs w:val="0"/>
                <w:szCs w:val="20"/>
              </w:rPr>
              <w:t>$</w:t>
            </w:r>
            <w:r w:rsidRPr="00111637">
              <w:rPr>
                <w:rFonts w:cs="Calibri"/>
                <w:bCs w:val="0"/>
                <w:szCs w:val="20"/>
              </w:rPr>
              <w:t>28,752</w:t>
            </w:r>
          </w:p>
        </w:tc>
        <w:tc>
          <w:tcPr>
            <w:tcW w:w="2580" w:type="pct"/>
            <w:vAlign w:val="center"/>
          </w:tcPr>
          <w:p w:rsidR="000D4B66" w:rsidRPr="00037EE3" w:rsidRDefault="000D4B66" w:rsidP="007B385B">
            <w:pPr>
              <w:pStyle w:val="TableText0"/>
              <w:rPr>
                <w:rFonts w:cs="Calibri"/>
                <w:bCs w:val="0"/>
                <w:szCs w:val="20"/>
              </w:rPr>
            </w:pPr>
            <w:r w:rsidRPr="00037EE3">
              <w:rPr>
                <w:rFonts w:cs="Calibri"/>
                <w:bCs w:val="0"/>
                <w:szCs w:val="20"/>
              </w:rPr>
              <w:t xml:space="preserve">Weighted cost for all AR-DRG’s for neonatal care in 2016-2017. Applied to trial-based evaluation only. </w:t>
            </w:r>
          </w:p>
        </w:tc>
      </w:tr>
      <w:tr w:rsidR="000D4B66" w:rsidRPr="00037EE3" w:rsidTr="00AD3218">
        <w:tc>
          <w:tcPr>
            <w:tcW w:w="1756" w:type="pct"/>
            <w:vAlign w:val="bottom"/>
          </w:tcPr>
          <w:p w:rsidR="000D4B66" w:rsidRPr="00037EE3" w:rsidRDefault="000D4B66" w:rsidP="007B385B">
            <w:pPr>
              <w:pStyle w:val="TableText0"/>
              <w:tabs>
                <w:tab w:val="left" w:pos="102"/>
              </w:tabs>
              <w:rPr>
                <w:rFonts w:cs="Calibri"/>
                <w:bCs w:val="0"/>
                <w:color w:val="000000"/>
                <w:szCs w:val="20"/>
              </w:rPr>
            </w:pPr>
            <w:r w:rsidRPr="00037EE3">
              <w:rPr>
                <w:rFonts w:cs="Calibri"/>
                <w:color w:val="000000"/>
                <w:szCs w:val="20"/>
              </w:rPr>
              <w:tab/>
              <w:t>&lt;37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22,679</w:t>
            </w:r>
          </w:p>
        </w:tc>
        <w:tc>
          <w:tcPr>
            <w:tcW w:w="2580" w:type="pct"/>
            <w:vMerge w:val="restart"/>
            <w:vAlign w:val="center"/>
          </w:tcPr>
          <w:p w:rsidR="000D4B66" w:rsidRPr="00037EE3" w:rsidRDefault="000D4B66" w:rsidP="007B385B">
            <w:pPr>
              <w:pStyle w:val="TableText0"/>
              <w:rPr>
                <w:rFonts w:cs="Calibri"/>
                <w:bCs w:val="0"/>
                <w:szCs w:val="20"/>
              </w:rPr>
            </w:pPr>
            <w:r w:rsidRPr="00037EE3">
              <w:rPr>
                <w:rFonts w:cs="Calibri"/>
                <w:bCs w:val="0"/>
                <w:szCs w:val="20"/>
              </w:rPr>
              <w:t>Weighted AR-DRG costs from 2016-2017 indexed to 2021 values (assumed time of listing) using assumed inflation of 2% per annum.</w:t>
            </w:r>
          </w:p>
          <w:p w:rsidR="000D4B66" w:rsidRPr="00037EE3" w:rsidRDefault="000D4B66" w:rsidP="007B385B">
            <w:pPr>
              <w:pStyle w:val="TableText0"/>
              <w:rPr>
                <w:rFonts w:cs="Calibri"/>
                <w:bCs w:val="0"/>
                <w:szCs w:val="20"/>
              </w:rPr>
            </w:pPr>
            <w:r w:rsidRPr="00037EE3">
              <w:rPr>
                <w:rFonts w:cs="Calibri"/>
                <w:bCs w:val="0"/>
                <w:szCs w:val="20"/>
              </w:rPr>
              <w:t>Applied in cost analysis.</w:t>
            </w:r>
          </w:p>
        </w:tc>
      </w:tr>
      <w:tr w:rsidR="000D4B66" w:rsidRPr="00037EE3" w:rsidTr="00AD3218">
        <w:tc>
          <w:tcPr>
            <w:tcW w:w="1756" w:type="pct"/>
            <w:vAlign w:val="bottom"/>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color w:val="000000"/>
                <w:szCs w:val="20"/>
              </w:rPr>
              <w:tab/>
              <w:t>&lt;36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22,679</w:t>
            </w:r>
          </w:p>
        </w:tc>
        <w:tc>
          <w:tcPr>
            <w:tcW w:w="2580" w:type="pct"/>
            <w:vMerge/>
            <w:vAlign w:val="center"/>
          </w:tcPr>
          <w:p w:rsidR="000D4B66" w:rsidRPr="00037EE3" w:rsidRDefault="000D4B66" w:rsidP="007B385B">
            <w:pPr>
              <w:pStyle w:val="TableText0"/>
              <w:jc w:val="center"/>
              <w:rPr>
                <w:rFonts w:cs="Calibri"/>
                <w:bCs w:val="0"/>
                <w:szCs w:val="20"/>
              </w:rPr>
            </w:pPr>
          </w:p>
        </w:tc>
      </w:tr>
      <w:tr w:rsidR="000D4B66" w:rsidRPr="00037EE3" w:rsidTr="00AD3218">
        <w:tc>
          <w:tcPr>
            <w:tcW w:w="1756" w:type="pct"/>
            <w:vAlign w:val="bottom"/>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color w:val="000000"/>
                <w:szCs w:val="20"/>
              </w:rPr>
              <w:tab/>
              <w:t>&lt;35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18,359</w:t>
            </w:r>
          </w:p>
        </w:tc>
        <w:tc>
          <w:tcPr>
            <w:tcW w:w="2580" w:type="pct"/>
            <w:vMerge/>
            <w:vAlign w:val="center"/>
          </w:tcPr>
          <w:p w:rsidR="000D4B66" w:rsidRPr="00037EE3" w:rsidRDefault="000D4B66" w:rsidP="007B385B">
            <w:pPr>
              <w:pStyle w:val="TableText0"/>
              <w:jc w:val="center"/>
              <w:rPr>
                <w:rFonts w:cs="Calibri"/>
                <w:bCs w:val="0"/>
                <w:szCs w:val="20"/>
              </w:rPr>
            </w:pPr>
          </w:p>
        </w:tc>
      </w:tr>
      <w:tr w:rsidR="000D4B66" w:rsidRPr="00037EE3" w:rsidTr="00AD3218">
        <w:tc>
          <w:tcPr>
            <w:tcW w:w="1756" w:type="pct"/>
            <w:vAlign w:val="bottom"/>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color w:val="000000"/>
                <w:szCs w:val="20"/>
              </w:rPr>
              <w:tab/>
              <w:t>&lt;34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18,359</w:t>
            </w:r>
          </w:p>
        </w:tc>
        <w:tc>
          <w:tcPr>
            <w:tcW w:w="2580" w:type="pct"/>
            <w:vMerge/>
            <w:vAlign w:val="center"/>
          </w:tcPr>
          <w:p w:rsidR="000D4B66" w:rsidRPr="00037EE3" w:rsidRDefault="000D4B66" w:rsidP="007B385B">
            <w:pPr>
              <w:pStyle w:val="TableText0"/>
              <w:jc w:val="center"/>
              <w:rPr>
                <w:rFonts w:cs="Calibri"/>
                <w:bCs w:val="0"/>
                <w:szCs w:val="20"/>
              </w:rPr>
            </w:pPr>
          </w:p>
        </w:tc>
      </w:tr>
      <w:tr w:rsidR="000D4B66" w:rsidRPr="00037EE3" w:rsidTr="00AD3218">
        <w:tc>
          <w:tcPr>
            <w:tcW w:w="1756" w:type="pct"/>
            <w:vAlign w:val="bottom"/>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color w:val="000000"/>
                <w:szCs w:val="20"/>
              </w:rPr>
              <w:tab/>
              <w:t>&lt;32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37,299</w:t>
            </w:r>
          </w:p>
        </w:tc>
        <w:tc>
          <w:tcPr>
            <w:tcW w:w="2580" w:type="pct"/>
            <w:vMerge/>
            <w:vAlign w:val="center"/>
          </w:tcPr>
          <w:p w:rsidR="000D4B66" w:rsidRPr="00037EE3" w:rsidRDefault="000D4B66" w:rsidP="007B385B">
            <w:pPr>
              <w:pStyle w:val="TableText0"/>
              <w:jc w:val="center"/>
              <w:rPr>
                <w:rFonts w:cs="Calibri"/>
                <w:bCs w:val="0"/>
                <w:szCs w:val="20"/>
              </w:rPr>
            </w:pPr>
          </w:p>
        </w:tc>
      </w:tr>
      <w:tr w:rsidR="000D4B66" w:rsidRPr="00037EE3" w:rsidTr="00AD3218">
        <w:tc>
          <w:tcPr>
            <w:tcW w:w="1756" w:type="pct"/>
            <w:vAlign w:val="bottom"/>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color w:val="000000"/>
                <w:szCs w:val="20"/>
              </w:rPr>
              <w:tab/>
              <w:t>&lt;30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84,137</w:t>
            </w:r>
          </w:p>
        </w:tc>
        <w:tc>
          <w:tcPr>
            <w:tcW w:w="2580" w:type="pct"/>
            <w:vMerge/>
            <w:vAlign w:val="center"/>
          </w:tcPr>
          <w:p w:rsidR="000D4B66" w:rsidRPr="00037EE3" w:rsidRDefault="000D4B66" w:rsidP="007B385B">
            <w:pPr>
              <w:pStyle w:val="TableText0"/>
              <w:jc w:val="center"/>
              <w:rPr>
                <w:rFonts w:cs="Calibri"/>
                <w:bCs w:val="0"/>
                <w:szCs w:val="20"/>
              </w:rPr>
            </w:pPr>
          </w:p>
        </w:tc>
      </w:tr>
      <w:tr w:rsidR="000D4B66" w:rsidRPr="00037EE3" w:rsidTr="00AD3218">
        <w:tc>
          <w:tcPr>
            <w:tcW w:w="1756" w:type="pct"/>
            <w:vAlign w:val="bottom"/>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color w:val="000000"/>
                <w:szCs w:val="20"/>
              </w:rPr>
              <w:tab/>
              <w:t>&lt;28 weeks</w:t>
            </w:r>
          </w:p>
        </w:tc>
        <w:tc>
          <w:tcPr>
            <w:tcW w:w="664" w:type="pct"/>
            <w:vAlign w:val="bottom"/>
          </w:tcPr>
          <w:p w:rsidR="000D4B66" w:rsidRPr="00037EE3" w:rsidRDefault="000D4B66" w:rsidP="007B385B">
            <w:pPr>
              <w:pStyle w:val="TableText0"/>
              <w:jc w:val="center"/>
              <w:rPr>
                <w:rFonts w:cs="Calibri"/>
                <w:bCs w:val="0"/>
                <w:szCs w:val="20"/>
              </w:rPr>
            </w:pPr>
            <w:r w:rsidRPr="00037EE3">
              <w:rPr>
                <w:rFonts w:cs="Calibri"/>
                <w:bCs w:val="0"/>
                <w:color w:val="000000"/>
                <w:szCs w:val="20"/>
              </w:rPr>
              <w:t>$</w:t>
            </w:r>
            <w:r w:rsidRPr="00393F06">
              <w:rPr>
                <w:rFonts w:cs="Calibri"/>
                <w:bCs w:val="0"/>
                <w:color w:val="000000"/>
                <w:szCs w:val="20"/>
              </w:rPr>
              <w:t>206,838</w:t>
            </w:r>
          </w:p>
        </w:tc>
        <w:tc>
          <w:tcPr>
            <w:tcW w:w="2580" w:type="pct"/>
            <w:vMerge/>
            <w:vAlign w:val="center"/>
          </w:tcPr>
          <w:p w:rsidR="000D4B66" w:rsidRPr="00037EE3" w:rsidRDefault="000D4B66" w:rsidP="007B385B">
            <w:pPr>
              <w:pStyle w:val="TableText0"/>
              <w:jc w:val="center"/>
              <w:rPr>
                <w:rFonts w:cs="Calibri"/>
                <w:bCs w:val="0"/>
                <w:szCs w:val="20"/>
              </w:rPr>
            </w:pPr>
          </w:p>
        </w:tc>
      </w:tr>
      <w:tr w:rsidR="000D4B66" w:rsidRPr="00037EE3" w:rsidTr="00AD3218">
        <w:tc>
          <w:tcPr>
            <w:tcW w:w="1756" w:type="pct"/>
            <w:vAlign w:val="center"/>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bCs w:val="0"/>
                <w:color w:val="000000"/>
                <w:szCs w:val="20"/>
              </w:rPr>
              <w:t>Full-term birth</w:t>
            </w:r>
          </w:p>
        </w:tc>
        <w:tc>
          <w:tcPr>
            <w:tcW w:w="664" w:type="pct"/>
            <w:vAlign w:val="center"/>
          </w:tcPr>
          <w:p w:rsidR="000D4B66" w:rsidRPr="00037EE3" w:rsidRDefault="000D4B66" w:rsidP="007B385B">
            <w:pPr>
              <w:pStyle w:val="TableText0"/>
              <w:jc w:val="center"/>
              <w:rPr>
                <w:rFonts w:cs="Calibri"/>
                <w:bCs w:val="0"/>
                <w:szCs w:val="20"/>
              </w:rPr>
            </w:pPr>
            <w:r w:rsidRPr="00037EE3">
              <w:rPr>
                <w:rFonts w:cs="Calibri"/>
                <w:bCs w:val="0"/>
                <w:szCs w:val="20"/>
              </w:rPr>
              <w:t>$</w:t>
            </w:r>
            <w:r w:rsidRPr="00393F06">
              <w:rPr>
                <w:rFonts w:cs="Calibri"/>
                <w:bCs w:val="0"/>
                <w:szCs w:val="20"/>
              </w:rPr>
              <w:t>3,082</w:t>
            </w:r>
          </w:p>
        </w:tc>
        <w:tc>
          <w:tcPr>
            <w:tcW w:w="2580" w:type="pct"/>
            <w:vAlign w:val="center"/>
          </w:tcPr>
          <w:p w:rsidR="000D4B66" w:rsidRPr="00037EE3" w:rsidRDefault="000D4B66" w:rsidP="007B385B">
            <w:pPr>
              <w:pStyle w:val="TableText0"/>
              <w:rPr>
                <w:rFonts w:cs="Calibri"/>
                <w:bCs w:val="0"/>
                <w:szCs w:val="20"/>
              </w:rPr>
            </w:pPr>
            <w:r w:rsidRPr="00037EE3">
              <w:rPr>
                <w:rFonts w:cs="Calibri"/>
                <w:bCs w:val="0"/>
                <w:szCs w:val="20"/>
              </w:rPr>
              <w:t>Value of $2,430 sourced from Lain (2013) inflated to 2020 values. Applied in cost analysis.</w:t>
            </w:r>
          </w:p>
        </w:tc>
      </w:tr>
      <w:tr w:rsidR="000D4B66" w:rsidRPr="00037EE3" w:rsidTr="00AD3218">
        <w:tc>
          <w:tcPr>
            <w:tcW w:w="1756" w:type="pct"/>
            <w:tcBorders>
              <w:bottom w:val="single" w:sz="4" w:space="0" w:color="auto"/>
            </w:tcBorders>
            <w:vAlign w:val="center"/>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bCs w:val="0"/>
                <w:color w:val="000000"/>
                <w:szCs w:val="20"/>
              </w:rPr>
              <w:t>Hospitalisation with neonatal morbidity</w:t>
            </w:r>
          </w:p>
        </w:tc>
        <w:tc>
          <w:tcPr>
            <w:tcW w:w="664" w:type="pct"/>
            <w:tcBorders>
              <w:bottom w:val="single" w:sz="4" w:space="0" w:color="auto"/>
            </w:tcBorders>
            <w:vAlign w:val="center"/>
          </w:tcPr>
          <w:p w:rsidR="000D4B66" w:rsidRPr="00037EE3" w:rsidRDefault="000D4B66" w:rsidP="007B385B">
            <w:pPr>
              <w:pStyle w:val="TableText0"/>
              <w:jc w:val="center"/>
              <w:rPr>
                <w:rFonts w:cs="Calibri"/>
                <w:bCs w:val="0"/>
                <w:szCs w:val="20"/>
              </w:rPr>
            </w:pPr>
            <w:r w:rsidRPr="00037EE3">
              <w:rPr>
                <w:rFonts w:cs="Calibri"/>
                <w:bCs w:val="0"/>
                <w:szCs w:val="20"/>
              </w:rPr>
              <w:t>$</w:t>
            </w:r>
            <w:r w:rsidRPr="00393F06">
              <w:rPr>
                <w:rFonts w:cs="Calibri"/>
                <w:bCs w:val="0"/>
                <w:szCs w:val="20"/>
              </w:rPr>
              <w:t>5,195</w:t>
            </w:r>
          </w:p>
        </w:tc>
        <w:tc>
          <w:tcPr>
            <w:tcW w:w="2580" w:type="pct"/>
            <w:vMerge w:val="restart"/>
            <w:tcBorders>
              <w:bottom w:val="single" w:sz="4" w:space="0" w:color="auto"/>
            </w:tcBorders>
            <w:vAlign w:val="center"/>
          </w:tcPr>
          <w:p w:rsidR="000D4B66" w:rsidRPr="00037EE3" w:rsidRDefault="000D4B66" w:rsidP="007B385B">
            <w:pPr>
              <w:pStyle w:val="TableText0"/>
              <w:rPr>
                <w:rFonts w:cs="Calibri"/>
                <w:bCs w:val="0"/>
                <w:szCs w:val="20"/>
              </w:rPr>
            </w:pPr>
            <w:r w:rsidRPr="00037EE3">
              <w:rPr>
                <w:rFonts w:cs="Calibri"/>
                <w:bCs w:val="0"/>
                <w:szCs w:val="20"/>
              </w:rPr>
              <w:t xml:space="preserve">Sourced from Lain (2013) which described cost of morbidity based on whether neonatal morbidity existed. Costs were inflated to 2020 values. Applied in cost analysis. </w:t>
            </w:r>
          </w:p>
        </w:tc>
      </w:tr>
      <w:tr w:rsidR="000D4B66" w:rsidRPr="00037EE3" w:rsidTr="00AD3218">
        <w:tc>
          <w:tcPr>
            <w:tcW w:w="1756" w:type="pct"/>
            <w:vAlign w:val="center"/>
          </w:tcPr>
          <w:p w:rsidR="000D4B66" w:rsidRPr="00037EE3" w:rsidRDefault="000D4B66" w:rsidP="007B385B">
            <w:pPr>
              <w:pStyle w:val="TableText0"/>
              <w:tabs>
                <w:tab w:val="left" w:pos="102"/>
                <w:tab w:val="left" w:pos="244"/>
              </w:tabs>
              <w:rPr>
                <w:rFonts w:cs="Calibri"/>
                <w:bCs w:val="0"/>
                <w:color w:val="000000"/>
                <w:szCs w:val="20"/>
              </w:rPr>
            </w:pPr>
            <w:r w:rsidRPr="00037EE3">
              <w:rPr>
                <w:rFonts w:cs="Calibri"/>
                <w:bCs w:val="0"/>
                <w:color w:val="000000"/>
                <w:szCs w:val="20"/>
              </w:rPr>
              <w:t>Hospitalisation without neonatal morbidity</w:t>
            </w:r>
          </w:p>
        </w:tc>
        <w:tc>
          <w:tcPr>
            <w:tcW w:w="664" w:type="pct"/>
            <w:vAlign w:val="center"/>
          </w:tcPr>
          <w:p w:rsidR="000D4B66" w:rsidRPr="00037EE3" w:rsidRDefault="000D4B66" w:rsidP="007B385B">
            <w:pPr>
              <w:pStyle w:val="TableText0"/>
              <w:jc w:val="center"/>
              <w:rPr>
                <w:rFonts w:cs="Calibri"/>
                <w:bCs w:val="0"/>
                <w:szCs w:val="20"/>
              </w:rPr>
            </w:pPr>
            <w:r w:rsidRPr="00037EE3">
              <w:rPr>
                <w:rFonts w:cs="Calibri"/>
                <w:bCs w:val="0"/>
                <w:szCs w:val="20"/>
              </w:rPr>
              <w:t>$</w:t>
            </w:r>
            <w:r w:rsidRPr="00393F06">
              <w:rPr>
                <w:rFonts w:cs="Calibri"/>
                <w:bCs w:val="0"/>
                <w:szCs w:val="20"/>
              </w:rPr>
              <w:t>1,111</w:t>
            </w:r>
          </w:p>
        </w:tc>
        <w:tc>
          <w:tcPr>
            <w:tcW w:w="2580" w:type="pct"/>
            <w:vMerge/>
            <w:vAlign w:val="center"/>
          </w:tcPr>
          <w:p w:rsidR="000D4B66" w:rsidRPr="00037EE3" w:rsidRDefault="000D4B66" w:rsidP="007B385B">
            <w:pPr>
              <w:pStyle w:val="TableText0"/>
              <w:rPr>
                <w:rFonts w:cs="Calibri"/>
                <w:bCs w:val="0"/>
                <w:szCs w:val="20"/>
              </w:rPr>
            </w:pPr>
          </w:p>
        </w:tc>
      </w:tr>
    </w:tbl>
    <w:p w:rsidR="000D4B66" w:rsidRPr="00037EE3" w:rsidRDefault="000D4B66" w:rsidP="000D4B66">
      <w:pPr>
        <w:pStyle w:val="TableFigureFooter"/>
        <w:rPr>
          <w:color w:val="3366FF"/>
        </w:rPr>
      </w:pPr>
      <w:r w:rsidRPr="00037EE3">
        <w:t>Source: Excel workbook ‘Besins Utrogestan in PTB PBAC Major Submission July 2020 – Section 3 Workbook’.</w:t>
      </w:r>
    </w:p>
    <w:p w:rsidR="006161D5" w:rsidRPr="00037EE3" w:rsidRDefault="009439E1" w:rsidP="00E72A5B">
      <w:pPr>
        <w:pStyle w:val="3-BodyText"/>
        <w:ind w:left="709" w:hanging="709"/>
      </w:pPr>
      <w:r w:rsidRPr="00037EE3">
        <w:lastRenderedPageBreak/>
        <w:t xml:space="preserve">Table </w:t>
      </w:r>
      <w:r w:rsidR="000D4B66" w:rsidRPr="00037EE3">
        <w:t>8</w:t>
      </w:r>
      <w:r w:rsidRPr="00037EE3">
        <w:t xml:space="preserve"> </w:t>
      </w:r>
      <w:r w:rsidR="00CB66BC" w:rsidRPr="00037EE3">
        <w:t>presents the results of the trial-based analysis.</w:t>
      </w:r>
    </w:p>
    <w:p w:rsidR="00CB66BC" w:rsidRPr="00037EE3" w:rsidRDefault="00CB66BC" w:rsidP="00AD3218">
      <w:pPr>
        <w:pStyle w:val="TableHeading0"/>
        <w:spacing w:after="0"/>
        <w:rPr>
          <w:rStyle w:val="CommentReference"/>
          <w:b/>
          <w:szCs w:val="24"/>
        </w:rPr>
      </w:pPr>
      <w:r w:rsidRPr="00037EE3">
        <w:rPr>
          <w:rStyle w:val="CommentReference"/>
          <w:b/>
          <w:szCs w:val="24"/>
        </w:rPr>
        <w:t>Table 8: Results of the trial-based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919"/>
        <w:gridCol w:w="3098"/>
      </w:tblGrid>
      <w:tr w:rsidR="00CB66BC" w:rsidRPr="00037EE3" w:rsidTr="00AD3218">
        <w:trPr>
          <w:tblHeader/>
        </w:trPr>
        <w:tc>
          <w:tcPr>
            <w:tcW w:w="3282" w:type="pct"/>
            <w:vAlign w:val="center"/>
          </w:tcPr>
          <w:p w:rsidR="00CB66BC" w:rsidRPr="00037EE3" w:rsidRDefault="00CB66BC" w:rsidP="004635FB">
            <w:pPr>
              <w:pStyle w:val="In-tableHeading"/>
              <w:tabs>
                <w:tab w:val="left" w:pos="102"/>
              </w:tabs>
              <w:rPr>
                <w:lang w:val="en-AU"/>
              </w:rPr>
            </w:pPr>
            <w:r w:rsidRPr="00037EE3">
              <w:rPr>
                <w:lang w:val="en-AU"/>
              </w:rPr>
              <w:t>Component</w:t>
            </w:r>
          </w:p>
        </w:tc>
        <w:tc>
          <w:tcPr>
            <w:tcW w:w="1718" w:type="pct"/>
            <w:vAlign w:val="center"/>
          </w:tcPr>
          <w:p w:rsidR="00CB66BC" w:rsidRPr="00037EE3" w:rsidRDefault="00CB66BC" w:rsidP="004635FB">
            <w:pPr>
              <w:pStyle w:val="In-tableHeading"/>
              <w:jc w:val="center"/>
              <w:rPr>
                <w:lang w:val="en-AU"/>
              </w:rPr>
            </w:pPr>
            <w:r w:rsidRPr="00037EE3">
              <w:rPr>
                <w:lang w:val="en-AU"/>
              </w:rPr>
              <w:t>Value</w:t>
            </w:r>
          </w:p>
        </w:tc>
      </w:tr>
      <w:tr w:rsidR="00CB66BC" w:rsidRPr="00037EE3" w:rsidTr="00AD3218">
        <w:tc>
          <w:tcPr>
            <w:tcW w:w="3282" w:type="pct"/>
            <w:vAlign w:val="bottom"/>
          </w:tcPr>
          <w:p w:rsidR="00CB66BC" w:rsidRPr="00037EE3" w:rsidRDefault="00CB66BC" w:rsidP="004635FB">
            <w:pPr>
              <w:pStyle w:val="TableText0"/>
              <w:tabs>
                <w:tab w:val="left" w:pos="102"/>
              </w:tabs>
              <w:rPr>
                <w:bCs w:val="0"/>
                <w:szCs w:val="20"/>
              </w:rPr>
            </w:pPr>
            <w:r w:rsidRPr="00037EE3">
              <w:rPr>
                <w:rFonts w:cs="Calibri"/>
                <w:bCs w:val="0"/>
                <w:color w:val="000000"/>
                <w:szCs w:val="20"/>
              </w:rPr>
              <w:t>Utrogestan cost per course</w:t>
            </w:r>
          </w:p>
        </w:tc>
        <w:tc>
          <w:tcPr>
            <w:tcW w:w="1718" w:type="pct"/>
            <w:vAlign w:val="bottom"/>
          </w:tcPr>
          <w:p w:rsidR="00CB66BC" w:rsidRPr="00270233" w:rsidRDefault="00CB66BC" w:rsidP="004635FB">
            <w:pPr>
              <w:pStyle w:val="TableText0"/>
              <w:jc w:val="center"/>
              <w:rPr>
                <w:bCs w:val="0"/>
                <w:szCs w:val="20"/>
              </w:rPr>
            </w:pPr>
            <w:r w:rsidRPr="00270233">
              <w:rPr>
                <w:rFonts w:cs="Calibri"/>
                <w:bCs w:val="0"/>
                <w:szCs w:val="20"/>
              </w:rPr>
              <w:t>$</w:t>
            </w:r>
            <w:r w:rsidR="008F56EA">
              <w:rPr>
                <w:rFonts w:cs="Calibri"/>
                <w:bCs w:val="0"/>
                <w:noProof/>
                <w:color w:val="000000"/>
                <w:szCs w:val="20"/>
                <w:highlight w:val="black"/>
              </w:rPr>
              <w:t>''''''''''''''''''</w:t>
            </w:r>
          </w:p>
        </w:tc>
      </w:tr>
      <w:tr w:rsidR="00CB66BC" w:rsidRPr="00037EE3" w:rsidTr="00AD3218">
        <w:tc>
          <w:tcPr>
            <w:tcW w:w="3282" w:type="pct"/>
            <w:vAlign w:val="bottom"/>
          </w:tcPr>
          <w:p w:rsidR="00CB66BC" w:rsidRPr="00037EE3" w:rsidRDefault="00CB66BC" w:rsidP="004635FB">
            <w:pPr>
              <w:pStyle w:val="TableText0"/>
              <w:tabs>
                <w:tab w:val="left" w:pos="102"/>
              </w:tabs>
              <w:rPr>
                <w:bCs w:val="0"/>
                <w:szCs w:val="20"/>
              </w:rPr>
            </w:pPr>
            <w:r w:rsidRPr="00037EE3">
              <w:rPr>
                <w:rFonts w:cs="Calibri"/>
                <w:bCs w:val="0"/>
                <w:color w:val="000000"/>
                <w:szCs w:val="20"/>
              </w:rPr>
              <w:t>NNT</w:t>
            </w:r>
          </w:p>
        </w:tc>
        <w:tc>
          <w:tcPr>
            <w:tcW w:w="1718" w:type="pct"/>
            <w:vAlign w:val="bottom"/>
          </w:tcPr>
          <w:p w:rsidR="00CB66BC" w:rsidRPr="00270233" w:rsidRDefault="00CB66BC" w:rsidP="004635FB">
            <w:pPr>
              <w:pStyle w:val="TableText0"/>
              <w:jc w:val="center"/>
              <w:rPr>
                <w:bCs w:val="0"/>
                <w:szCs w:val="20"/>
              </w:rPr>
            </w:pPr>
            <w:r w:rsidRPr="00270233">
              <w:rPr>
                <w:rFonts w:cs="Calibri"/>
                <w:bCs w:val="0"/>
                <w:szCs w:val="20"/>
              </w:rPr>
              <w:t>12</w:t>
            </w:r>
          </w:p>
        </w:tc>
      </w:tr>
      <w:tr w:rsidR="00CB66BC" w:rsidRPr="00037EE3" w:rsidTr="00AD3218">
        <w:tc>
          <w:tcPr>
            <w:tcW w:w="3282" w:type="pct"/>
            <w:vAlign w:val="bottom"/>
          </w:tcPr>
          <w:p w:rsidR="00CB66BC" w:rsidRPr="00037EE3" w:rsidRDefault="00CB66BC" w:rsidP="004635FB">
            <w:pPr>
              <w:pStyle w:val="TableText0"/>
              <w:tabs>
                <w:tab w:val="left" w:pos="102"/>
              </w:tabs>
              <w:rPr>
                <w:bCs w:val="0"/>
                <w:szCs w:val="20"/>
              </w:rPr>
            </w:pPr>
            <w:r w:rsidRPr="00037EE3">
              <w:rPr>
                <w:rFonts w:cs="Calibri"/>
                <w:bCs w:val="0"/>
                <w:color w:val="000000"/>
                <w:szCs w:val="20"/>
              </w:rPr>
              <w:t xml:space="preserve">Cost of Utrogestan to avoid one preterm birth and a neonatal admission </w:t>
            </w:r>
          </w:p>
        </w:tc>
        <w:tc>
          <w:tcPr>
            <w:tcW w:w="1718" w:type="pct"/>
            <w:vAlign w:val="bottom"/>
          </w:tcPr>
          <w:p w:rsidR="00CB66BC" w:rsidRPr="00270233" w:rsidRDefault="00CB66BC" w:rsidP="004635FB">
            <w:pPr>
              <w:pStyle w:val="TableText0"/>
              <w:jc w:val="center"/>
              <w:rPr>
                <w:bCs w:val="0"/>
                <w:szCs w:val="20"/>
              </w:rPr>
            </w:pPr>
            <w:r w:rsidRPr="00270233">
              <w:rPr>
                <w:rFonts w:cs="Calibri"/>
                <w:bCs w:val="0"/>
                <w:szCs w:val="20"/>
              </w:rPr>
              <w:t>$</w:t>
            </w:r>
            <w:r w:rsidR="008F56EA">
              <w:rPr>
                <w:rFonts w:cs="Calibri"/>
                <w:bCs w:val="0"/>
                <w:noProof/>
                <w:color w:val="000000"/>
                <w:szCs w:val="20"/>
                <w:highlight w:val="black"/>
              </w:rPr>
              <w:t>''''''''''''</w:t>
            </w:r>
            <w:r w:rsidRPr="00270233">
              <w:rPr>
                <w:rFonts w:cs="Calibri"/>
                <w:bCs w:val="0"/>
                <w:szCs w:val="20"/>
              </w:rPr>
              <w:t xml:space="preserve"> ($</w:t>
            </w:r>
            <w:r w:rsidR="008F56EA">
              <w:rPr>
                <w:rFonts w:cs="Calibri"/>
                <w:bCs w:val="0"/>
                <w:noProof/>
                <w:color w:val="000000"/>
                <w:szCs w:val="20"/>
                <w:highlight w:val="black"/>
              </w:rPr>
              <w:t>''''''''''''''''''</w:t>
            </w:r>
            <w:r w:rsidRPr="00270233">
              <w:rPr>
                <w:rFonts w:cs="Calibri"/>
                <w:bCs w:val="0"/>
                <w:szCs w:val="20"/>
              </w:rPr>
              <w:t xml:space="preserve"> × </w:t>
            </w:r>
            <w:r w:rsidR="008F56EA">
              <w:rPr>
                <w:rFonts w:cs="Calibri"/>
                <w:bCs w:val="0"/>
                <w:noProof/>
                <w:color w:val="000000"/>
                <w:szCs w:val="20"/>
                <w:highlight w:val="black"/>
              </w:rPr>
              <w:t>'''''''</w:t>
            </w:r>
            <w:r w:rsidRPr="00270233">
              <w:rPr>
                <w:rFonts w:cs="Calibri"/>
                <w:bCs w:val="0"/>
                <w:szCs w:val="20"/>
              </w:rPr>
              <w:t>)</w:t>
            </w:r>
          </w:p>
        </w:tc>
      </w:tr>
      <w:tr w:rsidR="00CB66BC" w:rsidRPr="00037EE3" w:rsidTr="00AD3218">
        <w:tc>
          <w:tcPr>
            <w:tcW w:w="3282" w:type="pct"/>
            <w:vAlign w:val="bottom"/>
          </w:tcPr>
          <w:p w:rsidR="00CB66BC" w:rsidRPr="00037EE3" w:rsidRDefault="00CB66BC" w:rsidP="004635FB">
            <w:pPr>
              <w:pStyle w:val="TableText0"/>
              <w:tabs>
                <w:tab w:val="left" w:pos="102"/>
              </w:tabs>
              <w:rPr>
                <w:rFonts w:cs="Calibri"/>
                <w:bCs w:val="0"/>
                <w:color w:val="000000"/>
                <w:szCs w:val="20"/>
              </w:rPr>
            </w:pPr>
            <w:r w:rsidRPr="00037EE3">
              <w:rPr>
                <w:rFonts w:cs="Calibri"/>
                <w:bCs w:val="0"/>
                <w:color w:val="000000"/>
                <w:szCs w:val="20"/>
              </w:rPr>
              <w:t>Weighted average cost for one neonatal hospital admission</w:t>
            </w:r>
          </w:p>
        </w:tc>
        <w:tc>
          <w:tcPr>
            <w:tcW w:w="1718" w:type="pct"/>
            <w:vAlign w:val="bottom"/>
          </w:tcPr>
          <w:p w:rsidR="00CB66BC" w:rsidRPr="00270233" w:rsidRDefault="00CB66BC" w:rsidP="004635FB">
            <w:pPr>
              <w:pStyle w:val="TableText0"/>
              <w:jc w:val="center"/>
              <w:rPr>
                <w:rFonts w:cs="Calibri"/>
                <w:bCs w:val="0"/>
                <w:szCs w:val="20"/>
              </w:rPr>
            </w:pPr>
            <w:r w:rsidRPr="00270233">
              <w:rPr>
                <w:rFonts w:cs="Calibri"/>
                <w:bCs w:val="0"/>
                <w:szCs w:val="20"/>
              </w:rPr>
              <w:t>$</w:t>
            </w:r>
            <w:r w:rsidR="008F56EA">
              <w:rPr>
                <w:rFonts w:cs="Calibri"/>
                <w:bCs w:val="0"/>
                <w:noProof/>
                <w:color w:val="000000"/>
                <w:szCs w:val="20"/>
                <w:highlight w:val="black"/>
              </w:rPr>
              <w:t>''''''''''''''''</w:t>
            </w:r>
          </w:p>
        </w:tc>
      </w:tr>
      <w:tr w:rsidR="00CB66BC" w:rsidRPr="00037EE3" w:rsidTr="00AD3218">
        <w:tc>
          <w:tcPr>
            <w:tcW w:w="3282" w:type="pct"/>
            <w:vAlign w:val="bottom"/>
          </w:tcPr>
          <w:p w:rsidR="00CB66BC" w:rsidRPr="00037EE3" w:rsidRDefault="00CB66BC" w:rsidP="00946C2C">
            <w:pPr>
              <w:pStyle w:val="TableText0"/>
              <w:tabs>
                <w:tab w:val="left" w:pos="102"/>
              </w:tabs>
              <w:rPr>
                <w:rFonts w:cs="Calibri"/>
                <w:bCs w:val="0"/>
                <w:color w:val="000000"/>
                <w:szCs w:val="20"/>
              </w:rPr>
            </w:pPr>
            <w:r w:rsidRPr="00037EE3">
              <w:rPr>
                <w:rFonts w:cs="Calibri"/>
                <w:bCs w:val="0"/>
                <w:color w:val="000000"/>
                <w:szCs w:val="20"/>
              </w:rPr>
              <w:t xml:space="preserve">Cost impact per 12 </w:t>
            </w:r>
            <w:r w:rsidR="00946C2C" w:rsidRPr="00037EE3">
              <w:rPr>
                <w:rFonts w:cs="Calibri"/>
                <w:bCs w:val="0"/>
                <w:color w:val="000000"/>
                <w:szCs w:val="20"/>
              </w:rPr>
              <w:t>pregnancies</w:t>
            </w:r>
          </w:p>
        </w:tc>
        <w:tc>
          <w:tcPr>
            <w:tcW w:w="1718" w:type="pct"/>
            <w:vAlign w:val="bottom"/>
          </w:tcPr>
          <w:p w:rsidR="00CB66BC" w:rsidRPr="00270233" w:rsidRDefault="00CB66BC" w:rsidP="004635FB">
            <w:pPr>
              <w:pStyle w:val="TableText0"/>
              <w:jc w:val="center"/>
              <w:rPr>
                <w:rFonts w:cs="Calibri"/>
                <w:bCs w:val="0"/>
                <w:szCs w:val="20"/>
              </w:rPr>
            </w:pPr>
            <w:r w:rsidRPr="00270233">
              <w:rPr>
                <w:rFonts w:cs="Calibri"/>
                <w:bCs w:val="0"/>
                <w:szCs w:val="20"/>
              </w:rPr>
              <w:t>-$</w:t>
            </w:r>
            <w:r w:rsidR="008F56EA">
              <w:rPr>
                <w:rFonts w:cs="Calibri"/>
                <w:bCs w:val="0"/>
                <w:noProof/>
                <w:color w:val="000000"/>
                <w:szCs w:val="20"/>
                <w:highlight w:val="black"/>
              </w:rPr>
              <w:t>''''''''''''''''</w:t>
            </w:r>
          </w:p>
        </w:tc>
      </w:tr>
      <w:tr w:rsidR="00CB66BC" w:rsidRPr="00037EE3" w:rsidTr="00AD3218">
        <w:tc>
          <w:tcPr>
            <w:tcW w:w="3282" w:type="pct"/>
            <w:vAlign w:val="bottom"/>
          </w:tcPr>
          <w:p w:rsidR="00CB66BC" w:rsidRPr="00037EE3" w:rsidRDefault="00CB66BC" w:rsidP="00946C2C">
            <w:pPr>
              <w:pStyle w:val="TableText0"/>
              <w:tabs>
                <w:tab w:val="left" w:pos="102"/>
              </w:tabs>
              <w:rPr>
                <w:rFonts w:cs="Calibri"/>
                <w:color w:val="000000"/>
                <w:szCs w:val="20"/>
              </w:rPr>
            </w:pPr>
            <w:r w:rsidRPr="00037EE3">
              <w:rPr>
                <w:rFonts w:cs="Calibri"/>
                <w:color w:val="000000"/>
                <w:szCs w:val="20"/>
              </w:rPr>
              <w:t xml:space="preserve">Cost impact per </w:t>
            </w:r>
            <w:r w:rsidR="00946C2C" w:rsidRPr="00037EE3">
              <w:rPr>
                <w:rFonts w:cs="Calibri"/>
                <w:color w:val="000000"/>
                <w:szCs w:val="20"/>
              </w:rPr>
              <w:t>pregnancy</w:t>
            </w:r>
          </w:p>
        </w:tc>
        <w:tc>
          <w:tcPr>
            <w:tcW w:w="1718" w:type="pct"/>
            <w:vAlign w:val="bottom"/>
          </w:tcPr>
          <w:p w:rsidR="00CB66BC" w:rsidRPr="00270233" w:rsidRDefault="00CB66BC" w:rsidP="004635FB">
            <w:pPr>
              <w:pStyle w:val="TableText0"/>
              <w:jc w:val="center"/>
              <w:rPr>
                <w:rFonts w:cs="Calibri"/>
                <w:szCs w:val="20"/>
              </w:rPr>
            </w:pPr>
            <w:r w:rsidRPr="00270233">
              <w:rPr>
                <w:rFonts w:cs="Calibri"/>
                <w:szCs w:val="20"/>
              </w:rPr>
              <w:t>-$</w:t>
            </w:r>
            <w:r w:rsidR="008F56EA">
              <w:rPr>
                <w:rFonts w:cs="Calibri"/>
                <w:noProof/>
                <w:color w:val="000000"/>
                <w:szCs w:val="20"/>
                <w:highlight w:val="black"/>
              </w:rPr>
              <w:t>''''''''''''</w:t>
            </w:r>
          </w:p>
        </w:tc>
      </w:tr>
    </w:tbl>
    <w:p w:rsidR="00CB66BC" w:rsidRPr="00037EE3" w:rsidRDefault="00CB66BC" w:rsidP="00CB66BC">
      <w:pPr>
        <w:pStyle w:val="TableFigureFooter"/>
      </w:pPr>
      <w:r w:rsidRPr="00037EE3">
        <w:t>Source: Table 3.2, p134 of the submission; Excel workbook ‘Besins Utrogestan in PTB PBAC Major Submission July 2020 – Section 3 Workbook’.</w:t>
      </w:r>
    </w:p>
    <w:p w:rsidR="00CB66BC" w:rsidRPr="00037EE3" w:rsidRDefault="00CB66BC" w:rsidP="00CB66BC">
      <w:pPr>
        <w:pStyle w:val="TableFigureFooter"/>
        <w:rPr>
          <w:sz w:val="20"/>
        </w:rPr>
      </w:pPr>
      <w:r w:rsidRPr="00037EE3">
        <w:t>NNT=number needed to treat</w:t>
      </w:r>
    </w:p>
    <w:p w:rsidR="00275C5A" w:rsidRPr="00037EE3" w:rsidRDefault="006161D5" w:rsidP="00E72A5B">
      <w:pPr>
        <w:pStyle w:val="3-BodyText"/>
        <w:ind w:left="709" w:hanging="709"/>
      </w:pPr>
      <w:r w:rsidRPr="00037EE3">
        <w:t xml:space="preserve">Table 9 </w:t>
      </w:r>
      <w:r w:rsidR="009439E1" w:rsidRPr="00037EE3">
        <w:t>presents the</w:t>
      </w:r>
      <w:r w:rsidR="005642BC" w:rsidRPr="00037EE3">
        <w:t xml:space="preserve"> results of the</w:t>
      </w:r>
      <w:r w:rsidR="009439E1" w:rsidRPr="00037EE3">
        <w:t xml:space="preserve"> co</w:t>
      </w:r>
      <w:bookmarkStart w:id="22" w:name="_GoBack"/>
      <w:bookmarkEnd w:id="22"/>
      <w:r w:rsidR="009439E1" w:rsidRPr="00037EE3">
        <w:t>st</w:t>
      </w:r>
      <w:r w:rsidR="005642BC" w:rsidRPr="00037EE3">
        <w:t xml:space="preserve"> analysis</w:t>
      </w:r>
      <w:r w:rsidR="00905433" w:rsidRPr="00037EE3">
        <w:t>.</w:t>
      </w:r>
      <w:r w:rsidR="00576993" w:rsidRPr="00037EE3">
        <w:rPr>
          <w:iCs/>
        </w:rPr>
        <w:t xml:space="preserve"> </w:t>
      </w:r>
    </w:p>
    <w:p w:rsidR="00D110BD" w:rsidRPr="00037EE3" w:rsidRDefault="005A373D" w:rsidP="00BB00B3">
      <w:pPr>
        <w:pStyle w:val="TableFigureHeading"/>
      </w:pPr>
      <w:r w:rsidRPr="00393F06">
        <w:rPr>
          <w:rStyle w:val="CommentReference"/>
          <w:b/>
          <w:szCs w:val="24"/>
        </w:rPr>
        <w:t>Table</w:t>
      </w:r>
      <w:r w:rsidR="007C7CB5" w:rsidRPr="00393F06">
        <w:rPr>
          <w:rStyle w:val="CommentReference"/>
          <w:b/>
          <w:szCs w:val="24"/>
        </w:rPr>
        <w:t xml:space="preserve"> </w:t>
      </w:r>
      <w:r w:rsidR="00CB66BC" w:rsidRPr="00393F06">
        <w:rPr>
          <w:rStyle w:val="CommentReference"/>
          <w:b/>
          <w:szCs w:val="24"/>
        </w:rPr>
        <w:t>9</w:t>
      </w:r>
      <w:r w:rsidRPr="00393F06">
        <w:rPr>
          <w:rStyle w:val="CommentReference"/>
          <w:b/>
          <w:szCs w:val="24"/>
        </w:rPr>
        <w:t xml:space="preserve">: </w:t>
      </w:r>
      <w:r w:rsidR="00905433" w:rsidRPr="00393F06">
        <w:rPr>
          <w:rStyle w:val="CommentReference"/>
          <w:b/>
          <w:szCs w:val="24"/>
        </w:rPr>
        <w:t>Results of the cost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47"/>
        <w:gridCol w:w="2444"/>
        <w:gridCol w:w="1401"/>
        <w:gridCol w:w="1425"/>
      </w:tblGrid>
      <w:tr w:rsidR="00905433" w:rsidRPr="00037EE3" w:rsidTr="00D10B7D">
        <w:trPr>
          <w:tblHeader/>
        </w:trPr>
        <w:tc>
          <w:tcPr>
            <w:tcW w:w="2078" w:type="pct"/>
            <w:vMerge w:val="restart"/>
            <w:vAlign w:val="center"/>
          </w:tcPr>
          <w:p w:rsidR="00905433" w:rsidRPr="00037EE3" w:rsidRDefault="00905433" w:rsidP="00D10B7D">
            <w:pPr>
              <w:pStyle w:val="In-tableHeading"/>
              <w:tabs>
                <w:tab w:val="left" w:pos="102"/>
              </w:tabs>
              <w:rPr>
                <w:szCs w:val="20"/>
                <w:lang w:val="en-AU"/>
              </w:rPr>
            </w:pPr>
            <w:r w:rsidRPr="00037EE3">
              <w:rPr>
                <w:szCs w:val="20"/>
                <w:lang w:val="en-AU"/>
              </w:rPr>
              <w:t>Component</w:t>
            </w:r>
          </w:p>
        </w:tc>
        <w:tc>
          <w:tcPr>
            <w:tcW w:w="2922" w:type="pct"/>
            <w:gridSpan w:val="3"/>
            <w:vAlign w:val="center"/>
          </w:tcPr>
          <w:p w:rsidR="00905433" w:rsidRPr="00037EE3" w:rsidRDefault="00905433" w:rsidP="00946C2C">
            <w:pPr>
              <w:pStyle w:val="In-tableHeading"/>
              <w:jc w:val="center"/>
              <w:rPr>
                <w:szCs w:val="20"/>
                <w:lang w:val="en-AU"/>
              </w:rPr>
            </w:pPr>
            <w:r w:rsidRPr="00037EE3">
              <w:rPr>
                <w:szCs w:val="20"/>
                <w:lang w:val="en-AU"/>
              </w:rPr>
              <w:t xml:space="preserve">Cohort of one </w:t>
            </w:r>
            <w:r w:rsidR="00946C2C" w:rsidRPr="00037EE3">
              <w:rPr>
                <w:szCs w:val="20"/>
                <w:lang w:val="en-AU"/>
              </w:rPr>
              <w:t>woman</w:t>
            </w:r>
          </w:p>
        </w:tc>
      </w:tr>
      <w:tr w:rsidR="00905433" w:rsidRPr="00037EE3" w:rsidTr="00D10B7D">
        <w:trPr>
          <w:tblHeader/>
        </w:trPr>
        <w:tc>
          <w:tcPr>
            <w:tcW w:w="2078" w:type="pct"/>
            <w:vMerge/>
            <w:vAlign w:val="center"/>
          </w:tcPr>
          <w:p w:rsidR="00905433" w:rsidRPr="00037EE3" w:rsidRDefault="00905433" w:rsidP="00D10B7D">
            <w:pPr>
              <w:pStyle w:val="In-tableHeading"/>
              <w:tabs>
                <w:tab w:val="left" w:pos="102"/>
              </w:tabs>
              <w:rPr>
                <w:szCs w:val="20"/>
                <w:lang w:val="en-AU"/>
              </w:rPr>
            </w:pPr>
          </w:p>
        </w:tc>
        <w:tc>
          <w:tcPr>
            <w:tcW w:w="1355" w:type="pct"/>
            <w:vAlign w:val="center"/>
          </w:tcPr>
          <w:p w:rsidR="00905433" w:rsidRPr="00037EE3" w:rsidRDefault="00905433" w:rsidP="00D10B7D">
            <w:pPr>
              <w:pStyle w:val="In-tableHeading"/>
              <w:jc w:val="center"/>
              <w:rPr>
                <w:szCs w:val="20"/>
                <w:lang w:val="en-AU"/>
              </w:rPr>
            </w:pPr>
            <w:r w:rsidRPr="00037EE3">
              <w:rPr>
                <w:szCs w:val="20"/>
                <w:lang w:val="en-AU"/>
              </w:rPr>
              <w:t>Utrogestan</w:t>
            </w:r>
          </w:p>
        </w:tc>
        <w:tc>
          <w:tcPr>
            <w:tcW w:w="777" w:type="pct"/>
            <w:vAlign w:val="center"/>
          </w:tcPr>
          <w:p w:rsidR="00905433" w:rsidRPr="00037EE3" w:rsidRDefault="00905433" w:rsidP="00D10B7D">
            <w:pPr>
              <w:pStyle w:val="In-tableHeading"/>
              <w:jc w:val="center"/>
              <w:rPr>
                <w:szCs w:val="20"/>
                <w:lang w:val="en-AU"/>
              </w:rPr>
            </w:pPr>
            <w:r w:rsidRPr="00037EE3">
              <w:rPr>
                <w:szCs w:val="20"/>
                <w:lang w:val="en-AU"/>
              </w:rPr>
              <w:t>SOC</w:t>
            </w:r>
          </w:p>
        </w:tc>
        <w:tc>
          <w:tcPr>
            <w:tcW w:w="790" w:type="pct"/>
            <w:vAlign w:val="center"/>
          </w:tcPr>
          <w:p w:rsidR="00905433" w:rsidRPr="00037EE3" w:rsidRDefault="00905433" w:rsidP="00D10B7D">
            <w:pPr>
              <w:pStyle w:val="In-tableHeading"/>
              <w:jc w:val="center"/>
              <w:rPr>
                <w:szCs w:val="20"/>
                <w:lang w:val="en-AU"/>
              </w:rPr>
            </w:pPr>
            <w:r w:rsidRPr="00037EE3">
              <w:rPr>
                <w:szCs w:val="20"/>
                <w:lang w:val="en-AU"/>
              </w:rPr>
              <w:t>Increment</w:t>
            </w:r>
          </w:p>
        </w:tc>
      </w:tr>
      <w:tr w:rsidR="00C65F4C" w:rsidRPr="00037EE3" w:rsidTr="00C65F4C">
        <w:tc>
          <w:tcPr>
            <w:tcW w:w="5000" w:type="pct"/>
            <w:gridSpan w:val="4"/>
            <w:vAlign w:val="bottom"/>
          </w:tcPr>
          <w:p w:rsidR="00C65F4C" w:rsidRPr="00037EE3" w:rsidRDefault="00C65F4C" w:rsidP="00C65F4C">
            <w:pPr>
              <w:pStyle w:val="TableText0"/>
              <w:rPr>
                <w:rFonts w:cs="Calibri"/>
                <w:bCs w:val="0"/>
                <w:szCs w:val="20"/>
              </w:rPr>
            </w:pPr>
            <w:r w:rsidRPr="00037EE3">
              <w:rPr>
                <w:rFonts w:cs="Calibri"/>
                <w:bCs w:val="0"/>
                <w:color w:val="000000"/>
                <w:szCs w:val="20"/>
              </w:rPr>
              <w:t>Effectiveness inputs (sourced from Romero 2018)</w:t>
            </w:r>
          </w:p>
        </w:tc>
      </w:tr>
      <w:tr w:rsidR="00C65F4C" w:rsidRPr="00037EE3" w:rsidTr="00D10B7D">
        <w:tc>
          <w:tcPr>
            <w:tcW w:w="2078" w:type="pct"/>
            <w:vAlign w:val="bottom"/>
          </w:tcPr>
          <w:p w:rsidR="00C65F4C" w:rsidRPr="00037EE3" w:rsidRDefault="00C65F4C" w:rsidP="00C65F4C">
            <w:pPr>
              <w:pStyle w:val="TableText0"/>
              <w:tabs>
                <w:tab w:val="left" w:pos="102"/>
              </w:tabs>
              <w:rPr>
                <w:rFonts w:cs="Calibri"/>
                <w:bCs w:val="0"/>
                <w:color w:val="000000"/>
                <w:szCs w:val="20"/>
              </w:rPr>
            </w:pPr>
            <w:r w:rsidRPr="00037EE3">
              <w:rPr>
                <w:rFonts w:cs="Calibri"/>
                <w:color w:val="000000"/>
                <w:szCs w:val="20"/>
              </w:rPr>
              <w:tab/>
              <w:t>Rate of pre-term birth &lt;33 weeks</w:t>
            </w:r>
          </w:p>
        </w:tc>
        <w:tc>
          <w:tcPr>
            <w:tcW w:w="1355"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14.06%</w:t>
            </w:r>
          </w:p>
        </w:tc>
        <w:tc>
          <w:tcPr>
            <w:tcW w:w="777"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22.48%</w:t>
            </w:r>
          </w:p>
        </w:tc>
        <w:tc>
          <w:tcPr>
            <w:tcW w:w="790"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w:t>
            </w:r>
          </w:p>
        </w:tc>
      </w:tr>
      <w:tr w:rsidR="00C65F4C" w:rsidRPr="00037EE3" w:rsidTr="00D10B7D">
        <w:tc>
          <w:tcPr>
            <w:tcW w:w="2078" w:type="pct"/>
            <w:vAlign w:val="bottom"/>
          </w:tcPr>
          <w:p w:rsidR="00C65F4C" w:rsidRPr="00037EE3" w:rsidRDefault="00C65F4C" w:rsidP="00E16256">
            <w:pPr>
              <w:pStyle w:val="TableText0"/>
              <w:tabs>
                <w:tab w:val="left" w:pos="102"/>
              </w:tabs>
              <w:rPr>
                <w:rFonts w:cs="Calibri"/>
                <w:bCs w:val="0"/>
                <w:color w:val="000000"/>
                <w:szCs w:val="20"/>
              </w:rPr>
            </w:pPr>
            <w:r w:rsidRPr="00037EE3">
              <w:rPr>
                <w:rFonts w:cs="Calibri"/>
                <w:color w:val="000000"/>
                <w:szCs w:val="20"/>
              </w:rPr>
              <w:tab/>
              <w:t xml:space="preserve">Number of pre-term births </w:t>
            </w:r>
          </w:p>
        </w:tc>
        <w:tc>
          <w:tcPr>
            <w:tcW w:w="1355"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0.14</w:t>
            </w:r>
          </w:p>
        </w:tc>
        <w:tc>
          <w:tcPr>
            <w:tcW w:w="777"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0.22</w:t>
            </w:r>
          </w:p>
        </w:tc>
        <w:tc>
          <w:tcPr>
            <w:tcW w:w="790"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 xml:space="preserve">-0.08 </w:t>
            </w:r>
          </w:p>
        </w:tc>
      </w:tr>
      <w:tr w:rsidR="00C65F4C" w:rsidRPr="00037EE3" w:rsidTr="00D10B7D">
        <w:tc>
          <w:tcPr>
            <w:tcW w:w="2078" w:type="pct"/>
            <w:vAlign w:val="bottom"/>
          </w:tcPr>
          <w:p w:rsidR="00C65F4C" w:rsidRPr="00037EE3" w:rsidRDefault="00C65F4C" w:rsidP="00E16256">
            <w:pPr>
              <w:pStyle w:val="TableText0"/>
              <w:tabs>
                <w:tab w:val="left" w:pos="102"/>
              </w:tabs>
              <w:rPr>
                <w:rFonts w:cs="Calibri"/>
                <w:bCs w:val="0"/>
                <w:color w:val="000000"/>
                <w:szCs w:val="20"/>
              </w:rPr>
            </w:pPr>
            <w:r w:rsidRPr="00037EE3">
              <w:rPr>
                <w:rFonts w:cs="Calibri"/>
                <w:color w:val="000000"/>
                <w:szCs w:val="20"/>
              </w:rPr>
              <w:tab/>
              <w:t xml:space="preserve">Number of full-term births </w:t>
            </w:r>
          </w:p>
        </w:tc>
        <w:tc>
          <w:tcPr>
            <w:tcW w:w="1355"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0.86</w:t>
            </w:r>
          </w:p>
        </w:tc>
        <w:tc>
          <w:tcPr>
            <w:tcW w:w="777"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0.78</w:t>
            </w:r>
          </w:p>
        </w:tc>
        <w:tc>
          <w:tcPr>
            <w:tcW w:w="790" w:type="pct"/>
            <w:vAlign w:val="bottom"/>
          </w:tcPr>
          <w:p w:rsidR="00C65F4C" w:rsidRPr="00037EE3" w:rsidRDefault="00C65F4C" w:rsidP="00C65F4C">
            <w:pPr>
              <w:pStyle w:val="TableText0"/>
              <w:jc w:val="center"/>
              <w:rPr>
                <w:rFonts w:cs="Calibri"/>
                <w:bCs w:val="0"/>
                <w:szCs w:val="20"/>
              </w:rPr>
            </w:pPr>
            <w:r w:rsidRPr="00037EE3">
              <w:rPr>
                <w:rFonts w:cs="Calibri"/>
                <w:bCs w:val="0"/>
                <w:szCs w:val="20"/>
              </w:rPr>
              <w:t xml:space="preserve">0.08 </w:t>
            </w:r>
          </w:p>
        </w:tc>
      </w:tr>
      <w:tr w:rsidR="00C65F4C" w:rsidRPr="00037EE3" w:rsidTr="00D10B7D">
        <w:tc>
          <w:tcPr>
            <w:tcW w:w="2078" w:type="pct"/>
            <w:vAlign w:val="bottom"/>
          </w:tcPr>
          <w:p w:rsidR="00C65F4C" w:rsidRPr="00270233" w:rsidRDefault="00C65F4C" w:rsidP="00C65F4C">
            <w:pPr>
              <w:pStyle w:val="TableText0"/>
              <w:tabs>
                <w:tab w:val="left" w:pos="102"/>
              </w:tabs>
              <w:rPr>
                <w:bCs w:val="0"/>
                <w:szCs w:val="20"/>
              </w:rPr>
            </w:pPr>
            <w:r w:rsidRPr="00270233">
              <w:rPr>
                <w:rFonts w:cs="Calibri"/>
                <w:bCs w:val="0"/>
                <w:color w:val="000000"/>
                <w:szCs w:val="20"/>
              </w:rPr>
              <w:t>Drug cost</w:t>
            </w:r>
            <w:r w:rsidR="00F94AE8" w:rsidRPr="00270233">
              <w:rPr>
                <w:rFonts w:cs="Calibri"/>
                <w:bCs w:val="0"/>
                <w:color w:val="000000"/>
                <w:szCs w:val="20"/>
              </w:rPr>
              <w:t xml:space="preserve"> (2.67 packs; $</w:t>
            </w:r>
            <w:r w:rsidR="008F56EA">
              <w:rPr>
                <w:rFonts w:cs="Calibri"/>
                <w:bCs w:val="0"/>
                <w:noProof/>
                <w:color w:val="000000"/>
                <w:szCs w:val="20"/>
                <w:highlight w:val="black"/>
              </w:rPr>
              <w:t>'''''''''''''''</w:t>
            </w:r>
            <w:r w:rsidR="00F94AE8" w:rsidRPr="00270233">
              <w:rPr>
                <w:rFonts w:cs="Calibri"/>
                <w:bCs w:val="0"/>
                <w:color w:val="000000"/>
                <w:szCs w:val="20"/>
              </w:rPr>
              <w:t>/</w:t>
            </w:r>
            <w:r w:rsidR="008F56EA">
              <w:rPr>
                <w:rFonts w:cs="Calibri"/>
                <w:bCs w:val="0"/>
                <w:noProof/>
                <w:color w:val="000000"/>
                <w:szCs w:val="20"/>
                <w:highlight w:val="black"/>
              </w:rPr>
              <w:t>''''''''''''</w:t>
            </w:r>
            <w:r w:rsidR="00F94AE8" w:rsidRPr="00270233">
              <w:rPr>
                <w:rFonts w:cs="Calibri"/>
                <w:bCs w:val="0"/>
                <w:color w:val="000000"/>
                <w:szCs w:val="20"/>
              </w:rPr>
              <w:t>)</w:t>
            </w:r>
          </w:p>
        </w:tc>
        <w:tc>
          <w:tcPr>
            <w:tcW w:w="1355" w:type="pct"/>
            <w:vAlign w:val="bottom"/>
          </w:tcPr>
          <w:p w:rsidR="00C65F4C" w:rsidRPr="00270233" w:rsidRDefault="00C65F4C" w:rsidP="00C65F4C">
            <w:pPr>
              <w:pStyle w:val="TableText0"/>
              <w:jc w:val="center"/>
              <w:rPr>
                <w:bCs w:val="0"/>
                <w:szCs w:val="20"/>
              </w:rPr>
            </w:pPr>
            <w:r w:rsidRPr="00270233">
              <w:rPr>
                <w:rFonts w:cs="Calibri"/>
                <w:bCs w:val="0"/>
                <w:szCs w:val="20"/>
              </w:rPr>
              <w:t>$</w:t>
            </w:r>
            <w:r w:rsidR="008F56EA">
              <w:rPr>
                <w:rFonts w:cs="Calibri"/>
                <w:bCs w:val="0"/>
                <w:noProof/>
                <w:color w:val="000000"/>
                <w:szCs w:val="20"/>
                <w:highlight w:val="black"/>
              </w:rPr>
              <w:t>''''''''</w:t>
            </w:r>
          </w:p>
        </w:tc>
        <w:tc>
          <w:tcPr>
            <w:tcW w:w="777" w:type="pct"/>
            <w:vAlign w:val="bottom"/>
          </w:tcPr>
          <w:p w:rsidR="00C65F4C" w:rsidRPr="00270233" w:rsidRDefault="00C65F4C" w:rsidP="00C65F4C">
            <w:pPr>
              <w:pStyle w:val="TableText0"/>
              <w:jc w:val="center"/>
              <w:rPr>
                <w:bCs w:val="0"/>
                <w:szCs w:val="20"/>
              </w:rPr>
            </w:pPr>
            <w:r w:rsidRPr="00270233">
              <w:rPr>
                <w:rFonts w:cs="Calibri"/>
                <w:bCs w:val="0"/>
                <w:szCs w:val="20"/>
              </w:rPr>
              <w:t>$0</w:t>
            </w:r>
          </w:p>
        </w:tc>
        <w:tc>
          <w:tcPr>
            <w:tcW w:w="790" w:type="pct"/>
            <w:vAlign w:val="bottom"/>
          </w:tcPr>
          <w:p w:rsidR="00C65F4C" w:rsidRPr="00270233" w:rsidRDefault="00C65F4C" w:rsidP="00C65F4C">
            <w:pPr>
              <w:pStyle w:val="TableText0"/>
              <w:jc w:val="center"/>
              <w:rPr>
                <w:bCs w:val="0"/>
                <w:szCs w:val="20"/>
              </w:rPr>
            </w:pPr>
            <w:r w:rsidRPr="00270233">
              <w:rPr>
                <w:rFonts w:cs="Calibri"/>
                <w:bCs w:val="0"/>
                <w:szCs w:val="20"/>
              </w:rPr>
              <w:t>$</w:t>
            </w:r>
            <w:r w:rsidR="008F56EA">
              <w:rPr>
                <w:rFonts w:cs="Calibri"/>
                <w:bCs w:val="0"/>
                <w:noProof/>
                <w:color w:val="000000"/>
                <w:szCs w:val="20"/>
                <w:highlight w:val="black"/>
              </w:rPr>
              <w:t>''''''''''</w:t>
            </w:r>
          </w:p>
        </w:tc>
      </w:tr>
      <w:tr w:rsidR="00C65F4C" w:rsidRPr="00037EE3" w:rsidTr="00E16256">
        <w:tc>
          <w:tcPr>
            <w:tcW w:w="2078" w:type="pct"/>
            <w:tcBorders>
              <w:bottom w:val="single" w:sz="4" w:space="0" w:color="auto"/>
            </w:tcBorders>
            <w:vAlign w:val="bottom"/>
          </w:tcPr>
          <w:p w:rsidR="00C65F4C" w:rsidRPr="00037EE3" w:rsidRDefault="00C65F4C" w:rsidP="00E16256">
            <w:pPr>
              <w:pStyle w:val="TableText0"/>
              <w:tabs>
                <w:tab w:val="left" w:pos="102"/>
              </w:tabs>
              <w:rPr>
                <w:bCs w:val="0"/>
                <w:szCs w:val="20"/>
              </w:rPr>
            </w:pPr>
            <w:r w:rsidRPr="00037EE3">
              <w:rPr>
                <w:rFonts w:cs="Calibri"/>
                <w:bCs w:val="0"/>
                <w:color w:val="000000"/>
                <w:szCs w:val="20"/>
              </w:rPr>
              <w:t>Neonatal hospitalisation cost</w:t>
            </w:r>
          </w:p>
        </w:tc>
        <w:tc>
          <w:tcPr>
            <w:tcW w:w="1355" w:type="pct"/>
            <w:tcBorders>
              <w:bottom w:val="single" w:sz="4" w:space="0" w:color="auto"/>
            </w:tcBorders>
            <w:vAlign w:val="bottom"/>
          </w:tcPr>
          <w:p w:rsidR="00C65F4C" w:rsidRPr="00037EE3" w:rsidRDefault="00C65F4C" w:rsidP="00C65F4C">
            <w:pPr>
              <w:pStyle w:val="TableText0"/>
              <w:jc w:val="center"/>
              <w:rPr>
                <w:bCs w:val="0"/>
                <w:szCs w:val="20"/>
              </w:rPr>
            </w:pPr>
          </w:p>
        </w:tc>
        <w:tc>
          <w:tcPr>
            <w:tcW w:w="777" w:type="pct"/>
            <w:tcBorders>
              <w:bottom w:val="single" w:sz="4" w:space="0" w:color="auto"/>
            </w:tcBorders>
            <w:vAlign w:val="bottom"/>
          </w:tcPr>
          <w:p w:rsidR="00C65F4C" w:rsidRPr="00037EE3" w:rsidRDefault="00C65F4C" w:rsidP="00C65F4C">
            <w:pPr>
              <w:pStyle w:val="TableText0"/>
              <w:jc w:val="center"/>
              <w:rPr>
                <w:bCs w:val="0"/>
                <w:szCs w:val="20"/>
              </w:rPr>
            </w:pPr>
          </w:p>
        </w:tc>
        <w:tc>
          <w:tcPr>
            <w:tcW w:w="790" w:type="pct"/>
            <w:tcBorders>
              <w:bottom w:val="single" w:sz="4" w:space="0" w:color="auto"/>
            </w:tcBorders>
            <w:vAlign w:val="bottom"/>
          </w:tcPr>
          <w:p w:rsidR="00C65F4C" w:rsidRPr="00037EE3" w:rsidRDefault="00C65F4C" w:rsidP="00C65F4C">
            <w:pPr>
              <w:pStyle w:val="TableText0"/>
              <w:jc w:val="center"/>
              <w:rPr>
                <w:bCs w:val="0"/>
                <w:szCs w:val="20"/>
              </w:rPr>
            </w:pPr>
          </w:p>
        </w:tc>
      </w:tr>
      <w:tr w:rsidR="00E77A42" w:rsidRPr="00037EE3" w:rsidTr="00E16256">
        <w:tc>
          <w:tcPr>
            <w:tcW w:w="2078" w:type="pct"/>
            <w:tcBorders>
              <w:bottom w:val="nil"/>
            </w:tcBorders>
            <w:vAlign w:val="bottom"/>
          </w:tcPr>
          <w:p w:rsidR="00E77A42" w:rsidRPr="00037EE3" w:rsidRDefault="00E16256" w:rsidP="00C65F4C">
            <w:pPr>
              <w:pStyle w:val="TableText0"/>
              <w:tabs>
                <w:tab w:val="left" w:pos="102"/>
              </w:tabs>
              <w:rPr>
                <w:rFonts w:cs="Calibri"/>
                <w:bCs w:val="0"/>
                <w:color w:val="000000"/>
                <w:szCs w:val="20"/>
              </w:rPr>
            </w:pPr>
            <w:r w:rsidRPr="00037EE3">
              <w:rPr>
                <w:rFonts w:cs="Calibri"/>
                <w:bCs w:val="0"/>
                <w:color w:val="000000"/>
                <w:szCs w:val="20"/>
              </w:rPr>
              <w:tab/>
              <w:t>Pre-term births</w:t>
            </w:r>
          </w:p>
        </w:tc>
        <w:tc>
          <w:tcPr>
            <w:tcW w:w="1355" w:type="pct"/>
            <w:tcBorders>
              <w:bottom w:val="nil"/>
            </w:tcBorders>
            <w:vAlign w:val="bottom"/>
          </w:tcPr>
          <w:p w:rsidR="00E77A42" w:rsidRPr="00037EE3" w:rsidRDefault="00E77A42" w:rsidP="00C65F4C">
            <w:pPr>
              <w:pStyle w:val="TableText0"/>
              <w:jc w:val="center"/>
              <w:rPr>
                <w:rFonts w:cs="Calibri"/>
                <w:bCs w:val="0"/>
                <w:szCs w:val="20"/>
              </w:rPr>
            </w:pPr>
          </w:p>
        </w:tc>
        <w:tc>
          <w:tcPr>
            <w:tcW w:w="777" w:type="pct"/>
            <w:tcBorders>
              <w:bottom w:val="nil"/>
            </w:tcBorders>
            <w:vAlign w:val="bottom"/>
          </w:tcPr>
          <w:p w:rsidR="00E77A42" w:rsidRPr="00037EE3" w:rsidRDefault="00E77A42" w:rsidP="00C65F4C">
            <w:pPr>
              <w:pStyle w:val="TableText0"/>
              <w:jc w:val="center"/>
              <w:rPr>
                <w:rFonts w:cs="Calibri"/>
                <w:bCs w:val="0"/>
                <w:szCs w:val="20"/>
              </w:rPr>
            </w:pPr>
          </w:p>
        </w:tc>
        <w:tc>
          <w:tcPr>
            <w:tcW w:w="790" w:type="pct"/>
            <w:tcBorders>
              <w:bottom w:val="nil"/>
            </w:tcBorders>
            <w:vAlign w:val="bottom"/>
          </w:tcPr>
          <w:p w:rsidR="00E77A42" w:rsidRPr="00037EE3" w:rsidRDefault="00E77A42" w:rsidP="00C65F4C">
            <w:pPr>
              <w:pStyle w:val="TableText0"/>
              <w:jc w:val="center"/>
              <w:rPr>
                <w:rFonts w:cs="Calibri"/>
                <w:bCs w:val="0"/>
                <w:szCs w:val="20"/>
              </w:rPr>
            </w:pP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&lt;37 weeks ($22,679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$818</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$845</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-$27</w:t>
            </w: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&lt;36 weeks ($22,679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$563</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$640</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-$78</w:t>
            </w: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&lt;35 weeks ($18,359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$276</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$311</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-$35</w:t>
            </w: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&lt;34 weeks ($18,359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$331</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$705</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-$374</w:t>
            </w: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&lt;32 weeks ($37,299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$364</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$1,053</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-$689</w:t>
            </w: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&lt;30 weeks ($84,137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$696</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$1,236</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-$540</w:t>
            </w:r>
          </w:p>
        </w:tc>
      </w:tr>
      <w:tr w:rsidR="00E16256" w:rsidRPr="00037EE3" w:rsidTr="00E16256">
        <w:tc>
          <w:tcPr>
            <w:tcW w:w="2078" w:type="pct"/>
            <w:tcBorders>
              <w:top w:val="nil"/>
              <w:bottom w:val="nil"/>
            </w:tcBorders>
            <w:vAlign w:val="bottom"/>
          </w:tcPr>
          <w:p w:rsidR="00E16256" w:rsidRPr="00037EE3" w:rsidRDefault="00E16256" w:rsidP="00E16256">
            <w:pPr>
              <w:pStyle w:val="TableText0"/>
              <w:tabs>
                <w:tab w:val="left" w:pos="102"/>
              </w:tabs>
              <w:rPr>
                <w:rFonts w:cs="Calibri"/>
                <w:color w:val="000000"/>
                <w:szCs w:val="20"/>
              </w:rPr>
            </w:pPr>
            <w:r w:rsidRPr="00037EE3">
              <w:rPr>
                <w:rFonts w:cs="Calibri"/>
                <w:color w:val="000000"/>
                <w:szCs w:val="20"/>
              </w:rPr>
              <w:tab/>
              <w:t>&lt;28 weeks ($206,838 per admission)</w:t>
            </w:r>
          </w:p>
        </w:tc>
        <w:tc>
          <w:tcPr>
            <w:tcW w:w="1355"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$5,908</w:t>
            </w:r>
          </w:p>
        </w:tc>
        <w:tc>
          <w:tcPr>
            <w:tcW w:w="777"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$12,617</w:t>
            </w:r>
          </w:p>
        </w:tc>
        <w:tc>
          <w:tcPr>
            <w:tcW w:w="790" w:type="pct"/>
            <w:tcBorders>
              <w:top w:val="nil"/>
              <w:bottom w:val="nil"/>
            </w:tcBorders>
            <w:vAlign w:val="bottom"/>
          </w:tcPr>
          <w:p w:rsidR="00E16256" w:rsidRPr="00037EE3" w:rsidRDefault="00E16256" w:rsidP="00E16256">
            <w:pPr>
              <w:pStyle w:val="TableText0"/>
              <w:jc w:val="center"/>
              <w:rPr>
                <w:bCs w:val="0"/>
                <w:szCs w:val="20"/>
              </w:rPr>
            </w:pPr>
            <w:r w:rsidRPr="00037EE3">
              <w:rPr>
                <w:bCs w:val="0"/>
                <w:szCs w:val="20"/>
              </w:rPr>
              <w:t>-$6,709</w:t>
            </w:r>
          </w:p>
        </w:tc>
      </w:tr>
      <w:tr w:rsidR="00E16256" w:rsidRPr="00037EE3" w:rsidTr="00E16256">
        <w:tc>
          <w:tcPr>
            <w:tcW w:w="2078" w:type="pct"/>
            <w:tcBorders>
              <w:top w:val="nil"/>
            </w:tcBorders>
            <w:vAlign w:val="bottom"/>
          </w:tcPr>
          <w:p w:rsidR="00E16256" w:rsidRPr="00037EE3" w:rsidRDefault="00E16256" w:rsidP="00E16256">
            <w:pPr>
              <w:pStyle w:val="TableText0"/>
              <w:tabs>
                <w:tab w:val="left" w:pos="102"/>
              </w:tabs>
              <w:rPr>
                <w:rFonts w:cs="Calibri"/>
                <w:b/>
                <w:bCs w:val="0"/>
                <w:color w:val="000000"/>
                <w:szCs w:val="20"/>
              </w:rPr>
            </w:pPr>
            <w:r w:rsidRPr="00037EE3">
              <w:rPr>
                <w:rFonts w:cs="Calibri"/>
                <w:b/>
                <w:bCs w:val="0"/>
                <w:color w:val="000000"/>
                <w:szCs w:val="20"/>
              </w:rPr>
              <w:tab/>
              <w:t>Total pre-term births</w:t>
            </w:r>
          </w:p>
        </w:tc>
        <w:tc>
          <w:tcPr>
            <w:tcW w:w="1355" w:type="pct"/>
            <w:tcBorders>
              <w:top w:val="nil"/>
            </w:tcBorders>
            <w:vAlign w:val="bottom"/>
          </w:tcPr>
          <w:p w:rsidR="00E16256" w:rsidRPr="00037EE3" w:rsidRDefault="00E16256" w:rsidP="00E16256">
            <w:pPr>
              <w:pStyle w:val="TableText0"/>
              <w:jc w:val="center"/>
              <w:rPr>
                <w:b/>
                <w:bCs w:val="0"/>
                <w:szCs w:val="20"/>
              </w:rPr>
            </w:pPr>
            <w:r w:rsidRPr="00037EE3">
              <w:rPr>
                <w:b/>
                <w:bCs w:val="0"/>
                <w:szCs w:val="20"/>
              </w:rPr>
              <w:t>$8,956</w:t>
            </w:r>
          </w:p>
        </w:tc>
        <w:tc>
          <w:tcPr>
            <w:tcW w:w="777" w:type="pct"/>
            <w:tcBorders>
              <w:top w:val="nil"/>
            </w:tcBorders>
            <w:vAlign w:val="bottom"/>
          </w:tcPr>
          <w:p w:rsidR="00E16256" w:rsidRPr="00037EE3" w:rsidRDefault="00E16256" w:rsidP="00E16256">
            <w:pPr>
              <w:pStyle w:val="TableText0"/>
              <w:jc w:val="center"/>
              <w:rPr>
                <w:b/>
                <w:bCs w:val="0"/>
                <w:szCs w:val="20"/>
              </w:rPr>
            </w:pPr>
            <w:r w:rsidRPr="00037EE3">
              <w:rPr>
                <w:b/>
                <w:bCs w:val="0"/>
                <w:szCs w:val="20"/>
              </w:rPr>
              <w:t>$17,408</w:t>
            </w:r>
          </w:p>
        </w:tc>
        <w:tc>
          <w:tcPr>
            <w:tcW w:w="790" w:type="pct"/>
            <w:tcBorders>
              <w:top w:val="nil"/>
            </w:tcBorders>
            <w:vAlign w:val="bottom"/>
          </w:tcPr>
          <w:p w:rsidR="00E16256" w:rsidRPr="00037EE3" w:rsidRDefault="00E16256" w:rsidP="00E16256">
            <w:pPr>
              <w:pStyle w:val="TableText0"/>
              <w:jc w:val="center"/>
              <w:rPr>
                <w:b/>
                <w:bCs w:val="0"/>
                <w:szCs w:val="20"/>
              </w:rPr>
            </w:pPr>
            <w:r w:rsidRPr="00037EE3">
              <w:rPr>
                <w:b/>
                <w:bCs w:val="0"/>
                <w:szCs w:val="20"/>
              </w:rPr>
              <w:t>-$8,451</w:t>
            </w:r>
          </w:p>
        </w:tc>
      </w:tr>
      <w:tr w:rsidR="00E16256" w:rsidRPr="00037EE3" w:rsidTr="00D10B7D">
        <w:tc>
          <w:tcPr>
            <w:tcW w:w="2078" w:type="pct"/>
            <w:vAlign w:val="bottom"/>
          </w:tcPr>
          <w:p w:rsidR="00E16256" w:rsidRPr="00037EE3" w:rsidRDefault="00E16256" w:rsidP="00E16256">
            <w:pPr>
              <w:pStyle w:val="TableText0"/>
              <w:tabs>
                <w:tab w:val="left" w:pos="102"/>
              </w:tabs>
              <w:rPr>
                <w:rFonts w:cs="Calibri"/>
                <w:bCs w:val="0"/>
                <w:color w:val="000000"/>
                <w:szCs w:val="20"/>
              </w:rPr>
            </w:pPr>
            <w:r w:rsidRPr="00037EE3">
              <w:rPr>
                <w:rFonts w:cs="Calibri"/>
                <w:bCs w:val="0"/>
                <w:color w:val="000000"/>
                <w:szCs w:val="20"/>
              </w:rPr>
              <w:tab/>
              <w:t>Full-term births ($3,082 per admission)</w:t>
            </w:r>
          </w:p>
        </w:tc>
        <w:tc>
          <w:tcPr>
            <w:tcW w:w="1355" w:type="pct"/>
            <w:vAlign w:val="bottom"/>
          </w:tcPr>
          <w:p w:rsidR="00E16256" w:rsidRPr="00037EE3" w:rsidRDefault="00E16256" w:rsidP="00E16256">
            <w:pPr>
              <w:pStyle w:val="TableText0"/>
              <w:jc w:val="center"/>
              <w:rPr>
                <w:bCs w:val="0"/>
                <w:szCs w:val="20"/>
              </w:rPr>
            </w:pPr>
            <w:r w:rsidRPr="00037EE3">
              <w:rPr>
                <w:bCs w:val="0"/>
                <w:szCs w:val="20"/>
              </w:rPr>
              <w:t>$2,649</w:t>
            </w:r>
          </w:p>
        </w:tc>
        <w:tc>
          <w:tcPr>
            <w:tcW w:w="777" w:type="pct"/>
            <w:vAlign w:val="bottom"/>
          </w:tcPr>
          <w:p w:rsidR="00E16256" w:rsidRPr="00037EE3" w:rsidRDefault="00E16256" w:rsidP="00E16256">
            <w:pPr>
              <w:pStyle w:val="TableText0"/>
              <w:jc w:val="center"/>
              <w:rPr>
                <w:bCs w:val="0"/>
                <w:szCs w:val="20"/>
              </w:rPr>
            </w:pPr>
            <w:r w:rsidRPr="00037EE3">
              <w:rPr>
                <w:bCs w:val="0"/>
                <w:szCs w:val="20"/>
              </w:rPr>
              <w:t>$2,389</w:t>
            </w:r>
          </w:p>
        </w:tc>
        <w:tc>
          <w:tcPr>
            <w:tcW w:w="790" w:type="pct"/>
            <w:vAlign w:val="bottom"/>
          </w:tcPr>
          <w:p w:rsidR="00E16256" w:rsidRPr="00037EE3" w:rsidRDefault="00E16256" w:rsidP="00E16256">
            <w:pPr>
              <w:pStyle w:val="TableText0"/>
              <w:jc w:val="center"/>
              <w:rPr>
                <w:bCs w:val="0"/>
                <w:szCs w:val="20"/>
              </w:rPr>
            </w:pPr>
            <w:r w:rsidRPr="00037EE3">
              <w:rPr>
                <w:bCs w:val="0"/>
                <w:szCs w:val="20"/>
              </w:rPr>
              <w:t>$260</w:t>
            </w:r>
          </w:p>
        </w:tc>
      </w:tr>
      <w:tr w:rsidR="0049003B" w:rsidRPr="00037EE3" w:rsidTr="00D10B7D">
        <w:tc>
          <w:tcPr>
            <w:tcW w:w="2078" w:type="pct"/>
            <w:vAlign w:val="bottom"/>
          </w:tcPr>
          <w:p w:rsidR="0049003B" w:rsidRPr="00037EE3" w:rsidRDefault="0049003B" w:rsidP="0049003B">
            <w:pPr>
              <w:pStyle w:val="TableText0"/>
              <w:tabs>
                <w:tab w:val="left" w:pos="102"/>
              </w:tabs>
              <w:rPr>
                <w:rFonts w:cs="Calibri"/>
                <w:b/>
                <w:bCs w:val="0"/>
                <w:color w:val="000000"/>
                <w:szCs w:val="20"/>
              </w:rPr>
            </w:pPr>
            <w:r w:rsidRPr="00037EE3">
              <w:rPr>
                <w:rFonts w:cs="Calibri"/>
                <w:b/>
                <w:bCs w:val="0"/>
                <w:color w:val="000000"/>
                <w:szCs w:val="20"/>
              </w:rPr>
              <w:t>Total</w:t>
            </w:r>
          </w:p>
        </w:tc>
        <w:tc>
          <w:tcPr>
            <w:tcW w:w="1355" w:type="pct"/>
            <w:vAlign w:val="bottom"/>
          </w:tcPr>
          <w:p w:rsidR="0049003B" w:rsidRPr="00037EE3" w:rsidRDefault="0049003B" w:rsidP="0049003B">
            <w:pPr>
              <w:pStyle w:val="TableText0"/>
              <w:jc w:val="center"/>
              <w:rPr>
                <w:rFonts w:cs="Calibri"/>
                <w:b/>
                <w:bCs w:val="0"/>
                <w:szCs w:val="20"/>
              </w:rPr>
            </w:pPr>
            <w:r w:rsidRPr="00037EE3">
              <w:rPr>
                <w:rFonts w:cs="Calibri"/>
                <w:b/>
                <w:bCs w:val="0"/>
                <w:szCs w:val="20"/>
              </w:rPr>
              <w:t>$11,605</w:t>
            </w:r>
          </w:p>
        </w:tc>
        <w:tc>
          <w:tcPr>
            <w:tcW w:w="777" w:type="pct"/>
            <w:vAlign w:val="bottom"/>
          </w:tcPr>
          <w:p w:rsidR="0049003B" w:rsidRPr="00037EE3" w:rsidRDefault="0049003B" w:rsidP="0049003B">
            <w:pPr>
              <w:pStyle w:val="TableText0"/>
              <w:jc w:val="center"/>
              <w:rPr>
                <w:rFonts w:cs="Calibri"/>
                <w:b/>
                <w:bCs w:val="0"/>
                <w:szCs w:val="20"/>
              </w:rPr>
            </w:pPr>
            <w:r w:rsidRPr="00037EE3">
              <w:rPr>
                <w:rFonts w:cs="Calibri"/>
                <w:b/>
                <w:bCs w:val="0"/>
                <w:szCs w:val="20"/>
              </w:rPr>
              <w:t>$19,797</w:t>
            </w:r>
          </w:p>
        </w:tc>
        <w:tc>
          <w:tcPr>
            <w:tcW w:w="790" w:type="pct"/>
            <w:vAlign w:val="bottom"/>
          </w:tcPr>
          <w:p w:rsidR="0049003B" w:rsidRPr="00037EE3" w:rsidRDefault="0049003B" w:rsidP="0049003B">
            <w:pPr>
              <w:pStyle w:val="TableText0"/>
              <w:jc w:val="center"/>
              <w:rPr>
                <w:rFonts w:cs="Calibri"/>
                <w:b/>
                <w:bCs w:val="0"/>
                <w:szCs w:val="20"/>
              </w:rPr>
            </w:pPr>
            <w:r w:rsidRPr="00037EE3">
              <w:rPr>
                <w:rFonts w:cs="Calibri"/>
                <w:b/>
                <w:bCs w:val="0"/>
                <w:szCs w:val="20"/>
              </w:rPr>
              <w:t>-$8,192</w:t>
            </w:r>
          </w:p>
        </w:tc>
      </w:tr>
      <w:tr w:rsidR="00C65F4C" w:rsidRPr="00037EE3" w:rsidTr="00D10B7D">
        <w:tc>
          <w:tcPr>
            <w:tcW w:w="2078" w:type="pct"/>
            <w:tcBorders>
              <w:bottom w:val="single" w:sz="4" w:space="0" w:color="auto"/>
            </w:tcBorders>
            <w:vAlign w:val="bottom"/>
          </w:tcPr>
          <w:p w:rsidR="00C65F4C" w:rsidRPr="00037EE3" w:rsidRDefault="00C65F4C" w:rsidP="00C65F4C">
            <w:pPr>
              <w:pStyle w:val="TableText0"/>
              <w:tabs>
                <w:tab w:val="left" w:pos="102"/>
              </w:tabs>
              <w:rPr>
                <w:bCs w:val="0"/>
                <w:i/>
                <w:szCs w:val="20"/>
              </w:rPr>
            </w:pPr>
            <w:r w:rsidRPr="00037EE3">
              <w:rPr>
                <w:rFonts w:cs="Calibri"/>
                <w:bCs w:val="0"/>
                <w:color w:val="000000"/>
                <w:szCs w:val="20"/>
              </w:rPr>
              <w:t>Morbidity years 0 to 1</w:t>
            </w:r>
            <w:r w:rsidR="00B260FC" w:rsidRPr="00037EE3">
              <w:rPr>
                <w:rFonts w:cs="Calibri"/>
                <w:bCs w:val="0"/>
                <w:color w:val="000000"/>
                <w:szCs w:val="20"/>
              </w:rPr>
              <w:t xml:space="preserve"> (hospitalisation without neonatal morbidity $1,111; hospitalisation with neonatal morbidity $5,195)</w:t>
            </w:r>
          </w:p>
        </w:tc>
        <w:tc>
          <w:tcPr>
            <w:tcW w:w="1355" w:type="pct"/>
            <w:tcBorders>
              <w:bottom w:val="single" w:sz="4" w:space="0" w:color="auto"/>
            </w:tcBorders>
            <w:vAlign w:val="bottom"/>
          </w:tcPr>
          <w:p w:rsidR="00C65F4C" w:rsidRPr="00037EE3" w:rsidRDefault="00C65F4C" w:rsidP="00C65F4C">
            <w:pPr>
              <w:pStyle w:val="TableText0"/>
              <w:jc w:val="center"/>
              <w:rPr>
                <w:bCs w:val="0"/>
                <w:szCs w:val="20"/>
              </w:rPr>
            </w:pPr>
            <w:r w:rsidRPr="00037EE3">
              <w:rPr>
                <w:rFonts w:cs="Calibri"/>
                <w:bCs w:val="0"/>
                <w:szCs w:val="20"/>
              </w:rPr>
              <w:t>$1,685</w:t>
            </w:r>
          </w:p>
        </w:tc>
        <w:tc>
          <w:tcPr>
            <w:tcW w:w="777" w:type="pct"/>
            <w:tcBorders>
              <w:bottom w:val="single" w:sz="4" w:space="0" w:color="auto"/>
            </w:tcBorders>
            <w:vAlign w:val="bottom"/>
          </w:tcPr>
          <w:p w:rsidR="00C65F4C" w:rsidRPr="00037EE3" w:rsidRDefault="00C65F4C" w:rsidP="00C65F4C">
            <w:pPr>
              <w:pStyle w:val="TableText0"/>
              <w:jc w:val="center"/>
              <w:rPr>
                <w:bCs w:val="0"/>
                <w:szCs w:val="20"/>
              </w:rPr>
            </w:pPr>
            <w:r w:rsidRPr="00037EE3">
              <w:rPr>
                <w:rFonts w:cs="Calibri"/>
                <w:bCs w:val="0"/>
                <w:szCs w:val="20"/>
              </w:rPr>
              <w:t>$2,029</w:t>
            </w:r>
          </w:p>
        </w:tc>
        <w:tc>
          <w:tcPr>
            <w:tcW w:w="790" w:type="pct"/>
            <w:tcBorders>
              <w:bottom w:val="single" w:sz="4" w:space="0" w:color="auto"/>
            </w:tcBorders>
            <w:vAlign w:val="bottom"/>
          </w:tcPr>
          <w:p w:rsidR="00C65F4C" w:rsidRPr="00037EE3" w:rsidRDefault="00C65F4C" w:rsidP="00C65F4C">
            <w:pPr>
              <w:pStyle w:val="TableText0"/>
              <w:jc w:val="center"/>
              <w:rPr>
                <w:bCs w:val="0"/>
                <w:szCs w:val="20"/>
              </w:rPr>
            </w:pPr>
            <w:r w:rsidRPr="00037EE3">
              <w:rPr>
                <w:rFonts w:cs="Calibri"/>
                <w:bCs w:val="0"/>
                <w:szCs w:val="20"/>
              </w:rPr>
              <w:t>-$344</w:t>
            </w:r>
          </w:p>
        </w:tc>
      </w:tr>
      <w:tr w:rsidR="00C65F4C" w:rsidRPr="00037EE3" w:rsidTr="00D10B7D">
        <w:tc>
          <w:tcPr>
            <w:tcW w:w="2078" w:type="pct"/>
            <w:vAlign w:val="bottom"/>
          </w:tcPr>
          <w:p w:rsidR="00C65F4C" w:rsidRPr="00037EE3" w:rsidRDefault="00C65F4C" w:rsidP="00C65F4C">
            <w:pPr>
              <w:pStyle w:val="TableText0"/>
              <w:tabs>
                <w:tab w:val="left" w:pos="102"/>
              </w:tabs>
              <w:rPr>
                <w:rFonts w:cs="Calibri"/>
                <w:bCs w:val="0"/>
                <w:color w:val="000000"/>
                <w:szCs w:val="20"/>
              </w:rPr>
            </w:pPr>
            <w:r w:rsidRPr="00037EE3">
              <w:rPr>
                <w:rFonts w:cs="Calibri"/>
                <w:b/>
                <w:color w:val="000000"/>
                <w:szCs w:val="20"/>
              </w:rPr>
              <w:t>Total cost impact</w:t>
            </w:r>
          </w:p>
        </w:tc>
        <w:tc>
          <w:tcPr>
            <w:tcW w:w="1355" w:type="pct"/>
            <w:vAlign w:val="bottom"/>
          </w:tcPr>
          <w:p w:rsidR="00C65F4C" w:rsidRPr="00270233" w:rsidRDefault="00C65F4C" w:rsidP="00C65F4C">
            <w:pPr>
              <w:pStyle w:val="TableText0"/>
              <w:jc w:val="center"/>
              <w:rPr>
                <w:rFonts w:cs="Calibri"/>
                <w:bCs w:val="0"/>
                <w:szCs w:val="20"/>
              </w:rPr>
            </w:pPr>
            <w:r w:rsidRPr="00270233">
              <w:rPr>
                <w:rFonts w:cs="Calibri"/>
                <w:b/>
                <w:szCs w:val="20"/>
              </w:rPr>
              <w:t>$</w:t>
            </w:r>
            <w:r w:rsidR="008F56EA">
              <w:rPr>
                <w:rFonts w:cs="Calibri"/>
                <w:b/>
                <w:noProof/>
                <w:color w:val="000000"/>
                <w:szCs w:val="20"/>
                <w:highlight w:val="black"/>
              </w:rPr>
              <w:t>'''''''''''''''</w:t>
            </w:r>
          </w:p>
        </w:tc>
        <w:tc>
          <w:tcPr>
            <w:tcW w:w="777" w:type="pct"/>
            <w:vAlign w:val="bottom"/>
          </w:tcPr>
          <w:p w:rsidR="00C65F4C" w:rsidRPr="00270233" w:rsidRDefault="00C65F4C" w:rsidP="00C65F4C">
            <w:pPr>
              <w:pStyle w:val="TableText0"/>
              <w:jc w:val="center"/>
              <w:rPr>
                <w:rFonts w:cs="Calibri"/>
                <w:bCs w:val="0"/>
                <w:szCs w:val="20"/>
              </w:rPr>
            </w:pPr>
            <w:r w:rsidRPr="00270233">
              <w:rPr>
                <w:rFonts w:cs="Calibri"/>
                <w:b/>
                <w:szCs w:val="20"/>
              </w:rPr>
              <w:t>$21,826</w:t>
            </w:r>
          </w:p>
        </w:tc>
        <w:tc>
          <w:tcPr>
            <w:tcW w:w="790" w:type="pct"/>
            <w:vAlign w:val="bottom"/>
          </w:tcPr>
          <w:p w:rsidR="00C65F4C" w:rsidRPr="00270233" w:rsidRDefault="00C65F4C" w:rsidP="00C65F4C">
            <w:pPr>
              <w:pStyle w:val="TableText0"/>
              <w:jc w:val="center"/>
              <w:rPr>
                <w:rFonts w:cs="Calibri"/>
                <w:bCs w:val="0"/>
                <w:szCs w:val="20"/>
              </w:rPr>
            </w:pPr>
            <w:r w:rsidRPr="00270233">
              <w:rPr>
                <w:rFonts w:cs="Calibri"/>
                <w:b/>
                <w:szCs w:val="20"/>
              </w:rPr>
              <w:t>-$</w:t>
            </w:r>
            <w:r w:rsidR="008F56EA">
              <w:rPr>
                <w:rFonts w:cs="Calibri"/>
                <w:b/>
                <w:noProof/>
                <w:color w:val="000000"/>
                <w:szCs w:val="20"/>
                <w:highlight w:val="black"/>
              </w:rPr>
              <w:t>'''''''''''</w:t>
            </w:r>
          </w:p>
        </w:tc>
      </w:tr>
    </w:tbl>
    <w:p w:rsidR="00905433" w:rsidRPr="00037EE3" w:rsidRDefault="00905433" w:rsidP="00905433">
      <w:pPr>
        <w:pStyle w:val="TableFigureFooter"/>
        <w:spacing w:after="0"/>
      </w:pPr>
      <w:r w:rsidRPr="00037EE3">
        <w:t>Source: Table 3.6, p138 of the submission; Excel workbook ‘Besins Utrogestan in PTB PBAC Major Submission July 2020 – Section 3 Workbook’.</w:t>
      </w:r>
    </w:p>
    <w:p w:rsidR="005A373D" w:rsidRPr="00037EE3" w:rsidRDefault="00905433" w:rsidP="00905433">
      <w:pPr>
        <w:pStyle w:val="TableFigureFooter"/>
        <w:rPr>
          <w:rStyle w:val="CommentReference"/>
          <w:b w:val="0"/>
          <w:szCs w:val="22"/>
        </w:rPr>
      </w:pPr>
      <w:r w:rsidRPr="00037EE3">
        <w:t>SOC=standard of care</w:t>
      </w:r>
    </w:p>
    <w:p w:rsidR="00DE6E8C" w:rsidRPr="00037EE3" w:rsidRDefault="00A570E5" w:rsidP="00E72A5B">
      <w:pPr>
        <w:pStyle w:val="3-BodyText"/>
        <w:ind w:left="709" w:hanging="709"/>
      </w:pPr>
      <w:r w:rsidRPr="00037EE3">
        <w:t xml:space="preserve">The cost analysis </w:t>
      </w:r>
      <w:r w:rsidR="00AE55D7" w:rsidRPr="00037EE3">
        <w:t xml:space="preserve">resulted in </w:t>
      </w:r>
      <w:r w:rsidRPr="00037EE3">
        <w:t>a saving of $</w:t>
      </w:r>
      <w:r w:rsidR="00C7463D">
        <w:t>0 to &lt;$10M</w:t>
      </w:r>
      <w:r w:rsidRPr="00037EE3">
        <w:t xml:space="preserve"> with the use of Utrogestan for the prevention of preterm birth.</w:t>
      </w:r>
      <w:r w:rsidR="00576993" w:rsidRPr="00037EE3">
        <w:t xml:space="preserve"> </w:t>
      </w:r>
      <w:r w:rsidRPr="00037EE3">
        <w:rPr>
          <w:iCs/>
        </w:rPr>
        <w:t>The saving estimated by the submission relie</w:t>
      </w:r>
      <w:r w:rsidR="00A377EB" w:rsidRPr="00037EE3">
        <w:rPr>
          <w:iCs/>
        </w:rPr>
        <w:t>d</w:t>
      </w:r>
      <w:r w:rsidRPr="00037EE3">
        <w:rPr>
          <w:iCs/>
        </w:rPr>
        <w:t xml:space="preserve"> on </w:t>
      </w:r>
      <w:r w:rsidR="00AE55D7" w:rsidRPr="00037EE3">
        <w:rPr>
          <w:iCs/>
        </w:rPr>
        <w:t xml:space="preserve">the </w:t>
      </w:r>
      <w:r w:rsidRPr="00037EE3">
        <w:rPr>
          <w:iCs/>
        </w:rPr>
        <w:t>efficacy observed in the Romero (2018) meta-analysis.</w:t>
      </w:r>
      <w:r w:rsidR="00576993" w:rsidRPr="00037EE3">
        <w:rPr>
          <w:iCs/>
        </w:rPr>
        <w:t xml:space="preserve"> </w:t>
      </w:r>
      <w:r w:rsidR="00DE6E8C" w:rsidRPr="00037EE3">
        <w:rPr>
          <w:iCs/>
        </w:rPr>
        <w:t>The ESC noted the 8% difference in the number of pre-term births was validated in the submission</w:t>
      </w:r>
      <w:r w:rsidR="001259C4" w:rsidRPr="00037EE3">
        <w:rPr>
          <w:iCs/>
        </w:rPr>
        <w:t xml:space="preserve"> based on the</w:t>
      </w:r>
      <w:r w:rsidR="00941F5C" w:rsidRPr="00037EE3">
        <w:rPr>
          <w:iCs/>
        </w:rPr>
        <w:t xml:space="preserve"> outcomes of</w:t>
      </w:r>
      <w:r w:rsidR="00941F5C" w:rsidRPr="00037EE3">
        <w:t xml:space="preserve"> the Whole 9 Months, </w:t>
      </w:r>
      <w:r w:rsidR="00147A68" w:rsidRPr="00037EE3">
        <w:t>a</w:t>
      </w:r>
      <w:r w:rsidR="00941F5C" w:rsidRPr="00037EE3">
        <w:t xml:space="preserve"> public health and social media campaign of the Western Australian Preterm Birth Prevention Initiative and the Australian Preterm Birth Prevention Alliance, which aimed to safely lower the rate of preterm birth by combining the latest evidence-based clinical practice with educational outreach programs for health care practitioners and the general public</w:t>
      </w:r>
      <w:r w:rsidR="001259C4" w:rsidRPr="00037EE3">
        <w:rPr>
          <w:iCs/>
        </w:rPr>
        <w:t xml:space="preserve">. The ESC noted the WA </w:t>
      </w:r>
      <w:r w:rsidR="001259C4" w:rsidRPr="00037EE3">
        <w:rPr>
          <w:iCs/>
        </w:rPr>
        <w:lastRenderedPageBreak/>
        <w:t xml:space="preserve">study included a number of management changes in addition to use of progesterone and hence the results do not reflect the impact of progesterone alone. </w:t>
      </w:r>
      <w:r w:rsidR="001461A1" w:rsidRPr="00037EE3">
        <w:rPr>
          <w:iCs/>
        </w:rPr>
        <w:t>The ESC further noted that the initial gains from the WA initiative, in terms of reducing pre-term births, were not uniformly maintained across different health care settings</w:t>
      </w:r>
      <w:r w:rsidR="001461A1" w:rsidRPr="00037EE3">
        <w:rPr>
          <w:rStyle w:val="FootnoteReference"/>
          <w:iCs/>
        </w:rPr>
        <w:t xml:space="preserve"> </w:t>
      </w:r>
      <w:r w:rsidR="0059017E" w:rsidRPr="00037EE3">
        <w:rPr>
          <w:rStyle w:val="FootnoteReference"/>
          <w:iCs/>
        </w:rPr>
        <w:footnoteReference w:id="9"/>
      </w:r>
      <w:r w:rsidR="001259C4" w:rsidRPr="00037EE3">
        <w:rPr>
          <w:iCs/>
        </w:rPr>
        <w:t>.</w:t>
      </w:r>
    </w:p>
    <w:p w:rsidR="006110A5" w:rsidRPr="00037EE3" w:rsidRDefault="001A20AF" w:rsidP="00E72A5B">
      <w:pPr>
        <w:pStyle w:val="3-BodyText"/>
        <w:ind w:left="709"/>
      </w:pPr>
      <w:r w:rsidRPr="00037EE3">
        <w:rPr>
          <w:iCs/>
        </w:rPr>
        <w:t>The</w:t>
      </w:r>
      <w:r w:rsidR="00F94667" w:rsidRPr="00037EE3">
        <w:rPr>
          <w:iCs/>
        </w:rPr>
        <w:t xml:space="preserve"> ESC noted that the</w:t>
      </w:r>
      <w:r w:rsidRPr="00037EE3">
        <w:rPr>
          <w:iCs/>
        </w:rPr>
        <w:t xml:space="preserve"> cost differences </w:t>
      </w:r>
      <w:r w:rsidR="00C02F23" w:rsidRPr="00037EE3">
        <w:rPr>
          <w:iCs/>
        </w:rPr>
        <w:t>were</w:t>
      </w:r>
      <w:r w:rsidRPr="00037EE3">
        <w:rPr>
          <w:iCs/>
        </w:rPr>
        <w:t xml:space="preserve"> largely driven by</w:t>
      </w:r>
      <w:r w:rsidR="001F04CF" w:rsidRPr="00037EE3">
        <w:rPr>
          <w:iCs/>
        </w:rPr>
        <w:t xml:space="preserve"> the</w:t>
      </w:r>
      <w:r w:rsidRPr="00037EE3">
        <w:rPr>
          <w:iCs/>
        </w:rPr>
        <w:t xml:space="preserve"> reduction in the</w:t>
      </w:r>
      <w:r w:rsidR="00C02F23" w:rsidRPr="00037EE3">
        <w:rPr>
          <w:iCs/>
        </w:rPr>
        <w:t xml:space="preserve"> number of births prior to </w:t>
      </w:r>
      <w:r w:rsidRPr="00037EE3">
        <w:rPr>
          <w:iCs/>
        </w:rPr>
        <w:t>28 week</w:t>
      </w:r>
      <w:r w:rsidR="00C02F23" w:rsidRPr="00037EE3">
        <w:rPr>
          <w:iCs/>
        </w:rPr>
        <w:t>s</w:t>
      </w:r>
      <w:r w:rsidRPr="00037EE3">
        <w:rPr>
          <w:iCs/>
        </w:rPr>
        <w:t xml:space="preserve">. </w:t>
      </w:r>
      <w:r w:rsidR="00C02F23" w:rsidRPr="00037EE3">
        <w:rPr>
          <w:iCs/>
        </w:rPr>
        <w:t xml:space="preserve">However, a reduction in </w:t>
      </w:r>
      <w:r w:rsidR="00ED1E06" w:rsidRPr="00037EE3">
        <w:rPr>
          <w:iCs/>
        </w:rPr>
        <w:t>preterm</w:t>
      </w:r>
      <w:r w:rsidR="00C02F23" w:rsidRPr="00037EE3">
        <w:rPr>
          <w:iCs/>
        </w:rPr>
        <w:t xml:space="preserve"> births &lt;28</w:t>
      </w:r>
      <w:r w:rsidR="00A377EB" w:rsidRPr="00037EE3">
        <w:rPr>
          <w:iCs/>
        </w:rPr>
        <w:t> </w:t>
      </w:r>
      <w:r w:rsidR="00C02F23" w:rsidRPr="00037EE3">
        <w:rPr>
          <w:iCs/>
        </w:rPr>
        <w:t xml:space="preserve">weeks </w:t>
      </w:r>
      <w:r w:rsidR="0049003B" w:rsidRPr="00037EE3">
        <w:rPr>
          <w:iCs/>
        </w:rPr>
        <w:t>wa</w:t>
      </w:r>
      <w:r w:rsidR="00C02F23" w:rsidRPr="00037EE3">
        <w:rPr>
          <w:iCs/>
        </w:rPr>
        <w:t xml:space="preserve">s not observed in meta-analyses other than Romero 2018, therefore </w:t>
      </w:r>
      <w:r w:rsidRPr="00037EE3">
        <w:rPr>
          <w:iCs/>
        </w:rPr>
        <w:t xml:space="preserve">this benefit may not be realised. </w:t>
      </w:r>
    </w:p>
    <w:p w:rsidR="007D30F7" w:rsidRPr="00037EE3" w:rsidRDefault="007D30F7" w:rsidP="00E72A5B">
      <w:pPr>
        <w:pStyle w:val="3-BodyText"/>
        <w:ind w:left="709"/>
      </w:pPr>
      <w:r w:rsidRPr="00037EE3">
        <w:t>The ESC noted that costs applied to pre-term births, and in particular the cost applied to births prior to 28 week ($</w:t>
      </w:r>
      <w:r w:rsidRPr="00393F06">
        <w:t>202,838</w:t>
      </w:r>
      <w:r w:rsidRPr="00037EE3">
        <w:t xml:space="preserve"> per admission), were high and </w:t>
      </w:r>
      <w:r w:rsidR="00FF3320" w:rsidRPr="00037EE3">
        <w:t>included (weighted by separations)</w:t>
      </w:r>
      <w:r w:rsidR="004F6510" w:rsidRPr="00037EE3">
        <w:t xml:space="preserve"> AR</w:t>
      </w:r>
      <w:r w:rsidR="00FF3320" w:rsidRPr="00037EE3">
        <w:t xml:space="preserve"> </w:t>
      </w:r>
      <w:r w:rsidR="004F6510" w:rsidRPr="00037EE3">
        <w:t xml:space="preserve">DRG </w:t>
      </w:r>
      <w:r w:rsidR="004A7A16" w:rsidRPr="00037EE3">
        <w:t>costs for</w:t>
      </w:r>
      <w:r w:rsidR="004F6510" w:rsidRPr="00037EE3">
        <w:t xml:space="preserve"> admissions </w:t>
      </w:r>
      <w:r w:rsidR="00FF3320" w:rsidRPr="00037EE3">
        <w:t>involving significant operating room procedures and admissions with major complexities. The ESC considered that</w:t>
      </w:r>
      <w:r w:rsidR="001F04CF" w:rsidRPr="00037EE3">
        <w:t>, given the main clinical evidence did no</w:t>
      </w:r>
      <w:r w:rsidR="000F09A2" w:rsidRPr="00037EE3">
        <w:t>t report birthweight (and hospital costs are based on birthweight</w:t>
      </w:r>
      <w:r w:rsidR="000F09A2" w:rsidRPr="00037EE3">
        <w:rPr>
          <w:rStyle w:val="FootnoteReference"/>
        </w:rPr>
        <w:footnoteReference w:id="10"/>
      </w:r>
      <w:r w:rsidR="000F09A2" w:rsidRPr="00037EE3">
        <w:t xml:space="preserve">) </w:t>
      </w:r>
      <w:r w:rsidR="00FF3320" w:rsidRPr="00037EE3">
        <w:t xml:space="preserve">the available evidence </w:t>
      </w:r>
      <w:r w:rsidR="000F09A2" w:rsidRPr="00037EE3">
        <w:t xml:space="preserve">may </w:t>
      </w:r>
      <w:r w:rsidR="00FF3320" w:rsidRPr="00037EE3">
        <w:t xml:space="preserve">not support a reduction in pre-term births </w:t>
      </w:r>
      <w:r w:rsidR="00430898" w:rsidRPr="00037EE3">
        <w:t>at the levels of admission complexity assumed</w:t>
      </w:r>
      <w:r w:rsidR="00A97FCD" w:rsidRPr="00037EE3">
        <w:t xml:space="preserve">, </w:t>
      </w:r>
      <w:r w:rsidR="00817B27" w:rsidRPr="00037EE3">
        <w:t xml:space="preserve">thus </w:t>
      </w:r>
      <w:r w:rsidR="00A97FCD" w:rsidRPr="00037EE3">
        <w:t xml:space="preserve">it is very uncertain whether the assumed AR DRG costs would be relevant to the PBS population. </w:t>
      </w:r>
    </w:p>
    <w:p w:rsidR="00944C8B" w:rsidRPr="00037EE3" w:rsidRDefault="006110A5" w:rsidP="00E72A5B">
      <w:pPr>
        <w:pStyle w:val="3-BodyText"/>
        <w:ind w:left="709"/>
      </w:pPr>
      <w:r w:rsidRPr="00037EE3">
        <w:t>The ESC noted that the model applied the cost of neonatal hospitalisatio</w:t>
      </w:r>
      <w:r w:rsidR="00944C8B" w:rsidRPr="00037EE3">
        <w:t>n</w:t>
      </w:r>
      <w:r w:rsidRPr="00037EE3">
        <w:t xml:space="preserve"> to all births prior to full term, however considered that not all births after 28 weeks would require neonatal hospitalisation. Therefore, the savings </w:t>
      </w:r>
      <w:r w:rsidR="00817B27" w:rsidRPr="00037EE3">
        <w:t>were</w:t>
      </w:r>
      <w:r w:rsidR="00430898" w:rsidRPr="00037EE3">
        <w:t xml:space="preserve"> likely</w:t>
      </w:r>
      <w:r w:rsidRPr="00037EE3">
        <w:t xml:space="preserve"> overestimated. </w:t>
      </w:r>
    </w:p>
    <w:p w:rsidR="008F553C" w:rsidRPr="00037EE3" w:rsidRDefault="00B260FC" w:rsidP="00E72A5B">
      <w:pPr>
        <w:pStyle w:val="3-BodyText"/>
        <w:ind w:left="709"/>
      </w:pPr>
      <w:r w:rsidRPr="00037EE3">
        <w:t>The ESC noted no difference in background t</w:t>
      </w:r>
      <w:r w:rsidR="00473AB5" w:rsidRPr="00037EE3">
        <w:t>reatment costs (</w:t>
      </w:r>
      <w:r w:rsidR="00ED1E06" w:rsidRPr="00037EE3">
        <w:t>e.g.</w:t>
      </w:r>
      <w:r w:rsidRPr="00037EE3">
        <w:t xml:space="preserve"> ultrasounds, </w:t>
      </w:r>
      <w:r w:rsidR="00473AB5" w:rsidRPr="00037EE3">
        <w:t>maternal care</w:t>
      </w:r>
      <w:r w:rsidRPr="00037EE3">
        <w:t>) was assumed for the</w:t>
      </w:r>
      <w:r w:rsidR="00473AB5" w:rsidRPr="00037EE3">
        <w:t xml:space="preserve"> SOC and Utrogestan</w:t>
      </w:r>
      <w:r w:rsidRPr="00037EE3">
        <w:t xml:space="preserve"> treatment groups.</w:t>
      </w:r>
    </w:p>
    <w:p w:rsidR="006110A5" w:rsidRPr="00037EE3" w:rsidRDefault="00944C8B" w:rsidP="00E72A5B">
      <w:pPr>
        <w:pStyle w:val="3-BodyText"/>
        <w:ind w:left="709"/>
      </w:pPr>
      <w:r w:rsidRPr="00037EE3">
        <w:t xml:space="preserve">The ESC </w:t>
      </w:r>
      <w:r w:rsidR="00DF0EA2">
        <w:t>noted that</w:t>
      </w:r>
      <w:r w:rsidRPr="00037EE3">
        <w:t xml:space="preserve"> the model did not consider the finding that progesterone </w:t>
      </w:r>
      <w:r w:rsidR="00440291">
        <w:t>may</w:t>
      </w:r>
      <w:r w:rsidRPr="00037EE3">
        <w:t xml:space="preserve"> be associated with an infant mortality benefit.</w:t>
      </w:r>
    </w:p>
    <w:p w:rsidR="00AE55D7" w:rsidRPr="00037EE3" w:rsidRDefault="00AE55D7" w:rsidP="00E72A5B">
      <w:pPr>
        <w:pStyle w:val="3-BodyText"/>
        <w:ind w:left="709"/>
      </w:pPr>
      <w:r w:rsidRPr="00037EE3">
        <w:t>Overall the ESC considered the reduction in pre-term births and the hospitalisation costs</w:t>
      </w:r>
      <w:r w:rsidR="00330057" w:rsidRPr="00037EE3">
        <w:t xml:space="preserve"> assumed in the cost analysis to be very uncertain. However the ESC also acknowledged that the cost of progesterone per </w:t>
      </w:r>
      <w:r w:rsidR="00946C2C" w:rsidRPr="00037EE3">
        <w:t xml:space="preserve">pregnancy </w:t>
      </w:r>
      <w:r w:rsidR="00330057" w:rsidRPr="00037EE3">
        <w:t>was small in comparison to the potential saving from hospital admissions for pre-term births.</w:t>
      </w:r>
    </w:p>
    <w:p w:rsidR="00C25D9C" w:rsidRPr="00037EE3" w:rsidRDefault="00C25D9C" w:rsidP="00BB732D">
      <w:pPr>
        <w:pStyle w:val="4-SubsectionHeading"/>
      </w:pPr>
      <w:bookmarkStart w:id="23" w:name="_Toc22897646"/>
      <w:bookmarkStart w:id="24" w:name="_Toc50936087"/>
      <w:r w:rsidRPr="00037EE3">
        <w:t>Drug</w:t>
      </w:r>
      <w:r w:rsidR="00A570E5" w:rsidRPr="00037EE3">
        <w:t xml:space="preserve"> </w:t>
      </w:r>
      <w:r w:rsidRPr="00037EE3">
        <w:t>cost/</w:t>
      </w:r>
      <w:bookmarkEnd w:id="23"/>
      <w:bookmarkEnd w:id="24"/>
      <w:r w:rsidR="00A377EB" w:rsidRPr="00037EE3">
        <w:t>preg</w:t>
      </w:r>
      <w:r w:rsidR="00453B59" w:rsidRPr="00037EE3">
        <w:t>n</w:t>
      </w:r>
      <w:r w:rsidR="00A377EB" w:rsidRPr="00037EE3">
        <w:t>ancy</w:t>
      </w:r>
    </w:p>
    <w:p w:rsidR="00494207" w:rsidRPr="00037EE3" w:rsidRDefault="00494207" w:rsidP="00C94053">
      <w:pPr>
        <w:pStyle w:val="TableFigureHeading"/>
        <w:rPr>
          <w:rStyle w:val="CommentReference"/>
          <w:b/>
          <w:szCs w:val="24"/>
        </w:rPr>
      </w:pPr>
      <w:r w:rsidRPr="00393F06">
        <w:rPr>
          <w:rStyle w:val="CommentReference"/>
          <w:b/>
          <w:szCs w:val="24"/>
        </w:rPr>
        <w:t xml:space="preserve">Table </w:t>
      </w:r>
      <w:r w:rsidR="00CB66BC" w:rsidRPr="00393F06">
        <w:rPr>
          <w:rStyle w:val="CommentReference"/>
          <w:b/>
          <w:szCs w:val="24"/>
        </w:rPr>
        <w:t>10</w:t>
      </w:r>
      <w:r w:rsidRPr="00393F06">
        <w:rPr>
          <w:rStyle w:val="CommentReference"/>
          <w:b/>
          <w:szCs w:val="24"/>
        </w:rPr>
        <w:t xml:space="preserve">: Drug cost per </w:t>
      </w:r>
      <w:r w:rsidR="00A377EB" w:rsidRPr="00393F06">
        <w:rPr>
          <w:rStyle w:val="CommentReference"/>
          <w:b/>
          <w:szCs w:val="24"/>
        </w:rPr>
        <w:t xml:space="preserve">pregnancy </w:t>
      </w:r>
      <w:r w:rsidRPr="00393F06">
        <w:rPr>
          <w:rStyle w:val="CommentReference"/>
          <w:b/>
          <w:szCs w:val="24"/>
        </w:rPr>
        <w:t xml:space="preserve">for </w:t>
      </w:r>
      <w:r w:rsidR="00E97E1A" w:rsidRPr="00393F06">
        <w:rPr>
          <w:rStyle w:val="CommentReference"/>
          <w:b/>
          <w:szCs w:val="24"/>
        </w:rPr>
        <w:t>Utrogestan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2"/>
        <w:gridCol w:w="2399"/>
        <w:gridCol w:w="2254"/>
        <w:gridCol w:w="2252"/>
      </w:tblGrid>
      <w:tr w:rsidR="00E97E1A" w:rsidRPr="00037EE3" w:rsidTr="00AD3218">
        <w:trPr>
          <w:tblHeader/>
        </w:trPr>
        <w:tc>
          <w:tcPr>
            <w:tcW w:w="1171" w:type="pct"/>
            <w:vMerge w:val="restart"/>
            <w:vAlign w:val="center"/>
          </w:tcPr>
          <w:p w:rsidR="00E97E1A" w:rsidRPr="00037EE3" w:rsidRDefault="00E97E1A" w:rsidP="00D10B7D">
            <w:pPr>
              <w:pStyle w:val="In-tableHeading"/>
              <w:tabs>
                <w:tab w:val="left" w:pos="102"/>
              </w:tabs>
              <w:rPr>
                <w:lang w:val="en-AU"/>
              </w:rPr>
            </w:pPr>
          </w:p>
        </w:tc>
        <w:tc>
          <w:tcPr>
            <w:tcW w:w="3829" w:type="pct"/>
            <w:gridSpan w:val="3"/>
            <w:vAlign w:val="center"/>
          </w:tcPr>
          <w:p w:rsidR="00E97E1A" w:rsidRPr="00037EE3" w:rsidRDefault="00E97E1A" w:rsidP="00D10B7D">
            <w:pPr>
              <w:pStyle w:val="In-tableHeading"/>
              <w:jc w:val="center"/>
              <w:rPr>
                <w:lang w:val="en-AU"/>
              </w:rPr>
            </w:pPr>
            <w:r w:rsidRPr="00037EE3">
              <w:rPr>
                <w:lang w:val="en-AU"/>
              </w:rPr>
              <w:t>Utrogestan</w:t>
            </w:r>
          </w:p>
        </w:tc>
      </w:tr>
      <w:tr w:rsidR="00E97E1A" w:rsidRPr="00037EE3" w:rsidTr="00AD3218">
        <w:trPr>
          <w:tblHeader/>
        </w:trPr>
        <w:tc>
          <w:tcPr>
            <w:tcW w:w="1171" w:type="pct"/>
            <w:vMerge/>
            <w:vAlign w:val="center"/>
          </w:tcPr>
          <w:p w:rsidR="00E97E1A" w:rsidRPr="00037EE3" w:rsidRDefault="00E97E1A" w:rsidP="00D10B7D">
            <w:pPr>
              <w:pStyle w:val="In-tableHeading"/>
              <w:tabs>
                <w:tab w:val="left" w:pos="102"/>
              </w:tabs>
              <w:rPr>
                <w:lang w:val="en-AU"/>
              </w:rPr>
            </w:pPr>
          </w:p>
        </w:tc>
        <w:tc>
          <w:tcPr>
            <w:tcW w:w="1330" w:type="pct"/>
            <w:vAlign w:val="center"/>
          </w:tcPr>
          <w:p w:rsidR="00E97E1A" w:rsidRPr="00037EE3" w:rsidRDefault="00E97E1A" w:rsidP="00D10B7D">
            <w:pPr>
              <w:pStyle w:val="In-tableHeading"/>
              <w:jc w:val="center"/>
              <w:rPr>
                <w:lang w:val="en-AU"/>
              </w:rPr>
            </w:pPr>
            <w:r w:rsidRPr="00037EE3">
              <w:rPr>
                <w:lang w:val="en-AU"/>
              </w:rPr>
              <w:t>Trial dose and duration</w:t>
            </w:r>
          </w:p>
        </w:tc>
        <w:tc>
          <w:tcPr>
            <w:tcW w:w="1250" w:type="pct"/>
          </w:tcPr>
          <w:p w:rsidR="00E97E1A" w:rsidRPr="00037EE3" w:rsidRDefault="00E97E1A" w:rsidP="00D10B7D">
            <w:pPr>
              <w:pStyle w:val="In-tableHeading"/>
              <w:jc w:val="center"/>
              <w:rPr>
                <w:lang w:val="en-AU"/>
              </w:rPr>
            </w:pPr>
            <w:r w:rsidRPr="00037EE3">
              <w:rPr>
                <w:lang w:val="en-AU"/>
              </w:rPr>
              <w:t>Cost analysis</w:t>
            </w:r>
          </w:p>
        </w:tc>
        <w:tc>
          <w:tcPr>
            <w:tcW w:w="1249" w:type="pct"/>
          </w:tcPr>
          <w:p w:rsidR="00E97E1A" w:rsidRPr="00037EE3" w:rsidRDefault="00E97E1A" w:rsidP="00D10B7D">
            <w:pPr>
              <w:pStyle w:val="In-tableHeading"/>
              <w:jc w:val="center"/>
              <w:rPr>
                <w:lang w:val="en-AU"/>
              </w:rPr>
            </w:pPr>
            <w:r w:rsidRPr="00037EE3">
              <w:rPr>
                <w:lang w:val="en-AU"/>
              </w:rPr>
              <w:t>Financial estimates</w:t>
            </w:r>
          </w:p>
        </w:tc>
      </w:tr>
      <w:tr w:rsidR="00E97E1A" w:rsidRPr="00037EE3" w:rsidTr="00AD3218">
        <w:tc>
          <w:tcPr>
            <w:tcW w:w="1171" w:type="pct"/>
            <w:vAlign w:val="center"/>
          </w:tcPr>
          <w:p w:rsidR="00E97E1A" w:rsidRPr="00037EE3" w:rsidRDefault="00E97E1A" w:rsidP="00E97E1A">
            <w:pPr>
              <w:pStyle w:val="TableText0"/>
              <w:tabs>
                <w:tab w:val="left" w:pos="102"/>
              </w:tabs>
              <w:rPr>
                <w:bCs w:val="0"/>
                <w:szCs w:val="20"/>
              </w:rPr>
            </w:pPr>
            <w:r w:rsidRPr="00037EE3">
              <w:t>Mean dose</w:t>
            </w:r>
          </w:p>
        </w:tc>
        <w:tc>
          <w:tcPr>
            <w:tcW w:w="1330" w:type="pct"/>
            <w:vAlign w:val="bottom"/>
          </w:tcPr>
          <w:p w:rsidR="00E97E1A" w:rsidRPr="00037EE3" w:rsidRDefault="00E97E1A" w:rsidP="00E97E1A">
            <w:pPr>
              <w:pStyle w:val="TableText0"/>
              <w:jc w:val="center"/>
              <w:rPr>
                <w:bCs w:val="0"/>
                <w:szCs w:val="20"/>
              </w:rPr>
            </w:pPr>
            <w:r w:rsidRPr="00037EE3">
              <w:rPr>
                <w:bCs w:val="0"/>
                <w:szCs w:val="20"/>
              </w:rPr>
              <w:t>20</w:t>
            </w:r>
            <w:r w:rsidR="00AF08C5" w:rsidRPr="00037EE3">
              <w:rPr>
                <w:bCs w:val="0"/>
                <w:szCs w:val="20"/>
              </w:rPr>
              <w:t>0 mg</w:t>
            </w:r>
            <w:r w:rsidRPr="00037EE3">
              <w:rPr>
                <w:bCs w:val="0"/>
                <w:szCs w:val="20"/>
              </w:rPr>
              <w:t>/day</w:t>
            </w:r>
          </w:p>
        </w:tc>
        <w:tc>
          <w:tcPr>
            <w:tcW w:w="1250" w:type="pct"/>
          </w:tcPr>
          <w:p w:rsidR="00E97E1A" w:rsidRPr="00037EE3" w:rsidRDefault="00E97E1A" w:rsidP="00E97E1A">
            <w:pPr>
              <w:pStyle w:val="TableText0"/>
              <w:jc w:val="center"/>
              <w:rPr>
                <w:rFonts w:cs="Calibri"/>
                <w:bCs w:val="0"/>
                <w:szCs w:val="20"/>
              </w:rPr>
            </w:pPr>
            <w:r w:rsidRPr="00037EE3">
              <w:rPr>
                <w:rFonts w:cs="Calibri"/>
                <w:bCs w:val="0"/>
                <w:szCs w:val="20"/>
              </w:rPr>
              <w:t>20</w:t>
            </w:r>
            <w:r w:rsidR="00AF08C5" w:rsidRPr="00037EE3">
              <w:rPr>
                <w:rFonts w:cs="Calibri"/>
                <w:bCs w:val="0"/>
                <w:szCs w:val="20"/>
              </w:rPr>
              <w:t>0 mg</w:t>
            </w:r>
            <w:r w:rsidRPr="00037EE3">
              <w:rPr>
                <w:rFonts w:cs="Calibri"/>
                <w:bCs w:val="0"/>
                <w:szCs w:val="20"/>
              </w:rPr>
              <w:t>/day</w:t>
            </w:r>
          </w:p>
        </w:tc>
        <w:tc>
          <w:tcPr>
            <w:tcW w:w="1249" w:type="pct"/>
          </w:tcPr>
          <w:p w:rsidR="00E97E1A" w:rsidRPr="00037EE3" w:rsidRDefault="00E97E1A" w:rsidP="00E97E1A">
            <w:pPr>
              <w:pStyle w:val="TableText0"/>
              <w:jc w:val="center"/>
              <w:rPr>
                <w:rFonts w:cs="Calibri"/>
                <w:bCs w:val="0"/>
                <w:szCs w:val="20"/>
              </w:rPr>
            </w:pPr>
            <w:r w:rsidRPr="00037EE3">
              <w:rPr>
                <w:rFonts w:cs="Calibri"/>
                <w:bCs w:val="0"/>
                <w:szCs w:val="20"/>
              </w:rPr>
              <w:t>20</w:t>
            </w:r>
            <w:r w:rsidR="00AF08C5" w:rsidRPr="00037EE3">
              <w:rPr>
                <w:rFonts w:cs="Calibri"/>
                <w:bCs w:val="0"/>
                <w:szCs w:val="20"/>
              </w:rPr>
              <w:t>0 mg</w:t>
            </w:r>
            <w:r w:rsidRPr="00037EE3">
              <w:rPr>
                <w:rFonts w:cs="Calibri"/>
                <w:bCs w:val="0"/>
                <w:szCs w:val="20"/>
              </w:rPr>
              <w:t>/day</w:t>
            </w:r>
          </w:p>
        </w:tc>
      </w:tr>
      <w:tr w:rsidR="00E97E1A" w:rsidRPr="00037EE3" w:rsidTr="00AD3218">
        <w:tc>
          <w:tcPr>
            <w:tcW w:w="1171" w:type="pct"/>
            <w:vAlign w:val="center"/>
          </w:tcPr>
          <w:p w:rsidR="00E97E1A" w:rsidRPr="00037EE3" w:rsidRDefault="00E97E1A" w:rsidP="00E97E1A">
            <w:pPr>
              <w:pStyle w:val="TableText0"/>
              <w:tabs>
                <w:tab w:val="left" w:pos="102"/>
              </w:tabs>
              <w:rPr>
                <w:bCs w:val="0"/>
                <w:szCs w:val="20"/>
              </w:rPr>
            </w:pPr>
            <w:r w:rsidRPr="00037EE3">
              <w:t>Mean duration</w:t>
            </w:r>
          </w:p>
        </w:tc>
        <w:tc>
          <w:tcPr>
            <w:tcW w:w="1330" w:type="pct"/>
            <w:vAlign w:val="bottom"/>
          </w:tcPr>
          <w:p w:rsidR="00E97E1A" w:rsidRPr="00037EE3" w:rsidRDefault="00E97E1A" w:rsidP="00E97E1A">
            <w:pPr>
              <w:pStyle w:val="TableText0"/>
              <w:jc w:val="center"/>
              <w:rPr>
                <w:bCs w:val="0"/>
                <w:szCs w:val="20"/>
              </w:rPr>
            </w:pPr>
            <w:r w:rsidRPr="00037EE3">
              <w:rPr>
                <w:bCs w:val="0"/>
                <w:szCs w:val="20"/>
              </w:rPr>
              <w:t>10 weeks to 19 weeks</w:t>
            </w:r>
          </w:p>
        </w:tc>
        <w:tc>
          <w:tcPr>
            <w:tcW w:w="1250" w:type="pct"/>
          </w:tcPr>
          <w:p w:rsidR="00E97E1A" w:rsidRPr="00037EE3" w:rsidRDefault="00E97E1A" w:rsidP="00E97E1A">
            <w:pPr>
              <w:pStyle w:val="TableText0"/>
              <w:jc w:val="center"/>
              <w:rPr>
                <w:rFonts w:cs="Calibri"/>
                <w:bCs w:val="0"/>
                <w:szCs w:val="20"/>
              </w:rPr>
            </w:pPr>
            <w:r w:rsidRPr="00037EE3">
              <w:rPr>
                <w:rFonts w:cs="Calibri"/>
                <w:bCs w:val="0"/>
                <w:szCs w:val="20"/>
              </w:rPr>
              <w:t>16 weeks</w:t>
            </w:r>
          </w:p>
        </w:tc>
        <w:tc>
          <w:tcPr>
            <w:tcW w:w="1249" w:type="pct"/>
          </w:tcPr>
          <w:p w:rsidR="00E97E1A" w:rsidRPr="00037EE3" w:rsidRDefault="00E97E1A" w:rsidP="00E97E1A">
            <w:pPr>
              <w:pStyle w:val="TableText0"/>
              <w:jc w:val="center"/>
              <w:rPr>
                <w:rFonts w:cs="Calibri"/>
                <w:bCs w:val="0"/>
                <w:szCs w:val="20"/>
              </w:rPr>
            </w:pPr>
            <w:r w:rsidRPr="00037EE3">
              <w:rPr>
                <w:rFonts w:cs="Calibri"/>
                <w:bCs w:val="0"/>
                <w:szCs w:val="20"/>
              </w:rPr>
              <w:t>16 weeks</w:t>
            </w:r>
          </w:p>
        </w:tc>
      </w:tr>
      <w:tr w:rsidR="00E97E1A" w:rsidRPr="00037EE3" w:rsidTr="00AD3218">
        <w:tc>
          <w:tcPr>
            <w:tcW w:w="1171" w:type="pct"/>
            <w:vAlign w:val="center"/>
          </w:tcPr>
          <w:p w:rsidR="00E97E1A" w:rsidRPr="00037EE3" w:rsidRDefault="00E97E1A" w:rsidP="0072702C">
            <w:pPr>
              <w:pStyle w:val="TableText0"/>
              <w:tabs>
                <w:tab w:val="left" w:pos="102"/>
              </w:tabs>
              <w:rPr>
                <w:bCs w:val="0"/>
                <w:szCs w:val="20"/>
              </w:rPr>
            </w:pPr>
            <w:r w:rsidRPr="00037EE3">
              <w:t>Cost/</w:t>
            </w:r>
            <w:r w:rsidR="0072702C" w:rsidRPr="00037EE3">
              <w:t>pregnancy</w:t>
            </w:r>
          </w:p>
        </w:tc>
        <w:tc>
          <w:tcPr>
            <w:tcW w:w="1330" w:type="pct"/>
            <w:vAlign w:val="bottom"/>
          </w:tcPr>
          <w:p w:rsidR="00E97E1A" w:rsidRPr="005A447B" w:rsidRDefault="00E97E1A" w:rsidP="00E97E1A">
            <w:pPr>
              <w:pStyle w:val="TableText0"/>
              <w:jc w:val="center"/>
              <w:rPr>
                <w:bCs w:val="0"/>
                <w:szCs w:val="20"/>
              </w:rPr>
            </w:pPr>
            <w:r w:rsidRPr="005A447B">
              <w:rPr>
                <w:bCs w:val="0"/>
                <w:szCs w:val="20"/>
              </w:rPr>
              <w:t>$</w:t>
            </w:r>
            <w:r w:rsidR="008F56EA">
              <w:rPr>
                <w:bCs w:val="0"/>
                <w:noProof/>
                <w:color w:val="000000"/>
                <w:szCs w:val="20"/>
                <w:highlight w:val="black"/>
              </w:rPr>
              <w:t>'''''''''''''''</w:t>
            </w:r>
            <w:r w:rsidRPr="005A447B">
              <w:rPr>
                <w:bCs w:val="0"/>
                <w:szCs w:val="20"/>
              </w:rPr>
              <w:t xml:space="preserve"> to $</w:t>
            </w:r>
            <w:r w:rsidR="008F56EA">
              <w:rPr>
                <w:bCs w:val="0"/>
                <w:noProof/>
                <w:color w:val="000000"/>
                <w:szCs w:val="20"/>
                <w:highlight w:val="black"/>
              </w:rPr>
              <w:t>''''''''''''''''</w:t>
            </w:r>
            <w:r w:rsidR="0019419A" w:rsidRPr="005A447B">
              <w:rPr>
                <w:bCs w:val="0"/>
                <w:szCs w:val="20"/>
                <w:vertAlign w:val="superscript"/>
              </w:rPr>
              <w:t>a</w:t>
            </w:r>
          </w:p>
        </w:tc>
        <w:tc>
          <w:tcPr>
            <w:tcW w:w="1250" w:type="pct"/>
          </w:tcPr>
          <w:p w:rsidR="00E97E1A" w:rsidRPr="005A447B" w:rsidRDefault="00E97E1A" w:rsidP="00E97E1A">
            <w:pPr>
              <w:pStyle w:val="TableText0"/>
              <w:jc w:val="center"/>
              <w:rPr>
                <w:rFonts w:cs="Calibri"/>
                <w:bCs w:val="0"/>
                <w:szCs w:val="20"/>
              </w:rPr>
            </w:pPr>
            <w:r w:rsidRPr="005A447B">
              <w:rPr>
                <w:rFonts w:cs="Calibri"/>
                <w:bCs w:val="0"/>
                <w:szCs w:val="20"/>
              </w:rPr>
              <w:t>$</w:t>
            </w:r>
            <w:r w:rsidR="008F56EA">
              <w:rPr>
                <w:rFonts w:cs="Calibri"/>
                <w:bCs w:val="0"/>
                <w:noProof/>
                <w:color w:val="000000"/>
                <w:szCs w:val="20"/>
                <w:highlight w:val="black"/>
              </w:rPr>
              <w:t>''''''''''''''''</w:t>
            </w:r>
            <w:r w:rsidR="0019419A" w:rsidRPr="005A447B">
              <w:rPr>
                <w:rFonts w:cs="Calibri"/>
                <w:bCs w:val="0"/>
                <w:szCs w:val="20"/>
                <w:vertAlign w:val="superscript"/>
              </w:rPr>
              <w:t>b</w:t>
            </w:r>
          </w:p>
        </w:tc>
        <w:tc>
          <w:tcPr>
            <w:tcW w:w="1249" w:type="pct"/>
          </w:tcPr>
          <w:p w:rsidR="00E97E1A" w:rsidRPr="00037EE3" w:rsidRDefault="00E97E1A" w:rsidP="00E97E1A">
            <w:pPr>
              <w:pStyle w:val="TableText0"/>
              <w:jc w:val="center"/>
              <w:rPr>
                <w:rFonts w:cs="Calibri"/>
                <w:bCs w:val="0"/>
                <w:szCs w:val="20"/>
              </w:rPr>
            </w:pPr>
            <w:r w:rsidRPr="00037EE3">
              <w:rPr>
                <w:rFonts w:cs="Calibri"/>
                <w:bCs w:val="0"/>
                <w:szCs w:val="20"/>
              </w:rPr>
              <w:t>$</w:t>
            </w:r>
            <w:r w:rsidR="00EE16E2">
              <w:rPr>
                <w:rFonts w:cs="Calibri"/>
                <w:bCs w:val="0"/>
                <w:noProof/>
                <w:color w:val="000000"/>
                <w:szCs w:val="20"/>
                <w:highlight w:val="black"/>
              </w:rPr>
              <w:t>''''''''''''''''</w:t>
            </w:r>
            <w:r w:rsidR="0019419A" w:rsidRPr="00037EE3">
              <w:rPr>
                <w:rFonts w:cs="Calibri"/>
                <w:bCs w:val="0"/>
                <w:szCs w:val="20"/>
                <w:vertAlign w:val="superscript"/>
              </w:rPr>
              <w:t>b</w:t>
            </w:r>
          </w:p>
        </w:tc>
      </w:tr>
    </w:tbl>
    <w:p w:rsidR="00494207" w:rsidRPr="007E10F0" w:rsidRDefault="00494207" w:rsidP="00C94053">
      <w:pPr>
        <w:pStyle w:val="TableFigureFooter"/>
        <w:rPr>
          <w:sz w:val="16"/>
          <w:szCs w:val="16"/>
        </w:rPr>
      </w:pPr>
      <w:r w:rsidRPr="007E10F0">
        <w:rPr>
          <w:sz w:val="16"/>
          <w:szCs w:val="16"/>
        </w:rPr>
        <w:t xml:space="preserve">Source: </w:t>
      </w:r>
      <w:r w:rsidR="00E97E1A" w:rsidRPr="007E10F0">
        <w:rPr>
          <w:sz w:val="16"/>
          <w:szCs w:val="16"/>
        </w:rPr>
        <w:t xml:space="preserve">Table 3.2, p134 </w:t>
      </w:r>
      <w:r w:rsidRPr="007E10F0">
        <w:rPr>
          <w:sz w:val="16"/>
          <w:szCs w:val="16"/>
        </w:rPr>
        <w:t>Italicised values have been calculated.</w:t>
      </w:r>
    </w:p>
    <w:p w:rsidR="00494207" w:rsidRPr="007E10F0" w:rsidRDefault="00494207" w:rsidP="0019419A">
      <w:pPr>
        <w:pStyle w:val="TableFigureFooter"/>
        <w:tabs>
          <w:tab w:val="left" w:pos="142"/>
        </w:tabs>
        <w:rPr>
          <w:iCs/>
          <w:sz w:val="16"/>
          <w:szCs w:val="16"/>
        </w:rPr>
      </w:pPr>
      <w:proofErr w:type="gramStart"/>
      <w:r w:rsidRPr="007E10F0">
        <w:rPr>
          <w:sz w:val="16"/>
          <w:szCs w:val="16"/>
          <w:vertAlign w:val="superscript"/>
        </w:rPr>
        <w:t>a</w:t>
      </w:r>
      <w:proofErr w:type="gramEnd"/>
      <w:r w:rsidRPr="007E10F0">
        <w:rPr>
          <w:sz w:val="16"/>
          <w:szCs w:val="16"/>
          <w:vertAlign w:val="superscript"/>
        </w:rPr>
        <w:t xml:space="preserve"> </w:t>
      </w:r>
      <w:r w:rsidR="0019419A" w:rsidRPr="007E10F0">
        <w:rPr>
          <w:sz w:val="16"/>
          <w:szCs w:val="16"/>
          <w:vertAlign w:val="superscript"/>
        </w:rPr>
        <w:tab/>
      </w:r>
      <w:r w:rsidR="0019419A" w:rsidRPr="007E10F0">
        <w:rPr>
          <w:sz w:val="16"/>
          <w:szCs w:val="16"/>
        </w:rPr>
        <w:t>Trial-based cost used partial pack sizes, as did the submission for the cost analysis and financial estimates.</w:t>
      </w:r>
      <w:r w:rsidR="00576993" w:rsidRPr="007E10F0">
        <w:rPr>
          <w:sz w:val="16"/>
          <w:szCs w:val="16"/>
        </w:rPr>
        <w:t xml:space="preserve"> </w:t>
      </w:r>
    </w:p>
    <w:p w:rsidR="00494207" w:rsidRPr="007E10F0" w:rsidRDefault="00494207" w:rsidP="0019419A">
      <w:pPr>
        <w:pStyle w:val="TableFigureFooter"/>
        <w:tabs>
          <w:tab w:val="left" w:pos="142"/>
        </w:tabs>
        <w:rPr>
          <w:sz w:val="16"/>
        </w:rPr>
      </w:pPr>
      <w:proofErr w:type="gramStart"/>
      <w:r w:rsidRPr="007E10F0">
        <w:rPr>
          <w:sz w:val="16"/>
          <w:vertAlign w:val="superscript"/>
        </w:rPr>
        <w:t>b</w:t>
      </w:r>
      <w:proofErr w:type="gramEnd"/>
      <w:r w:rsidRPr="007E10F0">
        <w:rPr>
          <w:sz w:val="16"/>
          <w:vertAlign w:val="superscript"/>
        </w:rPr>
        <w:t xml:space="preserve"> </w:t>
      </w:r>
      <w:r w:rsidR="0019419A" w:rsidRPr="007E10F0">
        <w:rPr>
          <w:sz w:val="16"/>
          <w:vertAlign w:val="superscript"/>
        </w:rPr>
        <w:tab/>
      </w:r>
      <w:r w:rsidR="0019419A" w:rsidRPr="007E10F0">
        <w:rPr>
          <w:sz w:val="16"/>
        </w:rPr>
        <w:t>The submission assumed 2.67 packs will be required per course (16 weeks=112 days; 1 pack=42 days).</w:t>
      </w:r>
    </w:p>
    <w:p w:rsidR="00255F09" w:rsidRPr="003074A3" w:rsidRDefault="009865EA" w:rsidP="00E72A5B">
      <w:pPr>
        <w:pStyle w:val="3-BodyText"/>
        <w:ind w:left="709"/>
        <w:rPr>
          <w:snapToGrid/>
        </w:rPr>
      </w:pPr>
      <w:r w:rsidRPr="00037EE3">
        <w:rPr>
          <w:snapToGrid/>
        </w:rPr>
        <w:lastRenderedPageBreak/>
        <w:t>Both the cost analysis and financial estimates assumed that 16 weeks of treatment (112 days) would require 2.67 packs of Utrogestan (1 pack=42 days).</w:t>
      </w:r>
      <w:r w:rsidR="00576993" w:rsidRPr="00037EE3">
        <w:rPr>
          <w:snapToGrid/>
        </w:rPr>
        <w:t xml:space="preserve"> </w:t>
      </w:r>
      <w:r w:rsidR="00CA4D1A" w:rsidRPr="00037EE3">
        <w:rPr>
          <w:iCs/>
          <w:snapToGrid/>
        </w:rPr>
        <w:t>However,</w:t>
      </w:r>
      <w:r w:rsidRPr="00037EE3">
        <w:rPr>
          <w:iCs/>
          <w:snapToGrid/>
        </w:rPr>
        <w:t xml:space="preserve"> </w:t>
      </w:r>
      <w:r w:rsidR="00817B27" w:rsidRPr="00037EE3">
        <w:rPr>
          <w:iCs/>
          <w:snapToGrid/>
        </w:rPr>
        <w:t xml:space="preserve">0.67 of a pack would not be </w:t>
      </w:r>
      <w:r w:rsidRPr="00037EE3">
        <w:rPr>
          <w:iCs/>
          <w:snapToGrid/>
        </w:rPr>
        <w:t xml:space="preserve">able to </w:t>
      </w:r>
      <w:r w:rsidR="00817B27" w:rsidRPr="00037EE3">
        <w:rPr>
          <w:iCs/>
          <w:snapToGrid/>
        </w:rPr>
        <w:t xml:space="preserve">be </w:t>
      </w:r>
      <w:r w:rsidRPr="00037EE3">
        <w:rPr>
          <w:iCs/>
          <w:snapToGrid/>
        </w:rPr>
        <w:t>obtain</w:t>
      </w:r>
      <w:r w:rsidR="00817B27" w:rsidRPr="00037EE3">
        <w:rPr>
          <w:iCs/>
          <w:snapToGrid/>
        </w:rPr>
        <w:t>ed</w:t>
      </w:r>
      <w:r w:rsidRPr="00037EE3">
        <w:rPr>
          <w:iCs/>
          <w:snapToGrid/>
        </w:rPr>
        <w:t xml:space="preserve"> and an additional pack </w:t>
      </w:r>
      <w:r w:rsidR="00A377EB" w:rsidRPr="00037EE3">
        <w:rPr>
          <w:iCs/>
          <w:snapToGrid/>
        </w:rPr>
        <w:t xml:space="preserve">would </w:t>
      </w:r>
      <w:r w:rsidRPr="00037EE3">
        <w:rPr>
          <w:iCs/>
          <w:snapToGrid/>
        </w:rPr>
        <w:t>need to be prescribed to obtain the required number of capsules.</w:t>
      </w:r>
      <w:r w:rsidR="00576993" w:rsidRPr="00037EE3">
        <w:rPr>
          <w:iCs/>
          <w:snapToGrid/>
        </w:rPr>
        <w:t xml:space="preserve"> </w:t>
      </w:r>
      <w:r w:rsidRPr="00037EE3">
        <w:rPr>
          <w:iCs/>
          <w:snapToGrid/>
        </w:rPr>
        <w:t>As such, the costs are underestimated.</w:t>
      </w:r>
    </w:p>
    <w:p w:rsidR="00B60939" w:rsidRPr="00037EE3" w:rsidRDefault="00B60939" w:rsidP="002B05A1">
      <w:pPr>
        <w:pStyle w:val="4-SubsectionHeading"/>
      </w:pPr>
      <w:bookmarkStart w:id="25" w:name="_Toc22897647"/>
      <w:bookmarkStart w:id="26" w:name="_Toc50936088"/>
      <w:r w:rsidRPr="00037EE3">
        <w:t>Estimated PBS usage &amp; financial implications</w:t>
      </w:r>
      <w:bookmarkEnd w:id="25"/>
      <w:bookmarkEnd w:id="26"/>
    </w:p>
    <w:p w:rsidR="00C656CE" w:rsidRPr="00037EE3" w:rsidRDefault="00C656CE" w:rsidP="006343D5">
      <w:pPr>
        <w:pStyle w:val="3-BodyText"/>
        <w:ind w:left="709" w:hanging="709"/>
        <w:rPr>
          <w:rFonts w:eastAsia="Calibri"/>
        </w:rPr>
      </w:pPr>
      <w:r w:rsidRPr="00037EE3">
        <w:t xml:space="preserve">The submission was considered by DUSC. </w:t>
      </w:r>
    </w:p>
    <w:p w:rsidR="00C656CE" w:rsidRPr="00037EE3" w:rsidRDefault="00C656CE" w:rsidP="006343D5">
      <w:pPr>
        <w:pStyle w:val="3-BodyText"/>
        <w:ind w:left="709" w:hanging="709"/>
      </w:pPr>
      <w:r w:rsidRPr="00037EE3">
        <w:t xml:space="preserve">The submission applied an epidemiological approach to develop the financial estimates, based largely on AIHW data, along with literature-based estimates for the proportion of </w:t>
      </w:r>
      <w:r w:rsidR="00946C2C" w:rsidRPr="00037EE3">
        <w:t xml:space="preserve">women </w:t>
      </w:r>
      <w:r w:rsidRPr="00037EE3">
        <w:t>with cervical length &lt;25 mm and a history of preterm birth</w:t>
      </w:r>
      <w:r w:rsidR="00A30C0C">
        <w:t xml:space="preserve"> (Table 11)</w:t>
      </w:r>
      <w:r w:rsidRPr="00037EE3">
        <w:t>.</w:t>
      </w:r>
    </w:p>
    <w:p w:rsidR="00C656CE" w:rsidRPr="00037EE3" w:rsidRDefault="00C656CE" w:rsidP="00C656CE">
      <w:pPr>
        <w:pStyle w:val="TableFigureHeading"/>
        <w:rPr>
          <w:rStyle w:val="CommentReference"/>
          <w:b/>
          <w:szCs w:val="24"/>
        </w:rPr>
      </w:pPr>
      <w:r w:rsidRPr="00037EE3">
        <w:rPr>
          <w:rStyle w:val="CommentReference"/>
          <w:b/>
          <w:szCs w:val="24"/>
        </w:rPr>
        <w:t xml:space="preserve">Table </w:t>
      </w:r>
      <w:r w:rsidR="00A377EB" w:rsidRPr="00037EE3">
        <w:rPr>
          <w:rStyle w:val="CommentReference"/>
          <w:b/>
          <w:szCs w:val="24"/>
        </w:rPr>
        <w:t>11</w:t>
      </w:r>
      <w:r w:rsidRPr="00037EE3">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4"/>
        <w:gridCol w:w="3084"/>
        <w:gridCol w:w="4229"/>
      </w:tblGrid>
      <w:tr w:rsidR="00C656CE" w:rsidRPr="00037EE3" w:rsidTr="00C1582B">
        <w:trPr>
          <w:tblHeader/>
        </w:trPr>
        <w:tc>
          <w:tcPr>
            <w:tcW w:w="945" w:type="pct"/>
            <w:shd w:val="clear" w:color="auto" w:fill="auto"/>
            <w:vAlign w:val="center"/>
          </w:tcPr>
          <w:p w:rsidR="00C656CE" w:rsidRPr="00037EE3" w:rsidRDefault="00C656CE" w:rsidP="00C1582B">
            <w:pPr>
              <w:pStyle w:val="In-tableHeading"/>
              <w:keepNext w:val="0"/>
              <w:widowControl w:val="0"/>
              <w:rPr>
                <w:lang w:val="en-AU"/>
              </w:rPr>
            </w:pPr>
            <w:r w:rsidRPr="00037EE3">
              <w:rPr>
                <w:lang w:val="en-AU"/>
              </w:rPr>
              <w:t>Parameter</w:t>
            </w:r>
          </w:p>
        </w:tc>
        <w:tc>
          <w:tcPr>
            <w:tcW w:w="1710" w:type="pct"/>
            <w:shd w:val="clear" w:color="auto" w:fill="auto"/>
            <w:vAlign w:val="center"/>
          </w:tcPr>
          <w:p w:rsidR="00C656CE" w:rsidRPr="00037EE3" w:rsidRDefault="00C656CE" w:rsidP="00C1582B">
            <w:pPr>
              <w:pStyle w:val="In-tableHeading"/>
              <w:keepNext w:val="0"/>
              <w:widowControl w:val="0"/>
              <w:rPr>
                <w:lang w:val="en-AU"/>
              </w:rPr>
            </w:pPr>
            <w:r w:rsidRPr="00037EE3">
              <w:rPr>
                <w:lang w:val="en-AU"/>
              </w:rPr>
              <w:t>Value applied and source</w:t>
            </w:r>
          </w:p>
        </w:tc>
        <w:tc>
          <w:tcPr>
            <w:tcW w:w="2345" w:type="pct"/>
            <w:shd w:val="clear" w:color="auto" w:fill="auto"/>
            <w:vAlign w:val="center"/>
          </w:tcPr>
          <w:p w:rsidR="00C656CE" w:rsidRPr="00037EE3" w:rsidRDefault="00C656CE" w:rsidP="00C1582B">
            <w:pPr>
              <w:pStyle w:val="In-tableHeading"/>
              <w:keepNext w:val="0"/>
              <w:widowControl w:val="0"/>
              <w:rPr>
                <w:lang w:val="en-AU"/>
              </w:rPr>
            </w:pPr>
            <w:r w:rsidRPr="00037EE3">
              <w:rPr>
                <w:lang w:val="en-AU"/>
              </w:rPr>
              <w:t>Comment</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rPr>
                <w:iCs/>
                <w:szCs w:val="20"/>
              </w:rPr>
              <w:t xml:space="preserve">Prevalence </w:t>
            </w:r>
            <w:r w:rsidRPr="00037EE3">
              <w:rPr>
                <w:szCs w:val="20"/>
              </w:rPr>
              <w:t>data</w:t>
            </w:r>
          </w:p>
        </w:tc>
        <w:tc>
          <w:tcPr>
            <w:tcW w:w="1710" w:type="pct"/>
            <w:shd w:val="clear" w:color="auto" w:fill="auto"/>
            <w:vAlign w:val="center"/>
          </w:tcPr>
          <w:p w:rsidR="00C656CE" w:rsidRPr="00037EE3" w:rsidRDefault="00C656CE" w:rsidP="00C1582B">
            <w:pPr>
              <w:widowControl w:val="0"/>
              <w:jc w:val="left"/>
              <w:rPr>
                <w:rFonts w:ascii="Arial Narrow" w:hAnsi="Arial Narrow"/>
                <w:sz w:val="20"/>
                <w:szCs w:val="20"/>
              </w:rPr>
            </w:pPr>
            <w:r w:rsidRPr="00037EE3">
              <w:rPr>
                <w:rFonts w:ascii="Arial Narrow" w:hAnsi="Arial Narrow"/>
                <w:sz w:val="20"/>
                <w:szCs w:val="20"/>
              </w:rPr>
              <w:t>ABS data: Number of females that give birth 2021 to 2026, using ABS 3222.0 Series B.</w:t>
            </w:r>
          </w:p>
          <w:p w:rsidR="00C656CE" w:rsidRPr="00037EE3" w:rsidRDefault="00C656CE" w:rsidP="00C1582B">
            <w:pPr>
              <w:widowControl w:val="0"/>
              <w:jc w:val="left"/>
              <w:rPr>
                <w:rFonts w:ascii="Arial Narrow" w:hAnsi="Arial Narrow"/>
                <w:sz w:val="20"/>
                <w:szCs w:val="20"/>
              </w:rPr>
            </w:pPr>
            <w:r w:rsidRPr="00037EE3">
              <w:rPr>
                <w:rFonts w:ascii="Arial Narrow" w:hAnsi="Arial Narrow"/>
                <w:sz w:val="20"/>
                <w:szCs w:val="20"/>
              </w:rPr>
              <w:t>AIHW data: Proportion of singleton births: 98.53%.</w:t>
            </w:r>
          </w:p>
        </w:tc>
        <w:tc>
          <w:tcPr>
            <w:tcW w:w="2345" w:type="pct"/>
            <w:shd w:val="clear" w:color="auto" w:fill="auto"/>
            <w:vAlign w:val="center"/>
          </w:tcPr>
          <w:p w:rsidR="00C656CE" w:rsidRPr="00037EE3" w:rsidRDefault="00C656CE" w:rsidP="00C1582B">
            <w:pPr>
              <w:pStyle w:val="TableText0"/>
              <w:keepNext w:val="0"/>
              <w:widowControl w:val="0"/>
            </w:pPr>
            <w:r w:rsidRPr="00037EE3">
              <w:t>Assumption that the birth rate will not change over 6 years was not likely to be accurate.</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Proportion with cervical length ≤25 mm</w:t>
            </w:r>
          </w:p>
        </w:tc>
        <w:tc>
          <w:tcPr>
            <w:tcW w:w="1710" w:type="pct"/>
            <w:shd w:val="clear" w:color="auto" w:fill="auto"/>
            <w:vAlign w:val="center"/>
          </w:tcPr>
          <w:p w:rsidR="00C656CE" w:rsidRPr="00037EE3" w:rsidRDefault="00C656CE" w:rsidP="00C1582B">
            <w:pPr>
              <w:widowControl w:val="0"/>
              <w:jc w:val="left"/>
              <w:rPr>
                <w:rFonts w:ascii="Arial Narrow" w:hAnsi="Arial Narrow"/>
                <w:sz w:val="20"/>
                <w:szCs w:val="20"/>
              </w:rPr>
            </w:pPr>
            <w:r w:rsidRPr="00037EE3">
              <w:rPr>
                <w:rFonts w:ascii="Arial Narrow" w:hAnsi="Arial Narrow"/>
                <w:sz w:val="20"/>
                <w:szCs w:val="20"/>
              </w:rPr>
              <w:t>Salomon 2009: cervical length &lt;25 mm: 1.92% of pregnant women at 16-24 weeks of gestation.</w:t>
            </w:r>
          </w:p>
          <w:p w:rsidR="00C656CE" w:rsidRPr="00037EE3" w:rsidRDefault="00C656CE" w:rsidP="00C1582B">
            <w:pPr>
              <w:pStyle w:val="TableText0"/>
              <w:keepNext w:val="0"/>
              <w:widowControl w:val="0"/>
              <w:rPr>
                <w:szCs w:val="20"/>
              </w:rPr>
            </w:pPr>
          </w:p>
        </w:tc>
        <w:tc>
          <w:tcPr>
            <w:tcW w:w="2345" w:type="pct"/>
            <w:shd w:val="clear" w:color="auto" w:fill="auto"/>
            <w:vAlign w:val="center"/>
          </w:tcPr>
          <w:p w:rsidR="00C656CE" w:rsidRPr="00037EE3" w:rsidRDefault="00C656CE" w:rsidP="00946C2C">
            <w:pPr>
              <w:pStyle w:val="TableText0"/>
              <w:keepNext w:val="0"/>
              <w:widowControl w:val="0"/>
            </w:pPr>
            <w:r w:rsidRPr="00037EE3">
              <w:rPr>
                <w:iCs/>
              </w:rPr>
              <w:t xml:space="preserve">Of the 6,614 cervical length measurements in Salomon (2009), there were 653 </w:t>
            </w:r>
            <w:r w:rsidR="00946C2C" w:rsidRPr="00037EE3">
              <w:rPr>
                <w:iCs/>
              </w:rPr>
              <w:t xml:space="preserve">women </w:t>
            </w:r>
            <w:r w:rsidRPr="00037EE3">
              <w:rPr>
                <w:iCs/>
              </w:rPr>
              <w:t xml:space="preserve">with cervical length &lt;25 mm (9.8%), and there was significant non-normality and significant negative skew. The submission did not address this non-normality and skew and instead applied an average of proportions observed between 16 and 36 weeks. This is not likely to provide an accurate estimate of the proportion of </w:t>
            </w:r>
            <w:r w:rsidR="00946C2C" w:rsidRPr="00037EE3">
              <w:rPr>
                <w:iCs/>
              </w:rPr>
              <w:t xml:space="preserve">women </w:t>
            </w:r>
            <w:r w:rsidRPr="00037EE3">
              <w:rPr>
                <w:iCs/>
              </w:rPr>
              <w:t>with cervical length ≤25 mm. In addition, the clinical trials analysed in the Romero (2018) meta-analysis showed higher proportions, such as 10% in Fonseca (2007) and 36% in Norman (2016).</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Proportion with history of preterm birth</w:t>
            </w:r>
          </w:p>
        </w:tc>
        <w:tc>
          <w:tcPr>
            <w:tcW w:w="1710" w:type="pct"/>
            <w:shd w:val="clear" w:color="auto" w:fill="auto"/>
            <w:vAlign w:val="center"/>
          </w:tcPr>
          <w:p w:rsidR="00C656CE" w:rsidRPr="00037EE3" w:rsidRDefault="00C656CE" w:rsidP="00C1582B">
            <w:pPr>
              <w:pStyle w:val="TableText0"/>
              <w:keepNext w:val="0"/>
              <w:widowControl w:val="0"/>
              <w:rPr>
                <w:szCs w:val="20"/>
              </w:rPr>
            </w:pPr>
            <w:r w:rsidRPr="00037EE3">
              <w:rPr>
                <w:szCs w:val="20"/>
              </w:rPr>
              <w:t>Koullali 2020: rate of prior preterm birth 1.58% with a multiplier of 1.59 resulted in a rate of 2.51%.</w:t>
            </w:r>
          </w:p>
        </w:tc>
        <w:tc>
          <w:tcPr>
            <w:tcW w:w="2345" w:type="pct"/>
            <w:shd w:val="clear" w:color="auto" w:fill="auto"/>
            <w:vAlign w:val="center"/>
          </w:tcPr>
          <w:p w:rsidR="00C656CE" w:rsidRPr="00037EE3" w:rsidRDefault="00C656CE" w:rsidP="00C1582B">
            <w:pPr>
              <w:pStyle w:val="TableText0"/>
              <w:keepNext w:val="0"/>
              <w:widowControl w:val="0"/>
            </w:pPr>
            <w:r w:rsidRPr="00037EE3">
              <w:rPr>
                <w:iCs/>
              </w:rPr>
              <w:t>2.51% was likely to be an underestimate and is considerably less than the 8.6% based on AIHW data, and may not apply to the entire proposed PBS population, as it was based only on women with a second pregnancy who had a prior preterm birth.</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Uptake rate</w:t>
            </w:r>
          </w:p>
        </w:tc>
        <w:tc>
          <w:tcPr>
            <w:tcW w:w="1710" w:type="pct"/>
            <w:shd w:val="clear" w:color="auto" w:fill="auto"/>
            <w:vAlign w:val="center"/>
          </w:tcPr>
          <w:p w:rsidR="00C656CE" w:rsidRPr="00037EE3" w:rsidRDefault="00C656CE" w:rsidP="00C1582B">
            <w:pPr>
              <w:pStyle w:val="TableText0"/>
              <w:keepNext w:val="0"/>
              <w:widowControl w:val="0"/>
            </w:pPr>
            <w:r w:rsidRPr="00037EE3">
              <w:rPr>
                <w:szCs w:val="20"/>
              </w:rPr>
              <w:t>Sponsor assumption: 70% in Year 1, 71% in Year 2, 72% in Year 3, 73% in Year 4, 74% in Year 5, 75% in Year 6.</w:t>
            </w:r>
          </w:p>
        </w:tc>
        <w:tc>
          <w:tcPr>
            <w:tcW w:w="2345" w:type="pct"/>
            <w:shd w:val="clear" w:color="auto" w:fill="auto"/>
            <w:vAlign w:val="center"/>
          </w:tcPr>
          <w:p w:rsidR="00C656CE" w:rsidRPr="00037EE3" w:rsidRDefault="00C656CE" w:rsidP="00C1582B">
            <w:pPr>
              <w:pStyle w:val="TableText0"/>
              <w:keepNext w:val="0"/>
              <w:widowControl w:val="0"/>
            </w:pPr>
            <w:r w:rsidRPr="00037EE3">
              <w:t>Reasonable.</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Treatment duration</w:t>
            </w:r>
          </w:p>
        </w:tc>
        <w:tc>
          <w:tcPr>
            <w:tcW w:w="1710" w:type="pct"/>
            <w:shd w:val="clear" w:color="auto" w:fill="auto"/>
            <w:vAlign w:val="center"/>
          </w:tcPr>
          <w:p w:rsidR="00C656CE" w:rsidRPr="00037EE3" w:rsidRDefault="00C656CE" w:rsidP="00C1582B">
            <w:pPr>
              <w:pStyle w:val="TableText0"/>
              <w:keepNext w:val="0"/>
              <w:widowControl w:val="0"/>
              <w:rPr>
                <w:szCs w:val="20"/>
              </w:rPr>
            </w:pPr>
            <w:r w:rsidRPr="00037EE3">
              <w:rPr>
                <w:szCs w:val="20"/>
              </w:rPr>
              <w:t>16 weeks</w:t>
            </w:r>
          </w:p>
        </w:tc>
        <w:tc>
          <w:tcPr>
            <w:tcW w:w="2345" w:type="pct"/>
            <w:shd w:val="clear" w:color="auto" w:fill="auto"/>
            <w:vAlign w:val="center"/>
          </w:tcPr>
          <w:p w:rsidR="00C656CE" w:rsidRPr="00037EE3" w:rsidRDefault="00C656CE" w:rsidP="00C1582B">
            <w:pPr>
              <w:pStyle w:val="TableText0"/>
              <w:keepNext w:val="0"/>
              <w:widowControl w:val="0"/>
            </w:pPr>
            <w:r w:rsidRPr="00037EE3">
              <w:t>Does not correspond to trial data nor to potential use for up to 24 weeks (16 weeks to 40 weeks) (para 3.1).</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Compliance rate</w:t>
            </w:r>
          </w:p>
        </w:tc>
        <w:tc>
          <w:tcPr>
            <w:tcW w:w="1710" w:type="pct"/>
            <w:shd w:val="clear" w:color="auto" w:fill="auto"/>
            <w:vAlign w:val="center"/>
          </w:tcPr>
          <w:p w:rsidR="00C656CE" w:rsidRPr="00037EE3" w:rsidRDefault="00C656CE" w:rsidP="00C1582B">
            <w:pPr>
              <w:pStyle w:val="TableText0"/>
              <w:keepNext w:val="0"/>
              <w:widowControl w:val="0"/>
            </w:pPr>
            <w:r w:rsidRPr="00037EE3">
              <w:t>100%</w:t>
            </w:r>
          </w:p>
        </w:tc>
        <w:tc>
          <w:tcPr>
            <w:tcW w:w="2345" w:type="pct"/>
            <w:shd w:val="clear" w:color="auto" w:fill="auto"/>
            <w:vAlign w:val="center"/>
          </w:tcPr>
          <w:p w:rsidR="00C656CE" w:rsidRPr="00037EE3" w:rsidRDefault="00C656CE" w:rsidP="00C1582B">
            <w:pPr>
              <w:pStyle w:val="TableText0"/>
              <w:keepNext w:val="0"/>
              <w:widowControl w:val="0"/>
            </w:pPr>
            <w:r w:rsidRPr="00037EE3">
              <w:t>Does not correspond to trial data, which ranged from 66% to 100%, with most trials around 90%.</w:t>
            </w:r>
          </w:p>
        </w:tc>
      </w:tr>
      <w:tr w:rsidR="00C656CE" w:rsidRPr="00037EE3" w:rsidTr="00C1582B">
        <w:tc>
          <w:tcPr>
            <w:tcW w:w="945" w:type="pct"/>
            <w:shd w:val="clear" w:color="auto" w:fill="auto"/>
            <w:vAlign w:val="center"/>
          </w:tcPr>
          <w:p w:rsidR="00C656CE" w:rsidRPr="00037EE3" w:rsidRDefault="00C656CE" w:rsidP="000E0599">
            <w:pPr>
              <w:pStyle w:val="TableText0"/>
              <w:keepNext w:val="0"/>
              <w:widowControl w:val="0"/>
            </w:pPr>
            <w:r w:rsidRPr="00037EE3">
              <w:t xml:space="preserve">Grandfathered </w:t>
            </w:r>
            <w:r w:rsidR="000E0599">
              <w:t>clients</w:t>
            </w:r>
          </w:p>
        </w:tc>
        <w:tc>
          <w:tcPr>
            <w:tcW w:w="1710" w:type="pct"/>
            <w:shd w:val="clear" w:color="auto" w:fill="auto"/>
            <w:vAlign w:val="center"/>
          </w:tcPr>
          <w:p w:rsidR="00C656CE" w:rsidRPr="00037EE3" w:rsidRDefault="00C656CE" w:rsidP="00C1582B">
            <w:pPr>
              <w:pStyle w:val="TableText0"/>
              <w:keepNext w:val="0"/>
              <w:widowControl w:val="0"/>
            </w:pPr>
            <w:r w:rsidRPr="00037EE3">
              <w:t>Not included.</w:t>
            </w:r>
          </w:p>
        </w:tc>
        <w:tc>
          <w:tcPr>
            <w:tcW w:w="2345" w:type="pct"/>
            <w:shd w:val="clear" w:color="auto" w:fill="auto"/>
            <w:vAlign w:val="center"/>
          </w:tcPr>
          <w:p w:rsidR="00C656CE" w:rsidRPr="00037EE3" w:rsidRDefault="00C656CE" w:rsidP="00C1582B">
            <w:pPr>
              <w:pStyle w:val="TableText0"/>
              <w:keepNext w:val="0"/>
              <w:widowControl w:val="0"/>
            </w:pPr>
            <w:r w:rsidRPr="00037EE3">
              <w:t>Reasonable.</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Dose/duration</w:t>
            </w:r>
          </w:p>
        </w:tc>
        <w:tc>
          <w:tcPr>
            <w:tcW w:w="1710" w:type="pct"/>
            <w:shd w:val="clear" w:color="auto" w:fill="auto"/>
            <w:vAlign w:val="center"/>
          </w:tcPr>
          <w:p w:rsidR="00C656CE" w:rsidRPr="00037EE3" w:rsidRDefault="00C656CE" w:rsidP="00C1582B">
            <w:pPr>
              <w:pStyle w:val="TableText0"/>
              <w:keepNext w:val="0"/>
              <w:widowControl w:val="0"/>
            </w:pPr>
            <w:r w:rsidRPr="00037EE3">
              <w:t>200 mg/day from 16-24 weeks of gestation to 36 weeks or until delivery.</w:t>
            </w:r>
          </w:p>
        </w:tc>
        <w:tc>
          <w:tcPr>
            <w:tcW w:w="2345" w:type="pct"/>
            <w:shd w:val="clear" w:color="auto" w:fill="auto"/>
            <w:vAlign w:val="center"/>
          </w:tcPr>
          <w:p w:rsidR="00C656CE" w:rsidRPr="00037EE3" w:rsidRDefault="00C656CE" w:rsidP="00C1582B">
            <w:pPr>
              <w:pStyle w:val="TableText0"/>
              <w:keepNext w:val="0"/>
              <w:widowControl w:val="0"/>
            </w:pPr>
            <w:r w:rsidRPr="00037EE3">
              <w:t>The economic evaluation and financial estimates assumed 16 weeks of treatment, however treatment could be up to 20-24 weeks (para 3.1).</w:t>
            </w:r>
          </w:p>
        </w:tc>
      </w:tr>
      <w:tr w:rsidR="00C656CE" w:rsidRPr="00037EE3" w:rsidTr="00C1582B">
        <w:tc>
          <w:tcPr>
            <w:tcW w:w="945" w:type="pct"/>
            <w:shd w:val="clear" w:color="auto" w:fill="auto"/>
            <w:vAlign w:val="center"/>
          </w:tcPr>
          <w:p w:rsidR="00C656CE" w:rsidRPr="00037EE3" w:rsidRDefault="00C656CE" w:rsidP="00C1582B">
            <w:pPr>
              <w:pStyle w:val="TableText0"/>
              <w:keepNext w:val="0"/>
              <w:widowControl w:val="0"/>
            </w:pPr>
            <w:r w:rsidRPr="00037EE3">
              <w:t>MBS items</w:t>
            </w:r>
          </w:p>
        </w:tc>
        <w:tc>
          <w:tcPr>
            <w:tcW w:w="1710" w:type="pct"/>
            <w:shd w:val="clear" w:color="auto" w:fill="auto"/>
            <w:vAlign w:val="center"/>
          </w:tcPr>
          <w:p w:rsidR="00C656CE" w:rsidRPr="00037EE3" w:rsidRDefault="00C656CE" w:rsidP="00C1582B">
            <w:pPr>
              <w:pStyle w:val="TableText0"/>
              <w:keepNext w:val="0"/>
              <w:widowControl w:val="0"/>
            </w:pPr>
            <w:r w:rsidRPr="00037EE3">
              <w:t>Not included.</w:t>
            </w:r>
          </w:p>
        </w:tc>
        <w:tc>
          <w:tcPr>
            <w:tcW w:w="2345" w:type="pct"/>
            <w:shd w:val="clear" w:color="auto" w:fill="auto"/>
            <w:vAlign w:val="center"/>
          </w:tcPr>
          <w:p w:rsidR="00C656CE" w:rsidRPr="00037EE3" w:rsidRDefault="00C656CE" w:rsidP="00C1582B">
            <w:pPr>
              <w:pStyle w:val="TableText0"/>
              <w:keepNext w:val="0"/>
              <w:widowControl w:val="0"/>
            </w:pPr>
            <w:r w:rsidRPr="00037EE3">
              <w:t>Underestimated the financial implications.</w:t>
            </w:r>
          </w:p>
        </w:tc>
      </w:tr>
    </w:tbl>
    <w:p w:rsidR="00C656CE" w:rsidRPr="00037EE3" w:rsidRDefault="00C656CE" w:rsidP="00C656CE">
      <w:pPr>
        <w:pStyle w:val="TableFigureFooter"/>
      </w:pPr>
      <w:r w:rsidRPr="00037EE3">
        <w:t>Source: Section 4.1 to 4.5, p141-151 of the submission.</w:t>
      </w:r>
    </w:p>
    <w:p w:rsidR="00C656CE" w:rsidRPr="00037EE3" w:rsidRDefault="00C656CE" w:rsidP="00C656CE">
      <w:pPr>
        <w:pStyle w:val="TableFigureFooter"/>
      </w:pPr>
      <w:r w:rsidRPr="00037EE3">
        <w:t>ABS=Australian Bureau of Statistics; AIHW=Australian Institute of Health and Welfare</w:t>
      </w:r>
    </w:p>
    <w:p w:rsidR="00C656CE" w:rsidRPr="00037EE3" w:rsidRDefault="00C656CE" w:rsidP="006343D5">
      <w:pPr>
        <w:pStyle w:val="3-BodyText"/>
        <w:ind w:left="709"/>
      </w:pPr>
      <w:r w:rsidRPr="00037EE3">
        <w:lastRenderedPageBreak/>
        <w:t xml:space="preserve">The </w:t>
      </w:r>
      <w:r w:rsidR="00A377EB" w:rsidRPr="00037EE3">
        <w:t xml:space="preserve">sponsor </w:t>
      </w:r>
      <w:r w:rsidRPr="00037EE3">
        <w:t xml:space="preserve">estimated </w:t>
      </w:r>
      <w:r w:rsidR="00A377EB" w:rsidRPr="00037EE3">
        <w:t>number of pregnancies</w:t>
      </w:r>
      <w:r w:rsidRPr="00037EE3">
        <w:t xml:space="preserve">, script numbers and costs for the PBS listing of Utrogestan are provided below. </w:t>
      </w:r>
    </w:p>
    <w:p w:rsidR="00C656CE" w:rsidRPr="00037EE3" w:rsidRDefault="00C656CE" w:rsidP="00C656CE">
      <w:pPr>
        <w:pStyle w:val="TableFigureHeading"/>
      </w:pPr>
      <w:r w:rsidRPr="00037EE3">
        <w:rPr>
          <w:rStyle w:val="CommentReference"/>
          <w:b/>
          <w:szCs w:val="24"/>
        </w:rPr>
        <w:t xml:space="preserve">Table </w:t>
      </w:r>
      <w:r w:rsidR="00A377EB" w:rsidRPr="00037EE3">
        <w:rPr>
          <w:rStyle w:val="CommentReference"/>
          <w:b/>
          <w:szCs w:val="24"/>
        </w:rPr>
        <w:t>12</w:t>
      </w:r>
      <w:r w:rsidRPr="00037EE3">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C656CE" w:rsidRPr="00037EE3" w:rsidTr="00C1582B">
        <w:trPr>
          <w:tblHeader/>
        </w:trPr>
        <w:tc>
          <w:tcPr>
            <w:tcW w:w="1116" w:type="pct"/>
            <w:shd w:val="clear" w:color="auto" w:fill="auto"/>
            <w:vAlign w:val="center"/>
          </w:tcPr>
          <w:p w:rsidR="00C656CE" w:rsidRPr="00037EE3" w:rsidRDefault="00C656CE" w:rsidP="00C1582B">
            <w:pPr>
              <w:pStyle w:val="In-tableHeading"/>
              <w:jc w:val="center"/>
              <w:rPr>
                <w:lang w:val="en-AU"/>
              </w:rPr>
            </w:pPr>
          </w:p>
        </w:tc>
        <w:tc>
          <w:tcPr>
            <w:tcW w:w="647" w:type="pct"/>
            <w:shd w:val="clear" w:color="auto" w:fill="auto"/>
            <w:vAlign w:val="center"/>
          </w:tcPr>
          <w:p w:rsidR="00C656CE" w:rsidRPr="00037EE3" w:rsidRDefault="00C656CE" w:rsidP="00C1582B">
            <w:pPr>
              <w:pStyle w:val="In-tableHeading"/>
              <w:jc w:val="center"/>
              <w:rPr>
                <w:lang w:val="en-AU"/>
              </w:rPr>
            </w:pPr>
            <w:r w:rsidRPr="00037EE3">
              <w:rPr>
                <w:lang w:val="en-AU"/>
              </w:rPr>
              <w:t>Year 1</w:t>
            </w:r>
          </w:p>
        </w:tc>
        <w:tc>
          <w:tcPr>
            <w:tcW w:w="647" w:type="pct"/>
            <w:shd w:val="clear" w:color="auto" w:fill="auto"/>
            <w:vAlign w:val="center"/>
          </w:tcPr>
          <w:p w:rsidR="00C656CE" w:rsidRPr="00037EE3" w:rsidRDefault="00C656CE" w:rsidP="00C1582B">
            <w:pPr>
              <w:pStyle w:val="In-tableHeading"/>
              <w:jc w:val="center"/>
              <w:rPr>
                <w:lang w:val="en-AU"/>
              </w:rPr>
            </w:pPr>
            <w:r w:rsidRPr="00037EE3">
              <w:rPr>
                <w:lang w:val="en-AU"/>
              </w:rPr>
              <w:t>Year 2</w:t>
            </w:r>
          </w:p>
        </w:tc>
        <w:tc>
          <w:tcPr>
            <w:tcW w:w="647" w:type="pct"/>
            <w:shd w:val="clear" w:color="auto" w:fill="auto"/>
            <w:vAlign w:val="center"/>
          </w:tcPr>
          <w:p w:rsidR="00C656CE" w:rsidRPr="00037EE3" w:rsidRDefault="00C656CE" w:rsidP="00C1582B">
            <w:pPr>
              <w:pStyle w:val="In-tableHeading"/>
              <w:jc w:val="center"/>
              <w:rPr>
                <w:lang w:val="en-AU"/>
              </w:rPr>
            </w:pPr>
            <w:r w:rsidRPr="00037EE3">
              <w:rPr>
                <w:lang w:val="en-AU"/>
              </w:rPr>
              <w:t>Year 3</w:t>
            </w:r>
          </w:p>
        </w:tc>
        <w:tc>
          <w:tcPr>
            <w:tcW w:w="647" w:type="pct"/>
            <w:shd w:val="clear" w:color="auto" w:fill="auto"/>
            <w:vAlign w:val="center"/>
          </w:tcPr>
          <w:p w:rsidR="00C656CE" w:rsidRPr="00037EE3" w:rsidRDefault="00C656CE" w:rsidP="00C1582B">
            <w:pPr>
              <w:pStyle w:val="In-tableHeading"/>
              <w:jc w:val="center"/>
              <w:rPr>
                <w:lang w:val="en-AU"/>
              </w:rPr>
            </w:pPr>
            <w:r w:rsidRPr="00037EE3">
              <w:rPr>
                <w:lang w:val="en-AU"/>
              </w:rPr>
              <w:t>Year 4</w:t>
            </w:r>
          </w:p>
        </w:tc>
        <w:tc>
          <w:tcPr>
            <w:tcW w:w="647" w:type="pct"/>
            <w:shd w:val="clear" w:color="auto" w:fill="auto"/>
            <w:vAlign w:val="center"/>
          </w:tcPr>
          <w:p w:rsidR="00C656CE" w:rsidRPr="00037EE3" w:rsidRDefault="00C656CE" w:rsidP="00C1582B">
            <w:pPr>
              <w:pStyle w:val="In-tableHeading"/>
              <w:jc w:val="center"/>
              <w:rPr>
                <w:lang w:val="en-AU"/>
              </w:rPr>
            </w:pPr>
            <w:r w:rsidRPr="00037EE3">
              <w:rPr>
                <w:lang w:val="en-AU"/>
              </w:rPr>
              <w:t>Year 5</w:t>
            </w:r>
          </w:p>
        </w:tc>
        <w:tc>
          <w:tcPr>
            <w:tcW w:w="649" w:type="pct"/>
          </w:tcPr>
          <w:p w:rsidR="00C656CE" w:rsidRPr="00037EE3" w:rsidRDefault="00C656CE" w:rsidP="00C1582B">
            <w:pPr>
              <w:pStyle w:val="In-tableHeading"/>
              <w:jc w:val="center"/>
              <w:rPr>
                <w:lang w:val="en-AU"/>
              </w:rPr>
            </w:pPr>
            <w:r w:rsidRPr="00037EE3">
              <w:rPr>
                <w:lang w:val="en-AU"/>
              </w:rPr>
              <w:t>Year 6</w:t>
            </w:r>
          </w:p>
        </w:tc>
      </w:tr>
      <w:tr w:rsidR="00C656CE" w:rsidRPr="00037EE3" w:rsidTr="00C1582B">
        <w:tc>
          <w:tcPr>
            <w:tcW w:w="5000" w:type="pct"/>
            <w:gridSpan w:val="7"/>
            <w:shd w:val="clear" w:color="auto" w:fill="auto"/>
            <w:vAlign w:val="center"/>
          </w:tcPr>
          <w:p w:rsidR="00C656CE" w:rsidRPr="00037EE3" w:rsidRDefault="00C656CE" w:rsidP="00C1582B">
            <w:pPr>
              <w:pStyle w:val="In-tableHeading"/>
              <w:rPr>
                <w:bCs/>
                <w:color w:val="000000"/>
                <w:lang w:val="en-AU"/>
              </w:rPr>
            </w:pPr>
            <w:r w:rsidRPr="00037EE3">
              <w:rPr>
                <w:bCs/>
                <w:color w:val="000000"/>
                <w:lang w:val="en-AU"/>
              </w:rPr>
              <w:t>Estimated extent of use</w:t>
            </w:r>
          </w:p>
        </w:tc>
      </w:tr>
      <w:tr w:rsidR="00C656CE" w:rsidRPr="00037EE3" w:rsidTr="00C1582B">
        <w:tc>
          <w:tcPr>
            <w:tcW w:w="1116" w:type="pct"/>
            <w:shd w:val="clear" w:color="auto" w:fill="auto"/>
            <w:vAlign w:val="center"/>
          </w:tcPr>
          <w:p w:rsidR="00C656CE" w:rsidRPr="00037EE3" w:rsidRDefault="00C656CE" w:rsidP="00C1582B">
            <w:pPr>
              <w:pStyle w:val="TableText0"/>
              <w:rPr>
                <w:rFonts w:ascii="Times" w:hAnsi="Times"/>
              </w:rPr>
            </w:pPr>
            <w:r w:rsidRPr="00037EE3">
              <w:t>Number initiating treatment</w:t>
            </w:r>
          </w:p>
        </w:tc>
        <w:tc>
          <w:tcPr>
            <w:tcW w:w="647" w:type="pct"/>
            <w:shd w:val="clear" w:color="auto" w:fill="auto"/>
            <w:vAlign w:val="center"/>
          </w:tcPr>
          <w:p w:rsidR="00C656CE" w:rsidRPr="00037EE3" w:rsidRDefault="008F56EA" w:rsidP="009E657A">
            <w:pPr>
              <w:pStyle w:val="TableText0"/>
              <w:jc w:val="center"/>
              <w:rPr>
                <w:color w:val="000000"/>
              </w:rPr>
            </w:pPr>
            <w:r>
              <w:rPr>
                <w:noProof/>
                <w:color w:val="000000"/>
                <w:highlight w:val="black"/>
              </w:rPr>
              <w:t>''''''''''''''</w:t>
            </w:r>
            <w:r w:rsidR="009E657A" w:rsidRPr="009E657A">
              <w:rPr>
                <w:vertAlign w:val="superscript"/>
              </w:rPr>
              <w:t>1</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21791A" w:rsidRPr="0021791A">
              <w:rPr>
                <w:vertAlign w:val="superscript"/>
              </w:rPr>
              <w:t>1</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21791A" w:rsidRPr="0021791A">
              <w:rPr>
                <w:vertAlign w:val="superscript"/>
              </w:rPr>
              <w:t>1</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21791A" w:rsidRPr="0021791A">
              <w:rPr>
                <w:vertAlign w:val="superscript"/>
              </w:rPr>
              <w:t>1</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21791A" w:rsidRPr="0021791A">
              <w:rPr>
                <w:vertAlign w:val="superscript"/>
              </w:rPr>
              <w:t>1</w:t>
            </w:r>
          </w:p>
        </w:tc>
        <w:tc>
          <w:tcPr>
            <w:tcW w:w="649" w:type="pct"/>
            <w:vAlign w:val="center"/>
          </w:tcPr>
          <w:p w:rsidR="00C656CE" w:rsidRPr="00037EE3" w:rsidRDefault="008F56EA" w:rsidP="00C1582B">
            <w:pPr>
              <w:pStyle w:val="TableText0"/>
              <w:jc w:val="center"/>
              <w:rPr>
                <w:color w:val="000000"/>
              </w:rPr>
            </w:pPr>
            <w:r>
              <w:rPr>
                <w:noProof/>
                <w:color w:val="000000"/>
                <w:highlight w:val="black"/>
              </w:rPr>
              <w:t>''''''''''''''</w:t>
            </w:r>
            <w:r w:rsidR="0021791A" w:rsidRPr="0021791A">
              <w:rPr>
                <w:vertAlign w:val="superscript"/>
              </w:rPr>
              <w:t>1</w:t>
            </w:r>
          </w:p>
        </w:tc>
      </w:tr>
      <w:tr w:rsidR="00C656CE" w:rsidRPr="00037EE3" w:rsidTr="00C1582B">
        <w:tc>
          <w:tcPr>
            <w:tcW w:w="1116" w:type="pct"/>
            <w:shd w:val="clear" w:color="auto" w:fill="auto"/>
            <w:vAlign w:val="center"/>
          </w:tcPr>
          <w:p w:rsidR="00C656CE" w:rsidRPr="00037EE3" w:rsidRDefault="00C656CE" w:rsidP="00C1582B">
            <w:pPr>
              <w:pStyle w:val="TableText0"/>
              <w:rPr>
                <w:rFonts w:ascii="Times" w:hAnsi="Times"/>
              </w:rPr>
            </w:pPr>
            <w:r w:rsidRPr="00037EE3">
              <w:t>Number of scripts dispensed</w:t>
            </w:r>
            <w:r w:rsidRPr="00037EE3">
              <w:rPr>
                <w:vertAlign w:val="superscript"/>
              </w:rPr>
              <w:t>a</w:t>
            </w:r>
          </w:p>
        </w:tc>
        <w:tc>
          <w:tcPr>
            <w:tcW w:w="647" w:type="pct"/>
            <w:shd w:val="clear" w:color="auto" w:fill="auto"/>
            <w:vAlign w:val="center"/>
          </w:tcPr>
          <w:p w:rsidR="00C656CE" w:rsidRPr="00037EE3" w:rsidRDefault="008F56EA" w:rsidP="009E657A">
            <w:pPr>
              <w:pStyle w:val="TableText0"/>
              <w:jc w:val="center"/>
              <w:rPr>
                <w:color w:val="000000"/>
              </w:rPr>
            </w:pPr>
            <w:r>
              <w:rPr>
                <w:noProof/>
                <w:color w:val="000000"/>
                <w:highlight w:val="black"/>
              </w:rPr>
              <w:t>'''''''''''''''''</w:t>
            </w:r>
            <w:r w:rsidR="009E657A" w:rsidRPr="009E657A">
              <w:rPr>
                <w:vertAlign w:val="superscript"/>
              </w:rPr>
              <w:t>2</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D35DCF">
              <w:rPr>
                <w:vertAlign w:val="superscript"/>
              </w:rPr>
              <w:t>4</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D35DCF">
              <w:rPr>
                <w:vertAlign w:val="superscript"/>
              </w:rPr>
              <w:t>4</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D35DCF">
              <w:rPr>
                <w:vertAlign w:val="superscript"/>
              </w:rPr>
              <w:t>4</w:t>
            </w:r>
          </w:p>
        </w:tc>
        <w:tc>
          <w:tcPr>
            <w:tcW w:w="647" w:type="pct"/>
            <w:shd w:val="clear" w:color="auto" w:fill="auto"/>
            <w:vAlign w:val="center"/>
          </w:tcPr>
          <w:p w:rsidR="00C656CE" w:rsidRPr="00037EE3" w:rsidRDefault="008F56EA" w:rsidP="00C1582B">
            <w:pPr>
              <w:pStyle w:val="TableText0"/>
              <w:jc w:val="center"/>
              <w:rPr>
                <w:color w:val="000000"/>
              </w:rPr>
            </w:pPr>
            <w:r>
              <w:rPr>
                <w:noProof/>
                <w:color w:val="000000"/>
                <w:highlight w:val="black"/>
              </w:rPr>
              <w:t>'''''''''''''''</w:t>
            </w:r>
            <w:r w:rsidR="00D35DCF">
              <w:rPr>
                <w:vertAlign w:val="superscript"/>
              </w:rPr>
              <w:t>4</w:t>
            </w:r>
          </w:p>
        </w:tc>
        <w:tc>
          <w:tcPr>
            <w:tcW w:w="649" w:type="pct"/>
            <w:vAlign w:val="center"/>
          </w:tcPr>
          <w:p w:rsidR="00C656CE" w:rsidRPr="00037EE3" w:rsidRDefault="008F56EA" w:rsidP="00C1582B">
            <w:pPr>
              <w:pStyle w:val="TableText0"/>
              <w:jc w:val="center"/>
              <w:rPr>
                <w:color w:val="000000"/>
              </w:rPr>
            </w:pPr>
            <w:r>
              <w:rPr>
                <w:noProof/>
                <w:color w:val="000000"/>
                <w:highlight w:val="black"/>
              </w:rPr>
              <w:t>'''''''''''''''''</w:t>
            </w:r>
            <w:r w:rsidR="00D35DCF">
              <w:rPr>
                <w:vertAlign w:val="superscript"/>
              </w:rPr>
              <w:t>4</w:t>
            </w:r>
          </w:p>
        </w:tc>
      </w:tr>
      <w:tr w:rsidR="00C656CE" w:rsidRPr="00037EE3" w:rsidTr="00C1582B">
        <w:tc>
          <w:tcPr>
            <w:tcW w:w="5000" w:type="pct"/>
            <w:gridSpan w:val="7"/>
            <w:shd w:val="clear" w:color="auto" w:fill="auto"/>
            <w:vAlign w:val="center"/>
          </w:tcPr>
          <w:p w:rsidR="00C656CE" w:rsidRPr="00037EE3" w:rsidRDefault="00C656CE" w:rsidP="00C1582B">
            <w:pPr>
              <w:pStyle w:val="In-tableHeading"/>
              <w:rPr>
                <w:lang w:val="en-AU"/>
              </w:rPr>
            </w:pPr>
            <w:r w:rsidRPr="00037EE3">
              <w:rPr>
                <w:lang w:val="en-AU"/>
              </w:rPr>
              <w:t>Estimated financial implications of Utrogestan</w:t>
            </w:r>
          </w:p>
        </w:tc>
      </w:tr>
      <w:tr w:rsidR="00C656CE" w:rsidRPr="00037EE3" w:rsidTr="00C1582B">
        <w:tc>
          <w:tcPr>
            <w:tcW w:w="1116" w:type="pct"/>
            <w:shd w:val="clear" w:color="auto" w:fill="auto"/>
            <w:vAlign w:val="center"/>
          </w:tcPr>
          <w:p w:rsidR="00C656CE" w:rsidRPr="00037EE3" w:rsidRDefault="00C656CE" w:rsidP="00C1582B">
            <w:pPr>
              <w:pStyle w:val="TableText0"/>
              <w:rPr>
                <w:sz w:val="19"/>
                <w:szCs w:val="19"/>
              </w:rPr>
            </w:pPr>
            <w:r w:rsidRPr="00037EE3">
              <w:rPr>
                <w:szCs w:val="20"/>
              </w:rPr>
              <w:t>Cost to PBS/RPBS</w:t>
            </w:r>
          </w:p>
        </w:tc>
        <w:tc>
          <w:tcPr>
            <w:tcW w:w="647" w:type="pct"/>
            <w:shd w:val="clear" w:color="auto" w:fill="auto"/>
            <w:vAlign w:val="center"/>
          </w:tcPr>
          <w:p w:rsidR="00C656CE" w:rsidRPr="00037EE3" w:rsidRDefault="00C656CE" w:rsidP="009E657A">
            <w:pPr>
              <w:pStyle w:val="TableText0"/>
              <w:jc w:val="center"/>
              <w:rPr>
                <w:bCs w:val="0"/>
              </w:rPr>
            </w:pPr>
            <w:r w:rsidRPr="00037EE3">
              <w:rPr>
                <w:rFonts w:cs="Arial"/>
                <w:bCs w:val="0"/>
                <w:color w:val="000000"/>
                <w:szCs w:val="20"/>
              </w:rPr>
              <w:t>$</w:t>
            </w:r>
            <w:r w:rsidR="008F56EA">
              <w:rPr>
                <w:rFonts w:cs="Arial"/>
                <w:bCs w:val="0"/>
                <w:noProof/>
                <w:color w:val="000000"/>
                <w:szCs w:val="20"/>
                <w:highlight w:val="black"/>
              </w:rPr>
              <w:t>'''''''''''''''''''''''</w:t>
            </w:r>
            <w:r w:rsidR="009E657A" w:rsidRPr="009E657A">
              <w:rPr>
                <w:rFonts w:cs="Arial"/>
                <w:bCs w:val="0"/>
                <w:color w:val="00000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color w:val="000000"/>
                <w:szCs w:val="20"/>
              </w:rPr>
              <w:t>$</w:t>
            </w:r>
            <w:r w:rsidR="008F56EA">
              <w:rPr>
                <w:rFonts w:cs="Arial"/>
                <w:bCs w:val="0"/>
                <w:noProof/>
                <w:color w:val="000000"/>
                <w:szCs w:val="20"/>
                <w:highlight w:val="black"/>
              </w:rPr>
              <w:t>'''''''''''''''''''''</w:t>
            </w:r>
            <w:r w:rsidR="0021791A" w:rsidRPr="0021791A">
              <w:rPr>
                <w:rFonts w:cs="Arial"/>
                <w:bCs w:val="0"/>
                <w:color w:val="00000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color w:val="000000"/>
                <w:szCs w:val="20"/>
              </w:rPr>
              <w:t>$</w:t>
            </w:r>
            <w:r w:rsidR="008F56EA">
              <w:rPr>
                <w:rFonts w:cs="Arial"/>
                <w:bCs w:val="0"/>
                <w:noProof/>
                <w:color w:val="000000"/>
                <w:szCs w:val="20"/>
                <w:highlight w:val="black"/>
              </w:rPr>
              <w:t>'''''''''''''''''''''''''</w:t>
            </w:r>
            <w:r w:rsidR="0021791A" w:rsidRPr="0021791A">
              <w:rPr>
                <w:rFonts w:cs="Arial"/>
                <w:bCs w:val="0"/>
                <w:color w:val="00000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color w:val="000000"/>
                <w:szCs w:val="20"/>
              </w:rPr>
              <w:t>$</w:t>
            </w:r>
            <w:r w:rsidR="008F56EA">
              <w:rPr>
                <w:rFonts w:cs="Arial"/>
                <w:bCs w:val="0"/>
                <w:noProof/>
                <w:color w:val="000000"/>
                <w:szCs w:val="20"/>
                <w:highlight w:val="black"/>
              </w:rPr>
              <w:t>'''''''''''''''''''''''</w:t>
            </w:r>
            <w:r w:rsidR="0021791A" w:rsidRPr="0021791A">
              <w:rPr>
                <w:rFonts w:cs="Arial"/>
                <w:bCs w:val="0"/>
                <w:color w:val="00000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color w:val="000000"/>
                <w:szCs w:val="20"/>
              </w:rPr>
              <w:t>$</w:t>
            </w:r>
            <w:r w:rsidR="008F56EA">
              <w:rPr>
                <w:rFonts w:cs="Arial"/>
                <w:bCs w:val="0"/>
                <w:noProof/>
                <w:color w:val="000000"/>
                <w:szCs w:val="20"/>
                <w:highlight w:val="black"/>
              </w:rPr>
              <w:t>''''''''''''''''''''''</w:t>
            </w:r>
            <w:r w:rsidR="0021791A" w:rsidRPr="0021791A">
              <w:rPr>
                <w:rFonts w:cs="Arial"/>
                <w:bCs w:val="0"/>
                <w:color w:val="000000"/>
                <w:szCs w:val="20"/>
                <w:vertAlign w:val="superscript"/>
              </w:rPr>
              <w:t>3</w:t>
            </w:r>
          </w:p>
        </w:tc>
        <w:tc>
          <w:tcPr>
            <w:tcW w:w="649" w:type="pct"/>
            <w:vAlign w:val="center"/>
          </w:tcPr>
          <w:p w:rsidR="00C656CE" w:rsidRPr="00037EE3" w:rsidRDefault="00C656CE" w:rsidP="00C1582B">
            <w:pPr>
              <w:pStyle w:val="TableText0"/>
              <w:jc w:val="center"/>
              <w:rPr>
                <w:bCs w:val="0"/>
              </w:rPr>
            </w:pPr>
            <w:r w:rsidRPr="00037EE3">
              <w:rPr>
                <w:rFonts w:cs="Arial"/>
                <w:bCs w:val="0"/>
                <w:color w:val="000000"/>
                <w:szCs w:val="20"/>
              </w:rPr>
              <w:t>$</w:t>
            </w:r>
            <w:r w:rsidR="008F56EA">
              <w:rPr>
                <w:rFonts w:cs="Arial"/>
                <w:bCs w:val="0"/>
                <w:noProof/>
                <w:color w:val="000000"/>
                <w:szCs w:val="20"/>
                <w:highlight w:val="black"/>
              </w:rPr>
              <w:t>''''''''''''''''''''''''''</w:t>
            </w:r>
            <w:r w:rsidR="0021791A" w:rsidRPr="0021791A">
              <w:rPr>
                <w:rFonts w:cs="Arial"/>
                <w:bCs w:val="0"/>
                <w:color w:val="000000"/>
                <w:szCs w:val="20"/>
                <w:vertAlign w:val="superscript"/>
              </w:rPr>
              <w:t>3</w:t>
            </w:r>
          </w:p>
        </w:tc>
      </w:tr>
      <w:tr w:rsidR="00C656CE" w:rsidRPr="00037EE3" w:rsidTr="00C1582B">
        <w:tc>
          <w:tcPr>
            <w:tcW w:w="1116" w:type="pct"/>
            <w:shd w:val="clear" w:color="auto" w:fill="auto"/>
            <w:vAlign w:val="center"/>
          </w:tcPr>
          <w:p w:rsidR="00C656CE" w:rsidRPr="00037EE3" w:rsidRDefault="007E10F0" w:rsidP="00C1582B">
            <w:pPr>
              <w:pStyle w:val="TableText0"/>
              <w:rPr>
                <w:sz w:val="19"/>
                <w:szCs w:val="19"/>
              </w:rPr>
            </w:pPr>
            <w:r w:rsidRPr="00037EE3">
              <w:rPr>
                <w:szCs w:val="20"/>
              </w:rPr>
              <w:t>Co-payments</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szCs w:val="20"/>
              </w:rPr>
              <w:t>-$</w:t>
            </w:r>
            <w:r w:rsidR="008F56EA">
              <w:rPr>
                <w:rFonts w:cs="Arial"/>
                <w:bCs w:val="0"/>
                <w:noProof/>
                <w:color w:val="000000"/>
                <w:szCs w:val="20"/>
                <w:highlight w:val="black"/>
              </w:rPr>
              <w:t>''''''''''''''''''</w:t>
            </w:r>
            <w:r w:rsidR="0021791A" w:rsidRPr="0021791A">
              <w:rPr>
                <w:rFonts w:cs="Arial"/>
                <w:bCs w:val="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szCs w:val="20"/>
              </w:rPr>
              <w:t>-$</w:t>
            </w:r>
            <w:r w:rsidR="008F56EA">
              <w:rPr>
                <w:rFonts w:cs="Arial"/>
                <w:bCs w:val="0"/>
                <w:noProof/>
                <w:color w:val="000000"/>
                <w:szCs w:val="20"/>
                <w:highlight w:val="black"/>
              </w:rPr>
              <w:t>'''''''''''''''''</w:t>
            </w:r>
            <w:r w:rsidR="0021791A" w:rsidRPr="0021791A">
              <w:rPr>
                <w:rFonts w:cs="Arial"/>
                <w:bCs w:val="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szCs w:val="20"/>
              </w:rPr>
              <w:t>-$</w:t>
            </w:r>
            <w:r w:rsidR="008F56EA">
              <w:rPr>
                <w:rFonts w:cs="Arial"/>
                <w:bCs w:val="0"/>
                <w:noProof/>
                <w:color w:val="000000"/>
                <w:szCs w:val="20"/>
                <w:highlight w:val="black"/>
              </w:rPr>
              <w:t>''''''''''''''''''''</w:t>
            </w:r>
            <w:r w:rsidR="0021791A" w:rsidRPr="0021791A">
              <w:rPr>
                <w:rFonts w:cs="Arial"/>
                <w:bCs w:val="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szCs w:val="20"/>
              </w:rPr>
              <w:t>-$</w:t>
            </w:r>
            <w:r w:rsidR="008F56EA">
              <w:rPr>
                <w:rFonts w:cs="Arial"/>
                <w:bCs w:val="0"/>
                <w:noProof/>
                <w:color w:val="000000"/>
                <w:szCs w:val="20"/>
                <w:highlight w:val="black"/>
              </w:rPr>
              <w:t>'''''''''''''''''</w:t>
            </w:r>
            <w:r w:rsidR="0021791A" w:rsidRPr="0021791A">
              <w:rPr>
                <w:rFonts w:cs="Arial"/>
                <w:bCs w:val="0"/>
                <w:szCs w:val="20"/>
                <w:vertAlign w:val="superscript"/>
              </w:rPr>
              <w:t>3</w:t>
            </w:r>
          </w:p>
        </w:tc>
        <w:tc>
          <w:tcPr>
            <w:tcW w:w="647" w:type="pct"/>
            <w:shd w:val="clear" w:color="auto" w:fill="auto"/>
            <w:vAlign w:val="center"/>
          </w:tcPr>
          <w:p w:rsidR="00C656CE" w:rsidRPr="00037EE3" w:rsidRDefault="00C656CE" w:rsidP="00C1582B">
            <w:pPr>
              <w:pStyle w:val="TableText0"/>
              <w:jc w:val="center"/>
              <w:rPr>
                <w:bCs w:val="0"/>
              </w:rPr>
            </w:pPr>
            <w:r w:rsidRPr="00037EE3">
              <w:rPr>
                <w:rFonts w:cs="Arial"/>
                <w:bCs w:val="0"/>
                <w:szCs w:val="20"/>
              </w:rPr>
              <w:t>-$</w:t>
            </w:r>
            <w:r w:rsidR="008F56EA">
              <w:rPr>
                <w:rFonts w:cs="Arial"/>
                <w:bCs w:val="0"/>
                <w:noProof/>
                <w:color w:val="000000"/>
                <w:szCs w:val="20"/>
                <w:highlight w:val="black"/>
              </w:rPr>
              <w:t>'''''''''''''''''''</w:t>
            </w:r>
            <w:r w:rsidR="0021791A" w:rsidRPr="0021791A">
              <w:rPr>
                <w:rFonts w:cs="Arial"/>
                <w:bCs w:val="0"/>
                <w:szCs w:val="20"/>
                <w:vertAlign w:val="superscript"/>
              </w:rPr>
              <w:t>3</w:t>
            </w:r>
          </w:p>
        </w:tc>
        <w:tc>
          <w:tcPr>
            <w:tcW w:w="649" w:type="pct"/>
            <w:vAlign w:val="center"/>
          </w:tcPr>
          <w:p w:rsidR="00C656CE" w:rsidRPr="00037EE3" w:rsidRDefault="00C656CE" w:rsidP="00C1582B">
            <w:pPr>
              <w:pStyle w:val="TableText0"/>
              <w:jc w:val="center"/>
              <w:rPr>
                <w:bCs w:val="0"/>
              </w:rPr>
            </w:pPr>
            <w:r w:rsidRPr="00037EE3">
              <w:rPr>
                <w:rFonts w:cs="Arial"/>
                <w:bCs w:val="0"/>
                <w:szCs w:val="20"/>
              </w:rPr>
              <w:t>-$</w:t>
            </w:r>
            <w:r w:rsidR="008F56EA">
              <w:rPr>
                <w:rFonts w:cs="Arial"/>
                <w:bCs w:val="0"/>
                <w:noProof/>
                <w:color w:val="000000"/>
                <w:szCs w:val="20"/>
                <w:highlight w:val="black"/>
              </w:rPr>
              <w:t>'''''''''''''''''</w:t>
            </w:r>
            <w:r w:rsidR="0021791A" w:rsidRPr="0021791A">
              <w:rPr>
                <w:rFonts w:cs="Arial"/>
                <w:bCs w:val="0"/>
                <w:szCs w:val="20"/>
                <w:vertAlign w:val="superscript"/>
              </w:rPr>
              <w:t>3</w:t>
            </w:r>
          </w:p>
        </w:tc>
      </w:tr>
      <w:tr w:rsidR="00C656CE" w:rsidRPr="00037EE3" w:rsidTr="00C1582B">
        <w:tc>
          <w:tcPr>
            <w:tcW w:w="1116" w:type="pct"/>
            <w:shd w:val="clear" w:color="auto" w:fill="auto"/>
            <w:vAlign w:val="center"/>
          </w:tcPr>
          <w:p w:rsidR="00C656CE" w:rsidRPr="00037EE3" w:rsidRDefault="00C656CE" w:rsidP="00C1582B">
            <w:pPr>
              <w:pStyle w:val="TableText0"/>
              <w:rPr>
                <w:b/>
                <w:bCs w:val="0"/>
                <w:sz w:val="19"/>
                <w:szCs w:val="19"/>
              </w:rPr>
            </w:pPr>
            <w:r w:rsidRPr="00037EE3">
              <w:rPr>
                <w:b/>
                <w:bCs w:val="0"/>
                <w:sz w:val="19"/>
                <w:szCs w:val="19"/>
              </w:rPr>
              <w:t>Net cost to PBS/RPBS</w:t>
            </w:r>
          </w:p>
        </w:tc>
        <w:tc>
          <w:tcPr>
            <w:tcW w:w="647" w:type="pct"/>
            <w:shd w:val="clear" w:color="auto" w:fill="auto"/>
            <w:vAlign w:val="center"/>
          </w:tcPr>
          <w:p w:rsidR="00C656CE" w:rsidRPr="00037EE3" w:rsidRDefault="00C656CE" w:rsidP="00C1582B">
            <w:pPr>
              <w:pStyle w:val="TableText0"/>
              <w:jc w:val="center"/>
              <w:rPr>
                <w:b/>
                <w:bCs w:val="0"/>
              </w:rPr>
            </w:pPr>
            <w:r w:rsidRPr="00037EE3">
              <w:rPr>
                <w:b/>
                <w:bCs w:val="0"/>
              </w:rPr>
              <w:t>$</w:t>
            </w:r>
            <w:r w:rsidR="008F56EA">
              <w:rPr>
                <w:b/>
                <w:bCs w:val="0"/>
                <w:noProof/>
                <w:color w:val="000000"/>
                <w:highlight w:val="black"/>
              </w:rPr>
              <w:t>'''''''''''''''''''</w:t>
            </w:r>
            <w:r w:rsidR="0021791A" w:rsidRPr="0021791A">
              <w:rPr>
                <w:bCs w:val="0"/>
                <w:vertAlign w:val="superscript"/>
              </w:rPr>
              <w:t>3</w:t>
            </w:r>
          </w:p>
        </w:tc>
        <w:tc>
          <w:tcPr>
            <w:tcW w:w="647" w:type="pct"/>
            <w:shd w:val="clear" w:color="auto" w:fill="auto"/>
            <w:vAlign w:val="center"/>
          </w:tcPr>
          <w:p w:rsidR="00C656CE" w:rsidRPr="00037EE3" w:rsidRDefault="00C656CE" w:rsidP="00C1582B">
            <w:pPr>
              <w:pStyle w:val="TableText0"/>
              <w:jc w:val="center"/>
              <w:rPr>
                <w:b/>
                <w:bCs w:val="0"/>
              </w:rPr>
            </w:pPr>
            <w:r w:rsidRPr="00037EE3">
              <w:rPr>
                <w:b/>
                <w:bCs w:val="0"/>
              </w:rPr>
              <w:t>$</w:t>
            </w:r>
            <w:r w:rsidR="008F56EA">
              <w:rPr>
                <w:b/>
                <w:bCs w:val="0"/>
                <w:noProof/>
                <w:color w:val="000000"/>
                <w:highlight w:val="black"/>
              </w:rPr>
              <w:t>'''''''''''''''''''</w:t>
            </w:r>
            <w:r w:rsidR="0021791A" w:rsidRPr="0021791A">
              <w:rPr>
                <w:bCs w:val="0"/>
                <w:vertAlign w:val="superscript"/>
              </w:rPr>
              <w:t>3</w:t>
            </w:r>
          </w:p>
        </w:tc>
        <w:tc>
          <w:tcPr>
            <w:tcW w:w="647" w:type="pct"/>
            <w:shd w:val="clear" w:color="auto" w:fill="auto"/>
            <w:vAlign w:val="center"/>
          </w:tcPr>
          <w:p w:rsidR="00C656CE" w:rsidRPr="00037EE3" w:rsidRDefault="00C656CE" w:rsidP="00C1582B">
            <w:pPr>
              <w:pStyle w:val="TableText0"/>
              <w:jc w:val="center"/>
              <w:rPr>
                <w:b/>
                <w:bCs w:val="0"/>
              </w:rPr>
            </w:pPr>
            <w:r w:rsidRPr="00037EE3">
              <w:rPr>
                <w:b/>
                <w:bCs w:val="0"/>
              </w:rPr>
              <w:t>$</w:t>
            </w:r>
            <w:r w:rsidR="008F56EA">
              <w:rPr>
                <w:b/>
                <w:bCs w:val="0"/>
                <w:noProof/>
                <w:color w:val="000000"/>
                <w:highlight w:val="black"/>
              </w:rPr>
              <w:t>''''''''''''''''''''</w:t>
            </w:r>
            <w:r w:rsidR="0021791A" w:rsidRPr="0021791A">
              <w:rPr>
                <w:bCs w:val="0"/>
                <w:vertAlign w:val="superscript"/>
              </w:rPr>
              <w:t>3</w:t>
            </w:r>
          </w:p>
        </w:tc>
        <w:tc>
          <w:tcPr>
            <w:tcW w:w="647" w:type="pct"/>
            <w:shd w:val="clear" w:color="auto" w:fill="auto"/>
            <w:vAlign w:val="center"/>
          </w:tcPr>
          <w:p w:rsidR="00C656CE" w:rsidRPr="00037EE3" w:rsidRDefault="00C656CE" w:rsidP="00C1582B">
            <w:pPr>
              <w:pStyle w:val="TableText0"/>
              <w:jc w:val="center"/>
              <w:rPr>
                <w:b/>
                <w:bCs w:val="0"/>
              </w:rPr>
            </w:pPr>
            <w:r w:rsidRPr="00037EE3">
              <w:rPr>
                <w:b/>
                <w:bCs w:val="0"/>
              </w:rPr>
              <w:t>$</w:t>
            </w:r>
            <w:r w:rsidR="008F56EA">
              <w:rPr>
                <w:b/>
                <w:bCs w:val="0"/>
                <w:noProof/>
                <w:color w:val="000000"/>
                <w:highlight w:val="black"/>
              </w:rPr>
              <w:t>''''''''''''''''''''</w:t>
            </w:r>
            <w:r w:rsidR="0021791A" w:rsidRPr="0021791A">
              <w:rPr>
                <w:bCs w:val="0"/>
                <w:vertAlign w:val="superscript"/>
              </w:rPr>
              <w:t>3</w:t>
            </w:r>
          </w:p>
        </w:tc>
        <w:tc>
          <w:tcPr>
            <w:tcW w:w="647" w:type="pct"/>
            <w:shd w:val="clear" w:color="auto" w:fill="auto"/>
            <w:vAlign w:val="center"/>
          </w:tcPr>
          <w:p w:rsidR="00C656CE" w:rsidRPr="00037EE3" w:rsidRDefault="00C656CE" w:rsidP="00C1582B">
            <w:pPr>
              <w:pStyle w:val="TableText0"/>
              <w:jc w:val="center"/>
              <w:rPr>
                <w:b/>
                <w:bCs w:val="0"/>
              </w:rPr>
            </w:pPr>
            <w:r w:rsidRPr="00037EE3">
              <w:rPr>
                <w:b/>
                <w:bCs w:val="0"/>
              </w:rPr>
              <w:t>$</w:t>
            </w:r>
            <w:r w:rsidR="008F56EA">
              <w:rPr>
                <w:b/>
                <w:bCs w:val="0"/>
                <w:noProof/>
                <w:color w:val="000000"/>
                <w:highlight w:val="black"/>
              </w:rPr>
              <w:t>''''''''''''''''''''</w:t>
            </w:r>
            <w:r w:rsidR="0021791A" w:rsidRPr="0021791A">
              <w:rPr>
                <w:bCs w:val="0"/>
                <w:vertAlign w:val="superscript"/>
              </w:rPr>
              <w:t>3</w:t>
            </w:r>
          </w:p>
        </w:tc>
        <w:tc>
          <w:tcPr>
            <w:tcW w:w="649" w:type="pct"/>
            <w:vAlign w:val="center"/>
          </w:tcPr>
          <w:p w:rsidR="00C656CE" w:rsidRPr="00037EE3" w:rsidRDefault="00C656CE" w:rsidP="00C1582B">
            <w:pPr>
              <w:pStyle w:val="TableText0"/>
              <w:jc w:val="center"/>
              <w:rPr>
                <w:b/>
                <w:bCs w:val="0"/>
              </w:rPr>
            </w:pPr>
            <w:r w:rsidRPr="00037EE3">
              <w:rPr>
                <w:b/>
                <w:bCs w:val="0"/>
              </w:rPr>
              <w:t>$</w:t>
            </w:r>
            <w:r w:rsidR="008F56EA">
              <w:rPr>
                <w:b/>
                <w:bCs w:val="0"/>
                <w:noProof/>
                <w:color w:val="000000"/>
                <w:highlight w:val="black"/>
              </w:rPr>
              <w:t>'''''''''''''''''''</w:t>
            </w:r>
            <w:r w:rsidR="0021791A" w:rsidRPr="0021791A">
              <w:rPr>
                <w:bCs w:val="0"/>
                <w:vertAlign w:val="superscript"/>
              </w:rPr>
              <w:t>3</w:t>
            </w:r>
          </w:p>
        </w:tc>
      </w:tr>
    </w:tbl>
    <w:p w:rsidR="00C656CE" w:rsidRPr="00037EE3" w:rsidRDefault="00C656CE" w:rsidP="00C656CE">
      <w:pPr>
        <w:pStyle w:val="TableFooter"/>
        <w:rPr>
          <w:sz w:val="20"/>
        </w:rPr>
      </w:pPr>
      <w:r w:rsidRPr="00037EE3">
        <w:t>Source: Table 4.11, p147 of the submission.</w:t>
      </w:r>
    </w:p>
    <w:p w:rsidR="00C656CE" w:rsidRDefault="00C656CE" w:rsidP="00C656CE">
      <w:pPr>
        <w:pStyle w:val="TableFigureFooter"/>
        <w:tabs>
          <w:tab w:val="left" w:pos="142"/>
        </w:tabs>
      </w:pPr>
      <w:r w:rsidRPr="00037EE3">
        <w:rPr>
          <w:vertAlign w:val="superscript"/>
        </w:rPr>
        <w:t>a</w:t>
      </w:r>
      <w:r w:rsidRPr="00037EE3">
        <w:tab/>
        <w:t>Assuming 2.67 packs per patient per course of treatment as estimated by the submission.</w:t>
      </w:r>
    </w:p>
    <w:p w:rsidR="009E657A" w:rsidRPr="009E657A" w:rsidRDefault="009E657A" w:rsidP="00C656CE">
      <w:pPr>
        <w:pStyle w:val="TableFigureFooter"/>
        <w:tabs>
          <w:tab w:val="left" w:pos="142"/>
        </w:tabs>
        <w:rPr>
          <w:i/>
        </w:rPr>
      </w:pPr>
      <w:r w:rsidRPr="009E657A">
        <w:rPr>
          <w:i/>
        </w:rPr>
        <w:t>The redacted values correspond to the following ranges:</w:t>
      </w:r>
    </w:p>
    <w:p w:rsidR="009E657A" w:rsidRPr="009E657A" w:rsidRDefault="009E657A" w:rsidP="00C656CE">
      <w:pPr>
        <w:pStyle w:val="TableFigureFooter"/>
        <w:tabs>
          <w:tab w:val="left" w:pos="142"/>
        </w:tabs>
        <w:rPr>
          <w:i/>
        </w:rPr>
      </w:pPr>
      <w:r w:rsidRPr="009E657A">
        <w:rPr>
          <w:i/>
          <w:vertAlign w:val="superscript"/>
        </w:rPr>
        <w:t>1</w:t>
      </w:r>
      <w:r w:rsidRPr="009E657A">
        <w:rPr>
          <w:i/>
        </w:rPr>
        <w:t>5000 to &lt;10,000</w:t>
      </w:r>
    </w:p>
    <w:p w:rsidR="009E657A" w:rsidRPr="009E657A" w:rsidRDefault="009E657A" w:rsidP="00C656CE">
      <w:pPr>
        <w:pStyle w:val="TableFigureFooter"/>
        <w:tabs>
          <w:tab w:val="left" w:pos="142"/>
        </w:tabs>
        <w:rPr>
          <w:i/>
        </w:rPr>
      </w:pPr>
      <w:r w:rsidRPr="009E657A">
        <w:rPr>
          <w:i/>
          <w:vertAlign w:val="superscript"/>
        </w:rPr>
        <w:t>2</w:t>
      </w:r>
      <w:r w:rsidRPr="009E657A">
        <w:rPr>
          <w:i/>
        </w:rPr>
        <w:t>1</w:t>
      </w:r>
      <w:r w:rsidR="00D35DCF">
        <w:rPr>
          <w:i/>
        </w:rPr>
        <w:t>0</w:t>
      </w:r>
      <w:r w:rsidRPr="009E657A">
        <w:rPr>
          <w:i/>
        </w:rPr>
        <w:t>,000 to &lt;2</w:t>
      </w:r>
      <w:r w:rsidR="00D35DCF">
        <w:rPr>
          <w:i/>
        </w:rPr>
        <w:t>0</w:t>
      </w:r>
      <w:r w:rsidRPr="009E657A">
        <w:rPr>
          <w:i/>
        </w:rPr>
        <w:t>,000</w:t>
      </w:r>
    </w:p>
    <w:p w:rsidR="009E657A" w:rsidRDefault="009E657A" w:rsidP="00C656CE">
      <w:pPr>
        <w:pStyle w:val="TableFigureFooter"/>
        <w:tabs>
          <w:tab w:val="left" w:pos="142"/>
        </w:tabs>
        <w:rPr>
          <w:i/>
        </w:rPr>
      </w:pPr>
      <w:r w:rsidRPr="009E657A">
        <w:rPr>
          <w:i/>
          <w:vertAlign w:val="superscript"/>
        </w:rPr>
        <w:t>3</w:t>
      </w:r>
      <w:r w:rsidRPr="009E657A">
        <w:rPr>
          <w:i/>
        </w:rPr>
        <w:t>$0 to &lt;$10 million</w:t>
      </w:r>
    </w:p>
    <w:p w:rsidR="00D35DCF" w:rsidRPr="00D35DCF" w:rsidRDefault="00D35DCF" w:rsidP="00C656CE">
      <w:pPr>
        <w:pStyle w:val="TableFigureFooter"/>
        <w:tabs>
          <w:tab w:val="left" w:pos="142"/>
        </w:tabs>
        <w:rPr>
          <w:i/>
        </w:rPr>
      </w:pPr>
      <w:r>
        <w:rPr>
          <w:i/>
          <w:vertAlign w:val="superscript"/>
        </w:rPr>
        <w:t>4</w:t>
      </w:r>
      <w:r>
        <w:rPr>
          <w:i/>
        </w:rPr>
        <w:t>20,000 to &lt;30,000</w:t>
      </w:r>
    </w:p>
    <w:p w:rsidR="00765FFB" w:rsidRPr="00037EE3" w:rsidRDefault="00C656CE" w:rsidP="006343D5">
      <w:pPr>
        <w:pStyle w:val="3-BodyText"/>
        <w:ind w:left="709" w:hanging="709"/>
      </w:pPr>
      <w:r w:rsidRPr="00037EE3">
        <w:t xml:space="preserve">The </w:t>
      </w:r>
      <w:r w:rsidR="00A377EB" w:rsidRPr="00037EE3">
        <w:t>net</w:t>
      </w:r>
      <w:r w:rsidRPr="00037EE3">
        <w:t xml:space="preserve"> cost to </w:t>
      </w:r>
      <w:r w:rsidR="00A377EB" w:rsidRPr="00037EE3">
        <w:t xml:space="preserve">Government </w:t>
      </w:r>
      <w:r w:rsidRPr="00037EE3">
        <w:t>was estimated to be $</w:t>
      </w:r>
      <w:r w:rsidR="0021791A">
        <w:t>0 to &lt;$10M</w:t>
      </w:r>
      <w:r w:rsidRPr="00037EE3">
        <w:t xml:space="preserve"> in Year 6, and a total of $</w:t>
      </w:r>
      <w:r w:rsidR="0021791A">
        <w:t xml:space="preserve">0 to &lt;$10M </w:t>
      </w:r>
      <w:r w:rsidRPr="00037EE3">
        <w:t xml:space="preserve">in the first 6 years of listing. </w:t>
      </w:r>
    </w:p>
    <w:p w:rsidR="00765FFB" w:rsidRPr="00037EE3" w:rsidRDefault="00765FFB" w:rsidP="006343D5">
      <w:pPr>
        <w:pStyle w:val="3-BodyText"/>
        <w:ind w:left="709" w:hanging="709"/>
      </w:pPr>
      <w:r w:rsidRPr="00037EE3">
        <w:t>Australian Institute of Health and Welfare (AIHW) data was used to estimate the number of women who would give birth in Year 1 through Year 6 (58.3 per 1000). T</w:t>
      </w:r>
      <w:r w:rsidRPr="00037EE3">
        <w:rPr>
          <w:iCs/>
        </w:rPr>
        <w:t>he submission assumed the rate remained the same over the first 6 years of listing. DUSC considered it would have been more informative to use a linear trend based on AIHW data to estimate the birth rate over the forward estimates period.</w:t>
      </w:r>
    </w:p>
    <w:p w:rsidR="00FF6B64" w:rsidRPr="00037EE3" w:rsidRDefault="00765FFB" w:rsidP="006343D5">
      <w:pPr>
        <w:pStyle w:val="3-BodyText"/>
        <w:ind w:left="709" w:hanging="709"/>
        <w:rPr>
          <w:rFonts w:cs="Calibri"/>
        </w:rPr>
      </w:pPr>
      <w:r w:rsidRPr="00037EE3">
        <w:t xml:space="preserve">The submission calculated the average proportion of women between 16 and 24 weeks gestation with cervical length ≤25 mm as 1.92% based on data from Salomon (2009). </w:t>
      </w:r>
      <w:r w:rsidRPr="00037EE3">
        <w:rPr>
          <w:iCs/>
        </w:rPr>
        <w:t>DUSC considered that while it was inappropriate to calculate the average proportion in this way Temming et al. also estimated 2% of women had cervical length &lt;25mm when screened between 17 and 23 weeks.</w:t>
      </w:r>
      <w:r w:rsidRPr="00037EE3">
        <w:rPr>
          <w:i/>
          <w:iCs/>
        </w:rPr>
        <w:t xml:space="preserve"> </w:t>
      </w:r>
    </w:p>
    <w:p w:rsidR="00765FFB" w:rsidRPr="00037EE3" w:rsidRDefault="00765FFB" w:rsidP="006343D5">
      <w:pPr>
        <w:pStyle w:val="3-BodyText"/>
        <w:ind w:left="709" w:hanging="709"/>
        <w:rPr>
          <w:i/>
          <w:iCs/>
        </w:rPr>
      </w:pPr>
      <w:r w:rsidRPr="00037EE3">
        <w:t xml:space="preserve">The proportion of singleton pregnancies with prior preterm births was calculated to be 2.51%. This proportion was sourced from Koullali (2020), which was a retrospective study assessing live singleton births of 802,119 pregnancies in the Netherlands. The paper reported that of the 289,391 second pregnancies, 1.5% of mothers had a prior preterm birth. The proportion was 1.7% for the third birth, 2.0% for the fourth birth and 2.1% for the fifth birth. The submission calculated a weighted average across the births of 1.58%, which the submission stated means 1.58% of women with their second pregnancy have a history of preterm birth and would be eligible for Utrogestan. The submission added this may be an underestimate as the Koullali (2020) study was based on women in the Netherlands and reported an incidence of preterm birth of 5.4%, versus the rate of 8.6% in Australia, based on AIHW data. The submission therefore applied a multiplier of 1.59 (8.6/5.4) to increase the proportion at risk of preterm birth and be representative of an Australian population. DUSC considered </w:t>
      </w:r>
      <w:r w:rsidRPr="00037EE3">
        <w:lastRenderedPageBreak/>
        <w:t>that the proportion of patients with preterm birth may have been underestimated. DUSC noted other higher proportions reported in the literature, such as 5.72% from Yang (2016).</w:t>
      </w:r>
      <w:r w:rsidR="00FF6B64" w:rsidRPr="00037EE3">
        <w:t xml:space="preserve"> </w:t>
      </w:r>
      <w:r w:rsidR="00903206" w:rsidRPr="00037EE3">
        <w:rPr>
          <w:iCs/>
        </w:rPr>
        <w:t xml:space="preserve">The sponsor disagreed with DUSC’s calculation of the eligible patient population </w:t>
      </w:r>
      <w:r w:rsidR="007E10F0" w:rsidRPr="00037EE3">
        <w:rPr>
          <w:iCs/>
        </w:rPr>
        <w:t>(pre</w:t>
      </w:r>
      <w:r w:rsidR="00903206" w:rsidRPr="00037EE3">
        <w:rPr>
          <w:iCs/>
        </w:rPr>
        <w:t xml:space="preserve">-PBAC response). The sponsor claimed that the methodology used by </w:t>
      </w:r>
      <w:r w:rsidR="00037EE3" w:rsidRPr="00037EE3">
        <w:rPr>
          <w:iCs/>
        </w:rPr>
        <w:t>DUSC was</w:t>
      </w:r>
      <w:r w:rsidR="00903206" w:rsidRPr="00037EE3">
        <w:rPr>
          <w:iCs/>
        </w:rPr>
        <w:t xml:space="preserve"> for all pre-term births, not the proportion of pregnant women who have had a previous pre-term birth.</w:t>
      </w:r>
      <w:r w:rsidR="00903206" w:rsidRPr="00037EE3">
        <w:rPr>
          <w:iCs/>
          <w:u w:val="single"/>
        </w:rPr>
        <w:t xml:space="preserve"> </w:t>
      </w:r>
    </w:p>
    <w:p w:rsidR="00765FFB" w:rsidRPr="00037EE3" w:rsidRDefault="00765FFB" w:rsidP="006343D5">
      <w:pPr>
        <w:pStyle w:val="3-BodyText"/>
        <w:ind w:left="709" w:hanging="709"/>
      </w:pPr>
      <w:r w:rsidRPr="00037EE3">
        <w:rPr>
          <w:iCs/>
        </w:rPr>
        <w:t xml:space="preserve">DUSC noted that script numbers are impacted by the assumption that a treatment course will be 16 weeks, and patients will have full compliance. </w:t>
      </w:r>
    </w:p>
    <w:p w:rsidR="00765FFB" w:rsidRPr="00037EE3" w:rsidRDefault="00765FFB" w:rsidP="006343D5">
      <w:pPr>
        <w:pStyle w:val="3-BodyText"/>
        <w:ind w:left="709" w:hanging="709"/>
        <w:rPr>
          <w:b/>
          <w:bCs/>
          <w:i/>
          <w:snapToGrid/>
        </w:rPr>
      </w:pPr>
      <w:r w:rsidRPr="00037EE3">
        <w:rPr>
          <w:iCs/>
        </w:rPr>
        <w:t xml:space="preserve">Overall, DUSC considered the </w:t>
      </w:r>
      <w:r w:rsidRPr="00037EE3">
        <w:rPr>
          <w:snapToGrid/>
        </w:rPr>
        <w:t xml:space="preserve">patient numbers </w:t>
      </w:r>
      <w:r w:rsidR="00FF6B64" w:rsidRPr="00037EE3">
        <w:rPr>
          <w:snapToGrid/>
        </w:rPr>
        <w:t>were</w:t>
      </w:r>
      <w:r w:rsidRPr="00037EE3">
        <w:rPr>
          <w:snapToGrid/>
        </w:rPr>
        <w:t xml:space="preserve"> not likely to be accurately estimated. As cervical length and history of preterm birth </w:t>
      </w:r>
      <w:r w:rsidR="00FF6B64" w:rsidRPr="00037EE3">
        <w:rPr>
          <w:snapToGrid/>
        </w:rPr>
        <w:t>were</w:t>
      </w:r>
      <w:r w:rsidRPr="00037EE3">
        <w:rPr>
          <w:snapToGrid/>
        </w:rPr>
        <w:t xml:space="preserve"> the key defining characteristics of the proposed restriction, the low proportions used by the submission resulted in likely underestimation of the eligible and ini</w:t>
      </w:r>
      <w:r w:rsidR="00FF6B64" w:rsidRPr="00037EE3">
        <w:rPr>
          <w:snapToGrid/>
        </w:rPr>
        <w:t>tiating treatment populations. DUSC considered the s</w:t>
      </w:r>
      <w:r w:rsidRPr="00037EE3">
        <w:rPr>
          <w:snapToGrid/>
        </w:rPr>
        <w:t xml:space="preserve">cript numbers </w:t>
      </w:r>
      <w:r w:rsidR="00FF6B64" w:rsidRPr="00037EE3">
        <w:rPr>
          <w:snapToGrid/>
        </w:rPr>
        <w:t>were</w:t>
      </w:r>
      <w:r w:rsidRPr="00037EE3">
        <w:rPr>
          <w:snapToGrid/>
        </w:rPr>
        <w:t xml:space="preserve"> also likely to be underestimated, and </w:t>
      </w:r>
      <w:r w:rsidR="00FF6B64" w:rsidRPr="00037EE3">
        <w:rPr>
          <w:snapToGrid/>
        </w:rPr>
        <w:t>were</w:t>
      </w:r>
      <w:r w:rsidRPr="00037EE3">
        <w:rPr>
          <w:snapToGrid/>
        </w:rPr>
        <w:t xml:space="preserve"> further impacted by the assumption that a treatment course </w:t>
      </w:r>
      <w:r w:rsidR="00FF6B64" w:rsidRPr="00037EE3">
        <w:rPr>
          <w:snapToGrid/>
        </w:rPr>
        <w:t>would</w:t>
      </w:r>
      <w:r w:rsidRPr="00037EE3">
        <w:rPr>
          <w:snapToGrid/>
        </w:rPr>
        <w:t xml:space="preserve"> be 16 weeks, and patients </w:t>
      </w:r>
      <w:r w:rsidR="00FF6B64" w:rsidRPr="00037EE3">
        <w:rPr>
          <w:snapToGrid/>
        </w:rPr>
        <w:t>would</w:t>
      </w:r>
      <w:r w:rsidRPr="00037EE3">
        <w:rPr>
          <w:snapToGrid/>
        </w:rPr>
        <w:t xml:space="preserve"> have full compliance.</w:t>
      </w:r>
    </w:p>
    <w:p w:rsidR="008A3A96" w:rsidRDefault="008A3A96" w:rsidP="006343D5">
      <w:pPr>
        <w:pStyle w:val="3-BodyText"/>
        <w:ind w:left="709" w:hanging="709"/>
      </w:pPr>
      <w:r>
        <w:t>DUSC considered that for the purposes of deriving the utilisation estimates, the population should be defined as women with a singleton pregnancy with a history of spontaneous (preterm) birth or who have a short cervix (midtrimester &lt;=25mm). Based on this definition, DUSC proposed the following method to estimate the eligible population</w:t>
      </w:r>
      <w:r w:rsidR="0001240E">
        <w:t xml:space="preserve"> (Table 13)</w:t>
      </w:r>
      <w:r>
        <w:t>.</w:t>
      </w:r>
    </w:p>
    <w:p w:rsidR="008A3A96" w:rsidRDefault="008A3A96" w:rsidP="00A30C0C">
      <w:pPr>
        <w:pStyle w:val="TableHeading0"/>
        <w:keepLines/>
      </w:pPr>
      <w:r w:rsidRPr="00037EE3">
        <w:rPr>
          <w:rStyle w:val="CommentReference"/>
          <w:b/>
          <w:szCs w:val="24"/>
        </w:rPr>
        <w:lastRenderedPageBreak/>
        <w:t xml:space="preserve">Table </w:t>
      </w:r>
      <w:r>
        <w:rPr>
          <w:rStyle w:val="CommentReference"/>
          <w:b/>
          <w:noProof/>
          <w:szCs w:val="24"/>
        </w:rPr>
        <w:t>13</w:t>
      </w:r>
      <w:r w:rsidRPr="00393F06">
        <w:rPr>
          <w:rStyle w:val="CommentReference"/>
          <w:b/>
          <w:szCs w:val="24"/>
        </w:rPr>
        <w:t>: DUSC estimated eligible population</w:t>
      </w:r>
    </w:p>
    <w:tbl>
      <w:tblPr>
        <w:tblW w:w="9016" w:type="dxa"/>
        <w:tblInd w:w="113" w:type="dxa"/>
        <w:tblLook w:val="04A0" w:firstRow="1" w:lastRow="0" w:firstColumn="1" w:lastColumn="0" w:noHBand="0" w:noVBand="1"/>
      </w:tblPr>
      <w:tblGrid>
        <w:gridCol w:w="1583"/>
        <w:gridCol w:w="3532"/>
        <w:gridCol w:w="1063"/>
        <w:gridCol w:w="2838"/>
      </w:tblGrid>
      <w:tr w:rsidR="008A3A96" w:rsidRPr="008A3A96" w:rsidTr="008A3A96">
        <w:trPr>
          <w:trHeight w:val="290"/>
          <w:tblHead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center"/>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Model step</w:t>
            </w:r>
          </w:p>
        </w:tc>
        <w:tc>
          <w:tcPr>
            <w:tcW w:w="3532" w:type="dxa"/>
            <w:tcBorders>
              <w:top w:val="single" w:sz="4" w:space="0" w:color="auto"/>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center"/>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Parameter description</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center"/>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Input</w:t>
            </w:r>
          </w:p>
        </w:tc>
        <w:tc>
          <w:tcPr>
            <w:tcW w:w="2838" w:type="dxa"/>
            <w:tcBorders>
              <w:top w:val="single" w:sz="4" w:space="0" w:color="auto"/>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center"/>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Comment</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[1]</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Females 15-44 years</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5,394,983 </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[2]</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Percentage of pregnant women</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5.83%</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AIHW 2018, 58.3 per 1000 </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[3] = [1] x [2]</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Number of pregnant women aged 15-44 years</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314,528 </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w:t>
            </w:r>
          </w:p>
        </w:tc>
      </w:tr>
      <w:tr w:rsidR="008A3A96" w:rsidRPr="008A3A96" w:rsidTr="008A3A96">
        <w:trPr>
          <w:trHeight w:val="130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[4]</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Proportion of pregnancies with a singleton birth</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98.52%</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AIHW 2018 data. 303,029 babies born to 298,630 mothers. The resultant proportion of singleton births was 98.53% (1-(303,029-298,630)/298,630). </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[5] = [3] x [4]</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Number of women with singleton birth</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309,873 </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w:t>
            </w:r>
          </w:p>
        </w:tc>
      </w:tr>
      <w:tr w:rsidR="008A3A96" w:rsidRPr="008A3A96" w:rsidTr="008A3A96">
        <w:trPr>
          <w:trHeight w:val="290"/>
        </w:trPr>
        <w:tc>
          <w:tcPr>
            <w:tcW w:w="61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3A96" w:rsidRPr="008A3A96" w:rsidRDefault="008A3A96" w:rsidP="00A30C0C">
            <w:pPr>
              <w:keepNext/>
              <w:keepLines/>
              <w:jc w:val="lef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Population 1 - First pregnancy, singleton birth, short cervix</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w:t>
            </w:r>
          </w:p>
        </w:tc>
      </w:tr>
      <w:tr w:rsidR="008A3A96" w:rsidRPr="008A3A96" w:rsidTr="008A3A96">
        <w:trPr>
          <w:trHeight w:val="130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[6]</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Proportion of women with first pregnancy</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42.0%</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Pregnancy outcome in South Australia 2017', Pregnancy Outcome Unit October 2019 Wellbeing SA p.12. Accessed at: https://www.sahealth.sa.gov.au</w:t>
            </w:r>
          </w:p>
        </w:tc>
      </w:tr>
      <w:tr w:rsidR="008A3A96" w:rsidRPr="008A3A96" w:rsidTr="008A3A96">
        <w:trPr>
          <w:trHeight w:val="520"/>
        </w:trPr>
        <w:tc>
          <w:tcPr>
            <w:tcW w:w="1583" w:type="dxa"/>
            <w:tcBorders>
              <w:top w:val="nil"/>
              <w:left w:val="single" w:sz="4" w:space="0" w:color="auto"/>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[7]</w:t>
            </w:r>
          </w:p>
        </w:tc>
        <w:tc>
          <w:tcPr>
            <w:tcW w:w="3532"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Proportion of women with cervix &lt;=25 mm</w:t>
            </w:r>
          </w:p>
        </w:tc>
        <w:tc>
          <w:tcPr>
            <w:tcW w:w="1063"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2%</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pStyle w:val="Default"/>
              <w:keepNext/>
              <w:keepLines/>
              <w:rPr>
                <w:rFonts w:ascii="Arial Narrow" w:hAnsi="Arial Narrow" w:cs="Calibri"/>
                <w:iCs/>
                <w:sz w:val="20"/>
                <w:szCs w:val="20"/>
              </w:rPr>
            </w:pPr>
            <w:r w:rsidRPr="008A3A96">
              <w:rPr>
                <w:rFonts w:ascii="Arial Narrow" w:hAnsi="Arial Narrow" w:cs="Calibri"/>
                <w:iCs/>
                <w:snapToGrid w:val="0"/>
                <w:sz w:val="20"/>
                <w:szCs w:val="20"/>
              </w:rPr>
              <w:t>Temming et al. Universal Cervical Length Screening: Implementation and Outcomes. Am J Obstet Gynecol. 2016 April ; 214(4): 523.e1–523.e8</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[8] = [5]x[6]x[7]</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First pregnancy, singleton birth, short cervix</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2,603 </w:t>
            </w:r>
          </w:p>
        </w:tc>
        <w:tc>
          <w:tcPr>
            <w:tcW w:w="2838"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cs="Calibri"/>
                <w:iCs/>
                <w:color w:val="000000"/>
                <w:sz w:val="22"/>
                <w:szCs w:val="22"/>
                <w:lang w:eastAsia="en-AU"/>
              </w:rPr>
            </w:pPr>
            <w:r w:rsidRPr="008A3A96">
              <w:rPr>
                <w:rFonts w:cs="Calibri"/>
                <w:iCs/>
                <w:color w:val="000000"/>
                <w:sz w:val="22"/>
                <w:szCs w:val="22"/>
                <w:lang w:eastAsia="en-AU"/>
              </w:rPr>
              <w:t> </w:t>
            </w:r>
          </w:p>
        </w:tc>
      </w:tr>
      <w:tr w:rsidR="008A3A96" w:rsidRPr="008A3A96" w:rsidTr="008A3A96">
        <w:trPr>
          <w:trHeight w:val="290"/>
        </w:trPr>
        <w:tc>
          <w:tcPr>
            <w:tcW w:w="61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3A96" w:rsidRPr="008A3A96" w:rsidRDefault="008A3A96" w:rsidP="00A30C0C">
            <w:pPr>
              <w:keepNext/>
              <w:keepLines/>
              <w:jc w:val="lef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Population 2 - Prior pregnancy, singleton birth, short cervix</w:t>
            </w:r>
          </w:p>
        </w:tc>
        <w:tc>
          <w:tcPr>
            <w:tcW w:w="2838"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cs="Calibri"/>
                <w:iCs/>
                <w:color w:val="000000"/>
                <w:sz w:val="22"/>
                <w:szCs w:val="22"/>
                <w:lang w:eastAsia="en-AU"/>
              </w:rPr>
            </w:pPr>
            <w:r w:rsidRPr="008A3A96">
              <w:rPr>
                <w:rFonts w:cs="Calibri"/>
                <w:iCs/>
                <w:color w:val="000000"/>
                <w:sz w:val="22"/>
                <w:szCs w:val="22"/>
                <w:lang w:eastAsia="en-AU"/>
              </w:rPr>
              <w:t> </w:t>
            </w:r>
          </w:p>
        </w:tc>
      </w:tr>
      <w:tr w:rsidR="008A3A96" w:rsidRPr="008A3A96" w:rsidTr="008A3A96">
        <w:trPr>
          <w:trHeight w:val="1300"/>
        </w:trPr>
        <w:tc>
          <w:tcPr>
            <w:tcW w:w="1583" w:type="dxa"/>
            <w:tcBorders>
              <w:top w:val="nil"/>
              <w:left w:val="single" w:sz="4" w:space="0" w:color="auto"/>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[9]</w:t>
            </w:r>
          </w:p>
        </w:tc>
        <w:tc>
          <w:tcPr>
            <w:tcW w:w="3532"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Proportion of women with  prior pregnancy</w:t>
            </w:r>
          </w:p>
        </w:tc>
        <w:tc>
          <w:tcPr>
            <w:tcW w:w="1063"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58.0%</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'Pregnancy outcome in South Australia 2017', Pregnancy Outcome Unit October 2019 Wellbeing SA p.12. Accessed at: https://www.sahealth.sa.gov.au</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[10] = [5]x[9]x[7]</w:t>
            </w:r>
          </w:p>
        </w:tc>
        <w:tc>
          <w:tcPr>
            <w:tcW w:w="3532"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Prior pregnancy, singleton birth, short cervix</w:t>
            </w:r>
          </w:p>
        </w:tc>
        <w:tc>
          <w:tcPr>
            <w:tcW w:w="1063"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3,595 </w:t>
            </w:r>
          </w:p>
        </w:tc>
        <w:tc>
          <w:tcPr>
            <w:tcW w:w="2838" w:type="dxa"/>
            <w:tcBorders>
              <w:top w:val="nil"/>
              <w:left w:val="nil"/>
              <w:bottom w:val="single" w:sz="4" w:space="0" w:color="auto"/>
              <w:right w:val="single" w:sz="4" w:space="0" w:color="auto"/>
            </w:tcBorders>
            <w:shd w:val="clear" w:color="auto" w:fill="auto"/>
            <w:noWrap/>
            <w:hideMark/>
          </w:tcPr>
          <w:p w:rsidR="008A3A96" w:rsidRPr="008A3A96" w:rsidRDefault="008A3A96" w:rsidP="00A30C0C">
            <w:pPr>
              <w:keepNext/>
              <w:keepLines/>
              <w:jc w:val="left"/>
              <w:rPr>
                <w:rFonts w:cs="Calibri"/>
                <w:iCs/>
                <w:color w:val="000000"/>
                <w:sz w:val="22"/>
                <w:szCs w:val="22"/>
                <w:lang w:eastAsia="en-AU"/>
              </w:rPr>
            </w:pPr>
            <w:r w:rsidRPr="008A3A96">
              <w:rPr>
                <w:rFonts w:cs="Calibri"/>
                <w:iCs/>
                <w:color w:val="000000"/>
                <w:sz w:val="22"/>
                <w:szCs w:val="22"/>
                <w:lang w:eastAsia="en-AU"/>
              </w:rPr>
              <w:t> </w:t>
            </w:r>
          </w:p>
        </w:tc>
      </w:tr>
      <w:tr w:rsidR="008A3A96" w:rsidRPr="008A3A96" w:rsidTr="008A3A96">
        <w:trPr>
          <w:trHeight w:val="290"/>
        </w:trPr>
        <w:tc>
          <w:tcPr>
            <w:tcW w:w="5115" w:type="dxa"/>
            <w:gridSpan w:val="2"/>
            <w:tcBorders>
              <w:top w:val="single" w:sz="4" w:space="0" w:color="auto"/>
              <w:left w:val="single" w:sz="4" w:space="0" w:color="auto"/>
              <w:bottom w:val="single" w:sz="4" w:space="0" w:color="auto"/>
              <w:right w:val="nil"/>
            </w:tcBorders>
            <w:shd w:val="clear" w:color="auto" w:fill="auto"/>
            <w:noWrap/>
            <w:vAlign w:val="bottom"/>
            <w:hideMark/>
          </w:tcPr>
          <w:p w:rsidR="008A3A96" w:rsidRPr="008A3A96" w:rsidRDefault="008A3A96" w:rsidP="00A30C0C">
            <w:pPr>
              <w:keepNext/>
              <w:keepLines/>
              <w:jc w:val="lef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Population 3 - Prior pregnancy, prior pre-term birth</w:t>
            </w:r>
          </w:p>
        </w:tc>
        <w:tc>
          <w:tcPr>
            <w:tcW w:w="1063"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righ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 </w:t>
            </w:r>
          </w:p>
        </w:tc>
        <w:tc>
          <w:tcPr>
            <w:tcW w:w="2838"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cs="Calibri"/>
                <w:iCs/>
                <w:color w:val="000000"/>
                <w:sz w:val="22"/>
                <w:szCs w:val="22"/>
                <w:lang w:eastAsia="en-AU"/>
              </w:rPr>
            </w:pPr>
            <w:r w:rsidRPr="008A3A96">
              <w:rPr>
                <w:rFonts w:cs="Calibri"/>
                <w:iCs/>
                <w:color w:val="000000"/>
                <w:sz w:val="22"/>
                <w:szCs w:val="22"/>
                <w:lang w:eastAsia="en-AU"/>
              </w:rPr>
              <w:t> </w:t>
            </w:r>
          </w:p>
        </w:tc>
      </w:tr>
      <w:tr w:rsidR="008A3A96" w:rsidRPr="008A3A96" w:rsidTr="008A3A96">
        <w:trPr>
          <w:trHeight w:val="780"/>
        </w:trPr>
        <w:tc>
          <w:tcPr>
            <w:tcW w:w="1583" w:type="dxa"/>
            <w:tcBorders>
              <w:top w:val="nil"/>
              <w:left w:val="single" w:sz="4" w:space="0" w:color="auto"/>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[11]</w:t>
            </w:r>
          </w:p>
        </w:tc>
        <w:tc>
          <w:tcPr>
            <w:tcW w:w="3532"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Prior pre-term birth rate</w:t>
            </w:r>
          </w:p>
        </w:tc>
        <w:tc>
          <w:tcPr>
            <w:tcW w:w="1063"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7.0%</w:t>
            </w:r>
          </w:p>
        </w:tc>
        <w:tc>
          <w:tcPr>
            <w:tcW w:w="2838" w:type="dxa"/>
            <w:tcBorders>
              <w:top w:val="nil"/>
              <w:left w:val="nil"/>
              <w:bottom w:val="single" w:sz="4" w:space="0" w:color="auto"/>
              <w:right w:val="single" w:sz="4" w:space="0" w:color="auto"/>
            </w:tcBorders>
            <w:shd w:val="clear" w:color="auto" w:fill="auto"/>
            <w:hideMark/>
          </w:tcPr>
          <w:p w:rsidR="008A3A96" w:rsidRPr="008A3A96" w:rsidRDefault="008A3A96" w:rsidP="00A30C0C">
            <w:pPr>
              <w:keepNext/>
              <w:keepLines/>
              <w:autoSpaceDE w:val="0"/>
              <w:autoSpaceDN w:val="0"/>
              <w:adjustRightInd w:val="0"/>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Withanawasam and Tara (2019). The shortened cervix</w:t>
            </w:r>
          </w:p>
          <w:p w:rsidR="008A3A96" w:rsidRPr="008A3A96" w:rsidRDefault="008A3A96" w:rsidP="00A30C0C">
            <w:pPr>
              <w:keepNext/>
              <w:keepLines/>
              <w:autoSpaceDE w:val="0"/>
              <w:autoSpaceDN w:val="0"/>
              <w:adjustRightInd w:val="0"/>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in pregnancy</w:t>
            </w:r>
          </w:p>
          <w:p w:rsidR="008A3A96" w:rsidRPr="008A3A96" w:rsidRDefault="008A3A96" w:rsidP="00A30C0C">
            <w:pPr>
              <w:keepNext/>
              <w:keepLines/>
              <w:autoSpaceDE w:val="0"/>
              <w:autoSpaceDN w:val="0"/>
              <w:adjustRightInd w:val="0"/>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Investigation and current management</w:t>
            </w:r>
            <w:r w:rsidR="00E22CC6">
              <w:rPr>
                <w:rFonts w:ascii="Arial Narrow" w:hAnsi="Arial Narrow" w:cs="Calibri"/>
                <w:iCs/>
                <w:color w:val="000000"/>
                <w:sz w:val="20"/>
                <w:szCs w:val="20"/>
                <w:lang w:eastAsia="en-AU"/>
              </w:rPr>
              <w:t xml:space="preserve"> </w:t>
            </w:r>
            <w:r w:rsidRPr="008A3A96">
              <w:rPr>
                <w:rFonts w:ascii="Arial Narrow" w:hAnsi="Arial Narrow" w:cs="Calibri"/>
                <w:iCs/>
                <w:color w:val="000000"/>
                <w:sz w:val="20"/>
                <w:szCs w:val="20"/>
                <w:lang w:eastAsia="en-AU"/>
              </w:rPr>
              <w:t>recommendations for primary caregivers. AJGP (48(3): 121-123.</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[12] = [5]x[9]x[11]</w:t>
            </w:r>
          </w:p>
        </w:tc>
        <w:tc>
          <w:tcPr>
            <w:tcW w:w="3532"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Prior pregnancy, singleton birth, prior pre-term birth</w:t>
            </w:r>
          </w:p>
        </w:tc>
        <w:tc>
          <w:tcPr>
            <w:tcW w:w="1063"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right"/>
              <w:rPr>
                <w:rFonts w:ascii="Arial Narrow" w:hAnsi="Arial Narrow" w:cs="Calibri"/>
                <w:iCs/>
                <w:color w:val="000000"/>
                <w:sz w:val="20"/>
                <w:szCs w:val="20"/>
                <w:lang w:eastAsia="en-AU"/>
              </w:rPr>
            </w:pPr>
            <w:r w:rsidRPr="008A3A96">
              <w:rPr>
                <w:rFonts w:ascii="Arial Narrow" w:hAnsi="Arial Narrow" w:cs="Calibri"/>
                <w:iCs/>
                <w:color w:val="000000"/>
                <w:sz w:val="20"/>
                <w:szCs w:val="20"/>
                <w:lang w:eastAsia="en-AU"/>
              </w:rPr>
              <w:t xml:space="preserve">         12,581 </w:t>
            </w:r>
          </w:p>
        </w:tc>
        <w:tc>
          <w:tcPr>
            <w:tcW w:w="2838"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cs="Calibri"/>
                <w:iCs/>
                <w:color w:val="000000"/>
                <w:sz w:val="22"/>
                <w:szCs w:val="22"/>
                <w:lang w:eastAsia="en-AU"/>
              </w:rPr>
            </w:pPr>
            <w:r w:rsidRPr="008A3A96">
              <w:rPr>
                <w:rFonts w:cs="Calibri"/>
                <w:iCs/>
                <w:color w:val="000000"/>
                <w:sz w:val="22"/>
                <w:szCs w:val="22"/>
                <w:lang w:eastAsia="en-AU"/>
              </w:rPr>
              <w:t> </w:t>
            </w:r>
          </w:p>
        </w:tc>
      </w:tr>
      <w:tr w:rsidR="008A3A96" w:rsidRPr="008A3A96" w:rsidTr="008A3A96">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[13] = [8]+[10]+[12]</w:t>
            </w:r>
          </w:p>
        </w:tc>
        <w:tc>
          <w:tcPr>
            <w:tcW w:w="3532"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Total eligible population</w:t>
            </w:r>
          </w:p>
        </w:tc>
        <w:tc>
          <w:tcPr>
            <w:tcW w:w="1063"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right"/>
              <w:rPr>
                <w:rFonts w:ascii="Arial Narrow" w:hAnsi="Arial Narrow" w:cs="Calibri"/>
                <w:b/>
                <w:bCs/>
                <w:iCs/>
                <w:color w:val="000000"/>
                <w:sz w:val="20"/>
                <w:szCs w:val="20"/>
                <w:lang w:eastAsia="en-AU"/>
              </w:rPr>
            </w:pPr>
            <w:r w:rsidRPr="008A3A96">
              <w:rPr>
                <w:rFonts w:ascii="Arial Narrow" w:hAnsi="Arial Narrow" w:cs="Calibri"/>
                <w:b/>
                <w:bCs/>
                <w:iCs/>
                <w:color w:val="000000"/>
                <w:sz w:val="20"/>
                <w:szCs w:val="20"/>
                <w:lang w:eastAsia="en-AU"/>
              </w:rPr>
              <w:t xml:space="preserve">         18,778 </w:t>
            </w:r>
          </w:p>
        </w:tc>
        <w:tc>
          <w:tcPr>
            <w:tcW w:w="2838" w:type="dxa"/>
            <w:tcBorders>
              <w:top w:val="nil"/>
              <w:left w:val="nil"/>
              <w:bottom w:val="single" w:sz="4" w:space="0" w:color="auto"/>
              <w:right w:val="single" w:sz="4" w:space="0" w:color="auto"/>
            </w:tcBorders>
            <w:shd w:val="clear" w:color="auto" w:fill="auto"/>
            <w:noWrap/>
            <w:vAlign w:val="bottom"/>
            <w:hideMark/>
          </w:tcPr>
          <w:p w:rsidR="008A3A96" w:rsidRPr="008A3A96" w:rsidRDefault="008A3A96" w:rsidP="00A30C0C">
            <w:pPr>
              <w:keepNext/>
              <w:keepLines/>
              <w:jc w:val="left"/>
              <w:rPr>
                <w:rFonts w:cs="Calibri"/>
                <w:iCs/>
                <w:color w:val="000000"/>
                <w:sz w:val="22"/>
                <w:szCs w:val="22"/>
                <w:lang w:eastAsia="en-AU"/>
              </w:rPr>
            </w:pPr>
            <w:r w:rsidRPr="008A3A96">
              <w:rPr>
                <w:rFonts w:cs="Calibri"/>
                <w:iCs/>
                <w:color w:val="000000"/>
                <w:sz w:val="22"/>
                <w:szCs w:val="22"/>
                <w:lang w:eastAsia="en-AU"/>
              </w:rPr>
              <w:t> </w:t>
            </w:r>
          </w:p>
        </w:tc>
      </w:tr>
    </w:tbl>
    <w:p w:rsidR="00D04336" w:rsidRDefault="00D04336" w:rsidP="003D69AE">
      <w:pPr>
        <w:pStyle w:val="3-BodyText"/>
        <w:numPr>
          <w:ilvl w:val="0"/>
          <w:numId w:val="0"/>
        </w:numPr>
        <w:ind w:left="720" w:hanging="720"/>
      </w:pPr>
    </w:p>
    <w:p w:rsidR="00D04336" w:rsidRPr="00037EE3" w:rsidRDefault="00D04336" w:rsidP="00E3526D">
      <w:pPr>
        <w:pStyle w:val="3-BodyText"/>
        <w:ind w:left="709" w:hanging="709"/>
        <w:rPr>
          <w:b/>
          <w:bCs/>
          <w:i/>
        </w:rPr>
      </w:pPr>
      <w:r w:rsidRPr="00037EE3">
        <w:t xml:space="preserve">The submission stated (p152) that due to the low cost per treatment course and the low net impact to Government, the sponsor did not consider a risk-sharing </w:t>
      </w:r>
      <w:r w:rsidRPr="00037EE3">
        <w:lastRenderedPageBreak/>
        <w:t xml:space="preserve">arrangement was necessary. DUSC noted that the projected financial implications relied on the assumed low proportions of patients with cervical length ≤25 mm (1.92%) and prior preterm birth (2.51%). DUSC considered that these assumptions were likely to be underestimated and the potential costs of listing progesterone were likely to be greater than estimated by the submission. </w:t>
      </w:r>
      <w:r w:rsidRPr="00037EE3">
        <w:rPr>
          <w:iCs/>
        </w:rPr>
        <w:t>The PBAC considered that the number of women seeking preventative treatment with progesterone remained highly uncertain</w:t>
      </w:r>
      <w:r w:rsidR="00435007">
        <w:rPr>
          <w:iCs/>
        </w:rPr>
        <w:t>, there was a high risk of leakage to women who are lower risk, and that an Authority Required (STREAMLINED) listing is a low barrier to accessing treatment. Therefore the PBAC advised that a</w:t>
      </w:r>
      <w:r w:rsidR="003D69AE">
        <w:rPr>
          <w:iCs/>
        </w:rPr>
        <w:t xml:space="preserve"> </w:t>
      </w:r>
      <w:r w:rsidRPr="00037EE3">
        <w:rPr>
          <w:iCs/>
        </w:rPr>
        <w:t>RSA would be required.</w:t>
      </w:r>
    </w:p>
    <w:p w:rsidR="00D04336" w:rsidRPr="00037EE3" w:rsidRDefault="00D04336" w:rsidP="00E3526D">
      <w:pPr>
        <w:pStyle w:val="3-BodyText"/>
        <w:ind w:left="709" w:hanging="709"/>
      </w:pPr>
      <w:r w:rsidRPr="00037EE3">
        <w:t xml:space="preserve">The DUSC noted there was the potential of off-label use of progesterone in repeated first term miscarriage. The sponsor contended that the restriction criteria and Authority Required (STREAMLINED) listing would mitigate this risk. </w:t>
      </w:r>
      <w:r w:rsidR="00192315">
        <w:t>The PBAC noted that a Cochrane review</w:t>
      </w:r>
      <w:r w:rsidR="00192315">
        <w:rPr>
          <w:rStyle w:val="FootnoteReference"/>
        </w:rPr>
        <w:footnoteReference w:id="11"/>
      </w:r>
      <w:r w:rsidR="00192315">
        <w:t xml:space="preserve"> suggested progesterone may be beneficial in preventing miscarriage in women with a history of repeated miscarriage, and noted comments made by the clinician in the sponsor hearing about use for this indication (paragraph 6.3). </w:t>
      </w:r>
      <w:r w:rsidRPr="00037EE3">
        <w:t>The PBAC considered that additional criteria that initiation must not be prior to 16 weeks gestation (paragraph 3.3) would help mitigate the risk of off-label, non-PBS subsidised use as miscarriage prophylaxis.</w:t>
      </w:r>
    </w:p>
    <w:p w:rsidR="00576972" w:rsidRPr="00037EE3" w:rsidRDefault="00576972" w:rsidP="008A3A96">
      <w:pPr>
        <w:pStyle w:val="4-SubsectionHeading"/>
      </w:pPr>
      <w:bookmarkStart w:id="27" w:name="_Toc22897648"/>
      <w:bookmarkStart w:id="28" w:name="_Toc50936089"/>
      <w:r w:rsidRPr="00037EE3">
        <w:t>Quality Use of Medicines</w:t>
      </w:r>
      <w:bookmarkEnd w:id="27"/>
      <w:bookmarkEnd w:id="28"/>
    </w:p>
    <w:p w:rsidR="00576972" w:rsidRPr="00037EE3" w:rsidRDefault="00242A57" w:rsidP="00E3526D">
      <w:pPr>
        <w:pStyle w:val="3-BodyText"/>
        <w:ind w:left="709"/>
      </w:pPr>
      <w:r w:rsidRPr="00037EE3">
        <w:t>The risk management plan listed important identified risks</w:t>
      </w:r>
      <w:r w:rsidR="0052567F" w:rsidRPr="00037EE3">
        <w:t xml:space="preserve"> as gravidic cholestasis, </w:t>
      </w:r>
      <w:r w:rsidR="001E0730" w:rsidRPr="00037EE3">
        <w:t>ovarian</w:t>
      </w:r>
      <w:r w:rsidR="0052567F" w:rsidRPr="00037EE3">
        <w:t xml:space="preserve"> cancer and breast cancer,</w:t>
      </w:r>
      <w:r w:rsidRPr="00037EE3">
        <w:t xml:space="preserve"> and the submission noted that the risk minimisation measures have been confirmed as effective.</w:t>
      </w:r>
    </w:p>
    <w:p w:rsidR="005D1FBB" w:rsidRPr="00037EE3" w:rsidRDefault="005D1FBB" w:rsidP="00E3526D">
      <w:pPr>
        <w:pStyle w:val="3-BodyText"/>
        <w:ind w:left="709"/>
      </w:pPr>
      <w:r w:rsidRPr="00037EE3">
        <w:t xml:space="preserve">The ESC </w:t>
      </w:r>
      <w:r w:rsidR="00FC3E09" w:rsidRPr="00037EE3">
        <w:t xml:space="preserve">noted </w:t>
      </w:r>
      <w:r w:rsidRPr="00037EE3">
        <w:t xml:space="preserve">that patient </w:t>
      </w:r>
      <w:r w:rsidR="00FC3E09" w:rsidRPr="00037EE3">
        <w:t xml:space="preserve">adherence </w:t>
      </w:r>
      <w:r w:rsidRPr="00037EE3">
        <w:t xml:space="preserve">is an important consideration with progesterone use, because a </w:t>
      </w:r>
      <w:r w:rsidRPr="00037EE3">
        <w:rPr>
          <w:rFonts w:cstheme="minorHAnsi"/>
        </w:rPr>
        <w:t>drop in progesterone can trigger the commencement of labour</w:t>
      </w:r>
      <w:r w:rsidR="00037EE3">
        <w:rPr>
          <w:rFonts w:cstheme="minorHAnsi"/>
        </w:rPr>
        <w:t xml:space="preserve">. </w:t>
      </w:r>
      <w:r w:rsidRPr="00037EE3">
        <w:rPr>
          <w:rFonts w:cstheme="minorHAnsi"/>
        </w:rPr>
        <w:t>The ESC emphasised that while this is a theoretical issue with no associated clinical data available, the prescribing of progesterone should be part of a comprehensive support program.</w:t>
      </w:r>
    </w:p>
    <w:p w:rsidR="009F7338" w:rsidRPr="00037EE3" w:rsidRDefault="00C656CE" w:rsidP="00E3526D">
      <w:pPr>
        <w:pStyle w:val="3-BodyText"/>
        <w:ind w:left="709"/>
        <w:rPr>
          <w:rStyle w:val="CommentReference"/>
          <w:b w:val="0"/>
          <w:szCs w:val="24"/>
        </w:rPr>
      </w:pPr>
      <w:r w:rsidRPr="00037EE3">
        <w:t xml:space="preserve">DUSC </w:t>
      </w:r>
      <w:r w:rsidR="00FF6B64" w:rsidRPr="00037EE3">
        <w:t>commented</w:t>
      </w:r>
      <w:r w:rsidRPr="00037EE3">
        <w:t xml:space="preserve"> that, in addition to educating patients and prescribers about progesterone use, significant risk factors associated with pre-term birth should also be raised, including: the additional risks of previous pre-term birth; social disadvantage; lower levels of maternal education; pre-existing or gestational diabetes; urogenital infection; alcohol consumption; and smoking. </w:t>
      </w:r>
    </w:p>
    <w:p w:rsidR="007D5FE4" w:rsidRPr="00037EE3" w:rsidRDefault="007D5FE4" w:rsidP="009F7338">
      <w:pPr>
        <w:pStyle w:val="3-BodyText"/>
        <w:numPr>
          <w:ilvl w:val="0"/>
          <w:numId w:val="0"/>
        </w:numPr>
        <w:ind w:left="720"/>
        <w:rPr>
          <w:i/>
        </w:rPr>
      </w:pPr>
      <w:bookmarkStart w:id="29" w:name="_Toc50936093"/>
      <w:r w:rsidRPr="00037EE3">
        <w:rPr>
          <w:i/>
        </w:rPr>
        <w:t>For more detail on PBAC’s view, see section 7 PBAC outcome.</w:t>
      </w:r>
    </w:p>
    <w:p w:rsidR="0020634A" w:rsidRPr="00037EE3" w:rsidRDefault="0020634A" w:rsidP="0020634A">
      <w:pPr>
        <w:pStyle w:val="2-SectionHeading"/>
      </w:pPr>
      <w:r w:rsidRPr="00037EE3">
        <w:lastRenderedPageBreak/>
        <w:t xml:space="preserve">PBAC </w:t>
      </w:r>
      <w:r w:rsidR="00C85B44" w:rsidRPr="00037EE3">
        <w:t>O</w:t>
      </w:r>
      <w:r w:rsidRPr="00037EE3">
        <w:t>utcome</w:t>
      </w:r>
    </w:p>
    <w:p w:rsidR="00FF6B64" w:rsidRPr="00037EE3" w:rsidRDefault="00D96998" w:rsidP="00E3526D">
      <w:pPr>
        <w:pStyle w:val="3-BodyText"/>
        <w:ind w:left="709"/>
        <w:rPr>
          <w:bCs/>
        </w:rPr>
      </w:pPr>
      <w:r w:rsidRPr="00037EE3">
        <w:t xml:space="preserve">The PBAC recommended </w:t>
      </w:r>
      <w:r w:rsidR="00AD0DF5" w:rsidRPr="00037EE3">
        <w:t xml:space="preserve">the Authority Required (STREAMLINED) </w:t>
      </w:r>
      <w:r w:rsidRPr="00037EE3">
        <w:t xml:space="preserve">listing of </w:t>
      </w:r>
      <w:r w:rsidR="00AD0DF5" w:rsidRPr="00037EE3">
        <w:t xml:space="preserve">progesterone (Utrogestan) for the prevention of preterm birth in women with singleton pregnancies and a short cervix (≤25 mm) and/or a history of preterm birth. </w:t>
      </w:r>
    </w:p>
    <w:p w:rsidR="006E53AF" w:rsidRPr="00037EE3" w:rsidRDefault="006E53AF" w:rsidP="00E3526D">
      <w:pPr>
        <w:pStyle w:val="3-BodyText"/>
        <w:ind w:left="709"/>
        <w:rPr>
          <w:bCs/>
          <w:snapToGrid/>
        </w:rPr>
      </w:pPr>
      <w:r w:rsidRPr="00037EE3">
        <w:rPr>
          <w:bCs/>
        </w:rPr>
        <w:t xml:space="preserve">The PBAC was satisfied that Utrogestan provides, for some women, a significant improvement in efficacy over </w:t>
      </w:r>
      <w:r w:rsidR="009E5640">
        <w:rPr>
          <w:bCs/>
        </w:rPr>
        <w:t>standard of care (</w:t>
      </w:r>
      <w:r w:rsidRPr="00037EE3">
        <w:rPr>
          <w:bCs/>
        </w:rPr>
        <w:t>SOC</w:t>
      </w:r>
      <w:r w:rsidR="009E5640">
        <w:rPr>
          <w:bCs/>
        </w:rPr>
        <w:t>)</w:t>
      </w:r>
      <w:r w:rsidRPr="00037EE3">
        <w:rPr>
          <w:bCs/>
        </w:rPr>
        <w:t xml:space="preserve">. </w:t>
      </w:r>
      <w:r w:rsidRPr="00037EE3">
        <w:t xml:space="preserve">The PBAC noted the submission included </w:t>
      </w:r>
      <w:r w:rsidRPr="00037EE3">
        <w:rPr>
          <w:iCs/>
        </w:rPr>
        <w:t>cervical cerclage as an example of SOC</w:t>
      </w:r>
      <w:r w:rsidRPr="00037EE3">
        <w:t xml:space="preserve">. </w:t>
      </w:r>
    </w:p>
    <w:p w:rsidR="006E53AF" w:rsidRPr="00037EE3" w:rsidRDefault="006E53AF" w:rsidP="00E3526D">
      <w:pPr>
        <w:pStyle w:val="3-BodyText"/>
        <w:ind w:left="709"/>
        <w:rPr>
          <w:snapToGrid/>
        </w:rPr>
      </w:pPr>
      <w:r w:rsidRPr="00037EE3">
        <w:rPr>
          <w:iCs/>
        </w:rPr>
        <w:t xml:space="preserve">The PBAC noted that </w:t>
      </w:r>
      <w:r w:rsidRPr="00037EE3">
        <w:t>there are no other pharmacologic</w:t>
      </w:r>
      <w:r w:rsidR="00B20852" w:rsidRPr="00037EE3">
        <w:t>al</w:t>
      </w:r>
      <w:r w:rsidRPr="00037EE3">
        <w:t xml:space="preserve"> treatments prescribed to reduce the risk of preterm birth, and that there is a clinical need for </w:t>
      </w:r>
      <w:r w:rsidR="009E5640">
        <w:t xml:space="preserve">interventions for the </w:t>
      </w:r>
      <w:r w:rsidRPr="00037EE3">
        <w:t>prevention of preterm birth in at-risk women</w:t>
      </w:r>
      <w:r w:rsidRPr="00037EE3">
        <w:rPr>
          <w:iCs/>
        </w:rPr>
        <w:t xml:space="preserve">. </w:t>
      </w:r>
    </w:p>
    <w:p w:rsidR="006E53AF" w:rsidRPr="00037EE3" w:rsidRDefault="006E53AF" w:rsidP="00E3526D">
      <w:pPr>
        <w:widowControl w:val="0"/>
        <w:numPr>
          <w:ilvl w:val="1"/>
          <w:numId w:val="1"/>
        </w:numPr>
        <w:spacing w:after="120"/>
        <w:ind w:left="709"/>
        <w:rPr>
          <w:rFonts w:asciiTheme="minorHAnsi" w:hAnsiTheme="minorHAnsi" w:cs="Arial"/>
          <w:bCs/>
          <w:snapToGrid w:val="0"/>
        </w:rPr>
      </w:pPr>
      <w:r w:rsidRPr="00037EE3">
        <w:t>The PBAC noted that the use of progesterone was consistent with international and RANZCOG clinical guidelines, and recognised that access to progesterone should be equitable for all women in the target population. The PBAC noted that currently, women being treated outside the public hospital system or in a remote location can only access progesterone through a private script. The PBAC noted that preterm birth is associated with vulnerable populations with comorbidities, Aboriginal/Torres Strait Islander descent or socio-economic disadvantage.</w:t>
      </w:r>
    </w:p>
    <w:p w:rsidR="006E53AF" w:rsidRPr="00037EE3" w:rsidRDefault="006E53AF" w:rsidP="00E3526D">
      <w:pPr>
        <w:widowControl w:val="0"/>
        <w:numPr>
          <w:ilvl w:val="1"/>
          <w:numId w:val="1"/>
        </w:numPr>
        <w:spacing w:after="120"/>
        <w:ind w:left="709"/>
        <w:rPr>
          <w:rFonts w:asciiTheme="minorHAnsi" w:hAnsiTheme="minorHAnsi" w:cs="Arial"/>
          <w:bCs/>
          <w:snapToGrid w:val="0"/>
        </w:rPr>
      </w:pPr>
      <w:r w:rsidRPr="00037EE3">
        <w:rPr>
          <w:iCs/>
        </w:rPr>
        <w:t xml:space="preserve">The PBAC considered that the restriction should </w:t>
      </w:r>
      <w:r w:rsidR="00037EE3" w:rsidRPr="00037EE3">
        <w:rPr>
          <w:iCs/>
        </w:rPr>
        <w:t>specify</w:t>
      </w:r>
      <w:r w:rsidRPr="00037EE3">
        <w:rPr>
          <w:iCs/>
        </w:rPr>
        <w:t>:</w:t>
      </w:r>
    </w:p>
    <w:p w:rsidR="006E53AF" w:rsidRPr="00037EE3" w:rsidRDefault="006E53AF" w:rsidP="00E3526D">
      <w:pPr>
        <w:pStyle w:val="Bulletpoints"/>
        <w:ind w:left="709"/>
      </w:pPr>
      <w:r w:rsidRPr="00037EE3">
        <w:t xml:space="preserve">It must be a singleton </w:t>
      </w:r>
      <w:r w:rsidR="00037EE3" w:rsidRPr="00037EE3">
        <w:t>pregnancy</w:t>
      </w:r>
    </w:p>
    <w:p w:rsidR="006E53AF" w:rsidRPr="00037EE3" w:rsidRDefault="00B20852" w:rsidP="00E3526D">
      <w:pPr>
        <w:pStyle w:val="Bulletpoints"/>
        <w:ind w:left="709"/>
      </w:pPr>
      <w:r w:rsidRPr="00037EE3">
        <w:t>Patient must hav</w:t>
      </w:r>
      <w:r w:rsidR="006E53AF" w:rsidRPr="00037EE3">
        <w:t>e</w:t>
      </w:r>
      <w:r w:rsidR="00FC64E6">
        <w:t xml:space="preserve"> at least one of either: (1)</w:t>
      </w:r>
      <w:r w:rsidR="006E53AF" w:rsidRPr="00037EE3">
        <w:t xml:space="preserve"> a short cervix (mid-</w:t>
      </w:r>
      <w:r w:rsidR="00037EE3" w:rsidRPr="00037EE3">
        <w:t>trimester</w:t>
      </w:r>
      <w:r w:rsidR="006E53AF" w:rsidRPr="00037EE3">
        <w:t xml:space="preserve"> cervix ≤25 mm</w:t>
      </w:r>
      <w:r w:rsidRPr="00037EE3">
        <w:t>)</w:t>
      </w:r>
      <w:r w:rsidR="006E53AF" w:rsidRPr="00037EE3">
        <w:t xml:space="preserve"> or </w:t>
      </w:r>
      <w:r w:rsidR="00FC64E6">
        <w:t xml:space="preserve">(ii) </w:t>
      </w:r>
      <w:r w:rsidR="006E53AF" w:rsidRPr="00037EE3">
        <w:t>must have a history of spontaneous preterm birth</w:t>
      </w:r>
    </w:p>
    <w:p w:rsidR="00B20852" w:rsidRPr="00037EE3" w:rsidRDefault="00B20852" w:rsidP="00E3526D">
      <w:pPr>
        <w:pStyle w:val="Bulletpoints"/>
        <w:ind w:left="709"/>
      </w:pPr>
      <w:r w:rsidRPr="00037EE3">
        <w:t xml:space="preserve">Treatment must not be commenced prior to 16 weeks gestation </w:t>
      </w:r>
    </w:p>
    <w:p w:rsidR="006E53AF" w:rsidRPr="00037EE3" w:rsidRDefault="006E53AF" w:rsidP="00E3526D">
      <w:pPr>
        <w:pStyle w:val="Bulletpoints"/>
        <w:ind w:left="709"/>
      </w:pPr>
      <w:r w:rsidRPr="00037EE3">
        <w:t>No increase</w:t>
      </w:r>
      <w:r w:rsidR="00633515" w:rsidRPr="00037EE3">
        <w:t xml:space="preserve"> </w:t>
      </w:r>
      <w:r w:rsidRPr="00037EE3">
        <w:t xml:space="preserve">in the </w:t>
      </w:r>
      <w:r w:rsidR="00037EE3" w:rsidRPr="00037EE3">
        <w:t>maximum</w:t>
      </w:r>
      <w:r w:rsidRPr="00037EE3">
        <w:t xml:space="preserve"> quantity or number of u</w:t>
      </w:r>
      <w:r w:rsidR="00633515" w:rsidRPr="00037EE3">
        <w:t>n</w:t>
      </w:r>
      <w:r w:rsidRPr="00037EE3">
        <w:t>its may be authorise</w:t>
      </w:r>
    </w:p>
    <w:p w:rsidR="006E53AF" w:rsidRPr="00037EE3" w:rsidRDefault="006E53AF" w:rsidP="00E3526D">
      <w:pPr>
        <w:pStyle w:val="Bulletpoints"/>
        <w:ind w:left="709"/>
      </w:pPr>
      <w:r w:rsidRPr="00037EE3">
        <w:t xml:space="preserve">No increase in the maximum number of repeats may be </w:t>
      </w:r>
      <w:r w:rsidR="00037EE3" w:rsidRPr="00037EE3">
        <w:t>authorised</w:t>
      </w:r>
    </w:p>
    <w:p w:rsidR="00E31AB0" w:rsidRPr="00037EE3" w:rsidRDefault="00E31AB0" w:rsidP="00E3526D">
      <w:pPr>
        <w:pStyle w:val="3-BodyText"/>
        <w:ind w:left="709"/>
        <w:rPr>
          <w:bCs/>
        </w:rPr>
      </w:pPr>
      <w:r w:rsidRPr="00037EE3">
        <w:rPr>
          <w:bCs/>
          <w:snapToGrid/>
        </w:rPr>
        <w:t xml:space="preserve">The PBAC considered that the proposed restriction criteria “patient must be pregnant” was not required. </w:t>
      </w:r>
    </w:p>
    <w:p w:rsidR="008A3A96" w:rsidRPr="008A3A96" w:rsidRDefault="008A3A96" w:rsidP="00E3526D">
      <w:pPr>
        <w:pStyle w:val="3-BodyText"/>
        <w:ind w:left="709"/>
        <w:rPr>
          <w:bCs/>
        </w:rPr>
      </w:pPr>
      <w:r>
        <w:rPr>
          <w:bCs/>
        </w:rPr>
        <w:t>The PBAC considered the nominated comparator, SOC, to be appropriate</w:t>
      </w:r>
      <w:r w:rsidR="00CA05F4">
        <w:rPr>
          <w:bCs/>
        </w:rPr>
        <w:t xml:space="preserve"> and considered that Oripro (progesterone) was a near market comparator.</w:t>
      </w:r>
    </w:p>
    <w:p w:rsidR="00E31AB0" w:rsidRDefault="00E31AB0" w:rsidP="00E3526D">
      <w:pPr>
        <w:pStyle w:val="3-BodyText"/>
        <w:ind w:left="709"/>
        <w:rPr>
          <w:bCs/>
        </w:rPr>
      </w:pPr>
      <w:r w:rsidRPr="00037EE3">
        <w:rPr>
          <w:iCs/>
        </w:rPr>
        <w:t xml:space="preserve">The PBAC noted that the clinical evidence was of </w:t>
      </w:r>
      <w:r w:rsidRPr="00037EE3">
        <w:t xml:space="preserve">variable quality and applicability to the proposed PBS population. </w:t>
      </w:r>
      <w:r w:rsidR="00453B59" w:rsidRPr="00037EE3">
        <w:t xml:space="preserve">The PBAC noted that </w:t>
      </w:r>
      <w:r w:rsidR="009E5640">
        <w:t xml:space="preserve">overall </w:t>
      </w:r>
      <w:r w:rsidR="00453B59" w:rsidRPr="00037EE3">
        <w:t xml:space="preserve">the evidence supported a statistically </w:t>
      </w:r>
      <w:r w:rsidR="00037EE3" w:rsidRPr="00037EE3">
        <w:t>significant</w:t>
      </w:r>
      <w:r w:rsidR="00453B59" w:rsidRPr="00037EE3">
        <w:t xml:space="preserve"> reduction in pre-term birth prior to 33 weeks gestation. </w:t>
      </w:r>
      <w:r w:rsidR="00EF7496" w:rsidRPr="00037EE3">
        <w:rPr>
          <w:bCs/>
        </w:rPr>
        <w:t>T</w:t>
      </w:r>
      <w:r w:rsidR="00CB3C2F" w:rsidRPr="00037EE3">
        <w:rPr>
          <w:bCs/>
        </w:rPr>
        <w:t>he PBAC considered that it was reasonable to accept that progesterone is associated with a risk reduction in preterm birth.</w:t>
      </w:r>
      <w:r w:rsidR="00EF7496" w:rsidRPr="00037EE3">
        <w:rPr>
          <w:bCs/>
        </w:rPr>
        <w:t xml:space="preserve"> </w:t>
      </w:r>
    </w:p>
    <w:p w:rsidR="008A3A96" w:rsidRPr="00037EE3" w:rsidRDefault="008A3A96" w:rsidP="00E3526D">
      <w:pPr>
        <w:pStyle w:val="3-BodyText"/>
        <w:ind w:left="709"/>
        <w:rPr>
          <w:bCs/>
        </w:rPr>
      </w:pPr>
      <w:r>
        <w:rPr>
          <w:bCs/>
        </w:rPr>
        <w:t xml:space="preserve">The PBAC noted that there was limited evidence to support the claim of acceptable safety, however considered the claim of non-inferior safety versus SOC was reasonable. </w:t>
      </w:r>
    </w:p>
    <w:p w:rsidR="00E31AB0" w:rsidRPr="00037EE3" w:rsidRDefault="008A3A96" w:rsidP="00E3526D">
      <w:pPr>
        <w:pStyle w:val="3-BodyText"/>
        <w:ind w:left="709"/>
        <w:rPr>
          <w:bCs/>
        </w:rPr>
      </w:pPr>
      <w:r>
        <w:t>The PBAC noted that</w:t>
      </w:r>
      <w:r w:rsidRPr="00037EE3">
        <w:t xml:space="preserve"> the reduction in pre-term births and the hospitalisation costs assumed in the cost analysis </w:t>
      </w:r>
      <w:r>
        <w:t>were</w:t>
      </w:r>
      <w:r w:rsidRPr="00037EE3">
        <w:t xml:space="preserve"> very uncertain. However</w:t>
      </w:r>
      <w:r>
        <w:t>, the PBAC also noted</w:t>
      </w:r>
      <w:r w:rsidRPr="00037EE3">
        <w:t xml:space="preserve"> that </w:t>
      </w:r>
      <w:r w:rsidRPr="00037EE3">
        <w:lastRenderedPageBreak/>
        <w:t>the cost of progesterone per pregnancy was small in comparison to the potential saving from hospital admissions for pre-term births</w:t>
      </w:r>
      <w:r>
        <w:t>, and considered Utrogestan to be acceptably cost-effective at the price proposed in the submission</w:t>
      </w:r>
      <w:r w:rsidRPr="00037EE3">
        <w:t>.</w:t>
      </w:r>
      <w:r>
        <w:t xml:space="preserve"> </w:t>
      </w:r>
    </w:p>
    <w:p w:rsidR="00E31AB0" w:rsidRPr="00926D30" w:rsidRDefault="00E31AB0" w:rsidP="00E3526D">
      <w:pPr>
        <w:pStyle w:val="3-BodyText"/>
        <w:ind w:left="709"/>
        <w:rPr>
          <w:bCs/>
        </w:rPr>
      </w:pPr>
      <w:r w:rsidRPr="00037EE3">
        <w:t>The PBAC considered that the estimated utilisation of progesterone was highly uncertain, and could be addressed by a risk sharing arrangement</w:t>
      </w:r>
      <w:r w:rsidR="00187475">
        <w:t xml:space="preserve"> (RSA)</w:t>
      </w:r>
      <w:r w:rsidRPr="00037EE3">
        <w:t>. The PBAC considered that the population estimates presented by DUSC were the most reasonable</w:t>
      </w:r>
      <w:r w:rsidR="00187475">
        <w:t>, and that the estimates should be revised to align with the DUSC estimates</w:t>
      </w:r>
      <w:r w:rsidRPr="00037EE3">
        <w:t>.</w:t>
      </w:r>
      <w:r w:rsidR="00187475">
        <w:t xml:space="preserve"> The PBAC advised that the RSA should be based on the DUSC estimates.</w:t>
      </w:r>
      <w:r w:rsidRPr="00037EE3">
        <w:t xml:space="preserve"> </w:t>
      </w:r>
      <w:r w:rsidR="00453B59" w:rsidRPr="00037EE3">
        <w:t>The PBAC considered that the cost per pregnancy may be greater than the estimate, which assumed use for 16 weeks, as treatment could continue for up to 24 weeks.</w:t>
      </w:r>
    </w:p>
    <w:p w:rsidR="00926D30" w:rsidRPr="00037EE3" w:rsidRDefault="00926D30" w:rsidP="00E3526D">
      <w:pPr>
        <w:pStyle w:val="3-BodyText"/>
        <w:ind w:left="709"/>
        <w:rPr>
          <w:bCs/>
        </w:rPr>
      </w:pPr>
      <w:r>
        <w:t xml:space="preserve">The PBAC considered that an utilisation review by DUSC </w:t>
      </w:r>
      <w:r w:rsidR="00C0009F">
        <w:t xml:space="preserve">should be conducted </w:t>
      </w:r>
      <w:r>
        <w:t xml:space="preserve">two years after initial listing. </w:t>
      </w:r>
    </w:p>
    <w:p w:rsidR="008B4CC2" w:rsidRPr="00037EE3" w:rsidRDefault="008B4CC2" w:rsidP="00E3526D">
      <w:pPr>
        <w:pStyle w:val="3-BodyText"/>
        <w:ind w:left="709"/>
      </w:pPr>
      <w:r w:rsidRPr="00037EE3">
        <w:t xml:space="preserve">The PBAC </w:t>
      </w:r>
      <w:r w:rsidR="004B3384" w:rsidRPr="00037EE3">
        <w:t xml:space="preserve">considered </w:t>
      </w:r>
      <w:r w:rsidR="00366FF3" w:rsidRPr="00037EE3">
        <w:t>that</w:t>
      </w:r>
      <w:r w:rsidR="00BA517D" w:rsidRPr="00037EE3">
        <w:t xml:space="preserve"> </w:t>
      </w:r>
      <w:r w:rsidRPr="00037EE3">
        <w:t xml:space="preserve">educating </w:t>
      </w:r>
      <w:r w:rsidR="00366FF3" w:rsidRPr="00037EE3">
        <w:t>women</w:t>
      </w:r>
      <w:r w:rsidRPr="00037EE3">
        <w:t xml:space="preserve"> and prescribers about progesterone use</w:t>
      </w:r>
      <w:r w:rsidR="00366FF3" w:rsidRPr="00037EE3">
        <w:t xml:space="preserve"> would be important</w:t>
      </w:r>
      <w:r w:rsidR="004B3384" w:rsidRPr="00037EE3">
        <w:t>,</w:t>
      </w:r>
      <w:r w:rsidRPr="00037EE3">
        <w:t xml:space="preserve"> </w:t>
      </w:r>
      <w:r w:rsidR="004B3384" w:rsidRPr="00037EE3">
        <w:t xml:space="preserve">and </w:t>
      </w:r>
      <w:r w:rsidR="00366FF3" w:rsidRPr="00037EE3">
        <w:t xml:space="preserve">further </w:t>
      </w:r>
      <w:r w:rsidR="004B3384" w:rsidRPr="00037EE3">
        <w:t xml:space="preserve">noted </w:t>
      </w:r>
      <w:r w:rsidRPr="00037EE3">
        <w:t xml:space="preserve">additional risk factors </w:t>
      </w:r>
      <w:r w:rsidR="00366FF3" w:rsidRPr="00037EE3">
        <w:t xml:space="preserve">that should be raised </w:t>
      </w:r>
      <w:r w:rsidRPr="00037EE3">
        <w:t>including</w:t>
      </w:r>
      <w:r w:rsidR="00366FF3" w:rsidRPr="00037EE3">
        <w:t>:</w:t>
      </w:r>
      <w:r w:rsidRPr="00037EE3">
        <w:t xml:space="preserve"> previous pre-term birth; social </w:t>
      </w:r>
      <w:r w:rsidR="00FA1887" w:rsidRPr="00037EE3">
        <w:t>disadvantages</w:t>
      </w:r>
      <w:r w:rsidRPr="00037EE3">
        <w:t xml:space="preserve">, lower levels of maternal </w:t>
      </w:r>
      <w:r w:rsidR="00BE6634" w:rsidRPr="00926D30">
        <w:t>education</w:t>
      </w:r>
      <w:r w:rsidRPr="00037EE3">
        <w:t xml:space="preserve">; pre-exiting or gestational diabetes; urogenital infection; alcohol </w:t>
      </w:r>
      <w:r w:rsidRPr="00926D30">
        <w:t>consumption</w:t>
      </w:r>
      <w:r w:rsidRPr="00037EE3">
        <w:t xml:space="preserve"> and smoking</w:t>
      </w:r>
      <w:r w:rsidR="00366FF3" w:rsidRPr="00037EE3">
        <w:t>.</w:t>
      </w:r>
      <w:r w:rsidRPr="00037EE3">
        <w:t xml:space="preserve"> </w:t>
      </w:r>
    </w:p>
    <w:p w:rsidR="00615228" w:rsidRPr="00037EE3" w:rsidRDefault="00615228" w:rsidP="00E3526D">
      <w:pPr>
        <w:pStyle w:val="3-BodyText"/>
        <w:ind w:left="709"/>
      </w:pPr>
      <w:r w:rsidRPr="00037EE3">
        <w:t>The PBAC advised that progesterone is suitable for prescribing by nurse practitioners</w:t>
      </w:r>
      <w:r w:rsidR="00E31AB0" w:rsidRPr="00037EE3">
        <w:t xml:space="preserve"> and </w:t>
      </w:r>
      <w:r w:rsidRPr="00037EE3">
        <w:t>mid</w:t>
      </w:r>
      <w:r w:rsidR="0072702C" w:rsidRPr="00037EE3">
        <w:t>wiv</w:t>
      </w:r>
      <w:r w:rsidRPr="00037EE3">
        <w:t>es</w:t>
      </w:r>
      <w:r w:rsidR="00E31AB0" w:rsidRPr="00037EE3">
        <w:t xml:space="preserve"> for the prevention of preterm birth</w:t>
      </w:r>
      <w:r w:rsidRPr="00037EE3">
        <w:t>.</w:t>
      </w:r>
      <w:r w:rsidR="00E31AB0" w:rsidRPr="00037EE3">
        <w:t xml:space="preserve"> The PBAC considered that this would support access to treatment for women in regional and remote areas</w:t>
      </w:r>
    </w:p>
    <w:p w:rsidR="00615228" w:rsidRPr="00037EE3" w:rsidRDefault="00615228" w:rsidP="00E3526D">
      <w:pPr>
        <w:numPr>
          <w:ilvl w:val="1"/>
          <w:numId w:val="1"/>
        </w:numPr>
        <w:spacing w:after="120"/>
        <w:ind w:left="709"/>
        <w:rPr>
          <w:rFonts w:asciiTheme="minorHAnsi" w:hAnsiTheme="minorHAnsi"/>
          <w:bCs/>
        </w:rPr>
      </w:pPr>
      <w:r w:rsidRPr="00037EE3">
        <w:rPr>
          <w:rFonts w:asciiTheme="minorHAnsi" w:hAnsiTheme="minorHAnsi"/>
          <w:bCs/>
        </w:rPr>
        <w:t xml:space="preserve">The PBAC recommended that the Early Supply Rule should not apply. </w:t>
      </w:r>
    </w:p>
    <w:p w:rsidR="004B263F" w:rsidRPr="00BA5F18" w:rsidRDefault="004B263F" w:rsidP="00E3526D">
      <w:pPr>
        <w:pStyle w:val="3-BodyText"/>
        <w:ind w:left="709"/>
      </w:pPr>
      <w:r w:rsidRPr="00BA5F18">
        <w:t xml:space="preserve">The PBAC found that the criteria prescribed by the </w:t>
      </w:r>
      <w:r w:rsidRPr="00BA5F18">
        <w:rPr>
          <w:i/>
        </w:rPr>
        <w:t>National Health (Pharmaceuticals and Vaccines – Cost Recovery) Regulations 2009</w:t>
      </w:r>
      <w:r>
        <w:t xml:space="preserve"> for Pricing Pathway A were not</w:t>
      </w:r>
      <w:r w:rsidRPr="00BA5F18">
        <w:t xml:space="preserve"> met. Specifically the PBAC found that in the circumstances of its recommendation for </w:t>
      </w:r>
      <w:r>
        <w:t>progesterone</w:t>
      </w:r>
      <w:r w:rsidRPr="00BA5F18">
        <w:t>:</w:t>
      </w:r>
    </w:p>
    <w:p w:rsidR="00FC64E6" w:rsidRPr="00FC64E6" w:rsidRDefault="00FC64E6" w:rsidP="00E3526D">
      <w:pPr>
        <w:pStyle w:val="3-BodyText"/>
        <w:numPr>
          <w:ilvl w:val="0"/>
          <w:numId w:val="21"/>
        </w:numPr>
        <w:ind w:left="709"/>
        <w:rPr>
          <w:rFonts w:cstheme="minorHAnsi"/>
        </w:rPr>
      </w:pPr>
      <w:r w:rsidRPr="00FC64E6">
        <w:rPr>
          <w:rFonts w:cstheme="minorHAnsi"/>
        </w:rPr>
        <w:t>t</w:t>
      </w:r>
      <w:r w:rsidRPr="00FC64E6">
        <w:rPr>
          <w:rFonts w:cstheme="minorHAnsi"/>
          <w:color w:val="000000"/>
          <w:shd w:val="clear" w:color="auto" w:fill="FFFFFF"/>
        </w:rPr>
        <w:t>he treatment is not expected to provide a substantial and clinically relevant improvement in efficacy over standard of care. The PBAC considered this criteria was not met as the available evidence was of variable quality and applicability to the proposed PBS population;</w:t>
      </w:r>
    </w:p>
    <w:p w:rsidR="004B263F" w:rsidRDefault="004B263F" w:rsidP="00E3526D">
      <w:pPr>
        <w:pStyle w:val="3-BodyText"/>
        <w:numPr>
          <w:ilvl w:val="0"/>
          <w:numId w:val="21"/>
        </w:numPr>
        <w:ind w:left="709"/>
      </w:pPr>
      <w:r w:rsidRPr="00BA5F18">
        <w:t xml:space="preserve">The treatment </w:t>
      </w:r>
      <w:r w:rsidR="00FC64E6">
        <w:t>is not</w:t>
      </w:r>
      <w:r w:rsidRPr="00BA5F18">
        <w:t xml:space="preserve"> expected to address a high and urgent unmet cl</w:t>
      </w:r>
      <w:r w:rsidR="00FC64E6">
        <w:t>inical need</w:t>
      </w:r>
      <w:r w:rsidRPr="00BA5F18">
        <w:t>;</w:t>
      </w:r>
    </w:p>
    <w:p w:rsidR="00FC64E6" w:rsidRPr="00FC64E6" w:rsidRDefault="00FC64E6" w:rsidP="00E3526D">
      <w:pPr>
        <w:pStyle w:val="ListParagraph"/>
        <w:widowControl w:val="0"/>
        <w:numPr>
          <w:ilvl w:val="0"/>
          <w:numId w:val="21"/>
        </w:numPr>
        <w:ind w:left="709"/>
        <w:contextualSpacing/>
      </w:pPr>
      <w:r w:rsidRPr="00FC64E6">
        <w:t>It was not necessary to make a finding in relation to whether it would be in the public interest for the subsequent pricing application to be progressed under Pricing Pathway A because one or more of the preceding tests had failed.</w:t>
      </w:r>
    </w:p>
    <w:p w:rsidR="00615228" w:rsidRPr="00037EE3" w:rsidRDefault="00615228" w:rsidP="00E3526D">
      <w:pPr>
        <w:pStyle w:val="3-BodyText"/>
        <w:ind w:left="709"/>
        <w:rPr>
          <w:rFonts w:cstheme="minorHAnsi"/>
          <w:bCs/>
        </w:rPr>
      </w:pPr>
      <w:r w:rsidRPr="00037EE3">
        <w:rPr>
          <w:rFonts w:cstheme="minorHAnsi"/>
          <w:bCs/>
        </w:rPr>
        <w:t xml:space="preserve">The PBAC noted that this submission </w:t>
      </w:r>
      <w:r w:rsidR="00FC64E6">
        <w:rPr>
          <w:rFonts w:cstheme="minorHAnsi"/>
          <w:bCs/>
        </w:rPr>
        <w:t>was</w:t>
      </w:r>
      <w:r w:rsidRPr="00037EE3">
        <w:rPr>
          <w:rFonts w:cstheme="minorHAnsi"/>
          <w:bCs/>
        </w:rPr>
        <w:t xml:space="preserve"> not eligible for an Independent Review, as it received a positive recommendation.</w:t>
      </w:r>
    </w:p>
    <w:p w:rsidR="00D96998" w:rsidRPr="00037EE3" w:rsidRDefault="00D96998" w:rsidP="00D96998">
      <w:pPr>
        <w:spacing w:before="240"/>
        <w:rPr>
          <w:rFonts w:asciiTheme="minorHAnsi" w:hAnsiTheme="minorHAnsi" w:cs="Arial"/>
          <w:b/>
          <w:bCs/>
          <w:snapToGrid w:val="0"/>
          <w:lang w:eastAsia="en-US"/>
        </w:rPr>
      </w:pPr>
      <w:r w:rsidRPr="00037EE3">
        <w:rPr>
          <w:rFonts w:asciiTheme="minorHAnsi" w:hAnsiTheme="minorHAnsi" w:cs="Arial"/>
          <w:b/>
          <w:bCs/>
          <w:snapToGrid w:val="0"/>
          <w:lang w:eastAsia="en-US"/>
        </w:rPr>
        <w:t>Outcome:</w:t>
      </w:r>
    </w:p>
    <w:p w:rsidR="008E675A" w:rsidRPr="00037EE3" w:rsidRDefault="00D96998" w:rsidP="002A4CDA">
      <w:r w:rsidRPr="00037EE3">
        <w:rPr>
          <w:bCs/>
          <w:snapToGrid w:val="0"/>
          <w:lang w:eastAsia="en-US"/>
        </w:rPr>
        <w:t xml:space="preserve">Recommended </w:t>
      </w:r>
    </w:p>
    <w:p w:rsidR="00D96998" w:rsidRPr="00037EE3" w:rsidRDefault="00D96998" w:rsidP="00C1552F">
      <w:pPr>
        <w:pStyle w:val="2-SectionHeading"/>
        <w:keepLines/>
        <w:rPr>
          <w:i/>
        </w:rPr>
      </w:pPr>
      <w:r w:rsidRPr="00037EE3">
        <w:lastRenderedPageBreak/>
        <w:t>Recommended listing</w:t>
      </w:r>
    </w:p>
    <w:p w:rsidR="0020634A" w:rsidRPr="00037EE3" w:rsidRDefault="0020634A" w:rsidP="00C1552F">
      <w:pPr>
        <w:keepNext/>
        <w:keepLines/>
        <w:widowControl w:val="0"/>
        <w:spacing w:after="120"/>
        <w:ind w:firstLine="720"/>
        <w:rPr>
          <w:rFonts w:asciiTheme="minorHAnsi" w:hAnsiTheme="minorHAnsi" w:cs="Arial"/>
          <w:bCs/>
          <w:snapToGrid w:val="0"/>
          <w:lang w:eastAsia="en-US"/>
        </w:rPr>
      </w:pPr>
      <w:r w:rsidRPr="00037EE3">
        <w:rPr>
          <w:rFonts w:asciiTheme="minorHAnsi" w:hAnsiTheme="minorHAnsi" w:cs="Arial"/>
          <w:bCs/>
          <w:snapToGrid w:val="0"/>
          <w:lang w:eastAsia="en-US"/>
        </w:rPr>
        <w:t xml:space="preserve">Add new </w:t>
      </w:r>
      <w:r w:rsidR="00BE6634" w:rsidRPr="00037EE3">
        <w:rPr>
          <w:rFonts w:asciiTheme="minorHAnsi" w:hAnsiTheme="minorHAnsi" w:cs="Arial"/>
          <w:bCs/>
          <w:snapToGrid w:val="0"/>
          <w:lang w:eastAsia="en-US"/>
        </w:rPr>
        <w:t>item</w:t>
      </w:r>
      <w:r w:rsidRPr="00037EE3">
        <w:rPr>
          <w:rFonts w:asciiTheme="minorHAnsi" w:hAnsiTheme="minorHAnsi" w:cs="Arial"/>
          <w:bCs/>
          <w:snapToGrid w:val="0"/>
          <w:lang w:eastAsia="en-US"/>
        </w:rPr>
        <w:t xml:space="preserve"> as follows:</w:t>
      </w:r>
    </w:p>
    <w:p w:rsidR="00DD79A9" w:rsidRPr="00037EE3" w:rsidRDefault="00DD79A9" w:rsidP="00C1552F">
      <w:pPr>
        <w:keepNext/>
        <w:keepLines/>
        <w:spacing w:after="120"/>
        <w:rPr>
          <w:rFonts w:ascii="Arial Narrow" w:hAnsi="Arial Narrow"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9"/>
        <w:gridCol w:w="860"/>
        <w:gridCol w:w="858"/>
        <w:gridCol w:w="716"/>
        <w:gridCol w:w="2577"/>
      </w:tblGrid>
      <w:tr w:rsidR="00DD79A9" w:rsidRPr="00037EE3" w:rsidTr="00AD3218">
        <w:trPr>
          <w:cantSplit/>
          <w:trHeight w:val="471"/>
        </w:trPr>
        <w:tc>
          <w:tcPr>
            <w:tcW w:w="1506" w:type="pct"/>
          </w:tcPr>
          <w:p w:rsidR="00DD79A9" w:rsidRPr="00037EE3" w:rsidRDefault="00DD79A9" w:rsidP="00C1552F">
            <w:pPr>
              <w:keepNext/>
              <w:keepLines/>
              <w:ind w:left="-108"/>
              <w:rPr>
                <w:rFonts w:ascii="Arial Narrow" w:hAnsi="Arial Narrow" w:cs="Arial"/>
                <w:b/>
                <w:sz w:val="18"/>
                <w:szCs w:val="18"/>
              </w:rPr>
            </w:pPr>
            <w:r w:rsidRPr="00037EE3">
              <w:rPr>
                <w:rFonts w:ascii="Arial Narrow" w:hAnsi="Arial Narrow" w:cs="Arial"/>
                <w:b/>
                <w:sz w:val="18"/>
                <w:szCs w:val="18"/>
              </w:rPr>
              <w:t>MEDICINAL PRODCUT,</w:t>
            </w:r>
          </w:p>
          <w:p w:rsidR="00DD79A9" w:rsidRPr="00037EE3" w:rsidRDefault="00DD79A9" w:rsidP="00C1552F">
            <w:pPr>
              <w:keepNext/>
              <w:keepLines/>
              <w:ind w:left="-108"/>
              <w:rPr>
                <w:rFonts w:ascii="Arial Narrow" w:hAnsi="Arial Narrow" w:cs="Arial"/>
                <w:b/>
                <w:sz w:val="18"/>
                <w:szCs w:val="18"/>
              </w:rPr>
            </w:pPr>
            <w:r w:rsidRPr="00037EE3">
              <w:rPr>
                <w:rFonts w:ascii="Arial Narrow" w:hAnsi="Arial Narrow" w:cs="Arial"/>
                <w:b/>
                <w:sz w:val="18"/>
                <w:szCs w:val="18"/>
              </w:rPr>
              <w:t>medicinal product pack</w:t>
            </w:r>
          </w:p>
        </w:tc>
        <w:tc>
          <w:tcPr>
            <w:tcW w:w="714" w:type="pct"/>
          </w:tcPr>
          <w:p w:rsidR="00DD79A9" w:rsidRPr="00037EE3" w:rsidRDefault="00DD79A9" w:rsidP="00C1552F">
            <w:pPr>
              <w:keepNext/>
              <w:keepLines/>
              <w:ind w:left="-108"/>
              <w:jc w:val="center"/>
              <w:rPr>
                <w:rFonts w:ascii="Arial Narrow" w:hAnsi="Arial Narrow" w:cs="Arial"/>
                <w:b/>
                <w:sz w:val="18"/>
                <w:szCs w:val="18"/>
              </w:rPr>
            </w:pPr>
            <w:r w:rsidRPr="00037EE3">
              <w:rPr>
                <w:rFonts w:ascii="Arial Narrow" w:hAnsi="Arial Narrow" w:cs="Arial"/>
                <w:b/>
                <w:sz w:val="18"/>
                <w:szCs w:val="18"/>
              </w:rPr>
              <w:t>PBS item code</w:t>
            </w:r>
          </w:p>
        </w:tc>
        <w:tc>
          <w:tcPr>
            <w:tcW w:w="477" w:type="pct"/>
          </w:tcPr>
          <w:p w:rsidR="00DD79A9" w:rsidRPr="00037EE3" w:rsidRDefault="00DD79A9" w:rsidP="00C1552F">
            <w:pPr>
              <w:keepNext/>
              <w:keepLines/>
              <w:ind w:left="-108"/>
              <w:jc w:val="center"/>
              <w:rPr>
                <w:rFonts w:ascii="Arial Narrow" w:hAnsi="Arial Narrow" w:cs="Arial"/>
                <w:b/>
                <w:sz w:val="18"/>
                <w:szCs w:val="18"/>
              </w:rPr>
            </w:pPr>
            <w:r w:rsidRPr="00037EE3">
              <w:rPr>
                <w:rFonts w:ascii="Arial Narrow" w:hAnsi="Arial Narrow" w:cs="Arial"/>
                <w:b/>
                <w:sz w:val="18"/>
                <w:szCs w:val="18"/>
              </w:rPr>
              <w:t>Max. qty packs</w:t>
            </w:r>
          </w:p>
        </w:tc>
        <w:tc>
          <w:tcPr>
            <w:tcW w:w="476" w:type="pct"/>
          </w:tcPr>
          <w:p w:rsidR="00DD79A9" w:rsidRPr="00037EE3" w:rsidRDefault="00DD79A9" w:rsidP="00C1552F">
            <w:pPr>
              <w:keepNext/>
              <w:keepLines/>
              <w:ind w:left="-108"/>
              <w:jc w:val="center"/>
              <w:rPr>
                <w:rFonts w:ascii="Arial Narrow" w:hAnsi="Arial Narrow" w:cs="Arial"/>
                <w:b/>
                <w:sz w:val="18"/>
                <w:szCs w:val="18"/>
              </w:rPr>
            </w:pPr>
            <w:r w:rsidRPr="00037EE3">
              <w:rPr>
                <w:rFonts w:ascii="Arial Narrow" w:hAnsi="Arial Narrow" w:cs="Arial"/>
                <w:b/>
                <w:sz w:val="18"/>
                <w:szCs w:val="18"/>
              </w:rPr>
              <w:t>Max. qty units</w:t>
            </w:r>
          </w:p>
        </w:tc>
        <w:tc>
          <w:tcPr>
            <w:tcW w:w="397" w:type="pct"/>
          </w:tcPr>
          <w:p w:rsidR="00DD79A9" w:rsidRPr="00037EE3" w:rsidRDefault="00DD79A9" w:rsidP="00C1552F">
            <w:pPr>
              <w:keepNext/>
              <w:keepLines/>
              <w:ind w:left="-108"/>
              <w:jc w:val="center"/>
              <w:rPr>
                <w:rFonts w:ascii="Arial Narrow" w:hAnsi="Arial Narrow" w:cs="Arial"/>
                <w:b/>
                <w:sz w:val="18"/>
                <w:szCs w:val="18"/>
              </w:rPr>
            </w:pPr>
            <w:r w:rsidRPr="00037EE3">
              <w:rPr>
                <w:rFonts w:ascii="Arial Narrow" w:hAnsi="Arial Narrow" w:cs="Arial"/>
                <w:b/>
                <w:sz w:val="18"/>
                <w:szCs w:val="18"/>
              </w:rPr>
              <w:t>№.of</w:t>
            </w:r>
          </w:p>
          <w:p w:rsidR="00DD79A9" w:rsidRPr="00037EE3" w:rsidRDefault="00DD79A9" w:rsidP="00C1552F">
            <w:pPr>
              <w:keepNext/>
              <w:keepLines/>
              <w:ind w:left="-108"/>
              <w:jc w:val="center"/>
              <w:rPr>
                <w:rFonts w:ascii="Arial Narrow" w:hAnsi="Arial Narrow" w:cs="Arial"/>
                <w:b/>
                <w:sz w:val="18"/>
                <w:szCs w:val="18"/>
              </w:rPr>
            </w:pPr>
            <w:r w:rsidRPr="00037EE3">
              <w:rPr>
                <w:rFonts w:ascii="Arial Narrow" w:hAnsi="Arial Narrow" w:cs="Arial"/>
                <w:b/>
                <w:sz w:val="18"/>
                <w:szCs w:val="18"/>
              </w:rPr>
              <w:t>Rpts</w:t>
            </w:r>
          </w:p>
        </w:tc>
        <w:tc>
          <w:tcPr>
            <w:tcW w:w="1429" w:type="pct"/>
          </w:tcPr>
          <w:p w:rsidR="00DD79A9" w:rsidRPr="00037EE3" w:rsidRDefault="00DD79A9" w:rsidP="00C1552F">
            <w:pPr>
              <w:keepNext/>
              <w:keepLines/>
              <w:rPr>
                <w:rFonts w:ascii="Arial Narrow" w:hAnsi="Arial Narrow" w:cs="Arial"/>
                <w:b/>
                <w:sz w:val="18"/>
                <w:szCs w:val="18"/>
              </w:rPr>
            </w:pPr>
            <w:r w:rsidRPr="00037EE3">
              <w:rPr>
                <w:rFonts w:ascii="Arial Narrow" w:hAnsi="Arial Narrow" w:cs="Arial"/>
                <w:b/>
                <w:sz w:val="18"/>
                <w:szCs w:val="18"/>
              </w:rPr>
              <w:t>Available brands</w:t>
            </w:r>
          </w:p>
        </w:tc>
      </w:tr>
      <w:tr w:rsidR="00DD79A9" w:rsidRPr="00037EE3" w:rsidTr="00AD3218">
        <w:trPr>
          <w:cantSplit/>
          <w:trHeight w:val="761"/>
        </w:trPr>
        <w:tc>
          <w:tcPr>
            <w:tcW w:w="1506" w:type="pct"/>
          </w:tcPr>
          <w:p w:rsidR="00DD79A9" w:rsidRPr="00037EE3" w:rsidRDefault="00DD79A9" w:rsidP="00C1552F">
            <w:pPr>
              <w:keepNext/>
              <w:keepLines/>
              <w:ind w:left="-108"/>
              <w:rPr>
                <w:rFonts w:ascii="Arial Narrow" w:hAnsi="Arial Narrow" w:cs="Arial"/>
                <w:sz w:val="18"/>
                <w:szCs w:val="18"/>
              </w:rPr>
            </w:pPr>
            <w:r w:rsidRPr="00037EE3">
              <w:rPr>
                <w:rFonts w:ascii="Arial Narrow" w:hAnsi="Arial Narrow" w:cs="Arial"/>
                <w:sz w:val="18"/>
                <w:szCs w:val="18"/>
              </w:rPr>
              <w:t>PROGESTERONE</w:t>
            </w:r>
          </w:p>
          <w:p w:rsidR="00DD79A9" w:rsidRPr="00037EE3" w:rsidRDefault="00DD79A9" w:rsidP="00C1552F">
            <w:pPr>
              <w:keepNext/>
              <w:keepLines/>
              <w:ind w:left="-108"/>
              <w:rPr>
                <w:rFonts w:ascii="Arial Narrow" w:hAnsi="Arial Narrow" w:cs="Arial"/>
                <w:sz w:val="18"/>
                <w:szCs w:val="18"/>
              </w:rPr>
            </w:pPr>
          </w:p>
          <w:p w:rsidR="00DD79A9" w:rsidRPr="00037EE3" w:rsidRDefault="00DD79A9" w:rsidP="00C1552F">
            <w:pPr>
              <w:keepNext/>
              <w:keepLines/>
              <w:ind w:left="-108"/>
              <w:rPr>
                <w:rFonts w:ascii="Arial Narrow" w:hAnsi="Arial Narrow" w:cs="Arial"/>
                <w:sz w:val="18"/>
                <w:szCs w:val="18"/>
              </w:rPr>
            </w:pPr>
            <w:r w:rsidRPr="00037EE3">
              <w:rPr>
                <w:rFonts w:ascii="Arial Narrow" w:hAnsi="Arial Narrow" w:cs="Arial"/>
                <w:sz w:val="18"/>
                <w:szCs w:val="18"/>
              </w:rPr>
              <w:t>progesterone 200 mg capsule, 42</w:t>
            </w:r>
          </w:p>
        </w:tc>
        <w:tc>
          <w:tcPr>
            <w:tcW w:w="714" w:type="pct"/>
          </w:tcPr>
          <w:p w:rsidR="00DD79A9" w:rsidRPr="00037EE3" w:rsidRDefault="00DD79A9" w:rsidP="00C1552F">
            <w:pPr>
              <w:keepNext/>
              <w:keepLines/>
              <w:ind w:left="-108"/>
              <w:jc w:val="center"/>
              <w:rPr>
                <w:rFonts w:ascii="Arial Narrow" w:hAnsi="Arial Narrow" w:cs="Arial"/>
                <w:sz w:val="18"/>
                <w:szCs w:val="18"/>
              </w:rPr>
            </w:pPr>
          </w:p>
          <w:p w:rsidR="00DD79A9" w:rsidRPr="00037EE3" w:rsidRDefault="00DD79A9" w:rsidP="00C1552F">
            <w:pPr>
              <w:keepNext/>
              <w:keepLines/>
              <w:ind w:left="-108"/>
              <w:jc w:val="center"/>
              <w:rPr>
                <w:rFonts w:ascii="Arial Narrow" w:hAnsi="Arial Narrow" w:cs="Arial"/>
                <w:sz w:val="18"/>
                <w:szCs w:val="18"/>
              </w:rPr>
            </w:pPr>
          </w:p>
          <w:p w:rsidR="00DD79A9" w:rsidRPr="00037EE3" w:rsidRDefault="00DD79A9" w:rsidP="00C1552F">
            <w:pPr>
              <w:keepNext/>
              <w:keepLines/>
              <w:ind w:left="-108"/>
              <w:jc w:val="center"/>
              <w:rPr>
                <w:rFonts w:ascii="Arial Narrow" w:hAnsi="Arial Narrow" w:cs="Arial"/>
                <w:sz w:val="18"/>
                <w:szCs w:val="18"/>
              </w:rPr>
            </w:pPr>
            <w:r w:rsidRPr="00037EE3">
              <w:rPr>
                <w:rFonts w:ascii="Arial Narrow" w:hAnsi="Arial Narrow" w:cs="Arial"/>
                <w:sz w:val="18"/>
                <w:szCs w:val="18"/>
              </w:rPr>
              <w:t>NEW</w:t>
            </w:r>
          </w:p>
        </w:tc>
        <w:tc>
          <w:tcPr>
            <w:tcW w:w="477" w:type="pct"/>
          </w:tcPr>
          <w:p w:rsidR="00DD79A9" w:rsidRPr="00037EE3" w:rsidRDefault="00DD79A9" w:rsidP="00C1552F">
            <w:pPr>
              <w:keepNext/>
              <w:keepLines/>
              <w:jc w:val="center"/>
              <w:rPr>
                <w:rFonts w:ascii="Arial Narrow" w:hAnsi="Arial Narrow" w:cs="Arial"/>
                <w:sz w:val="18"/>
                <w:szCs w:val="18"/>
              </w:rPr>
            </w:pPr>
          </w:p>
          <w:p w:rsidR="00DD79A9" w:rsidRPr="00037EE3" w:rsidRDefault="00DD79A9" w:rsidP="00C1552F">
            <w:pPr>
              <w:keepNext/>
              <w:keepLines/>
              <w:ind w:left="-108"/>
              <w:jc w:val="center"/>
              <w:rPr>
                <w:rFonts w:ascii="Arial Narrow" w:hAnsi="Arial Narrow" w:cs="Arial"/>
                <w:sz w:val="18"/>
                <w:szCs w:val="18"/>
              </w:rPr>
            </w:pPr>
          </w:p>
          <w:p w:rsidR="00DD79A9" w:rsidRPr="00037EE3" w:rsidRDefault="00DD79A9" w:rsidP="00C1552F">
            <w:pPr>
              <w:keepNext/>
              <w:keepLines/>
              <w:jc w:val="center"/>
              <w:rPr>
                <w:rFonts w:ascii="Arial Narrow" w:hAnsi="Arial Narrow" w:cs="Arial"/>
                <w:sz w:val="18"/>
                <w:szCs w:val="18"/>
              </w:rPr>
            </w:pPr>
            <w:r w:rsidRPr="00037EE3">
              <w:rPr>
                <w:rFonts w:ascii="Arial Narrow" w:hAnsi="Arial Narrow" w:cs="Arial"/>
                <w:sz w:val="18"/>
                <w:szCs w:val="18"/>
              </w:rPr>
              <w:t>1</w:t>
            </w:r>
          </w:p>
        </w:tc>
        <w:tc>
          <w:tcPr>
            <w:tcW w:w="476" w:type="pct"/>
          </w:tcPr>
          <w:p w:rsidR="00DD79A9" w:rsidRPr="00037EE3" w:rsidRDefault="00DD79A9" w:rsidP="00C1552F">
            <w:pPr>
              <w:keepNext/>
              <w:keepLines/>
              <w:ind w:left="-108"/>
              <w:jc w:val="center"/>
              <w:rPr>
                <w:rFonts w:ascii="Arial Narrow" w:hAnsi="Arial Narrow" w:cs="Arial"/>
                <w:sz w:val="18"/>
                <w:szCs w:val="18"/>
              </w:rPr>
            </w:pPr>
          </w:p>
          <w:p w:rsidR="00DD79A9" w:rsidRPr="00037EE3" w:rsidRDefault="00DD79A9" w:rsidP="00C1552F">
            <w:pPr>
              <w:keepNext/>
              <w:keepLines/>
              <w:rPr>
                <w:rFonts w:ascii="Arial Narrow" w:hAnsi="Arial Narrow" w:cs="Arial"/>
                <w:sz w:val="18"/>
                <w:szCs w:val="18"/>
              </w:rPr>
            </w:pPr>
          </w:p>
          <w:p w:rsidR="00DD79A9" w:rsidRPr="00037EE3" w:rsidRDefault="00DD79A9" w:rsidP="00C1552F">
            <w:pPr>
              <w:keepNext/>
              <w:keepLines/>
              <w:ind w:left="-108"/>
              <w:jc w:val="center"/>
              <w:rPr>
                <w:rFonts w:ascii="Arial Narrow" w:hAnsi="Arial Narrow" w:cs="Arial"/>
                <w:sz w:val="18"/>
                <w:szCs w:val="18"/>
              </w:rPr>
            </w:pPr>
            <w:r w:rsidRPr="00037EE3">
              <w:rPr>
                <w:rFonts w:ascii="Arial Narrow" w:hAnsi="Arial Narrow" w:cs="Arial"/>
                <w:sz w:val="18"/>
                <w:szCs w:val="18"/>
              </w:rPr>
              <w:t>42</w:t>
            </w:r>
          </w:p>
        </w:tc>
        <w:tc>
          <w:tcPr>
            <w:tcW w:w="397" w:type="pct"/>
          </w:tcPr>
          <w:p w:rsidR="00DD79A9" w:rsidRPr="00037EE3" w:rsidRDefault="00DD79A9" w:rsidP="00C1552F">
            <w:pPr>
              <w:keepNext/>
              <w:keepLines/>
              <w:ind w:left="-108"/>
              <w:jc w:val="center"/>
              <w:rPr>
                <w:rFonts w:ascii="Arial Narrow" w:hAnsi="Arial Narrow" w:cs="Arial"/>
                <w:sz w:val="18"/>
                <w:szCs w:val="18"/>
              </w:rPr>
            </w:pPr>
          </w:p>
          <w:p w:rsidR="00DD79A9" w:rsidRPr="00037EE3" w:rsidRDefault="00DD79A9" w:rsidP="00C1552F">
            <w:pPr>
              <w:keepNext/>
              <w:keepLines/>
              <w:ind w:left="-108"/>
              <w:jc w:val="center"/>
              <w:rPr>
                <w:rFonts w:ascii="Arial Narrow" w:hAnsi="Arial Narrow" w:cs="Arial"/>
                <w:sz w:val="18"/>
                <w:szCs w:val="18"/>
              </w:rPr>
            </w:pPr>
          </w:p>
          <w:p w:rsidR="00DD79A9" w:rsidRPr="00037EE3" w:rsidRDefault="00DD79A9" w:rsidP="00C1552F">
            <w:pPr>
              <w:keepNext/>
              <w:keepLines/>
              <w:ind w:left="-108"/>
              <w:jc w:val="center"/>
              <w:rPr>
                <w:rFonts w:ascii="Arial Narrow" w:hAnsi="Arial Narrow" w:cs="Arial"/>
                <w:sz w:val="18"/>
                <w:szCs w:val="18"/>
              </w:rPr>
            </w:pPr>
            <w:r w:rsidRPr="00037EE3">
              <w:rPr>
                <w:rFonts w:ascii="Arial Narrow" w:hAnsi="Arial Narrow" w:cs="Arial"/>
                <w:sz w:val="18"/>
                <w:szCs w:val="18"/>
              </w:rPr>
              <w:t>3</w:t>
            </w:r>
          </w:p>
          <w:p w:rsidR="00DD79A9" w:rsidRPr="00037EE3" w:rsidRDefault="00DD79A9" w:rsidP="00C1552F">
            <w:pPr>
              <w:keepNext/>
              <w:keepLines/>
              <w:rPr>
                <w:rFonts w:ascii="Arial Narrow" w:hAnsi="Arial Narrow" w:cs="Arial"/>
                <w:sz w:val="18"/>
                <w:szCs w:val="18"/>
              </w:rPr>
            </w:pPr>
          </w:p>
        </w:tc>
        <w:tc>
          <w:tcPr>
            <w:tcW w:w="1429" w:type="pct"/>
          </w:tcPr>
          <w:p w:rsidR="00DD79A9" w:rsidRPr="00037EE3" w:rsidRDefault="00DD79A9" w:rsidP="00C1552F">
            <w:pPr>
              <w:keepNext/>
              <w:keepLines/>
              <w:rPr>
                <w:rFonts w:ascii="Arial Narrow" w:hAnsi="Arial Narrow" w:cs="Arial"/>
                <w:sz w:val="18"/>
                <w:szCs w:val="18"/>
              </w:rPr>
            </w:pPr>
          </w:p>
          <w:p w:rsidR="00DD79A9" w:rsidRPr="00037EE3" w:rsidRDefault="00DD79A9" w:rsidP="00C1552F">
            <w:pPr>
              <w:keepNext/>
              <w:keepLines/>
              <w:rPr>
                <w:rFonts w:ascii="Arial Narrow" w:hAnsi="Arial Narrow" w:cs="Arial"/>
                <w:sz w:val="18"/>
                <w:szCs w:val="18"/>
              </w:rPr>
            </w:pPr>
          </w:p>
          <w:p w:rsidR="00DD79A9" w:rsidRPr="00037EE3" w:rsidRDefault="00DD79A9" w:rsidP="00C1552F">
            <w:pPr>
              <w:keepNext/>
              <w:keepLines/>
              <w:rPr>
                <w:rFonts w:ascii="Arial Narrow" w:hAnsi="Arial Narrow" w:cs="Arial"/>
                <w:sz w:val="18"/>
                <w:szCs w:val="18"/>
              </w:rPr>
            </w:pPr>
            <w:r w:rsidRPr="00037EE3">
              <w:rPr>
                <w:rFonts w:ascii="Arial Narrow" w:hAnsi="Arial Narrow" w:cs="Arial"/>
                <w:sz w:val="18"/>
                <w:szCs w:val="18"/>
              </w:rPr>
              <w:t>Utrogestan</w:t>
            </w:r>
          </w:p>
          <w:p w:rsidR="00DD79A9" w:rsidRPr="00037EE3" w:rsidRDefault="00DD79A9" w:rsidP="00C1552F">
            <w:pPr>
              <w:keepNext/>
              <w:keepLines/>
              <w:rPr>
                <w:rFonts w:ascii="Arial Narrow" w:hAnsi="Arial Narrow" w:cs="Arial"/>
                <w:sz w:val="18"/>
                <w:szCs w:val="18"/>
              </w:rPr>
            </w:pPr>
          </w:p>
        </w:tc>
      </w:tr>
    </w:tbl>
    <w:p w:rsidR="00DD79A9" w:rsidRPr="00037EE3" w:rsidRDefault="00DD79A9" w:rsidP="00C1552F">
      <w:pPr>
        <w:keepNext/>
        <w:keepLines/>
      </w:pPr>
    </w:p>
    <w:bookmarkEnd w:id="29"/>
    <w:p w:rsidR="0072702C" w:rsidRPr="00037EE3" w:rsidRDefault="0072702C" w:rsidP="00C1552F">
      <w:pPr>
        <w:pStyle w:val="BodyText"/>
        <w:keepNext/>
        <w:keepLines/>
        <w:rPr>
          <w:rStyle w:val="CommentReference"/>
        </w:rPr>
      </w:pPr>
      <w:r w:rsidRPr="00037EE3">
        <w:rPr>
          <w:rStyle w:val="CommentReference"/>
        </w:rPr>
        <w:t>Restriction Summary [new</w:t>
      </w:r>
      <w:r w:rsidR="00060043" w:rsidRPr="00037EE3">
        <w:rPr>
          <w:rStyle w:val="CommentReference"/>
        </w:rPr>
        <w:t xml:space="preserve"> RS1</w:t>
      </w:r>
      <w:r w:rsidRPr="00037EE3">
        <w:rPr>
          <w:rStyle w:val="CommentReference"/>
        </w:rPr>
        <w:t>] / Treatment of Concept: [new</w:t>
      </w:r>
      <w:r w:rsidR="00060043" w:rsidRPr="00037EE3">
        <w:rPr>
          <w:rStyle w:val="CommentReference"/>
        </w:rPr>
        <w:t xml:space="preserve"> ToC1</w:t>
      </w:r>
      <w:r w:rsidRPr="00037EE3">
        <w:rPr>
          <w:rStyle w:val="CommentReferenc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271F89" w:rsidRPr="00037EE3" w:rsidTr="00271F89">
        <w:tc>
          <w:tcPr>
            <w:tcW w:w="5000" w:type="pct"/>
            <w:tcBorders>
              <w:top w:val="single" w:sz="4" w:space="0" w:color="auto"/>
              <w:left w:val="single" w:sz="4" w:space="0" w:color="auto"/>
              <w:bottom w:val="single" w:sz="4" w:space="0" w:color="auto"/>
              <w:right w:val="single" w:sz="4" w:space="0" w:color="auto"/>
            </w:tcBorders>
          </w:tcPr>
          <w:p w:rsidR="00271F89" w:rsidRPr="00037EE3" w:rsidRDefault="00271F89" w:rsidP="00C1552F">
            <w:pPr>
              <w:keepNext/>
              <w:keepLines/>
              <w:rPr>
                <w:rFonts w:ascii="Arial Narrow" w:hAnsi="Arial Narrow" w:cs="Arial"/>
                <w:sz w:val="18"/>
                <w:szCs w:val="18"/>
              </w:rPr>
            </w:pPr>
            <w:r w:rsidRPr="00037EE3">
              <w:rPr>
                <w:rFonts w:ascii="Arial Narrow" w:hAnsi="Arial Narrow" w:cs="Arial"/>
                <w:b/>
                <w:sz w:val="18"/>
                <w:szCs w:val="18"/>
              </w:rPr>
              <w:t>Category / Program:</w:t>
            </w:r>
            <w:r w:rsidRPr="00037EE3">
              <w:rPr>
                <w:rFonts w:ascii="Arial Narrow" w:hAnsi="Arial Narrow" w:cs="Arial"/>
                <w:sz w:val="18"/>
                <w:szCs w:val="18"/>
              </w:rPr>
              <w:t xml:space="preserve"> </w:t>
            </w:r>
            <w:r w:rsidRPr="00037EE3">
              <w:rPr>
                <w:rFonts w:ascii="Arial Narrow" w:hAnsi="Arial Narrow" w:cs="Arial"/>
                <w:b/>
                <w:sz w:val="18"/>
                <w:szCs w:val="18"/>
              </w:rPr>
              <w:t xml:space="preserve"> </w:t>
            </w:r>
            <w:r w:rsidRPr="00037EE3">
              <w:rPr>
                <w:rFonts w:ascii="Arial Narrow" w:hAnsi="Arial Narrow" w:cs="Arial"/>
                <w:sz w:val="18"/>
                <w:szCs w:val="18"/>
              </w:rPr>
              <w:t xml:space="preserve">GENERAL – General Schedule (Code GE) </w:t>
            </w:r>
          </w:p>
        </w:tc>
      </w:tr>
      <w:tr w:rsidR="00271F89" w:rsidRPr="00037EE3" w:rsidTr="00271F89">
        <w:trPr>
          <w:trHeight w:val="240"/>
        </w:trPr>
        <w:tc>
          <w:tcPr>
            <w:tcW w:w="5000" w:type="pct"/>
            <w:tcBorders>
              <w:top w:val="single" w:sz="4" w:space="0" w:color="auto"/>
              <w:left w:val="single" w:sz="4" w:space="0" w:color="auto"/>
              <w:bottom w:val="single" w:sz="4" w:space="0" w:color="auto"/>
              <w:right w:val="single" w:sz="4" w:space="0" w:color="auto"/>
            </w:tcBorders>
          </w:tcPr>
          <w:p w:rsidR="00271F89" w:rsidRPr="00037EE3" w:rsidRDefault="00271F89" w:rsidP="00C1552F">
            <w:pPr>
              <w:keepNext/>
              <w:keepLines/>
              <w:rPr>
                <w:rFonts w:ascii="Arial Narrow" w:hAnsi="Arial Narrow" w:cs="Arial"/>
                <w:b/>
                <w:sz w:val="18"/>
                <w:szCs w:val="18"/>
              </w:rPr>
            </w:pPr>
            <w:r w:rsidRPr="00037EE3">
              <w:rPr>
                <w:rFonts w:ascii="Arial Narrow" w:hAnsi="Arial Narrow" w:cs="Arial"/>
                <w:b/>
                <w:sz w:val="18"/>
                <w:szCs w:val="18"/>
              </w:rPr>
              <w:t>Prescriber type:</w:t>
            </w:r>
            <w:r w:rsidRPr="00037EE3">
              <w:rPr>
                <w:rFonts w:ascii="Arial Narrow" w:hAnsi="Arial Narrow" w:cs="Arial"/>
                <w:sz w:val="18"/>
                <w:szCs w:val="18"/>
              </w:rPr>
              <w:t xml:space="preserve"> </w:t>
            </w:r>
            <w:r w:rsidRPr="00037EE3">
              <w:rPr>
                <w:rFonts w:ascii="Arial Narrow" w:hAnsi="Arial Narrow" w:cs="Arial"/>
                <w:b/>
                <w:sz w:val="18"/>
                <w:szCs w:val="18"/>
              </w:rPr>
              <w:t xml:space="preserve"> </w:t>
            </w:r>
            <w:r w:rsidRPr="00037EE3">
              <w:rPr>
                <w:rFonts w:ascii="Arial Narrow" w:hAnsi="Arial Narrow" w:cs="Arial"/>
                <w:sz w:val="18"/>
                <w:szCs w:val="18"/>
              </w:rPr>
              <w:fldChar w:fldCharType="begin">
                <w:ffData>
                  <w:name w:val=""/>
                  <w:enabled/>
                  <w:calcOnExit w:val="0"/>
                  <w:checkBox>
                    <w:sizeAuto/>
                    <w:default w:val="1"/>
                  </w:checkBox>
                </w:ffData>
              </w:fldChar>
            </w:r>
            <w:r w:rsidRPr="00037EE3">
              <w:rPr>
                <w:rFonts w:ascii="Arial Narrow" w:hAnsi="Arial Narrow" w:cs="Arial"/>
                <w:sz w:val="18"/>
                <w:szCs w:val="18"/>
              </w:rPr>
              <w:instrText xml:space="preserve"> FORMCHECKBOX </w:instrText>
            </w:r>
            <w:r w:rsidR="00CD28E6">
              <w:rPr>
                <w:rFonts w:ascii="Arial Narrow" w:hAnsi="Arial Narrow" w:cs="Arial"/>
                <w:sz w:val="18"/>
                <w:szCs w:val="18"/>
              </w:rPr>
            </w:r>
            <w:r w:rsidR="00CD28E6">
              <w:rPr>
                <w:rFonts w:ascii="Arial Narrow" w:hAnsi="Arial Narrow" w:cs="Arial"/>
                <w:sz w:val="18"/>
                <w:szCs w:val="18"/>
              </w:rPr>
              <w:fldChar w:fldCharType="separate"/>
            </w:r>
            <w:r w:rsidRPr="00037EE3">
              <w:rPr>
                <w:rFonts w:ascii="Arial Narrow" w:hAnsi="Arial Narrow" w:cs="Arial"/>
                <w:sz w:val="18"/>
                <w:szCs w:val="18"/>
              </w:rPr>
              <w:fldChar w:fldCharType="end"/>
            </w:r>
            <w:r w:rsidRPr="00037EE3">
              <w:rPr>
                <w:rFonts w:ascii="Arial Narrow" w:hAnsi="Arial Narrow" w:cs="Arial"/>
                <w:sz w:val="18"/>
                <w:szCs w:val="18"/>
              </w:rPr>
              <w:t xml:space="preserve">Medical Practitioners  </w:t>
            </w:r>
            <w:r w:rsidRPr="00037EE3">
              <w:rPr>
                <w:rFonts w:ascii="Arial Narrow" w:hAnsi="Arial Narrow" w:cs="Arial"/>
                <w:sz w:val="18"/>
                <w:szCs w:val="18"/>
              </w:rPr>
              <w:fldChar w:fldCharType="begin">
                <w:ffData>
                  <w:name w:val=""/>
                  <w:enabled/>
                  <w:calcOnExit w:val="0"/>
                  <w:checkBox>
                    <w:sizeAuto/>
                    <w:default w:val="1"/>
                  </w:checkBox>
                </w:ffData>
              </w:fldChar>
            </w:r>
            <w:r w:rsidRPr="00037EE3">
              <w:rPr>
                <w:rFonts w:ascii="Arial Narrow" w:hAnsi="Arial Narrow" w:cs="Arial"/>
                <w:sz w:val="18"/>
                <w:szCs w:val="18"/>
              </w:rPr>
              <w:instrText xml:space="preserve"> FORMCHECKBOX </w:instrText>
            </w:r>
            <w:r w:rsidR="00CD28E6">
              <w:rPr>
                <w:rFonts w:ascii="Arial Narrow" w:hAnsi="Arial Narrow" w:cs="Arial"/>
                <w:sz w:val="18"/>
                <w:szCs w:val="18"/>
              </w:rPr>
            </w:r>
            <w:r w:rsidR="00CD28E6">
              <w:rPr>
                <w:rFonts w:ascii="Arial Narrow" w:hAnsi="Arial Narrow" w:cs="Arial"/>
                <w:sz w:val="18"/>
                <w:szCs w:val="18"/>
              </w:rPr>
              <w:fldChar w:fldCharType="separate"/>
            </w:r>
            <w:r w:rsidRPr="00037EE3">
              <w:rPr>
                <w:rFonts w:ascii="Arial Narrow" w:hAnsi="Arial Narrow" w:cs="Arial"/>
                <w:sz w:val="18"/>
                <w:szCs w:val="18"/>
              </w:rPr>
              <w:fldChar w:fldCharType="end"/>
            </w:r>
            <w:r w:rsidRPr="00037EE3">
              <w:rPr>
                <w:rFonts w:ascii="Arial Narrow" w:hAnsi="Arial Narrow" w:cs="Arial"/>
                <w:sz w:val="18"/>
                <w:szCs w:val="18"/>
              </w:rPr>
              <w:t xml:space="preserve">Nurse practitioners  </w:t>
            </w:r>
            <w:r w:rsidRPr="00037EE3">
              <w:rPr>
                <w:rFonts w:ascii="Arial Narrow" w:hAnsi="Arial Narrow" w:cs="Arial"/>
                <w:sz w:val="18"/>
                <w:szCs w:val="18"/>
              </w:rPr>
              <w:fldChar w:fldCharType="begin">
                <w:ffData>
                  <w:name w:val="Check5"/>
                  <w:enabled/>
                  <w:calcOnExit w:val="0"/>
                  <w:checkBox>
                    <w:sizeAuto/>
                    <w:default w:val="1"/>
                  </w:checkBox>
                </w:ffData>
              </w:fldChar>
            </w:r>
            <w:bookmarkStart w:id="30" w:name="Check5"/>
            <w:r w:rsidRPr="00037EE3">
              <w:rPr>
                <w:rFonts w:ascii="Arial Narrow" w:hAnsi="Arial Narrow" w:cs="Arial"/>
                <w:sz w:val="18"/>
                <w:szCs w:val="18"/>
              </w:rPr>
              <w:instrText xml:space="preserve"> FORMCHECKBOX </w:instrText>
            </w:r>
            <w:r w:rsidR="00CD28E6">
              <w:rPr>
                <w:rFonts w:ascii="Arial Narrow" w:hAnsi="Arial Narrow" w:cs="Arial"/>
                <w:sz w:val="18"/>
                <w:szCs w:val="18"/>
              </w:rPr>
            </w:r>
            <w:r w:rsidR="00CD28E6">
              <w:rPr>
                <w:rFonts w:ascii="Arial Narrow" w:hAnsi="Arial Narrow" w:cs="Arial"/>
                <w:sz w:val="18"/>
                <w:szCs w:val="18"/>
              </w:rPr>
              <w:fldChar w:fldCharType="separate"/>
            </w:r>
            <w:r w:rsidRPr="00037EE3">
              <w:rPr>
                <w:rFonts w:ascii="Arial Narrow" w:hAnsi="Arial Narrow" w:cs="Arial"/>
                <w:sz w:val="18"/>
                <w:szCs w:val="18"/>
              </w:rPr>
              <w:fldChar w:fldCharType="end"/>
            </w:r>
            <w:bookmarkEnd w:id="30"/>
            <w:r w:rsidRPr="00037EE3">
              <w:rPr>
                <w:rFonts w:ascii="Arial Narrow" w:hAnsi="Arial Narrow" w:cs="Arial"/>
                <w:sz w:val="18"/>
                <w:szCs w:val="18"/>
              </w:rPr>
              <w:t>Midwives</w:t>
            </w:r>
          </w:p>
        </w:tc>
      </w:tr>
      <w:tr w:rsidR="00271F89" w:rsidRPr="00037EE3" w:rsidTr="00271F89">
        <w:tc>
          <w:tcPr>
            <w:tcW w:w="5000" w:type="pct"/>
            <w:tcBorders>
              <w:top w:val="single" w:sz="4" w:space="0" w:color="auto"/>
              <w:left w:val="single" w:sz="4" w:space="0" w:color="auto"/>
              <w:bottom w:val="single" w:sz="4" w:space="0" w:color="auto"/>
              <w:right w:val="single" w:sz="4" w:space="0" w:color="auto"/>
            </w:tcBorders>
          </w:tcPr>
          <w:p w:rsidR="00271F89" w:rsidRPr="00037EE3" w:rsidRDefault="00271F89" w:rsidP="00C1552F">
            <w:pPr>
              <w:keepNext/>
              <w:keepLines/>
              <w:rPr>
                <w:rFonts w:ascii="Arial Narrow" w:eastAsia="Calibri" w:hAnsi="Arial Narrow" w:cs="Arial"/>
                <w:sz w:val="18"/>
                <w:szCs w:val="18"/>
              </w:rPr>
            </w:pPr>
            <w:r w:rsidRPr="00037EE3">
              <w:rPr>
                <w:rFonts w:ascii="Arial Narrow" w:hAnsi="Arial Narrow" w:cs="Arial"/>
                <w:b/>
                <w:sz w:val="18"/>
                <w:szCs w:val="18"/>
              </w:rPr>
              <w:t xml:space="preserve">Restriction Type – </w:t>
            </w:r>
            <w:r w:rsidRPr="00037EE3">
              <w:rPr>
                <w:rFonts w:ascii="Arial Narrow" w:eastAsia="Calibri" w:hAnsi="Arial Narrow" w:cs="Arial"/>
                <w:sz w:val="18"/>
                <w:szCs w:val="18"/>
              </w:rPr>
              <w:fldChar w:fldCharType="begin">
                <w:ffData>
                  <w:name w:val=""/>
                  <w:enabled/>
                  <w:calcOnExit w:val="0"/>
                  <w:checkBox>
                    <w:sizeAuto/>
                    <w:default w:val="1"/>
                  </w:checkBox>
                </w:ffData>
              </w:fldChar>
            </w:r>
            <w:r w:rsidRPr="00037EE3">
              <w:rPr>
                <w:rFonts w:ascii="Arial Narrow" w:eastAsia="Calibri" w:hAnsi="Arial Narrow" w:cs="Arial"/>
                <w:sz w:val="18"/>
                <w:szCs w:val="18"/>
              </w:rPr>
              <w:instrText xml:space="preserve"> FORMCHECKBOX </w:instrText>
            </w:r>
            <w:r w:rsidR="00CD28E6">
              <w:rPr>
                <w:rFonts w:ascii="Arial Narrow" w:eastAsia="Calibri" w:hAnsi="Arial Narrow" w:cs="Arial"/>
                <w:sz w:val="18"/>
                <w:szCs w:val="18"/>
              </w:rPr>
            </w:r>
            <w:r w:rsidR="00CD28E6">
              <w:rPr>
                <w:rFonts w:ascii="Arial Narrow" w:eastAsia="Calibri" w:hAnsi="Arial Narrow" w:cs="Arial"/>
                <w:sz w:val="18"/>
                <w:szCs w:val="18"/>
              </w:rPr>
              <w:fldChar w:fldCharType="separate"/>
            </w:r>
            <w:r w:rsidRPr="00037EE3">
              <w:rPr>
                <w:rFonts w:ascii="Arial Narrow" w:eastAsia="Calibri" w:hAnsi="Arial Narrow" w:cs="Arial"/>
                <w:sz w:val="18"/>
                <w:szCs w:val="18"/>
              </w:rPr>
              <w:fldChar w:fldCharType="end"/>
            </w:r>
            <w:r w:rsidRPr="00037EE3">
              <w:rPr>
                <w:rFonts w:ascii="Arial Narrow" w:eastAsia="Calibri" w:hAnsi="Arial Narrow" w:cs="Arial"/>
                <w:sz w:val="18"/>
                <w:szCs w:val="18"/>
              </w:rPr>
              <w:t xml:space="preserve"> Authority Required – Streamlined [new code]</w:t>
            </w:r>
          </w:p>
        </w:tc>
      </w:tr>
      <w:tr w:rsidR="00271F89" w:rsidRPr="00037EE3" w:rsidTr="00271F89">
        <w:tc>
          <w:tcPr>
            <w:tcW w:w="5000" w:type="pct"/>
            <w:tcBorders>
              <w:left w:val="single" w:sz="4" w:space="0" w:color="auto"/>
            </w:tcBorders>
            <w:vAlign w:val="center"/>
          </w:tcPr>
          <w:p w:rsidR="00271F89" w:rsidRPr="00037EE3" w:rsidRDefault="00271F89" w:rsidP="00C1552F">
            <w:pPr>
              <w:keepNext/>
              <w:keepLines/>
              <w:rPr>
                <w:rFonts w:ascii="Arial Narrow" w:hAnsi="Arial Narrow"/>
                <w:b/>
                <w:bCs/>
                <w:sz w:val="18"/>
                <w:szCs w:val="18"/>
                <w:lang w:eastAsia="en-AU"/>
              </w:rPr>
            </w:pPr>
            <w:r w:rsidRPr="00037EE3">
              <w:rPr>
                <w:rFonts w:ascii="Arial Narrow" w:hAnsi="Arial Narrow"/>
                <w:b/>
                <w:bCs/>
                <w:sz w:val="18"/>
                <w:szCs w:val="18"/>
                <w:lang w:eastAsia="en-AU"/>
              </w:rPr>
              <w:t xml:space="preserve">Episodicity: </w:t>
            </w:r>
            <w:r w:rsidRPr="00037EE3">
              <w:rPr>
                <w:rFonts w:ascii="Arial Narrow" w:hAnsi="Arial Narrow"/>
                <w:bCs/>
                <w:sz w:val="18"/>
                <w:szCs w:val="18"/>
                <w:lang w:eastAsia="en-AU"/>
              </w:rPr>
              <w:t>Prevention of</w:t>
            </w:r>
          </w:p>
        </w:tc>
      </w:tr>
      <w:tr w:rsidR="00271F89" w:rsidRPr="00037EE3" w:rsidTr="00271F89">
        <w:tc>
          <w:tcPr>
            <w:tcW w:w="5000" w:type="pct"/>
            <w:tcBorders>
              <w:left w:val="single" w:sz="4" w:space="0" w:color="auto"/>
            </w:tcBorders>
            <w:vAlign w:val="center"/>
          </w:tcPr>
          <w:p w:rsidR="00271F89" w:rsidRPr="00037EE3" w:rsidRDefault="00271F89" w:rsidP="00C1552F">
            <w:pPr>
              <w:keepNext/>
              <w:keepLines/>
              <w:rPr>
                <w:rFonts w:ascii="Arial Narrow" w:hAnsi="Arial Narrow"/>
                <w:b/>
                <w:bCs/>
                <w:sz w:val="18"/>
                <w:szCs w:val="18"/>
                <w:lang w:eastAsia="en-AU"/>
              </w:rPr>
            </w:pPr>
            <w:r w:rsidRPr="00037EE3">
              <w:rPr>
                <w:rFonts w:ascii="Arial Narrow" w:hAnsi="Arial Narrow"/>
                <w:b/>
                <w:bCs/>
                <w:sz w:val="18"/>
                <w:szCs w:val="18"/>
                <w:lang w:eastAsia="en-AU"/>
              </w:rPr>
              <w:t xml:space="preserve">Severity: </w:t>
            </w:r>
            <w:r w:rsidRPr="00037EE3">
              <w:rPr>
                <w:rFonts w:ascii="Arial Narrow" w:hAnsi="Arial Narrow"/>
                <w:bCs/>
                <w:sz w:val="18"/>
                <w:szCs w:val="18"/>
                <w:lang w:eastAsia="en-AU"/>
              </w:rPr>
              <w:t>[blank]</w:t>
            </w:r>
          </w:p>
        </w:tc>
      </w:tr>
      <w:tr w:rsidR="00271F89" w:rsidRPr="00037EE3" w:rsidTr="00271F89">
        <w:tc>
          <w:tcPr>
            <w:tcW w:w="5000" w:type="pct"/>
            <w:vAlign w:val="center"/>
          </w:tcPr>
          <w:p w:rsidR="00271F89" w:rsidRPr="00037EE3" w:rsidRDefault="00271F89" w:rsidP="00C1552F">
            <w:pPr>
              <w:keepNext/>
              <w:keepLines/>
              <w:rPr>
                <w:rFonts w:ascii="Arial Narrow" w:hAnsi="Arial Narrow"/>
                <w:b/>
                <w:bCs/>
                <w:sz w:val="18"/>
                <w:szCs w:val="18"/>
                <w:lang w:eastAsia="en-AU"/>
              </w:rPr>
            </w:pPr>
            <w:r w:rsidRPr="00037EE3">
              <w:rPr>
                <w:rFonts w:ascii="Arial Narrow" w:hAnsi="Arial Narrow"/>
                <w:b/>
                <w:bCs/>
                <w:sz w:val="18"/>
                <w:szCs w:val="18"/>
                <w:lang w:eastAsia="en-AU"/>
              </w:rPr>
              <w:t xml:space="preserve">Condition: </w:t>
            </w:r>
            <w:r w:rsidRPr="00037EE3">
              <w:rPr>
                <w:rFonts w:ascii="Arial Narrow" w:hAnsi="Arial Narrow"/>
                <w:bCs/>
                <w:sz w:val="18"/>
                <w:szCs w:val="18"/>
                <w:lang w:eastAsia="en-AU"/>
              </w:rPr>
              <w:t>preterm birth</w:t>
            </w:r>
          </w:p>
        </w:tc>
      </w:tr>
      <w:tr w:rsidR="00271F89" w:rsidRPr="00037EE3" w:rsidTr="00271F89">
        <w:tc>
          <w:tcPr>
            <w:tcW w:w="5000" w:type="pct"/>
            <w:vAlign w:val="center"/>
            <w:hideMark/>
          </w:tcPr>
          <w:p w:rsidR="00271F89" w:rsidRPr="00037EE3" w:rsidRDefault="00271F89" w:rsidP="00C1552F">
            <w:pPr>
              <w:keepNext/>
              <w:keepLines/>
              <w:rPr>
                <w:rFonts w:ascii="Arial Narrow" w:hAnsi="Arial Narrow"/>
                <w:sz w:val="18"/>
                <w:szCs w:val="18"/>
                <w:lang w:eastAsia="en-AU"/>
              </w:rPr>
            </w:pPr>
            <w:r w:rsidRPr="00037EE3">
              <w:rPr>
                <w:rFonts w:ascii="Arial Narrow" w:hAnsi="Arial Narrow"/>
                <w:b/>
                <w:bCs/>
                <w:sz w:val="18"/>
                <w:szCs w:val="18"/>
                <w:lang w:eastAsia="en-AU"/>
              </w:rPr>
              <w:t>Indication:</w:t>
            </w:r>
            <w:r w:rsidRPr="00037EE3">
              <w:rPr>
                <w:rFonts w:ascii="Arial Narrow" w:hAnsi="Arial Narrow"/>
                <w:sz w:val="18"/>
                <w:szCs w:val="18"/>
                <w:lang w:eastAsia="en-AU"/>
              </w:rPr>
              <w:t xml:space="preserve"> </w:t>
            </w:r>
            <w:r w:rsidRPr="00037EE3">
              <w:rPr>
                <w:rFonts w:ascii="Arial Narrow" w:hAnsi="Arial Narrow"/>
                <w:bCs/>
                <w:sz w:val="18"/>
                <w:szCs w:val="18"/>
                <w:lang w:eastAsia="en-AU"/>
              </w:rPr>
              <w:t>Prevention of preterm birth</w:t>
            </w:r>
          </w:p>
        </w:tc>
      </w:tr>
      <w:tr w:rsidR="00271F89" w:rsidRPr="00037EE3" w:rsidTr="00271F89">
        <w:tc>
          <w:tcPr>
            <w:tcW w:w="5000" w:type="pct"/>
            <w:vAlign w:val="center"/>
          </w:tcPr>
          <w:p w:rsidR="00271F89" w:rsidRPr="00037EE3" w:rsidRDefault="00271F89" w:rsidP="00C1552F">
            <w:pPr>
              <w:keepNext/>
              <w:keepLines/>
              <w:rPr>
                <w:rFonts w:ascii="Arial Narrow" w:hAnsi="Arial Narrow"/>
                <w:b/>
                <w:bCs/>
                <w:sz w:val="18"/>
                <w:szCs w:val="18"/>
                <w:lang w:eastAsia="en-AU"/>
              </w:rPr>
            </w:pPr>
            <w:r w:rsidRPr="00037EE3">
              <w:rPr>
                <w:rFonts w:ascii="Arial Narrow" w:hAnsi="Arial Narrow"/>
                <w:b/>
                <w:bCs/>
                <w:color w:val="333333"/>
                <w:sz w:val="18"/>
                <w:szCs w:val="18"/>
                <w:lang w:eastAsia="en-AU"/>
              </w:rPr>
              <w:t>Clinical criteria:</w:t>
            </w:r>
          </w:p>
        </w:tc>
      </w:tr>
      <w:tr w:rsidR="00271F89" w:rsidRPr="00037EE3" w:rsidTr="00271F89">
        <w:tc>
          <w:tcPr>
            <w:tcW w:w="5000" w:type="pct"/>
            <w:vAlign w:val="center"/>
          </w:tcPr>
          <w:p w:rsidR="00271F89" w:rsidRPr="00037EE3" w:rsidRDefault="00271F89" w:rsidP="00C1552F">
            <w:pPr>
              <w:keepNext/>
              <w:keepLines/>
              <w:rPr>
                <w:rFonts w:ascii="Arial Narrow" w:hAnsi="Arial Narrow"/>
                <w:b/>
                <w:bCs/>
                <w:sz w:val="18"/>
                <w:szCs w:val="18"/>
                <w:lang w:eastAsia="en-AU"/>
              </w:rPr>
            </w:pPr>
            <w:r w:rsidRPr="00037EE3">
              <w:rPr>
                <w:rFonts w:ascii="Arial Narrow" w:hAnsi="Arial Narrow"/>
                <w:color w:val="333333"/>
                <w:sz w:val="18"/>
                <w:szCs w:val="18"/>
                <w:lang w:eastAsia="en-AU"/>
              </w:rPr>
              <w:t>Patient must have a singleton pregnancy</w:t>
            </w:r>
          </w:p>
        </w:tc>
      </w:tr>
      <w:tr w:rsidR="00271F89" w:rsidRPr="00037EE3" w:rsidTr="002D5432">
        <w:trPr>
          <w:trHeight w:val="28"/>
        </w:trPr>
        <w:tc>
          <w:tcPr>
            <w:tcW w:w="5000" w:type="pct"/>
            <w:vAlign w:val="center"/>
          </w:tcPr>
          <w:p w:rsidR="00271F89" w:rsidRPr="00037EE3" w:rsidRDefault="00271F89" w:rsidP="00C1552F">
            <w:pPr>
              <w:keepNext/>
              <w:keepLines/>
              <w:rPr>
                <w:rFonts w:ascii="Arial Narrow" w:hAnsi="Arial Narrow"/>
                <w:b/>
                <w:color w:val="333333"/>
                <w:sz w:val="18"/>
                <w:szCs w:val="18"/>
                <w:lang w:eastAsia="en-AU"/>
              </w:rPr>
            </w:pPr>
            <w:r w:rsidRPr="00037EE3">
              <w:rPr>
                <w:rFonts w:ascii="Arial Narrow" w:hAnsi="Arial Narrow"/>
                <w:b/>
                <w:color w:val="333333"/>
                <w:sz w:val="18"/>
                <w:szCs w:val="18"/>
                <w:lang w:eastAsia="en-AU"/>
              </w:rPr>
              <w:t>AND</w:t>
            </w:r>
          </w:p>
        </w:tc>
      </w:tr>
      <w:tr w:rsidR="00271F89" w:rsidRPr="00037EE3" w:rsidTr="00271F89">
        <w:tc>
          <w:tcPr>
            <w:tcW w:w="5000" w:type="pct"/>
            <w:vAlign w:val="center"/>
            <w:hideMark/>
          </w:tcPr>
          <w:p w:rsidR="00271F89" w:rsidRPr="00037EE3" w:rsidRDefault="00271F89" w:rsidP="00C1552F">
            <w:pPr>
              <w:keepNext/>
              <w:keepLines/>
              <w:rPr>
                <w:rFonts w:ascii="Arial Narrow" w:hAnsi="Arial Narrow"/>
                <w:sz w:val="18"/>
                <w:szCs w:val="18"/>
                <w:lang w:eastAsia="en-AU"/>
              </w:rPr>
            </w:pPr>
            <w:r w:rsidRPr="00037EE3">
              <w:rPr>
                <w:rFonts w:ascii="Arial Narrow" w:hAnsi="Arial Narrow"/>
                <w:b/>
                <w:bCs/>
                <w:sz w:val="18"/>
                <w:szCs w:val="18"/>
                <w:lang w:eastAsia="en-AU"/>
              </w:rPr>
              <w:t>Clinical criteria:</w:t>
            </w:r>
          </w:p>
        </w:tc>
      </w:tr>
      <w:tr w:rsidR="00271F89" w:rsidRPr="00037EE3" w:rsidTr="00271F89">
        <w:tc>
          <w:tcPr>
            <w:tcW w:w="5000" w:type="pct"/>
            <w:hideMark/>
          </w:tcPr>
          <w:p w:rsidR="00271F89" w:rsidRPr="00037EE3" w:rsidRDefault="00271F89" w:rsidP="00C1552F">
            <w:pPr>
              <w:keepNext/>
              <w:keepLines/>
            </w:pPr>
            <w:r w:rsidRPr="00037EE3">
              <w:rPr>
                <w:rFonts w:ascii="Arial Narrow" w:hAnsi="Arial Narrow"/>
                <w:sz w:val="18"/>
                <w:szCs w:val="18"/>
                <w:lang w:eastAsia="en-AU"/>
              </w:rPr>
              <w:t>Patient must have at least one of: (i) short cervix (mid-trimester sonographic cervix no greater than 25 mm), (ii) a history of spontaneous preterm birth</w:t>
            </w:r>
          </w:p>
        </w:tc>
      </w:tr>
      <w:tr w:rsidR="00271F89" w:rsidRPr="00037EE3" w:rsidTr="00271F89">
        <w:tc>
          <w:tcPr>
            <w:tcW w:w="5000" w:type="pct"/>
            <w:vAlign w:val="center"/>
            <w:hideMark/>
          </w:tcPr>
          <w:p w:rsidR="00271F89" w:rsidRPr="00037EE3" w:rsidRDefault="00271F89" w:rsidP="00C1552F">
            <w:pPr>
              <w:keepNext/>
              <w:keepLines/>
              <w:rPr>
                <w:rFonts w:ascii="Arial Narrow" w:hAnsi="Arial Narrow"/>
                <w:sz w:val="18"/>
                <w:szCs w:val="18"/>
                <w:lang w:eastAsia="en-AU"/>
              </w:rPr>
            </w:pPr>
          </w:p>
        </w:tc>
      </w:tr>
      <w:tr w:rsidR="00271F89" w:rsidRPr="00037EE3" w:rsidTr="00271F89">
        <w:tc>
          <w:tcPr>
            <w:tcW w:w="5000" w:type="pct"/>
            <w:vAlign w:val="center"/>
          </w:tcPr>
          <w:p w:rsidR="00271F89" w:rsidRPr="00037EE3" w:rsidRDefault="00271F89" w:rsidP="00C1552F">
            <w:pPr>
              <w:keepNext/>
              <w:keepLines/>
              <w:rPr>
                <w:rFonts w:ascii="Arial Narrow" w:hAnsi="Arial Narrow"/>
                <w:b/>
                <w:sz w:val="18"/>
                <w:szCs w:val="18"/>
                <w:lang w:eastAsia="en-AU"/>
              </w:rPr>
            </w:pPr>
            <w:r>
              <w:rPr>
                <w:rFonts w:ascii="Arial Narrow" w:hAnsi="Arial Narrow"/>
                <w:b/>
                <w:sz w:val="18"/>
                <w:szCs w:val="18"/>
                <w:lang w:eastAsia="en-AU"/>
              </w:rPr>
              <w:t>AND</w:t>
            </w:r>
          </w:p>
        </w:tc>
      </w:tr>
      <w:tr w:rsidR="00271F89" w:rsidRPr="00037EE3" w:rsidTr="00271F89">
        <w:tc>
          <w:tcPr>
            <w:tcW w:w="5000" w:type="pct"/>
            <w:vAlign w:val="center"/>
          </w:tcPr>
          <w:p w:rsidR="00271F89" w:rsidRPr="00037EE3" w:rsidRDefault="00271F89" w:rsidP="00C1552F">
            <w:pPr>
              <w:keepNext/>
              <w:keepLines/>
              <w:rPr>
                <w:rFonts w:ascii="Arial Narrow" w:hAnsi="Arial Narrow"/>
                <w:b/>
                <w:sz w:val="18"/>
                <w:szCs w:val="18"/>
                <w:lang w:eastAsia="en-AU"/>
              </w:rPr>
            </w:pPr>
            <w:r w:rsidRPr="00037EE3">
              <w:rPr>
                <w:rFonts w:ascii="Arial Narrow" w:hAnsi="Arial Narrow"/>
                <w:b/>
                <w:sz w:val="18"/>
                <w:szCs w:val="18"/>
                <w:lang w:eastAsia="en-AU"/>
              </w:rPr>
              <w:t xml:space="preserve">Clinical criteria: </w:t>
            </w:r>
          </w:p>
        </w:tc>
      </w:tr>
      <w:tr w:rsidR="00271F89" w:rsidRPr="00037EE3" w:rsidTr="00271F89">
        <w:tc>
          <w:tcPr>
            <w:tcW w:w="5000" w:type="pct"/>
            <w:vAlign w:val="center"/>
          </w:tcPr>
          <w:p w:rsidR="00271F89" w:rsidRPr="00037EE3" w:rsidRDefault="00271F89" w:rsidP="00C1552F">
            <w:pPr>
              <w:keepNext/>
              <w:keepLines/>
              <w:rPr>
                <w:rFonts w:ascii="Arial Narrow" w:hAnsi="Arial Narrow"/>
                <w:color w:val="333333"/>
                <w:sz w:val="18"/>
                <w:szCs w:val="18"/>
                <w:lang w:eastAsia="en-AU"/>
              </w:rPr>
            </w:pPr>
            <w:r w:rsidRPr="00037EE3">
              <w:rPr>
                <w:rFonts w:ascii="Arial Narrow" w:hAnsi="Arial Narrow"/>
                <w:color w:val="333333"/>
                <w:sz w:val="18"/>
                <w:szCs w:val="18"/>
                <w:lang w:eastAsia="en-AU"/>
              </w:rPr>
              <w:t xml:space="preserve">The treatment must be administered no earlier than at 16 weeks gestation </w:t>
            </w:r>
          </w:p>
        </w:tc>
      </w:tr>
      <w:tr w:rsidR="00271F89" w:rsidRPr="00037EE3" w:rsidTr="00271F89">
        <w:tc>
          <w:tcPr>
            <w:tcW w:w="5000" w:type="pct"/>
            <w:vAlign w:val="center"/>
          </w:tcPr>
          <w:p w:rsidR="00271F89" w:rsidRPr="00037EE3" w:rsidRDefault="00271F89" w:rsidP="00C1552F">
            <w:pPr>
              <w:keepNext/>
              <w:keepLines/>
              <w:rPr>
                <w:rFonts w:ascii="Arial Narrow" w:hAnsi="Arial Narrow"/>
                <w:b/>
                <w:color w:val="333333"/>
                <w:sz w:val="18"/>
                <w:szCs w:val="18"/>
                <w:lang w:eastAsia="en-AU"/>
              </w:rPr>
            </w:pPr>
            <w:r w:rsidRPr="00037EE3">
              <w:rPr>
                <w:rFonts w:ascii="Arial Narrow" w:hAnsi="Arial Narrow"/>
                <w:b/>
                <w:color w:val="333333"/>
                <w:sz w:val="18"/>
                <w:szCs w:val="18"/>
                <w:lang w:eastAsia="en-AU"/>
              </w:rPr>
              <w:t xml:space="preserve">Administrative Advice:  </w:t>
            </w:r>
            <w:r w:rsidRPr="00037EE3">
              <w:rPr>
                <w:rFonts w:ascii="Arial Narrow" w:hAnsi="Arial Narrow"/>
                <w:color w:val="333333"/>
                <w:sz w:val="18"/>
                <w:szCs w:val="18"/>
                <w:lang w:eastAsia="en-AU"/>
              </w:rPr>
              <w:t>No increase in the maximum quantity or number of units may be authorised.</w:t>
            </w:r>
          </w:p>
        </w:tc>
      </w:tr>
      <w:tr w:rsidR="00271F89" w:rsidRPr="00037EE3" w:rsidTr="00271F89">
        <w:tc>
          <w:tcPr>
            <w:tcW w:w="5000" w:type="pct"/>
            <w:vAlign w:val="center"/>
          </w:tcPr>
          <w:p w:rsidR="00271F89" w:rsidRPr="00037EE3" w:rsidRDefault="00271F89" w:rsidP="00C1552F">
            <w:pPr>
              <w:keepNext/>
              <w:keepLines/>
              <w:rPr>
                <w:rFonts w:ascii="Arial Narrow" w:hAnsi="Arial Narrow"/>
                <w:b/>
                <w:color w:val="333333"/>
                <w:sz w:val="18"/>
                <w:szCs w:val="18"/>
                <w:lang w:eastAsia="en-AU"/>
              </w:rPr>
            </w:pPr>
            <w:r w:rsidRPr="00037EE3">
              <w:rPr>
                <w:rFonts w:ascii="Arial Narrow" w:hAnsi="Arial Narrow"/>
                <w:b/>
                <w:color w:val="333333"/>
                <w:sz w:val="18"/>
                <w:szCs w:val="18"/>
                <w:lang w:eastAsia="en-AU"/>
              </w:rPr>
              <w:t xml:space="preserve">Administrative Advice: </w:t>
            </w:r>
            <w:r w:rsidRPr="00037EE3">
              <w:rPr>
                <w:rFonts w:ascii="Arial Narrow" w:hAnsi="Arial Narrow"/>
                <w:color w:val="333333"/>
                <w:sz w:val="18"/>
                <w:szCs w:val="18"/>
                <w:lang w:eastAsia="en-AU"/>
              </w:rPr>
              <w:t>No increase in the maximum number of repeats may be authorised.</w:t>
            </w:r>
          </w:p>
        </w:tc>
      </w:tr>
    </w:tbl>
    <w:p w:rsidR="00622D6B" w:rsidRPr="00037EE3" w:rsidRDefault="00622D6B" w:rsidP="00C1552F">
      <w:pPr>
        <w:keepNext/>
        <w:keepLines/>
        <w:rPr>
          <w:b/>
          <w:i/>
        </w:rPr>
      </w:pPr>
    </w:p>
    <w:p w:rsidR="00622D6B" w:rsidRPr="00037EE3" w:rsidRDefault="00622D6B" w:rsidP="00C1552F">
      <w:pPr>
        <w:keepNext/>
        <w:keepLines/>
        <w:rPr>
          <w:b/>
          <w:i/>
        </w:rPr>
      </w:pPr>
      <w:r w:rsidRPr="00037EE3">
        <w:rPr>
          <w:b/>
          <w:i/>
        </w:rPr>
        <w:t>This restriction may be subject to further review. Should there be any changes made to the restriction the Sponsor will be informed.</w:t>
      </w:r>
    </w:p>
    <w:p w:rsidR="00622D6B" w:rsidRPr="00037EE3" w:rsidRDefault="00622D6B" w:rsidP="0028139C">
      <w:pPr>
        <w:spacing w:after="120"/>
        <w:rPr>
          <w:rFonts w:asciiTheme="minorHAnsi" w:hAnsiTheme="minorHAnsi" w:cs="Calibri"/>
          <w:snapToGrid w:val="0"/>
          <w:lang w:eastAsia="en-AU"/>
        </w:rPr>
      </w:pPr>
    </w:p>
    <w:p w:rsidR="001B57B1" w:rsidRPr="001B57B1" w:rsidRDefault="001B57B1" w:rsidP="001B57B1">
      <w:pPr>
        <w:pStyle w:val="2-SectionHeading"/>
        <w:keepLines/>
      </w:pPr>
      <w:r w:rsidRPr="00C07617">
        <w:t>Context for Decision</w:t>
      </w:r>
    </w:p>
    <w:p w:rsidR="001B57B1" w:rsidRPr="001B57B1" w:rsidRDefault="001B57B1" w:rsidP="00426E08">
      <w:pPr>
        <w:pStyle w:val="3-BodyText"/>
        <w:numPr>
          <w:ilvl w:val="0"/>
          <w:numId w:val="0"/>
        </w:numPr>
        <w:ind w:left="709"/>
        <w:rPr>
          <w:rFonts w:cstheme="minorHAnsi"/>
          <w:bCs/>
        </w:rPr>
      </w:pPr>
      <w:r w:rsidRPr="001B57B1">
        <w:rPr>
          <w:rFonts w:cs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B57B1" w:rsidRPr="001B57B1" w:rsidRDefault="001B57B1" w:rsidP="001B57B1">
      <w:pPr>
        <w:pStyle w:val="2-SectionHeading"/>
        <w:keepLines/>
      </w:pPr>
      <w:r w:rsidRPr="001B57B1">
        <w:lastRenderedPageBreak/>
        <w:t>Sponsor’s Commen</w:t>
      </w:r>
      <w:r>
        <w:t>t</w:t>
      </w:r>
    </w:p>
    <w:p w:rsidR="0020634A" w:rsidRPr="00037EE3" w:rsidRDefault="00D976DF" w:rsidP="00D976DF">
      <w:pPr>
        <w:ind w:left="720"/>
      </w:pPr>
      <w:r>
        <w:t xml:space="preserve">The sponsor welcomes the PBAC’s decision to recommend Utrogestan </w:t>
      </w:r>
      <w:r w:rsidRPr="00037EE3">
        <w:t>for the prevention of preterm birt</w:t>
      </w:r>
      <w:r>
        <w:t>h.</w:t>
      </w:r>
    </w:p>
    <w:sectPr w:rsidR="0020634A" w:rsidRPr="00037EE3" w:rsidSect="0078313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2D31" w16cex:dateUtc="2020-10-21T10:57:00Z"/>
  <w16cex:commentExtensible w16cex:durableId="233B35BF" w16cex:dateUtc="2020-10-21T11:33:00Z"/>
  <w16cex:commentExtensible w16cex:durableId="233B2E3F" w16cex:dateUtc="2020-10-21T11:01:00Z"/>
  <w16cex:commentExtensible w16cex:durableId="233B3716" w16cex:dateUtc="2020-10-21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4A4A8" w16cid:durableId="23677FAE"/>
  <w16cid:commentId w16cid:paraId="3301ED0B" w16cid:durableId="23677F2F"/>
  <w16cid:commentId w16cid:paraId="7C0A8ABF" w16cid:durableId="23677EAE"/>
  <w16cid:commentId w16cid:paraId="5DBCE481" w16cid:durableId="236789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6E2" w:rsidRDefault="00EE16E2" w:rsidP="00124A51">
      <w:r>
        <w:separator/>
      </w:r>
    </w:p>
    <w:p w:rsidR="00EE16E2" w:rsidRDefault="00EE16E2"/>
  </w:endnote>
  <w:endnote w:type="continuationSeparator" w:id="0">
    <w:p w:rsidR="00EE16E2" w:rsidRDefault="00EE16E2" w:rsidP="00124A51">
      <w:r>
        <w:continuationSeparator/>
      </w:r>
    </w:p>
    <w:p w:rsidR="00EE16E2" w:rsidRDefault="00EE1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EA" w:rsidRDefault="008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33" w:rsidRDefault="00270233">
    <w:pPr>
      <w:pStyle w:val="Footer"/>
    </w:pPr>
  </w:p>
  <w:p w:rsidR="00270233" w:rsidRPr="00BC4A86" w:rsidRDefault="00270233" w:rsidP="007D5FE4">
    <w:pPr>
      <w:tabs>
        <w:tab w:val="left" w:pos="4710"/>
        <w:tab w:val="center" w:pos="4868"/>
      </w:tabs>
      <w:ind w:left="709"/>
      <w:contextualSpacing/>
      <w:jc w:val="left"/>
      <w:rPr>
        <w:rFonts w:ascii="Arial" w:hAnsi="Arial" w:cs="Arial"/>
        <w:bCs/>
        <w:sz w:val="22"/>
        <w:szCs w:val="22"/>
      </w:rPr>
    </w:pPr>
    <w:r>
      <w:rPr>
        <w:rFonts w:cs="Arial"/>
        <w:b/>
      </w:rPr>
      <w:tab/>
    </w:r>
    <w:r>
      <w:rPr>
        <w:rFonts w:cs="Arial"/>
        <w:b/>
      </w:rPr>
      <w:tab/>
    </w: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CD28E6">
      <w:rPr>
        <w:rFonts w:cs="Arial"/>
        <w:b/>
        <w:noProof/>
      </w:rPr>
      <w:t>20</w:t>
    </w:r>
    <w:r w:rsidRPr="00836F75">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EA" w:rsidRDefault="008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6E2" w:rsidRDefault="00EE16E2" w:rsidP="00124A51">
      <w:r>
        <w:separator/>
      </w:r>
    </w:p>
    <w:p w:rsidR="00EE16E2" w:rsidRDefault="00EE16E2"/>
  </w:footnote>
  <w:footnote w:type="continuationSeparator" w:id="0">
    <w:p w:rsidR="00EE16E2" w:rsidRDefault="00EE16E2" w:rsidP="00124A51">
      <w:r>
        <w:continuationSeparator/>
      </w:r>
    </w:p>
    <w:p w:rsidR="00EE16E2" w:rsidRDefault="00EE16E2"/>
  </w:footnote>
  <w:footnote w:id="1">
    <w:p w:rsidR="00270233" w:rsidRPr="00497079" w:rsidRDefault="00270233">
      <w:pPr>
        <w:pStyle w:val="FootnoteText"/>
        <w:rPr>
          <w:rFonts w:ascii="Arial Narrow" w:hAnsi="Arial Narrow"/>
          <w:sz w:val="18"/>
          <w:szCs w:val="18"/>
        </w:rPr>
      </w:pPr>
      <w:r w:rsidRPr="00497079">
        <w:rPr>
          <w:rStyle w:val="FootnoteReference"/>
          <w:rFonts w:ascii="Arial Narrow" w:hAnsi="Arial Narrow"/>
          <w:sz w:val="18"/>
          <w:szCs w:val="18"/>
        </w:rPr>
        <w:footnoteRef/>
      </w:r>
      <w:r w:rsidRPr="00497079">
        <w:rPr>
          <w:rFonts w:ascii="Arial Narrow" w:hAnsi="Arial Narrow"/>
          <w:sz w:val="18"/>
          <w:szCs w:val="18"/>
        </w:rPr>
        <w:t xml:space="preserve"> </w:t>
      </w:r>
      <w:r>
        <w:rPr>
          <w:rFonts w:ascii="Arial Narrow" w:hAnsi="Arial Narrow"/>
          <w:sz w:val="18"/>
          <w:szCs w:val="18"/>
        </w:rPr>
        <w:t xml:space="preserve">NICE guideline NG25 2015: </w:t>
      </w:r>
      <w:r w:rsidRPr="00497079">
        <w:rPr>
          <w:rFonts w:ascii="Arial Narrow" w:hAnsi="Arial Narrow"/>
          <w:sz w:val="18"/>
          <w:szCs w:val="18"/>
        </w:rPr>
        <w:t xml:space="preserve">Preterm labour and birth. Available at: </w:t>
      </w:r>
      <w:hyperlink r:id="rId1" w:history="1">
        <w:r w:rsidRPr="00497079">
          <w:rPr>
            <w:rStyle w:val="Hyperlink"/>
            <w:rFonts w:ascii="Arial Narrow" w:hAnsi="Arial Narrow"/>
            <w:sz w:val="18"/>
            <w:szCs w:val="18"/>
          </w:rPr>
          <w:t>https://www.nice.org.uk/guidance/ng25/resources/preterm-labour-and-birth-pdf-1837333576645</w:t>
        </w:r>
      </w:hyperlink>
      <w:r w:rsidRPr="00497079">
        <w:rPr>
          <w:rFonts w:ascii="Arial Narrow" w:hAnsi="Arial Narrow"/>
          <w:sz w:val="18"/>
          <w:szCs w:val="18"/>
        </w:rPr>
        <w:t xml:space="preserve"> </w:t>
      </w:r>
    </w:p>
  </w:footnote>
  <w:footnote w:id="2">
    <w:p w:rsidR="00270233" w:rsidRPr="004635FB" w:rsidRDefault="00270233" w:rsidP="00E14206">
      <w:pPr>
        <w:pStyle w:val="FootnoteText"/>
        <w:rPr>
          <w:rFonts w:ascii="Arial Narrow" w:hAnsi="Arial Narrow" w:cs="Calibri"/>
          <w:sz w:val="18"/>
          <w:szCs w:val="18"/>
        </w:rPr>
      </w:pPr>
      <w:r>
        <w:rPr>
          <w:rStyle w:val="FootnoteReference"/>
        </w:rPr>
        <w:footnoteRef/>
      </w:r>
      <w:r>
        <w:rPr>
          <w:vertAlign w:val="superscript"/>
        </w:rPr>
        <w:t xml:space="preserve"> </w:t>
      </w:r>
      <w:r w:rsidRPr="004635FB">
        <w:rPr>
          <w:rFonts w:ascii="Arial Narrow" w:hAnsi="Arial Narrow" w:cs="Calibri"/>
          <w:sz w:val="18"/>
          <w:szCs w:val="18"/>
        </w:rPr>
        <w:t>NICE guideline NG25 2019: Preterm labour and birth [A] Evidence review for clinical effectiveness of prophylactic progesterone in preventing preterm labour. Available at:</w:t>
      </w:r>
    </w:p>
    <w:p w:rsidR="00270233" w:rsidRPr="004635FB" w:rsidRDefault="00CD28E6" w:rsidP="00E14206">
      <w:pPr>
        <w:pStyle w:val="FootnoteText"/>
        <w:rPr>
          <w:rFonts w:ascii="Arial Narrow" w:hAnsi="Arial Narrow"/>
          <w:sz w:val="18"/>
          <w:szCs w:val="18"/>
        </w:rPr>
      </w:pPr>
      <w:hyperlink r:id="rId2" w:history="1">
        <w:r w:rsidR="00270233" w:rsidRPr="004635FB">
          <w:rPr>
            <w:rStyle w:val="Hyperlink"/>
            <w:rFonts w:ascii="Arial Narrow" w:hAnsi="Arial Narrow" w:cs="Calibri"/>
            <w:sz w:val="18"/>
            <w:szCs w:val="18"/>
          </w:rPr>
          <w:t>https://www.nice.org.uk/guidance/ng25/evidence/a-clinical-effectiveness-of-prophylactic-progesterone-in-preventing-preterm-labour-pdf-6847804765</w:t>
        </w:r>
      </w:hyperlink>
    </w:p>
  </w:footnote>
  <w:footnote w:id="3">
    <w:p w:rsidR="00270233" w:rsidRPr="004635FB" w:rsidRDefault="00270233" w:rsidP="00E14206">
      <w:pPr>
        <w:pStyle w:val="FootnoteText"/>
        <w:rPr>
          <w:rFonts w:ascii="Arial Narrow" w:hAnsi="Arial Narrow"/>
          <w:sz w:val="18"/>
          <w:szCs w:val="18"/>
        </w:rPr>
      </w:pPr>
      <w:r w:rsidRPr="004635FB">
        <w:rPr>
          <w:rStyle w:val="FootnoteReference"/>
          <w:rFonts w:ascii="Arial Narrow" w:hAnsi="Arial Narrow"/>
          <w:sz w:val="18"/>
          <w:szCs w:val="18"/>
        </w:rPr>
        <w:footnoteRef/>
      </w:r>
      <w:r w:rsidRPr="004635FB">
        <w:rPr>
          <w:rFonts w:ascii="Arial Narrow" w:hAnsi="Arial Narrow"/>
          <w:sz w:val="18"/>
          <w:szCs w:val="18"/>
        </w:rPr>
        <w:t xml:space="preserve"> Medley N, Vogel JP, Care A, Alfirevic Z. Interventions during pregnancy to prevent preterm birth: an overview of Cochrane systematic reviews. </w:t>
      </w:r>
      <w:r w:rsidRPr="004635FB">
        <w:rPr>
          <w:rFonts w:ascii="Arial Narrow" w:hAnsi="Arial Narrow"/>
          <w:i/>
          <w:iCs/>
          <w:sz w:val="18"/>
          <w:szCs w:val="18"/>
        </w:rPr>
        <w:t>Cochrane Database Syst Rev</w:t>
      </w:r>
      <w:r w:rsidRPr="004635FB">
        <w:rPr>
          <w:rFonts w:ascii="Arial Narrow" w:hAnsi="Arial Narrow"/>
          <w:sz w:val="18"/>
          <w:szCs w:val="18"/>
        </w:rPr>
        <w:t xml:space="preserve"> 2018; Issue 11: Art. No. CD012505. DOI: 10.1002/14651858.CD012505.pub2.</w:t>
      </w:r>
    </w:p>
  </w:footnote>
  <w:footnote w:id="4">
    <w:p w:rsidR="00270233" w:rsidRPr="004635FB" w:rsidRDefault="00270233" w:rsidP="00E14206">
      <w:pPr>
        <w:pStyle w:val="FootnoteText"/>
        <w:rPr>
          <w:rFonts w:ascii="Arial Narrow" w:hAnsi="Arial Narrow"/>
          <w:sz w:val="18"/>
          <w:szCs w:val="18"/>
        </w:rPr>
      </w:pPr>
      <w:r w:rsidRPr="004635FB">
        <w:rPr>
          <w:rStyle w:val="FootnoteReference"/>
          <w:rFonts w:ascii="Arial Narrow" w:hAnsi="Arial Narrow"/>
          <w:sz w:val="18"/>
          <w:szCs w:val="18"/>
        </w:rPr>
        <w:footnoteRef/>
      </w:r>
      <w:r w:rsidRPr="004635FB">
        <w:rPr>
          <w:rFonts w:ascii="Arial Narrow" w:hAnsi="Arial Narrow"/>
          <w:sz w:val="18"/>
          <w:szCs w:val="18"/>
        </w:rPr>
        <w:t xml:space="preserve"> Prior M, Hibberd R, Asemota N, Thornton JG. Inadvertent P-hacking among trials and systematic reviews of the effect of progestogens in pregnancy? A systematic review and meta-analysis. </w:t>
      </w:r>
      <w:r w:rsidRPr="004635FB">
        <w:rPr>
          <w:rFonts w:ascii="Arial Narrow" w:hAnsi="Arial Narrow"/>
          <w:i/>
          <w:iCs/>
          <w:sz w:val="18"/>
          <w:szCs w:val="18"/>
        </w:rPr>
        <w:t>BJOG</w:t>
      </w:r>
      <w:r w:rsidRPr="004635FB">
        <w:rPr>
          <w:rFonts w:ascii="Arial Narrow" w:hAnsi="Arial Narrow"/>
          <w:sz w:val="18"/>
          <w:szCs w:val="18"/>
        </w:rPr>
        <w:t xml:space="preserve"> 2017; 124: 1008-1015.</w:t>
      </w:r>
    </w:p>
  </w:footnote>
  <w:footnote w:id="5">
    <w:p w:rsidR="00270233" w:rsidRPr="00037206" w:rsidRDefault="00270233">
      <w:pPr>
        <w:pStyle w:val="FootnoteText"/>
      </w:pPr>
      <w:r w:rsidRPr="004635FB">
        <w:rPr>
          <w:rStyle w:val="FootnoteReference"/>
          <w:rFonts w:ascii="Arial Narrow" w:hAnsi="Arial Narrow"/>
          <w:sz w:val="18"/>
          <w:szCs w:val="18"/>
        </w:rPr>
        <w:footnoteRef/>
      </w:r>
      <w:r w:rsidRPr="004635FB">
        <w:rPr>
          <w:rFonts w:ascii="Arial Narrow" w:hAnsi="Arial Narrow"/>
          <w:sz w:val="18"/>
          <w:szCs w:val="18"/>
        </w:rPr>
        <w:t xml:space="preserve"> Norman, J.E. Progesterone and preterm birth. </w:t>
      </w:r>
      <w:r w:rsidRPr="004635FB">
        <w:rPr>
          <w:rFonts w:ascii="Arial Narrow" w:hAnsi="Arial Narrow"/>
          <w:i/>
          <w:iCs/>
          <w:sz w:val="18"/>
          <w:szCs w:val="18"/>
        </w:rPr>
        <w:t xml:space="preserve">Int J Gynaecol Obstet </w:t>
      </w:r>
      <w:r w:rsidRPr="004635FB">
        <w:rPr>
          <w:rFonts w:ascii="Arial Narrow" w:hAnsi="Arial Narrow"/>
          <w:iCs/>
          <w:sz w:val="18"/>
          <w:szCs w:val="18"/>
        </w:rPr>
        <w:t>2020; 150: 24-30.</w:t>
      </w:r>
    </w:p>
  </w:footnote>
  <w:footnote w:id="6">
    <w:p w:rsidR="00270233" w:rsidRPr="00097C9E" w:rsidRDefault="00270233">
      <w:pPr>
        <w:pStyle w:val="FootnoteText"/>
        <w:rPr>
          <w:rFonts w:ascii="Arial Narrow" w:hAnsi="Arial Narrow"/>
          <w:sz w:val="18"/>
          <w:szCs w:val="18"/>
        </w:rPr>
      </w:pPr>
      <w:r>
        <w:rPr>
          <w:rStyle w:val="FootnoteReference"/>
        </w:rPr>
        <w:footnoteRef/>
      </w:r>
      <w:r>
        <w:t xml:space="preserve"> </w:t>
      </w:r>
      <w:r w:rsidRPr="00097C9E">
        <w:rPr>
          <w:rFonts w:ascii="Arial Narrow" w:hAnsi="Arial Narrow"/>
          <w:sz w:val="18"/>
          <w:szCs w:val="18"/>
        </w:rPr>
        <w:t>WHO International Clinical Trials Reg</w:t>
      </w:r>
      <w:r>
        <w:rPr>
          <w:rFonts w:ascii="Arial Narrow" w:hAnsi="Arial Narrow"/>
          <w:sz w:val="18"/>
          <w:szCs w:val="18"/>
        </w:rPr>
        <w:t>istry Platform is available at:</w:t>
      </w:r>
      <w:r w:rsidRPr="00097C9E">
        <w:rPr>
          <w:rFonts w:ascii="Arial Narrow" w:hAnsi="Arial Narrow"/>
          <w:sz w:val="18"/>
          <w:szCs w:val="18"/>
        </w:rPr>
        <w:t xml:space="preserve"> </w:t>
      </w:r>
      <w:hyperlink r:id="rId3" w:history="1">
        <w:r w:rsidRPr="00097C9E">
          <w:rPr>
            <w:rStyle w:val="Hyperlink"/>
            <w:rFonts w:ascii="Arial Narrow" w:hAnsi="Arial Narrow"/>
            <w:sz w:val="18"/>
            <w:szCs w:val="18"/>
          </w:rPr>
          <w:t>https://www.who.int/ictrp/network/primary/en/</w:t>
        </w:r>
      </w:hyperlink>
      <w:r>
        <w:t xml:space="preserve"> </w:t>
      </w:r>
    </w:p>
  </w:footnote>
  <w:footnote w:id="7">
    <w:p w:rsidR="00270233" w:rsidRPr="003973D8" w:rsidRDefault="00270233">
      <w:pPr>
        <w:pStyle w:val="FootnoteText"/>
        <w:rPr>
          <w:rFonts w:ascii="Arial Narrow" w:hAnsi="Arial Narrow"/>
          <w:iCs/>
          <w:sz w:val="18"/>
          <w:szCs w:val="18"/>
        </w:rPr>
      </w:pPr>
      <w:r w:rsidRPr="003973D8">
        <w:rPr>
          <w:rStyle w:val="FootnoteReference"/>
          <w:iCs/>
        </w:rPr>
        <w:footnoteRef/>
      </w:r>
      <w:r w:rsidRPr="003973D8">
        <w:rPr>
          <w:iCs/>
        </w:rPr>
        <w:t xml:space="preserve"> </w:t>
      </w:r>
      <w:r w:rsidRPr="003973D8">
        <w:rPr>
          <w:rFonts w:ascii="Arial Narrow" w:hAnsi="Arial Narrow"/>
          <w:iCs/>
          <w:sz w:val="18"/>
          <w:szCs w:val="18"/>
        </w:rPr>
        <w:t>The numbers reported for Fonseca (2007) in the Romero (2018) meta-analysis differ from those reported in the Fonseca (2007) publication. There is no information available as to why these numbers differ.</w:t>
      </w:r>
    </w:p>
  </w:footnote>
  <w:footnote w:id="8">
    <w:p w:rsidR="00270233" w:rsidRPr="00043AD5" w:rsidRDefault="00270233" w:rsidP="00DC60C2">
      <w:pPr>
        <w:pStyle w:val="FootnoteText"/>
        <w:rPr>
          <w:rFonts w:ascii="Arial Narrow" w:hAnsi="Arial Narrow"/>
          <w:i/>
          <w:sz w:val="18"/>
          <w:szCs w:val="18"/>
        </w:rPr>
      </w:pPr>
      <w:r w:rsidRPr="003973D8">
        <w:rPr>
          <w:rStyle w:val="FootnoteReference"/>
          <w:rFonts w:ascii="Arial Narrow" w:hAnsi="Arial Narrow" w:cstheme="minorHAnsi"/>
          <w:sz w:val="18"/>
          <w:szCs w:val="18"/>
        </w:rPr>
        <w:footnoteRef/>
      </w:r>
      <w:r w:rsidRPr="003973D8">
        <w:rPr>
          <w:rFonts w:ascii="Arial Narrow" w:hAnsi="Arial Narrow" w:cstheme="minorHAnsi"/>
          <w:sz w:val="18"/>
          <w:szCs w:val="18"/>
        </w:rPr>
        <w:t xml:space="preserve"> In the Norman 2016 study, women at</w:t>
      </w:r>
      <w:r w:rsidRPr="003973D8">
        <w:rPr>
          <w:rFonts w:ascii="Arial Narrow" w:hAnsi="Arial Narrow"/>
          <w:sz w:val="18"/>
          <w:szCs w:val="18"/>
        </w:rPr>
        <w:t xml:space="preserve"> risk of preterm birth comprised those with previous spontaneous birth at ≤34 weeks and 0 days of gestation, or a cervical length ≤25 mm, or a positive foetal fibronectin test combined with other clinical risk factors for preterm birth </w:t>
      </w:r>
      <w:r>
        <w:rPr>
          <w:rFonts w:ascii="Arial Narrow" w:hAnsi="Arial Narrow"/>
          <w:sz w:val="18"/>
          <w:szCs w:val="18"/>
        </w:rPr>
        <w:t>(</w:t>
      </w:r>
      <w:r w:rsidRPr="003973D8">
        <w:rPr>
          <w:rFonts w:ascii="Arial Narrow" w:hAnsi="Arial Narrow"/>
          <w:sz w:val="18"/>
          <w:szCs w:val="18"/>
        </w:rPr>
        <w:t>any one of a history in a previous pregnancy of preterm birth, second trimester loss, preterm premature fetal membrane rupture, or a history of a cervical procedure to treat abnormal smears</w:t>
      </w:r>
      <w:r>
        <w:rPr>
          <w:rFonts w:ascii="Arial Narrow" w:hAnsi="Arial Narrow"/>
          <w:sz w:val="18"/>
          <w:szCs w:val="18"/>
        </w:rPr>
        <w:t>)</w:t>
      </w:r>
      <w:r w:rsidRPr="003973D8">
        <w:rPr>
          <w:rFonts w:ascii="Arial Narrow" w:hAnsi="Arial Narrow"/>
          <w:sz w:val="18"/>
          <w:szCs w:val="18"/>
        </w:rPr>
        <w:t>.</w:t>
      </w:r>
    </w:p>
  </w:footnote>
  <w:footnote w:id="9">
    <w:p w:rsidR="00270233" w:rsidRPr="00097C9E" w:rsidRDefault="00270233">
      <w:pPr>
        <w:pStyle w:val="FootnoteText"/>
        <w:rPr>
          <w:rFonts w:ascii="Arial Narrow" w:hAnsi="Arial Narrow"/>
          <w:sz w:val="18"/>
          <w:szCs w:val="18"/>
        </w:rPr>
      </w:pPr>
      <w:r w:rsidRPr="00097C9E">
        <w:rPr>
          <w:rStyle w:val="FootnoteReference"/>
          <w:rFonts w:ascii="Arial Narrow" w:hAnsi="Arial Narrow"/>
          <w:sz w:val="18"/>
          <w:szCs w:val="18"/>
        </w:rPr>
        <w:footnoteRef/>
      </w:r>
      <w:r w:rsidRPr="00097C9E">
        <w:rPr>
          <w:rFonts w:ascii="Arial Narrow" w:hAnsi="Arial Narrow"/>
          <w:sz w:val="18"/>
          <w:szCs w:val="18"/>
        </w:rPr>
        <w:t xml:space="preserve"> Newnham et. al. The elements of success in a comprehensive state-wide program to safely reduce the rate of preterm birth, </w:t>
      </w:r>
      <w:r w:rsidRPr="00097C9E">
        <w:rPr>
          <w:rFonts w:ascii="Arial Narrow" w:hAnsi="Arial Narrow"/>
          <w:i/>
          <w:sz w:val="18"/>
          <w:szCs w:val="18"/>
        </w:rPr>
        <w:t xml:space="preserve">PLOS ONE </w:t>
      </w:r>
      <w:r w:rsidRPr="00097C9E">
        <w:rPr>
          <w:rFonts w:ascii="Arial Narrow" w:hAnsi="Arial Narrow"/>
          <w:sz w:val="18"/>
          <w:szCs w:val="18"/>
        </w:rPr>
        <w:t xml:space="preserve">2020; DOI: </w:t>
      </w:r>
      <w:hyperlink r:id="rId4" w:history="1">
        <w:r w:rsidRPr="00097C9E">
          <w:rPr>
            <w:rFonts w:ascii="Arial Narrow" w:hAnsi="Arial Narrow"/>
            <w:sz w:val="18"/>
            <w:szCs w:val="18"/>
          </w:rPr>
          <w:t>10.1371/journal.pone.0234033</w:t>
        </w:r>
      </w:hyperlink>
      <w:r w:rsidRPr="00097C9E">
        <w:rPr>
          <w:rFonts w:ascii="Arial Narrow" w:hAnsi="Arial Narrow"/>
          <w:sz w:val="18"/>
          <w:szCs w:val="18"/>
        </w:rPr>
        <w:t>.</w:t>
      </w:r>
    </w:p>
  </w:footnote>
  <w:footnote w:id="10">
    <w:p w:rsidR="00270233" w:rsidRPr="00097C9E" w:rsidRDefault="00270233">
      <w:pPr>
        <w:pStyle w:val="FootnoteText"/>
        <w:rPr>
          <w:rFonts w:ascii="Arial Narrow" w:hAnsi="Arial Narrow"/>
          <w:sz w:val="18"/>
          <w:szCs w:val="18"/>
        </w:rPr>
      </w:pPr>
      <w:r w:rsidRPr="00097C9E">
        <w:rPr>
          <w:rStyle w:val="FootnoteReference"/>
          <w:rFonts w:ascii="Arial Narrow" w:hAnsi="Arial Narrow"/>
          <w:sz w:val="18"/>
          <w:szCs w:val="18"/>
        </w:rPr>
        <w:footnoteRef/>
      </w:r>
      <w:r w:rsidRPr="00097C9E">
        <w:rPr>
          <w:rFonts w:ascii="Arial Narrow" w:hAnsi="Arial Narrow"/>
          <w:sz w:val="18"/>
          <w:szCs w:val="18"/>
        </w:rPr>
        <w:t xml:space="preserve"> The submission identified a study by Dobbins (2012) which provided Australian national birthweight percentiles by gender and gestational age for 2.5M singleton births between 1998 to 2007.</w:t>
      </w:r>
    </w:p>
  </w:footnote>
  <w:footnote w:id="11">
    <w:p w:rsidR="00270233" w:rsidRPr="00533178" w:rsidRDefault="00270233" w:rsidP="00A30C0C">
      <w:pPr>
        <w:shd w:val="clear" w:color="auto" w:fill="FFFFFF"/>
        <w:jc w:val="left"/>
        <w:rPr>
          <w:rFonts w:ascii="Arial Narrow" w:hAnsi="Arial Narrow"/>
          <w:spacing w:val="-4"/>
          <w:sz w:val="18"/>
          <w:szCs w:val="18"/>
          <w:lang w:val="en" w:eastAsia="en-AU"/>
        </w:rPr>
      </w:pPr>
      <w:r w:rsidRPr="00533178">
        <w:rPr>
          <w:rStyle w:val="FootnoteReference"/>
          <w:rFonts w:ascii="Arial Narrow" w:hAnsi="Arial Narrow"/>
          <w:sz w:val="18"/>
          <w:szCs w:val="18"/>
        </w:rPr>
        <w:footnoteRef/>
      </w:r>
      <w:r w:rsidRPr="00533178">
        <w:rPr>
          <w:rFonts w:ascii="Arial Narrow" w:hAnsi="Arial Narrow"/>
          <w:sz w:val="18"/>
          <w:szCs w:val="18"/>
        </w:rPr>
        <w:t xml:space="preserve"> </w:t>
      </w:r>
      <w:r w:rsidRPr="00533178">
        <w:rPr>
          <w:rFonts w:ascii="Arial Narrow" w:hAnsi="Arial Narrow"/>
          <w:spacing w:val="-4"/>
          <w:sz w:val="18"/>
          <w:szCs w:val="18"/>
          <w:lang w:val="en" w:eastAsia="en-AU"/>
        </w:rPr>
        <w:t>Haas DM, Hathaway TJ, Ramsey PS. Progestogen for preventing miscarriage in women with recurrent miscarriage of unclear etiology. Cochrane Database of Systematic Reviews 2019, Issue 11. Art. No.: CD003511. DOI: 10.1002/14651858.CD003511.pub5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EA" w:rsidRDefault="008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33" w:rsidRPr="005F70D7" w:rsidRDefault="00270233" w:rsidP="005F70D7">
    <w:pPr>
      <w:pStyle w:val="Header"/>
      <w:ind w:left="360"/>
      <w:rPr>
        <w:rFonts w:asciiTheme="minorHAnsi" w:hAnsiTheme="minorHAnsi" w:cs="Arial"/>
        <w:i/>
        <w:color w:val="808080"/>
        <w:lang w:eastAsia="en-AU"/>
      </w:rPr>
    </w:pPr>
    <w:r w:rsidRPr="005F70D7">
      <w:rPr>
        <w:rFonts w:asciiTheme="minorHAnsi" w:hAnsiTheme="minorHAnsi" w:cs="Arial"/>
        <w:i/>
        <w:color w:val="808080"/>
        <w:lang w:eastAsia="en-AU"/>
      </w:rPr>
      <w:t>Public Summary Document – November 2020 PBAC Meeting</w:t>
    </w:r>
  </w:p>
  <w:p w:rsidR="00270233" w:rsidRDefault="0027023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EA" w:rsidRDefault="008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45AC8"/>
    <w:multiLevelType w:val="hybridMultilevel"/>
    <w:tmpl w:val="FFF4026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E61CD7"/>
    <w:multiLevelType w:val="multilevel"/>
    <w:tmpl w:val="1DE67492"/>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A24D4"/>
    <w:multiLevelType w:val="hybridMultilevel"/>
    <w:tmpl w:val="DE54DDFE"/>
    <w:lvl w:ilvl="0" w:tplc="A6A45D72">
      <w:start w:val="2"/>
      <w:numFmt w:val="bullet"/>
      <w:lvlText w:val="-"/>
      <w:lvlJc w:val="left"/>
      <w:pPr>
        <w:ind w:left="1440" w:hanging="360"/>
      </w:pPr>
      <w:rPr>
        <w:rFonts w:ascii="Arial Narrow" w:eastAsiaTheme="minorEastAsia" w:hAnsi="Arial Narrow"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0A7969"/>
    <w:multiLevelType w:val="multilevel"/>
    <w:tmpl w:val="EFA8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ABA7606"/>
    <w:multiLevelType w:val="hybridMultilevel"/>
    <w:tmpl w:val="1D48C9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A8259F"/>
    <w:multiLevelType w:val="hybridMultilevel"/>
    <w:tmpl w:val="EECCC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5D2E162C"/>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13"/>
  </w:num>
  <w:num w:numId="4">
    <w:abstractNumId w:val="0"/>
  </w:num>
  <w:num w:numId="5">
    <w:abstractNumId w:val="18"/>
  </w:num>
  <w:num w:numId="6">
    <w:abstractNumId w:val="19"/>
  </w:num>
  <w:num w:numId="7">
    <w:abstractNumId w:val="14"/>
  </w:num>
  <w:num w:numId="8">
    <w:abstractNumId w:val="15"/>
  </w:num>
  <w:num w:numId="9">
    <w:abstractNumId w:val="5"/>
  </w:num>
  <w:num w:numId="10">
    <w:abstractNumId w:val="2"/>
  </w:num>
  <w:num w:numId="11">
    <w:abstractNumId w:val="16"/>
  </w:num>
  <w:num w:numId="12">
    <w:abstractNumId w:val="3"/>
  </w:num>
  <w:num w:numId="13">
    <w:abstractNumId w:val="1"/>
  </w:num>
  <w:num w:numId="14">
    <w:abstractNumId w:val="8"/>
  </w:num>
  <w:num w:numId="15">
    <w:abstractNumId w:val="9"/>
  </w:num>
  <w:num w:numId="16">
    <w:abstractNumId w:val="7"/>
  </w:num>
  <w:num w:numId="17">
    <w:abstractNumId w:val="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 w:numId="21">
    <w:abstractNumId w:val="4"/>
  </w:num>
  <w:num w:numId="22">
    <w:abstractNumId w:val="18"/>
  </w:num>
  <w:num w:numId="23">
    <w:abstractNumId w:val="10"/>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1AF"/>
    <w:rsid w:val="00003499"/>
    <w:rsid w:val="000039B7"/>
    <w:rsid w:val="00003AB0"/>
    <w:rsid w:val="00003BC8"/>
    <w:rsid w:val="00003BD9"/>
    <w:rsid w:val="00005FD6"/>
    <w:rsid w:val="0000639A"/>
    <w:rsid w:val="00006719"/>
    <w:rsid w:val="00006A4E"/>
    <w:rsid w:val="0001240E"/>
    <w:rsid w:val="00012C3C"/>
    <w:rsid w:val="00013247"/>
    <w:rsid w:val="00015886"/>
    <w:rsid w:val="000162EF"/>
    <w:rsid w:val="0002018F"/>
    <w:rsid w:val="000207C9"/>
    <w:rsid w:val="0002225F"/>
    <w:rsid w:val="00023763"/>
    <w:rsid w:val="000262DE"/>
    <w:rsid w:val="000274B8"/>
    <w:rsid w:val="00027D5F"/>
    <w:rsid w:val="00030719"/>
    <w:rsid w:val="0003221C"/>
    <w:rsid w:val="000332EA"/>
    <w:rsid w:val="00033863"/>
    <w:rsid w:val="0003592C"/>
    <w:rsid w:val="00035DC0"/>
    <w:rsid w:val="000360A7"/>
    <w:rsid w:val="000360BD"/>
    <w:rsid w:val="00036829"/>
    <w:rsid w:val="0003696E"/>
    <w:rsid w:val="00037206"/>
    <w:rsid w:val="00037737"/>
    <w:rsid w:val="00037EE3"/>
    <w:rsid w:val="00040432"/>
    <w:rsid w:val="00040895"/>
    <w:rsid w:val="00042656"/>
    <w:rsid w:val="00042956"/>
    <w:rsid w:val="000435EE"/>
    <w:rsid w:val="000436EC"/>
    <w:rsid w:val="00043C37"/>
    <w:rsid w:val="000443D2"/>
    <w:rsid w:val="00045017"/>
    <w:rsid w:val="000450FF"/>
    <w:rsid w:val="000456BC"/>
    <w:rsid w:val="00045A2B"/>
    <w:rsid w:val="0004698F"/>
    <w:rsid w:val="00047F94"/>
    <w:rsid w:val="0005137C"/>
    <w:rsid w:val="00052F2A"/>
    <w:rsid w:val="00053442"/>
    <w:rsid w:val="000539D0"/>
    <w:rsid w:val="00053FEF"/>
    <w:rsid w:val="00054129"/>
    <w:rsid w:val="00054621"/>
    <w:rsid w:val="000546D7"/>
    <w:rsid w:val="00054EF6"/>
    <w:rsid w:val="000561C7"/>
    <w:rsid w:val="00056A09"/>
    <w:rsid w:val="00056ECF"/>
    <w:rsid w:val="00057BED"/>
    <w:rsid w:val="00060043"/>
    <w:rsid w:val="000604DF"/>
    <w:rsid w:val="00061D00"/>
    <w:rsid w:val="00062EEE"/>
    <w:rsid w:val="000653B5"/>
    <w:rsid w:val="00066360"/>
    <w:rsid w:val="00066AF8"/>
    <w:rsid w:val="00067981"/>
    <w:rsid w:val="00071248"/>
    <w:rsid w:val="000720B9"/>
    <w:rsid w:val="00073348"/>
    <w:rsid w:val="000737F7"/>
    <w:rsid w:val="000738AD"/>
    <w:rsid w:val="0007672F"/>
    <w:rsid w:val="00076B54"/>
    <w:rsid w:val="00076C73"/>
    <w:rsid w:val="00076D82"/>
    <w:rsid w:val="000774F0"/>
    <w:rsid w:val="00080909"/>
    <w:rsid w:val="000812CA"/>
    <w:rsid w:val="00081E63"/>
    <w:rsid w:val="0008236C"/>
    <w:rsid w:val="0008258D"/>
    <w:rsid w:val="00083E99"/>
    <w:rsid w:val="00084329"/>
    <w:rsid w:val="00084FA8"/>
    <w:rsid w:val="000856C5"/>
    <w:rsid w:val="00085C31"/>
    <w:rsid w:val="00086879"/>
    <w:rsid w:val="000875A2"/>
    <w:rsid w:val="000902D9"/>
    <w:rsid w:val="00090C7E"/>
    <w:rsid w:val="00092600"/>
    <w:rsid w:val="0009262B"/>
    <w:rsid w:val="00093310"/>
    <w:rsid w:val="0009445C"/>
    <w:rsid w:val="00095200"/>
    <w:rsid w:val="000952D3"/>
    <w:rsid w:val="000956EE"/>
    <w:rsid w:val="00095FE5"/>
    <w:rsid w:val="0009617A"/>
    <w:rsid w:val="00096284"/>
    <w:rsid w:val="00097C9E"/>
    <w:rsid w:val="00097E20"/>
    <w:rsid w:val="000A1BC0"/>
    <w:rsid w:val="000A2A8F"/>
    <w:rsid w:val="000A3259"/>
    <w:rsid w:val="000A6039"/>
    <w:rsid w:val="000A7453"/>
    <w:rsid w:val="000A7D08"/>
    <w:rsid w:val="000B0121"/>
    <w:rsid w:val="000B0670"/>
    <w:rsid w:val="000B0C31"/>
    <w:rsid w:val="000B0DE3"/>
    <w:rsid w:val="000B0E75"/>
    <w:rsid w:val="000B1013"/>
    <w:rsid w:val="000B2DCB"/>
    <w:rsid w:val="000B469B"/>
    <w:rsid w:val="000B5CE0"/>
    <w:rsid w:val="000B6CAC"/>
    <w:rsid w:val="000B7612"/>
    <w:rsid w:val="000B78AE"/>
    <w:rsid w:val="000C080E"/>
    <w:rsid w:val="000C1BA0"/>
    <w:rsid w:val="000C1C1A"/>
    <w:rsid w:val="000C2CA7"/>
    <w:rsid w:val="000C3DF9"/>
    <w:rsid w:val="000C6713"/>
    <w:rsid w:val="000D1BFC"/>
    <w:rsid w:val="000D1D5D"/>
    <w:rsid w:val="000D281A"/>
    <w:rsid w:val="000D2848"/>
    <w:rsid w:val="000D326A"/>
    <w:rsid w:val="000D4B66"/>
    <w:rsid w:val="000D51FB"/>
    <w:rsid w:val="000D576C"/>
    <w:rsid w:val="000D6077"/>
    <w:rsid w:val="000D6C56"/>
    <w:rsid w:val="000E02FB"/>
    <w:rsid w:val="000E0599"/>
    <w:rsid w:val="000E0640"/>
    <w:rsid w:val="000E0D67"/>
    <w:rsid w:val="000E135D"/>
    <w:rsid w:val="000E2B16"/>
    <w:rsid w:val="000E50D3"/>
    <w:rsid w:val="000E5AA3"/>
    <w:rsid w:val="000F00BA"/>
    <w:rsid w:val="000F09A2"/>
    <w:rsid w:val="000F2E36"/>
    <w:rsid w:val="000F316A"/>
    <w:rsid w:val="000F3C74"/>
    <w:rsid w:val="000F4BB8"/>
    <w:rsid w:val="000F4D5D"/>
    <w:rsid w:val="000F4FA9"/>
    <w:rsid w:val="000F53FB"/>
    <w:rsid w:val="000F7127"/>
    <w:rsid w:val="000F7B54"/>
    <w:rsid w:val="00100829"/>
    <w:rsid w:val="00100F74"/>
    <w:rsid w:val="00100F8A"/>
    <w:rsid w:val="001013CF"/>
    <w:rsid w:val="0010271A"/>
    <w:rsid w:val="0010452E"/>
    <w:rsid w:val="00105AE2"/>
    <w:rsid w:val="00105BF7"/>
    <w:rsid w:val="001060C6"/>
    <w:rsid w:val="001066D4"/>
    <w:rsid w:val="00106B80"/>
    <w:rsid w:val="001078FD"/>
    <w:rsid w:val="0011032E"/>
    <w:rsid w:val="001109F9"/>
    <w:rsid w:val="00111637"/>
    <w:rsid w:val="0011348B"/>
    <w:rsid w:val="00115482"/>
    <w:rsid w:val="00115982"/>
    <w:rsid w:val="001167B0"/>
    <w:rsid w:val="00116C53"/>
    <w:rsid w:val="00120BFC"/>
    <w:rsid w:val="00121799"/>
    <w:rsid w:val="001222FC"/>
    <w:rsid w:val="00123681"/>
    <w:rsid w:val="00123902"/>
    <w:rsid w:val="00123F0E"/>
    <w:rsid w:val="00124122"/>
    <w:rsid w:val="00124A51"/>
    <w:rsid w:val="001259C4"/>
    <w:rsid w:val="0012633F"/>
    <w:rsid w:val="00126374"/>
    <w:rsid w:val="00126621"/>
    <w:rsid w:val="0012675C"/>
    <w:rsid w:val="00126B1D"/>
    <w:rsid w:val="0012790F"/>
    <w:rsid w:val="001301E9"/>
    <w:rsid w:val="001312F6"/>
    <w:rsid w:val="00131D82"/>
    <w:rsid w:val="00132B22"/>
    <w:rsid w:val="00133992"/>
    <w:rsid w:val="00133D36"/>
    <w:rsid w:val="00133E58"/>
    <w:rsid w:val="00135EB8"/>
    <w:rsid w:val="00137645"/>
    <w:rsid w:val="0014015A"/>
    <w:rsid w:val="00140436"/>
    <w:rsid w:val="0014078F"/>
    <w:rsid w:val="00140C38"/>
    <w:rsid w:val="00140E99"/>
    <w:rsid w:val="00142DD8"/>
    <w:rsid w:val="00143F67"/>
    <w:rsid w:val="00145540"/>
    <w:rsid w:val="001456B0"/>
    <w:rsid w:val="00145CBE"/>
    <w:rsid w:val="001461A1"/>
    <w:rsid w:val="00146F84"/>
    <w:rsid w:val="001477C9"/>
    <w:rsid w:val="00147A68"/>
    <w:rsid w:val="00151374"/>
    <w:rsid w:val="001519AC"/>
    <w:rsid w:val="001536EC"/>
    <w:rsid w:val="00153E9D"/>
    <w:rsid w:val="00155662"/>
    <w:rsid w:val="00156F8F"/>
    <w:rsid w:val="00157130"/>
    <w:rsid w:val="001576B1"/>
    <w:rsid w:val="00157D42"/>
    <w:rsid w:val="0016047B"/>
    <w:rsid w:val="00160958"/>
    <w:rsid w:val="00160A4C"/>
    <w:rsid w:val="00162913"/>
    <w:rsid w:val="00163472"/>
    <w:rsid w:val="00163EFF"/>
    <w:rsid w:val="00163F66"/>
    <w:rsid w:val="00164DDE"/>
    <w:rsid w:val="001661FB"/>
    <w:rsid w:val="001671A0"/>
    <w:rsid w:val="0016767F"/>
    <w:rsid w:val="00173565"/>
    <w:rsid w:val="00173B07"/>
    <w:rsid w:val="00174993"/>
    <w:rsid w:val="001751FA"/>
    <w:rsid w:val="00175A63"/>
    <w:rsid w:val="00176308"/>
    <w:rsid w:val="001766D9"/>
    <w:rsid w:val="0017766B"/>
    <w:rsid w:val="001805B6"/>
    <w:rsid w:val="00180A36"/>
    <w:rsid w:val="00181D9C"/>
    <w:rsid w:val="001849F0"/>
    <w:rsid w:val="00184B0E"/>
    <w:rsid w:val="00187475"/>
    <w:rsid w:val="0018752F"/>
    <w:rsid w:val="00192315"/>
    <w:rsid w:val="00193838"/>
    <w:rsid w:val="00193D6B"/>
    <w:rsid w:val="0019419A"/>
    <w:rsid w:val="00194AD8"/>
    <w:rsid w:val="00194C7B"/>
    <w:rsid w:val="00194F85"/>
    <w:rsid w:val="00195222"/>
    <w:rsid w:val="001960E1"/>
    <w:rsid w:val="001975D8"/>
    <w:rsid w:val="001A0ECE"/>
    <w:rsid w:val="001A178E"/>
    <w:rsid w:val="001A199E"/>
    <w:rsid w:val="001A20AF"/>
    <w:rsid w:val="001A3CC3"/>
    <w:rsid w:val="001A43FA"/>
    <w:rsid w:val="001A47C5"/>
    <w:rsid w:val="001A59FB"/>
    <w:rsid w:val="001A5E9E"/>
    <w:rsid w:val="001A6354"/>
    <w:rsid w:val="001A6366"/>
    <w:rsid w:val="001A68B9"/>
    <w:rsid w:val="001A7AE8"/>
    <w:rsid w:val="001B0E92"/>
    <w:rsid w:val="001B204E"/>
    <w:rsid w:val="001B2372"/>
    <w:rsid w:val="001B26B4"/>
    <w:rsid w:val="001B3443"/>
    <w:rsid w:val="001B36F6"/>
    <w:rsid w:val="001B4D20"/>
    <w:rsid w:val="001B57B1"/>
    <w:rsid w:val="001B78B0"/>
    <w:rsid w:val="001C22CC"/>
    <w:rsid w:val="001C2A9B"/>
    <w:rsid w:val="001C40FA"/>
    <w:rsid w:val="001C4299"/>
    <w:rsid w:val="001C4874"/>
    <w:rsid w:val="001C57B9"/>
    <w:rsid w:val="001C5F94"/>
    <w:rsid w:val="001C6E66"/>
    <w:rsid w:val="001D1100"/>
    <w:rsid w:val="001D1391"/>
    <w:rsid w:val="001D2402"/>
    <w:rsid w:val="001D25D7"/>
    <w:rsid w:val="001D2DB1"/>
    <w:rsid w:val="001D50B2"/>
    <w:rsid w:val="001D7645"/>
    <w:rsid w:val="001E0730"/>
    <w:rsid w:val="001E1348"/>
    <w:rsid w:val="001E1B66"/>
    <w:rsid w:val="001E1E86"/>
    <w:rsid w:val="001E238E"/>
    <w:rsid w:val="001E2483"/>
    <w:rsid w:val="001E2B1E"/>
    <w:rsid w:val="001E2CFF"/>
    <w:rsid w:val="001E2F24"/>
    <w:rsid w:val="001E307A"/>
    <w:rsid w:val="001E30D4"/>
    <w:rsid w:val="001E3277"/>
    <w:rsid w:val="001E34DF"/>
    <w:rsid w:val="001E4874"/>
    <w:rsid w:val="001E52EB"/>
    <w:rsid w:val="001E5AE6"/>
    <w:rsid w:val="001E61D2"/>
    <w:rsid w:val="001E740C"/>
    <w:rsid w:val="001F035D"/>
    <w:rsid w:val="001F04CF"/>
    <w:rsid w:val="001F1235"/>
    <w:rsid w:val="001F1CB3"/>
    <w:rsid w:val="001F38B5"/>
    <w:rsid w:val="001F4081"/>
    <w:rsid w:val="001F57E4"/>
    <w:rsid w:val="001F7361"/>
    <w:rsid w:val="001F7BCE"/>
    <w:rsid w:val="00200D6B"/>
    <w:rsid w:val="00200DB0"/>
    <w:rsid w:val="002011B0"/>
    <w:rsid w:val="00203181"/>
    <w:rsid w:val="00203783"/>
    <w:rsid w:val="0020385F"/>
    <w:rsid w:val="00203F0B"/>
    <w:rsid w:val="0020634A"/>
    <w:rsid w:val="002068A0"/>
    <w:rsid w:val="00207021"/>
    <w:rsid w:val="0020732F"/>
    <w:rsid w:val="00207D00"/>
    <w:rsid w:val="00210411"/>
    <w:rsid w:val="002105C1"/>
    <w:rsid w:val="00213959"/>
    <w:rsid w:val="00213EF5"/>
    <w:rsid w:val="00216BF5"/>
    <w:rsid w:val="00217083"/>
    <w:rsid w:val="0021791A"/>
    <w:rsid w:val="00217C7B"/>
    <w:rsid w:val="00217E06"/>
    <w:rsid w:val="00221A15"/>
    <w:rsid w:val="00223B49"/>
    <w:rsid w:val="00223D5A"/>
    <w:rsid w:val="00224619"/>
    <w:rsid w:val="00224DD4"/>
    <w:rsid w:val="00225B59"/>
    <w:rsid w:val="00226214"/>
    <w:rsid w:val="002262D0"/>
    <w:rsid w:val="002278A0"/>
    <w:rsid w:val="002279F9"/>
    <w:rsid w:val="0023064C"/>
    <w:rsid w:val="002309CC"/>
    <w:rsid w:val="0023209F"/>
    <w:rsid w:val="00233A2A"/>
    <w:rsid w:val="00233C01"/>
    <w:rsid w:val="0023413C"/>
    <w:rsid w:val="002346F0"/>
    <w:rsid w:val="0023629D"/>
    <w:rsid w:val="00237255"/>
    <w:rsid w:val="002379AA"/>
    <w:rsid w:val="00240535"/>
    <w:rsid w:val="00241667"/>
    <w:rsid w:val="0024233A"/>
    <w:rsid w:val="002424AF"/>
    <w:rsid w:val="00242A57"/>
    <w:rsid w:val="00242E9F"/>
    <w:rsid w:val="002432CF"/>
    <w:rsid w:val="002439DC"/>
    <w:rsid w:val="002441D2"/>
    <w:rsid w:val="00244DC8"/>
    <w:rsid w:val="002458BA"/>
    <w:rsid w:val="002459D9"/>
    <w:rsid w:val="00245CE9"/>
    <w:rsid w:val="0024636C"/>
    <w:rsid w:val="00247925"/>
    <w:rsid w:val="00247D8C"/>
    <w:rsid w:val="0025085F"/>
    <w:rsid w:val="00250BB2"/>
    <w:rsid w:val="00251006"/>
    <w:rsid w:val="002524D5"/>
    <w:rsid w:val="00253453"/>
    <w:rsid w:val="00253B1D"/>
    <w:rsid w:val="00254DCF"/>
    <w:rsid w:val="0025534B"/>
    <w:rsid w:val="00255BB7"/>
    <w:rsid w:val="00255F09"/>
    <w:rsid w:val="00257541"/>
    <w:rsid w:val="00257A39"/>
    <w:rsid w:val="00257AC4"/>
    <w:rsid w:val="00257FA7"/>
    <w:rsid w:val="00260BEE"/>
    <w:rsid w:val="00260BFC"/>
    <w:rsid w:val="002614E3"/>
    <w:rsid w:val="00261EEF"/>
    <w:rsid w:val="002627A2"/>
    <w:rsid w:val="00262A1A"/>
    <w:rsid w:val="00262A87"/>
    <w:rsid w:val="00263836"/>
    <w:rsid w:val="00264253"/>
    <w:rsid w:val="0026440D"/>
    <w:rsid w:val="002649C8"/>
    <w:rsid w:val="00264D26"/>
    <w:rsid w:val="002660DD"/>
    <w:rsid w:val="002673A7"/>
    <w:rsid w:val="00267642"/>
    <w:rsid w:val="00267AEA"/>
    <w:rsid w:val="002700E6"/>
    <w:rsid w:val="00270233"/>
    <w:rsid w:val="0027196F"/>
    <w:rsid w:val="00271F89"/>
    <w:rsid w:val="0027294B"/>
    <w:rsid w:val="0027371A"/>
    <w:rsid w:val="00273B4F"/>
    <w:rsid w:val="00273EB4"/>
    <w:rsid w:val="00274682"/>
    <w:rsid w:val="00275C5A"/>
    <w:rsid w:val="00277D91"/>
    <w:rsid w:val="0028095F"/>
    <w:rsid w:val="00281014"/>
    <w:rsid w:val="0028139C"/>
    <w:rsid w:val="0028164D"/>
    <w:rsid w:val="00281974"/>
    <w:rsid w:val="00283CE6"/>
    <w:rsid w:val="00284258"/>
    <w:rsid w:val="00284A7A"/>
    <w:rsid w:val="0028665D"/>
    <w:rsid w:val="002875E3"/>
    <w:rsid w:val="00287744"/>
    <w:rsid w:val="00287AD2"/>
    <w:rsid w:val="002911DC"/>
    <w:rsid w:val="002972F3"/>
    <w:rsid w:val="002A0F2C"/>
    <w:rsid w:val="002A14AB"/>
    <w:rsid w:val="002A2ADE"/>
    <w:rsid w:val="002A2F50"/>
    <w:rsid w:val="002A4CDA"/>
    <w:rsid w:val="002B05A1"/>
    <w:rsid w:val="002B09A4"/>
    <w:rsid w:val="002B106A"/>
    <w:rsid w:val="002B1C1F"/>
    <w:rsid w:val="002B2F80"/>
    <w:rsid w:val="002B3556"/>
    <w:rsid w:val="002B432F"/>
    <w:rsid w:val="002B4717"/>
    <w:rsid w:val="002B62B3"/>
    <w:rsid w:val="002B6754"/>
    <w:rsid w:val="002B6CCE"/>
    <w:rsid w:val="002B6E57"/>
    <w:rsid w:val="002B7044"/>
    <w:rsid w:val="002C0092"/>
    <w:rsid w:val="002C0BB4"/>
    <w:rsid w:val="002C2510"/>
    <w:rsid w:val="002C2775"/>
    <w:rsid w:val="002C27C1"/>
    <w:rsid w:val="002C5099"/>
    <w:rsid w:val="002C5889"/>
    <w:rsid w:val="002C71CE"/>
    <w:rsid w:val="002D08F8"/>
    <w:rsid w:val="002D223B"/>
    <w:rsid w:val="002D2733"/>
    <w:rsid w:val="002D363E"/>
    <w:rsid w:val="002D4265"/>
    <w:rsid w:val="002D4421"/>
    <w:rsid w:val="002D5432"/>
    <w:rsid w:val="002D577C"/>
    <w:rsid w:val="002D7A70"/>
    <w:rsid w:val="002E06FE"/>
    <w:rsid w:val="002E1071"/>
    <w:rsid w:val="002E15B9"/>
    <w:rsid w:val="002E1DE1"/>
    <w:rsid w:val="002E211C"/>
    <w:rsid w:val="002E2158"/>
    <w:rsid w:val="002E4F02"/>
    <w:rsid w:val="002E5675"/>
    <w:rsid w:val="002E7107"/>
    <w:rsid w:val="002E7722"/>
    <w:rsid w:val="002E7DA4"/>
    <w:rsid w:val="002F07BA"/>
    <w:rsid w:val="002F0DA9"/>
    <w:rsid w:val="002F1014"/>
    <w:rsid w:val="002F23DB"/>
    <w:rsid w:val="002F3BA2"/>
    <w:rsid w:val="002F4BD7"/>
    <w:rsid w:val="002F5661"/>
    <w:rsid w:val="002F643C"/>
    <w:rsid w:val="002F6633"/>
    <w:rsid w:val="002F6ACC"/>
    <w:rsid w:val="002F7048"/>
    <w:rsid w:val="002F71C0"/>
    <w:rsid w:val="002F74F1"/>
    <w:rsid w:val="002F78F6"/>
    <w:rsid w:val="002F79DB"/>
    <w:rsid w:val="002F7F76"/>
    <w:rsid w:val="00301017"/>
    <w:rsid w:val="0030155F"/>
    <w:rsid w:val="00301C2B"/>
    <w:rsid w:val="00301FC3"/>
    <w:rsid w:val="0030587B"/>
    <w:rsid w:val="00306D98"/>
    <w:rsid w:val="00306E47"/>
    <w:rsid w:val="003074A3"/>
    <w:rsid w:val="0030786C"/>
    <w:rsid w:val="0031031A"/>
    <w:rsid w:val="00310981"/>
    <w:rsid w:val="00310CD3"/>
    <w:rsid w:val="00310E79"/>
    <w:rsid w:val="003120B5"/>
    <w:rsid w:val="003124D9"/>
    <w:rsid w:val="00312594"/>
    <w:rsid w:val="00314D9B"/>
    <w:rsid w:val="00315498"/>
    <w:rsid w:val="00316474"/>
    <w:rsid w:val="00316618"/>
    <w:rsid w:val="00322107"/>
    <w:rsid w:val="00322355"/>
    <w:rsid w:val="00322846"/>
    <w:rsid w:val="003233EE"/>
    <w:rsid w:val="00326DA7"/>
    <w:rsid w:val="003270E4"/>
    <w:rsid w:val="003277CF"/>
    <w:rsid w:val="00330057"/>
    <w:rsid w:val="00330DAA"/>
    <w:rsid w:val="00330F5C"/>
    <w:rsid w:val="00333594"/>
    <w:rsid w:val="003365B2"/>
    <w:rsid w:val="003366C9"/>
    <w:rsid w:val="003371B0"/>
    <w:rsid w:val="00340DF1"/>
    <w:rsid w:val="00340F7B"/>
    <w:rsid w:val="00342E33"/>
    <w:rsid w:val="00350099"/>
    <w:rsid w:val="003517F9"/>
    <w:rsid w:val="00351BA9"/>
    <w:rsid w:val="00353473"/>
    <w:rsid w:val="003536F8"/>
    <w:rsid w:val="00353E0C"/>
    <w:rsid w:val="00354F46"/>
    <w:rsid w:val="00354F64"/>
    <w:rsid w:val="00355CB4"/>
    <w:rsid w:val="0035620E"/>
    <w:rsid w:val="00356B41"/>
    <w:rsid w:val="00360345"/>
    <w:rsid w:val="00361630"/>
    <w:rsid w:val="00361A05"/>
    <w:rsid w:val="003624C4"/>
    <w:rsid w:val="003632D5"/>
    <w:rsid w:val="00363B00"/>
    <w:rsid w:val="00364D8D"/>
    <w:rsid w:val="003654AC"/>
    <w:rsid w:val="00366FF3"/>
    <w:rsid w:val="003702C3"/>
    <w:rsid w:val="003710CF"/>
    <w:rsid w:val="00371430"/>
    <w:rsid w:val="0037358A"/>
    <w:rsid w:val="003750F6"/>
    <w:rsid w:val="00375913"/>
    <w:rsid w:val="003760FC"/>
    <w:rsid w:val="00376655"/>
    <w:rsid w:val="00376F93"/>
    <w:rsid w:val="00377C2F"/>
    <w:rsid w:val="0038087D"/>
    <w:rsid w:val="00381515"/>
    <w:rsid w:val="0038365C"/>
    <w:rsid w:val="0038369B"/>
    <w:rsid w:val="00383B78"/>
    <w:rsid w:val="00385A9D"/>
    <w:rsid w:val="003871AE"/>
    <w:rsid w:val="003902B1"/>
    <w:rsid w:val="0039179C"/>
    <w:rsid w:val="003926E2"/>
    <w:rsid w:val="00393F06"/>
    <w:rsid w:val="003943FF"/>
    <w:rsid w:val="00396896"/>
    <w:rsid w:val="003969DE"/>
    <w:rsid w:val="00396A6B"/>
    <w:rsid w:val="00396FD0"/>
    <w:rsid w:val="003973D8"/>
    <w:rsid w:val="003A1A7A"/>
    <w:rsid w:val="003A213E"/>
    <w:rsid w:val="003A2392"/>
    <w:rsid w:val="003A2831"/>
    <w:rsid w:val="003A3246"/>
    <w:rsid w:val="003A3CB6"/>
    <w:rsid w:val="003A3ED1"/>
    <w:rsid w:val="003A44DB"/>
    <w:rsid w:val="003A4910"/>
    <w:rsid w:val="003A4B7B"/>
    <w:rsid w:val="003A5197"/>
    <w:rsid w:val="003B2675"/>
    <w:rsid w:val="003B3971"/>
    <w:rsid w:val="003B55D1"/>
    <w:rsid w:val="003B5B61"/>
    <w:rsid w:val="003B7AA0"/>
    <w:rsid w:val="003C1654"/>
    <w:rsid w:val="003C432F"/>
    <w:rsid w:val="003C4C7E"/>
    <w:rsid w:val="003C5542"/>
    <w:rsid w:val="003C648A"/>
    <w:rsid w:val="003C7D19"/>
    <w:rsid w:val="003C7D2F"/>
    <w:rsid w:val="003D1828"/>
    <w:rsid w:val="003D1DE4"/>
    <w:rsid w:val="003D1E9A"/>
    <w:rsid w:val="003D2422"/>
    <w:rsid w:val="003D3253"/>
    <w:rsid w:val="003D3737"/>
    <w:rsid w:val="003D39A1"/>
    <w:rsid w:val="003D3FBF"/>
    <w:rsid w:val="003D4A30"/>
    <w:rsid w:val="003D5223"/>
    <w:rsid w:val="003D5338"/>
    <w:rsid w:val="003D5D29"/>
    <w:rsid w:val="003D69AE"/>
    <w:rsid w:val="003D6C8E"/>
    <w:rsid w:val="003D7452"/>
    <w:rsid w:val="003D79BB"/>
    <w:rsid w:val="003D7C98"/>
    <w:rsid w:val="003D7D9D"/>
    <w:rsid w:val="003E0543"/>
    <w:rsid w:val="003E1C42"/>
    <w:rsid w:val="003E229E"/>
    <w:rsid w:val="003E3CE9"/>
    <w:rsid w:val="003E5E6B"/>
    <w:rsid w:val="003E666C"/>
    <w:rsid w:val="003E749E"/>
    <w:rsid w:val="003F086C"/>
    <w:rsid w:val="003F1013"/>
    <w:rsid w:val="003F276A"/>
    <w:rsid w:val="003F4041"/>
    <w:rsid w:val="003F4156"/>
    <w:rsid w:val="003F5ADF"/>
    <w:rsid w:val="00400B29"/>
    <w:rsid w:val="00404B48"/>
    <w:rsid w:val="0040504B"/>
    <w:rsid w:val="004059F4"/>
    <w:rsid w:val="004077A5"/>
    <w:rsid w:val="00407922"/>
    <w:rsid w:val="00407B31"/>
    <w:rsid w:val="00407FE5"/>
    <w:rsid w:val="004101B0"/>
    <w:rsid w:val="00410326"/>
    <w:rsid w:val="00410708"/>
    <w:rsid w:val="00410EC7"/>
    <w:rsid w:val="00411B39"/>
    <w:rsid w:val="00412682"/>
    <w:rsid w:val="004126C7"/>
    <w:rsid w:val="004127A7"/>
    <w:rsid w:val="00413A1E"/>
    <w:rsid w:val="0041415B"/>
    <w:rsid w:val="00414476"/>
    <w:rsid w:val="00414677"/>
    <w:rsid w:val="00414C2E"/>
    <w:rsid w:val="004151CF"/>
    <w:rsid w:val="004159BC"/>
    <w:rsid w:val="00416364"/>
    <w:rsid w:val="00417015"/>
    <w:rsid w:val="004176DC"/>
    <w:rsid w:val="0042047F"/>
    <w:rsid w:val="00420AA6"/>
    <w:rsid w:val="00420B9F"/>
    <w:rsid w:val="0042192C"/>
    <w:rsid w:val="00422260"/>
    <w:rsid w:val="00423C37"/>
    <w:rsid w:val="0042413F"/>
    <w:rsid w:val="0042589B"/>
    <w:rsid w:val="004265E7"/>
    <w:rsid w:val="00426E08"/>
    <w:rsid w:val="00430527"/>
    <w:rsid w:val="00430898"/>
    <w:rsid w:val="00430D10"/>
    <w:rsid w:val="004319F8"/>
    <w:rsid w:val="00431E55"/>
    <w:rsid w:val="004321F6"/>
    <w:rsid w:val="00433044"/>
    <w:rsid w:val="00433A74"/>
    <w:rsid w:val="00433C66"/>
    <w:rsid w:val="00433C8D"/>
    <w:rsid w:val="00434088"/>
    <w:rsid w:val="00435007"/>
    <w:rsid w:val="00436555"/>
    <w:rsid w:val="004375B9"/>
    <w:rsid w:val="004400E1"/>
    <w:rsid w:val="00440291"/>
    <w:rsid w:val="0044090B"/>
    <w:rsid w:val="004428D0"/>
    <w:rsid w:val="00443ABA"/>
    <w:rsid w:val="00444185"/>
    <w:rsid w:val="004443A7"/>
    <w:rsid w:val="0044442C"/>
    <w:rsid w:val="00445941"/>
    <w:rsid w:val="004464EB"/>
    <w:rsid w:val="00447D26"/>
    <w:rsid w:val="00447DFC"/>
    <w:rsid w:val="004508D9"/>
    <w:rsid w:val="004518BB"/>
    <w:rsid w:val="00453B59"/>
    <w:rsid w:val="00455D45"/>
    <w:rsid w:val="00455DD8"/>
    <w:rsid w:val="00456110"/>
    <w:rsid w:val="004604C9"/>
    <w:rsid w:val="00460546"/>
    <w:rsid w:val="00460CF9"/>
    <w:rsid w:val="00462E3B"/>
    <w:rsid w:val="004635FB"/>
    <w:rsid w:val="00464595"/>
    <w:rsid w:val="004658B5"/>
    <w:rsid w:val="00467774"/>
    <w:rsid w:val="00471516"/>
    <w:rsid w:val="00471AC9"/>
    <w:rsid w:val="00471EA5"/>
    <w:rsid w:val="00472A79"/>
    <w:rsid w:val="00473AB5"/>
    <w:rsid w:val="00473F19"/>
    <w:rsid w:val="00475E22"/>
    <w:rsid w:val="00475ECD"/>
    <w:rsid w:val="00476F8A"/>
    <w:rsid w:val="004776E7"/>
    <w:rsid w:val="0048088E"/>
    <w:rsid w:val="00480F2B"/>
    <w:rsid w:val="0048199C"/>
    <w:rsid w:val="00482720"/>
    <w:rsid w:val="004835E7"/>
    <w:rsid w:val="00484E3A"/>
    <w:rsid w:val="00485B04"/>
    <w:rsid w:val="004867E2"/>
    <w:rsid w:val="0048773C"/>
    <w:rsid w:val="0049003B"/>
    <w:rsid w:val="00490B17"/>
    <w:rsid w:val="00491108"/>
    <w:rsid w:val="00491B3A"/>
    <w:rsid w:val="00491CB6"/>
    <w:rsid w:val="00491F04"/>
    <w:rsid w:val="00491FE3"/>
    <w:rsid w:val="00492335"/>
    <w:rsid w:val="00492ADF"/>
    <w:rsid w:val="00492CFD"/>
    <w:rsid w:val="00492DFE"/>
    <w:rsid w:val="00494207"/>
    <w:rsid w:val="00494DD5"/>
    <w:rsid w:val="00495354"/>
    <w:rsid w:val="004962D2"/>
    <w:rsid w:val="00496F37"/>
    <w:rsid w:val="00497079"/>
    <w:rsid w:val="004A0DA1"/>
    <w:rsid w:val="004A13D6"/>
    <w:rsid w:val="004A1B49"/>
    <w:rsid w:val="004A4634"/>
    <w:rsid w:val="004A52E9"/>
    <w:rsid w:val="004A5A95"/>
    <w:rsid w:val="004A6040"/>
    <w:rsid w:val="004A6597"/>
    <w:rsid w:val="004A7848"/>
    <w:rsid w:val="004A7A16"/>
    <w:rsid w:val="004B1CB4"/>
    <w:rsid w:val="004B263F"/>
    <w:rsid w:val="004B2669"/>
    <w:rsid w:val="004B2F18"/>
    <w:rsid w:val="004B32E8"/>
    <w:rsid w:val="004B3384"/>
    <w:rsid w:val="004B3DDB"/>
    <w:rsid w:val="004B44D5"/>
    <w:rsid w:val="004B44FD"/>
    <w:rsid w:val="004B5CFC"/>
    <w:rsid w:val="004B6F79"/>
    <w:rsid w:val="004B774D"/>
    <w:rsid w:val="004C0DB5"/>
    <w:rsid w:val="004C10DD"/>
    <w:rsid w:val="004C20C5"/>
    <w:rsid w:val="004C4AED"/>
    <w:rsid w:val="004C65B9"/>
    <w:rsid w:val="004D092D"/>
    <w:rsid w:val="004D1284"/>
    <w:rsid w:val="004D2351"/>
    <w:rsid w:val="004D28FF"/>
    <w:rsid w:val="004D2C2D"/>
    <w:rsid w:val="004D4460"/>
    <w:rsid w:val="004D69B5"/>
    <w:rsid w:val="004D7227"/>
    <w:rsid w:val="004D7314"/>
    <w:rsid w:val="004D7490"/>
    <w:rsid w:val="004D7E52"/>
    <w:rsid w:val="004E0E7F"/>
    <w:rsid w:val="004E0EB8"/>
    <w:rsid w:val="004E18E9"/>
    <w:rsid w:val="004E2ADC"/>
    <w:rsid w:val="004E3876"/>
    <w:rsid w:val="004E41DD"/>
    <w:rsid w:val="004E4391"/>
    <w:rsid w:val="004E43B2"/>
    <w:rsid w:val="004E558E"/>
    <w:rsid w:val="004F1D02"/>
    <w:rsid w:val="004F2679"/>
    <w:rsid w:val="004F2B19"/>
    <w:rsid w:val="004F2F21"/>
    <w:rsid w:val="004F3C5F"/>
    <w:rsid w:val="004F3DE5"/>
    <w:rsid w:val="004F463D"/>
    <w:rsid w:val="004F6510"/>
    <w:rsid w:val="004F6913"/>
    <w:rsid w:val="004F6C9D"/>
    <w:rsid w:val="004F7865"/>
    <w:rsid w:val="0050163B"/>
    <w:rsid w:val="0050174E"/>
    <w:rsid w:val="00501854"/>
    <w:rsid w:val="0050219B"/>
    <w:rsid w:val="0050309F"/>
    <w:rsid w:val="00503F17"/>
    <w:rsid w:val="00506036"/>
    <w:rsid w:val="00506928"/>
    <w:rsid w:val="005077EF"/>
    <w:rsid w:val="00511AD5"/>
    <w:rsid w:val="00511DC7"/>
    <w:rsid w:val="0051399C"/>
    <w:rsid w:val="005142C5"/>
    <w:rsid w:val="00514B1E"/>
    <w:rsid w:val="0051501B"/>
    <w:rsid w:val="005152B5"/>
    <w:rsid w:val="00517182"/>
    <w:rsid w:val="00517A86"/>
    <w:rsid w:val="0052123C"/>
    <w:rsid w:val="00521319"/>
    <w:rsid w:val="0052260F"/>
    <w:rsid w:val="00522B22"/>
    <w:rsid w:val="00522BC8"/>
    <w:rsid w:val="00523C28"/>
    <w:rsid w:val="0052567F"/>
    <w:rsid w:val="00526DB2"/>
    <w:rsid w:val="00527913"/>
    <w:rsid w:val="0053176B"/>
    <w:rsid w:val="00535925"/>
    <w:rsid w:val="00536F42"/>
    <w:rsid w:val="00537182"/>
    <w:rsid w:val="00541EDD"/>
    <w:rsid w:val="00542016"/>
    <w:rsid w:val="00542743"/>
    <w:rsid w:val="00542C2D"/>
    <w:rsid w:val="00543014"/>
    <w:rsid w:val="00544F17"/>
    <w:rsid w:val="00545001"/>
    <w:rsid w:val="00547339"/>
    <w:rsid w:val="005478BD"/>
    <w:rsid w:val="005479E3"/>
    <w:rsid w:val="00550A04"/>
    <w:rsid w:val="00551985"/>
    <w:rsid w:val="00552BD3"/>
    <w:rsid w:val="00552C2C"/>
    <w:rsid w:val="005532A0"/>
    <w:rsid w:val="00553499"/>
    <w:rsid w:val="00555109"/>
    <w:rsid w:val="00556B35"/>
    <w:rsid w:val="0055741A"/>
    <w:rsid w:val="005611B7"/>
    <w:rsid w:val="005618D4"/>
    <w:rsid w:val="0056308E"/>
    <w:rsid w:val="00563CDD"/>
    <w:rsid w:val="005642BC"/>
    <w:rsid w:val="0056552D"/>
    <w:rsid w:val="005656A1"/>
    <w:rsid w:val="00565DF0"/>
    <w:rsid w:val="00565E8C"/>
    <w:rsid w:val="00565F86"/>
    <w:rsid w:val="0056696F"/>
    <w:rsid w:val="00567BF3"/>
    <w:rsid w:val="005720B6"/>
    <w:rsid w:val="00572269"/>
    <w:rsid w:val="0057244A"/>
    <w:rsid w:val="00572F26"/>
    <w:rsid w:val="00573BEB"/>
    <w:rsid w:val="005750C5"/>
    <w:rsid w:val="005752DE"/>
    <w:rsid w:val="00575D8D"/>
    <w:rsid w:val="00576972"/>
    <w:rsid w:val="00576993"/>
    <w:rsid w:val="00583699"/>
    <w:rsid w:val="00585CDD"/>
    <w:rsid w:val="0058692A"/>
    <w:rsid w:val="00587058"/>
    <w:rsid w:val="00587885"/>
    <w:rsid w:val="0059017E"/>
    <w:rsid w:val="00590AE3"/>
    <w:rsid w:val="00591957"/>
    <w:rsid w:val="005930EC"/>
    <w:rsid w:val="00593E99"/>
    <w:rsid w:val="0059436F"/>
    <w:rsid w:val="00596F3D"/>
    <w:rsid w:val="00597BF9"/>
    <w:rsid w:val="005A0028"/>
    <w:rsid w:val="005A157D"/>
    <w:rsid w:val="005A1F31"/>
    <w:rsid w:val="005A2867"/>
    <w:rsid w:val="005A309A"/>
    <w:rsid w:val="005A3411"/>
    <w:rsid w:val="005A373D"/>
    <w:rsid w:val="005A3CD4"/>
    <w:rsid w:val="005A447B"/>
    <w:rsid w:val="005A519F"/>
    <w:rsid w:val="005A553C"/>
    <w:rsid w:val="005B0849"/>
    <w:rsid w:val="005B0B58"/>
    <w:rsid w:val="005B4E53"/>
    <w:rsid w:val="005B5771"/>
    <w:rsid w:val="005B5857"/>
    <w:rsid w:val="005B6A10"/>
    <w:rsid w:val="005C1505"/>
    <w:rsid w:val="005C1B83"/>
    <w:rsid w:val="005C25FF"/>
    <w:rsid w:val="005C2D55"/>
    <w:rsid w:val="005C3085"/>
    <w:rsid w:val="005C346B"/>
    <w:rsid w:val="005C3FCB"/>
    <w:rsid w:val="005C47BE"/>
    <w:rsid w:val="005C7467"/>
    <w:rsid w:val="005D044D"/>
    <w:rsid w:val="005D0ABD"/>
    <w:rsid w:val="005D18AD"/>
    <w:rsid w:val="005D1FBB"/>
    <w:rsid w:val="005D22C1"/>
    <w:rsid w:val="005D24E6"/>
    <w:rsid w:val="005D26B4"/>
    <w:rsid w:val="005D31E4"/>
    <w:rsid w:val="005D355E"/>
    <w:rsid w:val="005D4E6C"/>
    <w:rsid w:val="005D5C46"/>
    <w:rsid w:val="005D68EC"/>
    <w:rsid w:val="005E31F7"/>
    <w:rsid w:val="005E371B"/>
    <w:rsid w:val="005E5222"/>
    <w:rsid w:val="005E5D7B"/>
    <w:rsid w:val="005E6CBC"/>
    <w:rsid w:val="005E6D7A"/>
    <w:rsid w:val="005E72FF"/>
    <w:rsid w:val="005E73C0"/>
    <w:rsid w:val="005F1103"/>
    <w:rsid w:val="005F1C07"/>
    <w:rsid w:val="005F1F99"/>
    <w:rsid w:val="005F2706"/>
    <w:rsid w:val="005F33D0"/>
    <w:rsid w:val="005F3707"/>
    <w:rsid w:val="005F551C"/>
    <w:rsid w:val="005F5F06"/>
    <w:rsid w:val="005F5F4F"/>
    <w:rsid w:val="005F6A8F"/>
    <w:rsid w:val="005F6BB7"/>
    <w:rsid w:val="005F6C23"/>
    <w:rsid w:val="005F70D7"/>
    <w:rsid w:val="005F7116"/>
    <w:rsid w:val="005F7588"/>
    <w:rsid w:val="0060042C"/>
    <w:rsid w:val="006008D9"/>
    <w:rsid w:val="00601F34"/>
    <w:rsid w:val="00603DB9"/>
    <w:rsid w:val="00606FBA"/>
    <w:rsid w:val="00607669"/>
    <w:rsid w:val="006076F4"/>
    <w:rsid w:val="00607AFD"/>
    <w:rsid w:val="006110A5"/>
    <w:rsid w:val="0061229D"/>
    <w:rsid w:val="00612B19"/>
    <w:rsid w:val="00612F7D"/>
    <w:rsid w:val="00612F97"/>
    <w:rsid w:val="0061345D"/>
    <w:rsid w:val="00613ADB"/>
    <w:rsid w:val="00615228"/>
    <w:rsid w:val="0061549B"/>
    <w:rsid w:val="00615DA9"/>
    <w:rsid w:val="006161D5"/>
    <w:rsid w:val="00616802"/>
    <w:rsid w:val="00617E12"/>
    <w:rsid w:val="00620447"/>
    <w:rsid w:val="0062088F"/>
    <w:rsid w:val="00620C25"/>
    <w:rsid w:val="00621477"/>
    <w:rsid w:val="0062169C"/>
    <w:rsid w:val="00621ADA"/>
    <w:rsid w:val="00621DFB"/>
    <w:rsid w:val="00622D6B"/>
    <w:rsid w:val="006235AC"/>
    <w:rsid w:val="00623F7B"/>
    <w:rsid w:val="00626F6C"/>
    <w:rsid w:val="0063045A"/>
    <w:rsid w:val="006307A8"/>
    <w:rsid w:val="0063158F"/>
    <w:rsid w:val="00631AF5"/>
    <w:rsid w:val="00631D6B"/>
    <w:rsid w:val="00632183"/>
    <w:rsid w:val="006330A1"/>
    <w:rsid w:val="00633515"/>
    <w:rsid w:val="006343D5"/>
    <w:rsid w:val="0063479F"/>
    <w:rsid w:val="006353F0"/>
    <w:rsid w:val="006357B5"/>
    <w:rsid w:val="006364A1"/>
    <w:rsid w:val="0063678E"/>
    <w:rsid w:val="00636B71"/>
    <w:rsid w:val="00637BFD"/>
    <w:rsid w:val="00640DA5"/>
    <w:rsid w:val="00641C4E"/>
    <w:rsid w:val="00641FB3"/>
    <w:rsid w:val="00642C9E"/>
    <w:rsid w:val="006430C0"/>
    <w:rsid w:val="0064434C"/>
    <w:rsid w:val="006471CC"/>
    <w:rsid w:val="00647A29"/>
    <w:rsid w:val="0065079F"/>
    <w:rsid w:val="00652A28"/>
    <w:rsid w:val="0065379F"/>
    <w:rsid w:val="00656188"/>
    <w:rsid w:val="00656840"/>
    <w:rsid w:val="00656B15"/>
    <w:rsid w:val="0065715A"/>
    <w:rsid w:val="006607E7"/>
    <w:rsid w:val="006610F1"/>
    <w:rsid w:val="00661C6B"/>
    <w:rsid w:val="00663638"/>
    <w:rsid w:val="006637F1"/>
    <w:rsid w:val="00664AB2"/>
    <w:rsid w:val="006668A1"/>
    <w:rsid w:val="00670DCC"/>
    <w:rsid w:val="00671004"/>
    <w:rsid w:val="00672646"/>
    <w:rsid w:val="00673C2C"/>
    <w:rsid w:val="00674608"/>
    <w:rsid w:val="00674E42"/>
    <w:rsid w:val="00675396"/>
    <w:rsid w:val="006813F8"/>
    <w:rsid w:val="00682112"/>
    <w:rsid w:val="00682BA6"/>
    <w:rsid w:val="00686059"/>
    <w:rsid w:val="00686957"/>
    <w:rsid w:val="006872BA"/>
    <w:rsid w:val="00687D7B"/>
    <w:rsid w:val="00690795"/>
    <w:rsid w:val="00690877"/>
    <w:rsid w:val="00691648"/>
    <w:rsid w:val="006917D7"/>
    <w:rsid w:val="00693859"/>
    <w:rsid w:val="0069434C"/>
    <w:rsid w:val="00694F44"/>
    <w:rsid w:val="00696814"/>
    <w:rsid w:val="00696F51"/>
    <w:rsid w:val="006979A5"/>
    <w:rsid w:val="006A0EBD"/>
    <w:rsid w:val="006A19CE"/>
    <w:rsid w:val="006A5C27"/>
    <w:rsid w:val="006A660B"/>
    <w:rsid w:val="006A6B99"/>
    <w:rsid w:val="006A7671"/>
    <w:rsid w:val="006A79D6"/>
    <w:rsid w:val="006A7E10"/>
    <w:rsid w:val="006A7E5F"/>
    <w:rsid w:val="006B03FF"/>
    <w:rsid w:val="006B261B"/>
    <w:rsid w:val="006B2C90"/>
    <w:rsid w:val="006B30F0"/>
    <w:rsid w:val="006B322E"/>
    <w:rsid w:val="006B35E6"/>
    <w:rsid w:val="006B465A"/>
    <w:rsid w:val="006B56CB"/>
    <w:rsid w:val="006B6DD0"/>
    <w:rsid w:val="006C0399"/>
    <w:rsid w:val="006C1000"/>
    <w:rsid w:val="006C2A8E"/>
    <w:rsid w:val="006C3255"/>
    <w:rsid w:val="006C32C1"/>
    <w:rsid w:val="006C3F26"/>
    <w:rsid w:val="006C5D5E"/>
    <w:rsid w:val="006D0D17"/>
    <w:rsid w:val="006D3C7D"/>
    <w:rsid w:val="006D4659"/>
    <w:rsid w:val="006D53BE"/>
    <w:rsid w:val="006D5D5F"/>
    <w:rsid w:val="006D68FB"/>
    <w:rsid w:val="006D704C"/>
    <w:rsid w:val="006E1E40"/>
    <w:rsid w:val="006E2868"/>
    <w:rsid w:val="006E3F6C"/>
    <w:rsid w:val="006E53AF"/>
    <w:rsid w:val="006E5681"/>
    <w:rsid w:val="006E6B60"/>
    <w:rsid w:val="006E7AD3"/>
    <w:rsid w:val="006E7FEA"/>
    <w:rsid w:val="006F1B4A"/>
    <w:rsid w:val="006F234C"/>
    <w:rsid w:val="006F306C"/>
    <w:rsid w:val="006F33D7"/>
    <w:rsid w:val="006F3D87"/>
    <w:rsid w:val="006F63A5"/>
    <w:rsid w:val="0070082F"/>
    <w:rsid w:val="0070142B"/>
    <w:rsid w:val="0070264B"/>
    <w:rsid w:val="0070276E"/>
    <w:rsid w:val="00702F8F"/>
    <w:rsid w:val="00704B8A"/>
    <w:rsid w:val="007073CC"/>
    <w:rsid w:val="007079FC"/>
    <w:rsid w:val="007103A6"/>
    <w:rsid w:val="00710CDE"/>
    <w:rsid w:val="0071102B"/>
    <w:rsid w:val="00711A36"/>
    <w:rsid w:val="00712587"/>
    <w:rsid w:val="007132BF"/>
    <w:rsid w:val="00714147"/>
    <w:rsid w:val="007142DB"/>
    <w:rsid w:val="00714C26"/>
    <w:rsid w:val="0071529C"/>
    <w:rsid w:val="00716CFE"/>
    <w:rsid w:val="007170DA"/>
    <w:rsid w:val="007172AD"/>
    <w:rsid w:val="007200DE"/>
    <w:rsid w:val="0072068A"/>
    <w:rsid w:val="00720801"/>
    <w:rsid w:val="007225E9"/>
    <w:rsid w:val="00722B1B"/>
    <w:rsid w:val="00723B92"/>
    <w:rsid w:val="0072416F"/>
    <w:rsid w:val="0072418A"/>
    <w:rsid w:val="00724FD3"/>
    <w:rsid w:val="0072702C"/>
    <w:rsid w:val="00727359"/>
    <w:rsid w:val="00727AE9"/>
    <w:rsid w:val="00727C94"/>
    <w:rsid w:val="00730AA6"/>
    <w:rsid w:val="00731B0A"/>
    <w:rsid w:val="00731EAE"/>
    <w:rsid w:val="00733073"/>
    <w:rsid w:val="00733439"/>
    <w:rsid w:val="00735033"/>
    <w:rsid w:val="00735328"/>
    <w:rsid w:val="00735795"/>
    <w:rsid w:val="00735E22"/>
    <w:rsid w:val="00736661"/>
    <w:rsid w:val="0073685B"/>
    <w:rsid w:val="007372DC"/>
    <w:rsid w:val="00742A03"/>
    <w:rsid w:val="007445B3"/>
    <w:rsid w:val="007449BF"/>
    <w:rsid w:val="007450AE"/>
    <w:rsid w:val="00746BC0"/>
    <w:rsid w:val="007509B2"/>
    <w:rsid w:val="007510B4"/>
    <w:rsid w:val="00752142"/>
    <w:rsid w:val="007523F9"/>
    <w:rsid w:val="00752751"/>
    <w:rsid w:val="00752B5D"/>
    <w:rsid w:val="0075357E"/>
    <w:rsid w:val="007542EA"/>
    <w:rsid w:val="0075599B"/>
    <w:rsid w:val="0075622B"/>
    <w:rsid w:val="007573E8"/>
    <w:rsid w:val="00757A83"/>
    <w:rsid w:val="00760C4E"/>
    <w:rsid w:val="00760F9E"/>
    <w:rsid w:val="007627BE"/>
    <w:rsid w:val="00763390"/>
    <w:rsid w:val="00764F03"/>
    <w:rsid w:val="00765B1A"/>
    <w:rsid w:val="00765FFB"/>
    <w:rsid w:val="00777335"/>
    <w:rsid w:val="0078129E"/>
    <w:rsid w:val="00783139"/>
    <w:rsid w:val="007843F2"/>
    <w:rsid w:val="0078450C"/>
    <w:rsid w:val="007859E3"/>
    <w:rsid w:val="00785A88"/>
    <w:rsid w:val="00785A9F"/>
    <w:rsid w:val="00786F21"/>
    <w:rsid w:val="00787174"/>
    <w:rsid w:val="0078721B"/>
    <w:rsid w:val="007901C4"/>
    <w:rsid w:val="007901C6"/>
    <w:rsid w:val="007925DF"/>
    <w:rsid w:val="007944C3"/>
    <w:rsid w:val="007960CA"/>
    <w:rsid w:val="007A084A"/>
    <w:rsid w:val="007A08AA"/>
    <w:rsid w:val="007A0945"/>
    <w:rsid w:val="007A0A12"/>
    <w:rsid w:val="007A132D"/>
    <w:rsid w:val="007A1345"/>
    <w:rsid w:val="007A14CB"/>
    <w:rsid w:val="007A2DDB"/>
    <w:rsid w:val="007A3F12"/>
    <w:rsid w:val="007A63E7"/>
    <w:rsid w:val="007A70BA"/>
    <w:rsid w:val="007B0D68"/>
    <w:rsid w:val="007B15FC"/>
    <w:rsid w:val="007B1F65"/>
    <w:rsid w:val="007B251D"/>
    <w:rsid w:val="007B380E"/>
    <w:rsid w:val="007B385B"/>
    <w:rsid w:val="007B4F58"/>
    <w:rsid w:val="007B528D"/>
    <w:rsid w:val="007B63CA"/>
    <w:rsid w:val="007B6B1F"/>
    <w:rsid w:val="007B7333"/>
    <w:rsid w:val="007B77D1"/>
    <w:rsid w:val="007B7D89"/>
    <w:rsid w:val="007C07C7"/>
    <w:rsid w:val="007C19BB"/>
    <w:rsid w:val="007C1CD9"/>
    <w:rsid w:val="007C32EF"/>
    <w:rsid w:val="007C361D"/>
    <w:rsid w:val="007C4977"/>
    <w:rsid w:val="007C4B84"/>
    <w:rsid w:val="007C4BDA"/>
    <w:rsid w:val="007C5283"/>
    <w:rsid w:val="007C546A"/>
    <w:rsid w:val="007C70FF"/>
    <w:rsid w:val="007C733F"/>
    <w:rsid w:val="007C7603"/>
    <w:rsid w:val="007C7C25"/>
    <w:rsid w:val="007C7CB5"/>
    <w:rsid w:val="007D004F"/>
    <w:rsid w:val="007D0B38"/>
    <w:rsid w:val="007D1D06"/>
    <w:rsid w:val="007D30F7"/>
    <w:rsid w:val="007D3A7B"/>
    <w:rsid w:val="007D5440"/>
    <w:rsid w:val="007D5FE4"/>
    <w:rsid w:val="007D63AD"/>
    <w:rsid w:val="007D69EB"/>
    <w:rsid w:val="007D7A4F"/>
    <w:rsid w:val="007D7BAE"/>
    <w:rsid w:val="007E0BBD"/>
    <w:rsid w:val="007E10F0"/>
    <w:rsid w:val="007E1256"/>
    <w:rsid w:val="007E128F"/>
    <w:rsid w:val="007E1338"/>
    <w:rsid w:val="007E1ECC"/>
    <w:rsid w:val="007E2EA9"/>
    <w:rsid w:val="007E7E71"/>
    <w:rsid w:val="007F07D8"/>
    <w:rsid w:val="007F1017"/>
    <w:rsid w:val="007F4A3F"/>
    <w:rsid w:val="007F4A61"/>
    <w:rsid w:val="007F5255"/>
    <w:rsid w:val="007F53AD"/>
    <w:rsid w:val="007F56CC"/>
    <w:rsid w:val="007F61C2"/>
    <w:rsid w:val="00800A11"/>
    <w:rsid w:val="00800DF0"/>
    <w:rsid w:val="0080105E"/>
    <w:rsid w:val="00802A76"/>
    <w:rsid w:val="00804BA9"/>
    <w:rsid w:val="00805142"/>
    <w:rsid w:val="008059A6"/>
    <w:rsid w:val="00805FCE"/>
    <w:rsid w:val="00807A8B"/>
    <w:rsid w:val="00811383"/>
    <w:rsid w:val="00812149"/>
    <w:rsid w:val="00812CAC"/>
    <w:rsid w:val="00816361"/>
    <w:rsid w:val="008166EF"/>
    <w:rsid w:val="00816ED7"/>
    <w:rsid w:val="00816FEF"/>
    <w:rsid w:val="00817B27"/>
    <w:rsid w:val="00817D6E"/>
    <w:rsid w:val="00820A8C"/>
    <w:rsid w:val="008215FB"/>
    <w:rsid w:val="00823174"/>
    <w:rsid w:val="0082337F"/>
    <w:rsid w:val="00823CF2"/>
    <w:rsid w:val="008240B3"/>
    <w:rsid w:val="00825751"/>
    <w:rsid w:val="008264EB"/>
    <w:rsid w:val="00826EF7"/>
    <w:rsid w:val="008278A0"/>
    <w:rsid w:val="0083015D"/>
    <w:rsid w:val="008334A3"/>
    <w:rsid w:val="00833B05"/>
    <w:rsid w:val="00835A69"/>
    <w:rsid w:val="00835D10"/>
    <w:rsid w:val="008362B4"/>
    <w:rsid w:val="008365D8"/>
    <w:rsid w:val="00837416"/>
    <w:rsid w:val="00840CA2"/>
    <w:rsid w:val="00841B3B"/>
    <w:rsid w:val="0084374F"/>
    <w:rsid w:val="008442ED"/>
    <w:rsid w:val="00844803"/>
    <w:rsid w:val="008449BA"/>
    <w:rsid w:val="00844A22"/>
    <w:rsid w:val="00847703"/>
    <w:rsid w:val="00847DF5"/>
    <w:rsid w:val="00847FF6"/>
    <w:rsid w:val="008500A3"/>
    <w:rsid w:val="00850118"/>
    <w:rsid w:val="008502C8"/>
    <w:rsid w:val="00850FFD"/>
    <w:rsid w:val="008513AD"/>
    <w:rsid w:val="00852880"/>
    <w:rsid w:val="00853027"/>
    <w:rsid w:val="0085309D"/>
    <w:rsid w:val="00856897"/>
    <w:rsid w:val="00856E9A"/>
    <w:rsid w:val="0086075D"/>
    <w:rsid w:val="00862502"/>
    <w:rsid w:val="00862CC1"/>
    <w:rsid w:val="00865EF5"/>
    <w:rsid w:val="008660D4"/>
    <w:rsid w:val="00870B9C"/>
    <w:rsid w:val="00871FA9"/>
    <w:rsid w:val="00872525"/>
    <w:rsid w:val="008728E9"/>
    <w:rsid w:val="00874C53"/>
    <w:rsid w:val="00877C3D"/>
    <w:rsid w:val="008801F9"/>
    <w:rsid w:val="00882874"/>
    <w:rsid w:val="00882E3C"/>
    <w:rsid w:val="00882F34"/>
    <w:rsid w:val="0088321C"/>
    <w:rsid w:val="00883787"/>
    <w:rsid w:val="008852DB"/>
    <w:rsid w:val="008855E4"/>
    <w:rsid w:val="00886CD2"/>
    <w:rsid w:val="00891E6F"/>
    <w:rsid w:val="0089275D"/>
    <w:rsid w:val="00892A36"/>
    <w:rsid w:val="00893239"/>
    <w:rsid w:val="00894489"/>
    <w:rsid w:val="0089514A"/>
    <w:rsid w:val="00895396"/>
    <w:rsid w:val="0089623D"/>
    <w:rsid w:val="008963A5"/>
    <w:rsid w:val="00896D5D"/>
    <w:rsid w:val="008973CB"/>
    <w:rsid w:val="008A0B12"/>
    <w:rsid w:val="008A2245"/>
    <w:rsid w:val="008A31D7"/>
    <w:rsid w:val="008A3363"/>
    <w:rsid w:val="008A3371"/>
    <w:rsid w:val="008A3A96"/>
    <w:rsid w:val="008A3C3E"/>
    <w:rsid w:val="008A654C"/>
    <w:rsid w:val="008A74CB"/>
    <w:rsid w:val="008A7740"/>
    <w:rsid w:val="008A79DE"/>
    <w:rsid w:val="008B074C"/>
    <w:rsid w:val="008B1757"/>
    <w:rsid w:val="008B1E40"/>
    <w:rsid w:val="008B2538"/>
    <w:rsid w:val="008B3A5E"/>
    <w:rsid w:val="008B4CC2"/>
    <w:rsid w:val="008B7893"/>
    <w:rsid w:val="008B7992"/>
    <w:rsid w:val="008B7ABD"/>
    <w:rsid w:val="008B7D7E"/>
    <w:rsid w:val="008B7FC1"/>
    <w:rsid w:val="008C1AEF"/>
    <w:rsid w:val="008C250B"/>
    <w:rsid w:val="008C3FD2"/>
    <w:rsid w:val="008C479E"/>
    <w:rsid w:val="008C5610"/>
    <w:rsid w:val="008C5739"/>
    <w:rsid w:val="008C71F7"/>
    <w:rsid w:val="008C71FD"/>
    <w:rsid w:val="008C7242"/>
    <w:rsid w:val="008C786D"/>
    <w:rsid w:val="008C7ECB"/>
    <w:rsid w:val="008D3B86"/>
    <w:rsid w:val="008D4427"/>
    <w:rsid w:val="008D4755"/>
    <w:rsid w:val="008D48FF"/>
    <w:rsid w:val="008D4C3D"/>
    <w:rsid w:val="008D68C2"/>
    <w:rsid w:val="008D743C"/>
    <w:rsid w:val="008E0307"/>
    <w:rsid w:val="008E0D3C"/>
    <w:rsid w:val="008E0F67"/>
    <w:rsid w:val="008E174B"/>
    <w:rsid w:val="008E1B9E"/>
    <w:rsid w:val="008E1D19"/>
    <w:rsid w:val="008E32A4"/>
    <w:rsid w:val="008E341D"/>
    <w:rsid w:val="008E38EC"/>
    <w:rsid w:val="008E4567"/>
    <w:rsid w:val="008E55AB"/>
    <w:rsid w:val="008E675A"/>
    <w:rsid w:val="008E6E00"/>
    <w:rsid w:val="008F120A"/>
    <w:rsid w:val="008F27E0"/>
    <w:rsid w:val="008F3FAA"/>
    <w:rsid w:val="008F452D"/>
    <w:rsid w:val="008F464B"/>
    <w:rsid w:val="008F48EB"/>
    <w:rsid w:val="008F4F0B"/>
    <w:rsid w:val="008F553C"/>
    <w:rsid w:val="008F56EA"/>
    <w:rsid w:val="008F5984"/>
    <w:rsid w:val="008F5F1D"/>
    <w:rsid w:val="009004CB"/>
    <w:rsid w:val="0090270A"/>
    <w:rsid w:val="00903206"/>
    <w:rsid w:val="00903376"/>
    <w:rsid w:val="00904544"/>
    <w:rsid w:val="009046C4"/>
    <w:rsid w:val="00905433"/>
    <w:rsid w:val="00905FCE"/>
    <w:rsid w:val="00906049"/>
    <w:rsid w:val="0090624C"/>
    <w:rsid w:val="009062A5"/>
    <w:rsid w:val="0091055D"/>
    <w:rsid w:val="00910FA7"/>
    <w:rsid w:val="00911272"/>
    <w:rsid w:val="009135D6"/>
    <w:rsid w:val="00914C77"/>
    <w:rsid w:val="009172AB"/>
    <w:rsid w:val="0092132C"/>
    <w:rsid w:val="00921ACB"/>
    <w:rsid w:val="00921FA1"/>
    <w:rsid w:val="0092277D"/>
    <w:rsid w:val="0092369B"/>
    <w:rsid w:val="0092698F"/>
    <w:rsid w:val="00926D30"/>
    <w:rsid w:val="00930A84"/>
    <w:rsid w:val="00931C02"/>
    <w:rsid w:val="00931C7C"/>
    <w:rsid w:val="0093227B"/>
    <w:rsid w:val="00933CD1"/>
    <w:rsid w:val="00934731"/>
    <w:rsid w:val="00934988"/>
    <w:rsid w:val="00935ECC"/>
    <w:rsid w:val="00937089"/>
    <w:rsid w:val="00941F5C"/>
    <w:rsid w:val="009439E1"/>
    <w:rsid w:val="00943C88"/>
    <w:rsid w:val="0094442E"/>
    <w:rsid w:val="00944A7E"/>
    <w:rsid w:val="00944C53"/>
    <w:rsid w:val="00944C8B"/>
    <w:rsid w:val="00944F8A"/>
    <w:rsid w:val="00946C2C"/>
    <w:rsid w:val="00947AE5"/>
    <w:rsid w:val="009510A2"/>
    <w:rsid w:val="00953257"/>
    <w:rsid w:val="0095474C"/>
    <w:rsid w:val="00956E4D"/>
    <w:rsid w:val="00960997"/>
    <w:rsid w:val="00961813"/>
    <w:rsid w:val="00962CB9"/>
    <w:rsid w:val="00962FA6"/>
    <w:rsid w:val="00964312"/>
    <w:rsid w:val="00964431"/>
    <w:rsid w:val="009655EB"/>
    <w:rsid w:val="00965B8A"/>
    <w:rsid w:val="009678A8"/>
    <w:rsid w:val="0097071F"/>
    <w:rsid w:val="00971736"/>
    <w:rsid w:val="009717AC"/>
    <w:rsid w:val="00972983"/>
    <w:rsid w:val="00972C43"/>
    <w:rsid w:val="009751C1"/>
    <w:rsid w:val="009776C0"/>
    <w:rsid w:val="00977E98"/>
    <w:rsid w:val="009810B3"/>
    <w:rsid w:val="009811F1"/>
    <w:rsid w:val="0098210D"/>
    <w:rsid w:val="00983331"/>
    <w:rsid w:val="00983E57"/>
    <w:rsid w:val="0098412F"/>
    <w:rsid w:val="00985DE2"/>
    <w:rsid w:val="009865EA"/>
    <w:rsid w:val="0098675D"/>
    <w:rsid w:val="00987DB7"/>
    <w:rsid w:val="00990D67"/>
    <w:rsid w:val="00992556"/>
    <w:rsid w:val="009926E0"/>
    <w:rsid w:val="00993E98"/>
    <w:rsid w:val="0099451E"/>
    <w:rsid w:val="00996B1A"/>
    <w:rsid w:val="00997D03"/>
    <w:rsid w:val="009A2DCC"/>
    <w:rsid w:val="009A3E2F"/>
    <w:rsid w:val="009A55F8"/>
    <w:rsid w:val="009A5ABC"/>
    <w:rsid w:val="009A5E49"/>
    <w:rsid w:val="009A6455"/>
    <w:rsid w:val="009A7F10"/>
    <w:rsid w:val="009B0882"/>
    <w:rsid w:val="009B19ED"/>
    <w:rsid w:val="009B3E26"/>
    <w:rsid w:val="009B5B67"/>
    <w:rsid w:val="009B618B"/>
    <w:rsid w:val="009B63DE"/>
    <w:rsid w:val="009C0A6A"/>
    <w:rsid w:val="009C3706"/>
    <w:rsid w:val="009C3A3A"/>
    <w:rsid w:val="009C443E"/>
    <w:rsid w:val="009C4BA0"/>
    <w:rsid w:val="009C55C8"/>
    <w:rsid w:val="009C56B3"/>
    <w:rsid w:val="009C6848"/>
    <w:rsid w:val="009C6CEA"/>
    <w:rsid w:val="009C709E"/>
    <w:rsid w:val="009C723F"/>
    <w:rsid w:val="009C7B85"/>
    <w:rsid w:val="009D0254"/>
    <w:rsid w:val="009D0DDF"/>
    <w:rsid w:val="009D111D"/>
    <w:rsid w:val="009D1A64"/>
    <w:rsid w:val="009D1AEA"/>
    <w:rsid w:val="009D373C"/>
    <w:rsid w:val="009D3D38"/>
    <w:rsid w:val="009D51EA"/>
    <w:rsid w:val="009D5B91"/>
    <w:rsid w:val="009D5E67"/>
    <w:rsid w:val="009D7870"/>
    <w:rsid w:val="009D792E"/>
    <w:rsid w:val="009D7CEE"/>
    <w:rsid w:val="009E0DFE"/>
    <w:rsid w:val="009E31F6"/>
    <w:rsid w:val="009E3F63"/>
    <w:rsid w:val="009E4C07"/>
    <w:rsid w:val="009E4EF2"/>
    <w:rsid w:val="009E5640"/>
    <w:rsid w:val="009E60C8"/>
    <w:rsid w:val="009E657A"/>
    <w:rsid w:val="009E7729"/>
    <w:rsid w:val="009E7EB1"/>
    <w:rsid w:val="009F0810"/>
    <w:rsid w:val="009F2AA5"/>
    <w:rsid w:val="009F3A1A"/>
    <w:rsid w:val="009F40E5"/>
    <w:rsid w:val="009F41C8"/>
    <w:rsid w:val="009F6552"/>
    <w:rsid w:val="009F6A04"/>
    <w:rsid w:val="009F7338"/>
    <w:rsid w:val="00A01184"/>
    <w:rsid w:val="00A015CC"/>
    <w:rsid w:val="00A0187E"/>
    <w:rsid w:val="00A018BF"/>
    <w:rsid w:val="00A02BA2"/>
    <w:rsid w:val="00A037C2"/>
    <w:rsid w:val="00A03D43"/>
    <w:rsid w:val="00A0423E"/>
    <w:rsid w:val="00A04380"/>
    <w:rsid w:val="00A05472"/>
    <w:rsid w:val="00A05C32"/>
    <w:rsid w:val="00A06517"/>
    <w:rsid w:val="00A0653F"/>
    <w:rsid w:val="00A11CD0"/>
    <w:rsid w:val="00A13948"/>
    <w:rsid w:val="00A14CB6"/>
    <w:rsid w:val="00A1555B"/>
    <w:rsid w:val="00A155C5"/>
    <w:rsid w:val="00A1646A"/>
    <w:rsid w:val="00A166EF"/>
    <w:rsid w:val="00A168B2"/>
    <w:rsid w:val="00A16AD8"/>
    <w:rsid w:val="00A16F41"/>
    <w:rsid w:val="00A21C95"/>
    <w:rsid w:val="00A21CF3"/>
    <w:rsid w:val="00A230AA"/>
    <w:rsid w:val="00A24813"/>
    <w:rsid w:val="00A27AEC"/>
    <w:rsid w:val="00A30167"/>
    <w:rsid w:val="00A30B24"/>
    <w:rsid w:val="00A30C0C"/>
    <w:rsid w:val="00A31834"/>
    <w:rsid w:val="00A320DB"/>
    <w:rsid w:val="00A34614"/>
    <w:rsid w:val="00A35650"/>
    <w:rsid w:val="00A35D16"/>
    <w:rsid w:val="00A377EB"/>
    <w:rsid w:val="00A37BCD"/>
    <w:rsid w:val="00A40862"/>
    <w:rsid w:val="00A40976"/>
    <w:rsid w:val="00A40E51"/>
    <w:rsid w:val="00A41089"/>
    <w:rsid w:val="00A41689"/>
    <w:rsid w:val="00A42592"/>
    <w:rsid w:val="00A42C25"/>
    <w:rsid w:val="00A43400"/>
    <w:rsid w:val="00A43C59"/>
    <w:rsid w:val="00A46BB0"/>
    <w:rsid w:val="00A47435"/>
    <w:rsid w:val="00A50ECD"/>
    <w:rsid w:val="00A51193"/>
    <w:rsid w:val="00A518F3"/>
    <w:rsid w:val="00A52729"/>
    <w:rsid w:val="00A53675"/>
    <w:rsid w:val="00A537EE"/>
    <w:rsid w:val="00A54C1B"/>
    <w:rsid w:val="00A564D7"/>
    <w:rsid w:val="00A56B6A"/>
    <w:rsid w:val="00A570E5"/>
    <w:rsid w:val="00A573AE"/>
    <w:rsid w:val="00A57688"/>
    <w:rsid w:val="00A578DC"/>
    <w:rsid w:val="00A60EB3"/>
    <w:rsid w:val="00A61E57"/>
    <w:rsid w:val="00A62314"/>
    <w:rsid w:val="00A629F6"/>
    <w:rsid w:val="00A64034"/>
    <w:rsid w:val="00A640E2"/>
    <w:rsid w:val="00A6444D"/>
    <w:rsid w:val="00A64D65"/>
    <w:rsid w:val="00A65BFC"/>
    <w:rsid w:val="00A668E0"/>
    <w:rsid w:val="00A6725B"/>
    <w:rsid w:val="00A67306"/>
    <w:rsid w:val="00A70605"/>
    <w:rsid w:val="00A73134"/>
    <w:rsid w:val="00A73A15"/>
    <w:rsid w:val="00A76001"/>
    <w:rsid w:val="00A777B2"/>
    <w:rsid w:val="00A8118C"/>
    <w:rsid w:val="00A825D4"/>
    <w:rsid w:val="00A828F6"/>
    <w:rsid w:val="00A82B73"/>
    <w:rsid w:val="00A83DA2"/>
    <w:rsid w:val="00A86E8B"/>
    <w:rsid w:val="00A87164"/>
    <w:rsid w:val="00A90B8F"/>
    <w:rsid w:val="00A9202A"/>
    <w:rsid w:val="00A93072"/>
    <w:rsid w:val="00A938BD"/>
    <w:rsid w:val="00A93953"/>
    <w:rsid w:val="00A93C08"/>
    <w:rsid w:val="00A93CF1"/>
    <w:rsid w:val="00A94A1F"/>
    <w:rsid w:val="00A959D8"/>
    <w:rsid w:val="00A97643"/>
    <w:rsid w:val="00A97FCD"/>
    <w:rsid w:val="00AA113D"/>
    <w:rsid w:val="00AA15FE"/>
    <w:rsid w:val="00AA18FC"/>
    <w:rsid w:val="00AA2CA3"/>
    <w:rsid w:val="00AA3186"/>
    <w:rsid w:val="00AA49EB"/>
    <w:rsid w:val="00AA6BD5"/>
    <w:rsid w:val="00AA6BD8"/>
    <w:rsid w:val="00AA6C7D"/>
    <w:rsid w:val="00AA7FD6"/>
    <w:rsid w:val="00AB042A"/>
    <w:rsid w:val="00AB19EF"/>
    <w:rsid w:val="00AB2D34"/>
    <w:rsid w:val="00AB3430"/>
    <w:rsid w:val="00AB37B9"/>
    <w:rsid w:val="00AB4AD1"/>
    <w:rsid w:val="00AB5E07"/>
    <w:rsid w:val="00AB74B9"/>
    <w:rsid w:val="00AB75F2"/>
    <w:rsid w:val="00AB7CFA"/>
    <w:rsid w:val="00AC0B75"/>
    <w:rsid w:val="00AC100F"/>
    <w:rsid w:val="00AC2745"/>
    <w:rsid w:val="00AC3159"/>
    <w:rsid w:val="00AC40A2"/>
    <w:rsid w:val="00AC5B48"/>
    <w:rsid w:val="00AD0DF5"/>
    <w:rsid w:val="00AD1450"/>
    <w:rsid w:val="00AD1896"/>
    <w:rsid w:val="00AD2197"/>
    <w:rsid w:val="00AD3218"/>
    <w:rsid w:val="00AD42B4"/>
    <w:rsid w:val="00AD5464"/>
    <w:rsid w:val="00AD6502"/>
    <w:rsid w:val="00AD656C"/>
    <w:rsid w:val="00AE0695"/>
    <w:rsid w:val="00AE3E7E"/>
    <w:rsid w:val="00AE404B"/>
    <w:rsid w:val="00AE5042"/>
    <w:rsid w:val="00AE55D7"/>
    <w:rsid w:val="00AF08C5"/>
    <w:rsid w:val="00AF1315"/>
    <w:rsid w:val="00AF1772"/>
    <w:rsid w:val="00AF19BF"/>
    <w:rsid w:val="00AF1CC0"/>
    <w:rsid w:val="00AF2A99"/>
    <w:rsid w:val="00AF2DC3"/>
    <w:rsid w:val="00AF313F"/>
    <w:rsid w:val="00AF4284"/>
    <w:rsid w:val="00B0307D"/>
    <w:rsid w:val="00B033E5"/>
    <w:rsid w:val="00B03A63"/>
    <w:rsid w:val="00B04EF5"/>
    <w:rsid w:val="00B0561F"/>
    <w:rsid w:val="00B0607C"/>
    <w:rsid w:val="00B06B81"/>
    <w:rsid w:val="00B11CE2"/>
    <w:rsid w:val="00B11E70"/>
    <w:rsid w:val="00B13BED"/>
    <w:rsid w:val="00B157D3"/>
    <w:rsid w:val="00B201A4"/>
    <w:rsid w:val="00B201D1"/>
    <w:rsid w:val="00B20852"/>
    <w:rsid w:val="00B213A6"/>
    <w:rsid w:val="00B235B0"/>
    <w:rsid w:val="00B24DF6"/>
    <w:rsid w:val="00B25DF0"/>
    <w:rsid w:val="00B260FC"/>
    <w:rsid w:val="00B34378"/>
    <w:rsid w:val="00B34FE2"/>
    <w:rsid w:val="00B35166"/>
    <w:rsid w:val="00B351E1"/>
    <w:rsid w:val="00B357D8"/>
    <w:rsid w:val="00B360F4"/>
    <w:rsid w:val="00B36614"/>
    <w:rsid w:val="00B36A00"/>
    <w:rsid w:val="00B37BFC"/>
    <w:rsid w:val="00B40358"/>
    <w:rsid w:val="00B41614"/>
    <w:rsid w:val="00B42851"/>
    <w:rsid w:val="00B42920"/>
    <w:rsid w:val="00B42F80"/>
    <w:rsid w:val="00B435CB"/>
    <w:rsid w:val="00B44781"/>
    <w:rsid w:val="00B470A5"/>
    <w:rsid w:val="00B4763E"/>
    <w:rsid w:val="00B505C8"/>
    <w:rsid w:val="00B50DB8"/>
    <w:rsid w:val="00B53092"/>
    <w:rsid w:val="00B53654"/>
    <w:rsid w:val="00B53905"/>
    <w:rsid w:val="00B54B5B"/>
    <w:rsid w:val="00B5562E"/>
    <w:rsid w:val="00B55D65"/>
    <w:rsid w:val="00B55FD0"/>
    <w:rsid w:val="00B57000"/>
    <w:rsid w:val="00B57A3D"/>
    <w:rsid w:val="00B60939"/>
    <w:rsid w:val="00B60AFD"/>
    <w:rsid w:val="00B62715"/>
    <w:rsid w:val="00B65611"/>
    <w:rsid w:val="00B665FF"/>
    <w:rsid w:val="00B668CE"/>
    <w:rsid w:val="00B70636"/>
    <w:rsid w:val="00B70E8E"/>
    <w:rsid w:val="00B7444A"/>
    <w:rsid w:val="00B75264"/>
    <w:rsid w:val="00B75ECB"/>
    <w:rsid w:val="00B76C92"/>
    <w:rsid w:val="00B818A4"/>
    <w:rsid w:val="00B82957"/>
    <w:rsid w:val="00B84117"/>
    <w:rsid w:val="00B84760"/>
    <w:rsid w:val="00B84DEB"/>
    <w:rsid w:val="00B856DB"/>
    <w:rsid w:val="00B858F0"/>
    <w:rsid w:val="00B85AA2"/>
    <w:rsid w:val="00B8649C"/>
    <w:rsid w:val="00B8695D"/>
    <w:rsid w:val="00B87DD2"/>
    <w:rsid w:val="00B87F0A"/>
    <w:rsid w:val="00B908C1"/>
    <w:rsid w:val="00B91A94"/>
    <w:rsid w:val="00B92D0B"/>
    <w:rsid w:val="00B93379"/>
    <w:rsid w:val="00B93394"/>
    <w:rsid w:val="00B94945"/>
    <w:rsid w:val="00B94DD6"/>
    <w:rsid w:val="00B96F45"/>
    <w:rsid w:val="00BA10C9"/>
    <w:rsid w:val="00BA148B"/>
    <w:rsid w:val="00BA322D"/>
    <w:rsid w:val="00BA517D"/>
    <w:rsid w:val="00BA57CD"/>
    <w:rsid w:val="00BA63FA"/>
    <w:rsid w:val="00BA67D5"/>
    <w:rsid w:val="00BB00B3"/>
    <w:rsid w:val="00BB0BDD"/>
    <w:rsid w:val="00BB148D"/>
    <w:rsid w:val="00BB176C"/>
    <w:rsid w:val="00BB2A73"/>
    <w:rsid w:val="00BB39FA"/>
    <w:rsid w:val="00BB3A45"/>
    <w:rsid w:val="00BB4ACC"/>
    <w:rsid w:val="00BB5B8E"/>
    <w:rsid w:val="00BB5D47"/>
    <w:rsid w:val="00BB703E"/>
    <w:rsid w:val="00BB732D"/>
    <w:rsid w:val="00BB7405"/>
    <w:rsid w:val="00BB7F86"/>
    <w:rsid w:val="00BC3631"/>
    <w:rsid w:val="00BC4A86"/>
    <w:rsid w:val="00BC506B"/>
    <w:rsid w:val="00BC591F"/>
    <w:rsid w:val="00BC6BB7"/>
    <w:rsid w:val="00BC72F7"/>
    <w:rsid w:val="00BC7D6D"/>
    <w:rsid w:val="00BD2108"/>
    <w:rsid w:val="00BD498D"/>
    <w:rsid w:val="00BD68A3"/>
    <w:rsid w:val="00BD6938"/>
    <w:rsid w:val="00BD6CF3"/>
    <w:rsid w:val="00BD7F81"/>
    <w:rsid w:val="00BE0ECA"/>
    <w:rsid w:val="00BE2180"/>
    <w:rsid w:val="00BE21F2"/>
    <w:rsid w:val="00BE2F5C"/>
    <w:rsid w:val="00BE3811"/>
    <w:rsid w:val="00BE4275"/>
    <w:rsid w:val="00BE65DE"/>
    <w:rsid w:val="00BE6634"/>
    <w:rsid w:val="00BF06AE"/>
    <w:rsid w:val="00BF09BD"/>
    <w:rsid w:val="00BF0B5E"/>
    <w:rsid w:val="00BF0F95"/>
    <w:rsid w:val="00BF2314"/>
    <w:rsid w:val="00BF2433"/>
    <w:rsid w:val="00BF5757"/>
    <w:rsid w:val="00BF61C9"/>
    <w:rsid w:val="00BF6C94"/>
    <w:rsid w:val="00BF77B9"/>
    <w:rsid w:val="00C0009F"/>
    <w:rsid w:val="00C00424"/>
    <w:rsid w:val="00C02F23"/>
    <w:rsid w:val="00C0327A"/>
    <w:rsid w:val="00C0555C"/>
    <w:rsid w:val="00C0644A"/>
    <w:rsid w:val="00C1006B"/>
    <w:rsid w:val="00C10B61"/>
    <w:rsid w:val="00C1179F"/>
    <w:rsid w:val="00C12C14"/>
    <w:rsid w:val="00C13D69"/>
    <w:rsid w:val="00C1425F"/>
    <w:rsid w:val="00C147E1"/>
    <w:rsid w:val="00C14855"/>
    <w:rsid w:val="00C1552F"/>
    <w:rsid w:val="00C1582B"/>
    <w:rsid w:val="00C15EAE"/>
    <w:rsid w:val="00C15F04"/>
    <w:rsid w:val="00C16760"/>
    <w:rsid w:val="00C179B3"/>
    <w:rsid w:val="00C17E3F"/>
    <w:rsid w:val="00C200AA"/>
    <w:rsid w:val="00C20B09"/>
    <w:rsid w:val="00C22E43"/>
    <w:rsid w:val="00C237ED"/>
    <w:rsid w:val="00C24632"/>
    <w:rsid w:val="00C25418"/>
    <w:rsid w:val="00C25D9C"/>
    <w:rsid w:val="00C266CF"/>
    <w:rsid w:val="00C26F95"/>
    <w:rsid w:val="00C2778B"/>
    <w:rsid w:val="00C31649"/>
    <w:rsid w:val="00C31B81"/>
    <w:rsid w:val="00C32E33"/>
    <w:rsid w:val="00C32FAB"/>
    <w:rsid w:val="00C337F5"/>
    <w:rsid w:val="00C33BFB"/>
    <w:rsid w:val="00C3434C"/>
    <w:rsid w:val="00C354AD"/>
    <w:rsid w:val="00C35A2D"/>
    <w:rsid w:val="00C36EE4"/>
    <w:rsid w:val="00C40385"/>
    <w:rsid w:val="00C41768"/>
    <w:rsid w:val="00C41C0E"/>
    <w:rsid w:val="00C41CC8"/>
    <w:rsid w:val="00C440F2"/>
    <w:rsid w:val="00C44C53"/>
    <w:rsid w:val="00C468A1"/>
    <w:rsid w:val="00C475AA"/>
    <w:rsid w:val="00C47BF8"/>
    <w:rsid w:val="00C47FC0"/>
    <w:rsid w:val="00C52070"/>
    <w:rsid w:val="00C535A7"/>
    <w:rsid w:val="00C53C98"/>
    <w:rsid w:val="00C55F95"/>
    <w:rsid w:val="00C56FCF"/>
    <w:rsid w:val="00C57B6C"/>
    <w:rsid w:val="00C61585"/>
    <w:rsid w:val="00C61942"/>
    <w:rsid w:val="00C627D3"/>
    <w:rsid w:val="00C628A6"/>
    <w:rsid w:val="00C64344"/>
    <w:rsid w:val="00C6458A"/>
    <w:rsid w:val="00C65108"/>
    <w:rsid w:val="00C65576"/>
    <w:rsid w:val="00C65587"/>
    <w:rsid w:val="00C656CE"/>
    <w:rsid w:val="00C65F4C"/>
    <w:rsid w:val="00C66165"/>
    <w:rsid w:val="00C7060A"/>
    <w:rsid w:val="00C7151A"/>
    <w:rsid w:val="00C717E3"/>
    <w:rsid w:val="00C71F60"/>
    <w:rsid w:val="00C72241"/>
    <w:rsid w:val="00C729E0"/>
    <w:rsid w:val="00C72E81"/>
    <w:rsid w:val="00C73328"/>
    <w:rsid w:val="00C7463D"/>
    <w:rsid w:val="00C750C8"/>
    <w:rsid w:val="00C7560F"/>
    <w:rsid w:val="00C8029E"/>
    <w:rsid w:val="00C80A0E"/>
    <w:rsid w:val="00C8213F"/>
    <w:rsid w:val="00C83095"/>
    <w:rsid w:val="00C83D3A"/>
    <w:rsid w:val="00C85154"/>
    <w:rsid w:val="00C85B44"/>
    <w:rsid w:val="00C86C8D"/>
    <w:rsid w:val="00C87732"/>
    <w:rsid w:val="00C8797A"/>
    <w:rsid w:val="00C900B8"/>
    <w:rsid w:val="00C90C71"/>
    <w:rsid w:val="00C9126D"/>
    <w:rsid w:val="00C91341"/>
    <w:rsid w:val="00C91FD1"/>
    <w:rsid w:val="00C931CF"/>
    <w:rsid w:val="00C938CF"/>
    <w:rsid w:val="00C93CAA"/>
    <w:rsid w:val="00C94053"/>
    <w:rsid w:val="00C9624D"/>
    <w:rsid w:val="00C969DA"/>
    <w:rsid w:val="00C975B1"/>
    <w:rsid w:val="00C97DCC"/>
    <w:rsid w:val="00CA05F4"/>
    <w:rsid w:val="00CA17FE"/>
    <w:rsid w:val="00CA2C77"/>
    <w:rsid w:val="00CA444F"/>
    <w:rsid w:val="00CA4D1A"/>
    <w:rsid w:val="00CA5245"/>
    <w:rsid w:val="00CA6354"/>
    <w:rsid w:val="00CA71F4"/>
    <w:rsid w:val="00CA74E1"/>
    <w:rsid w:val="00CA7B09"/>
    <w:rsid w:val="00CA7C1E"/>
    <w:rsid w:val="00CB0EE9"/>
    <w:rsid w:val="00CB12A5"/>
    <w:rsid w:val="00CB1CAC"/>
    <w:rsid w:val="00CB2003"/>
    <w:rsid w:val="00CB2F2A"/>
    <w:rsid w:val="00CB3C2F"/>
    <w:rsid w:val="00CB59D8"/>
    <w:rsid w:val="00CB5B1A"/>
    <w:rsid w:val="00CB635C"/>
    <w:rsid w:val="00CB66BC"/>
    <w:rsid w:val="00CB6B22"/>
    <w:rsid w:val="00CB7F5F"/>
    <w:rsid w:val="00CC06A6"/>
    <w:rsid w:val="00CC1B39"/>
    <w:rsid w:val="00CC2385"/>
    <w:rsid w:val="00CC2580"/>
    <w:rsid w:val="00CC35EA"/>
    <w:rsid w:val="00CC3848"/>
    <w:rsid w:val="00CC6CBF"/>
    <w:rsid w:val="00CC79CC"/>
    <w:rsid w:val="00CD28E6"/>
    <w:rsid w:val="00CD380C"/>
    <w:rsid w:val="00CD3F77"/>
    <w:rsid w:val="00CD4BBB"/>
    <w:rsid w:val="00CD6390"/>
    <w:rsid w:val="00CD68C1"/>
    <w:rsid w:val="00CD6ADC"/>
    <w:rsid w:val="00CD7193"/>
    <w:rsid w:val="00CD71AD"/>
    <w:rsid w:val="00CE032C"/>
    <w:rsid w:val="00CE1392"/>
    <w:rsid w:val="00CE1A90"/>
    <w:rsid w:val="00CE22F5"/>
    <w:rsid w:val="00CE38C8"/>
    <w:rsid w:val="00CE3B80"/>
    <w:rsid w:val="00CE44EF"/>
    <w:rsid w:val="00CE4998"/>
    <w:rsid w:val="00CE6274"/>
    <w:rsid w:val="00CE70C3"/>
    <w:rsid w:val="00CE77B6"/>
    <w:rsid w:val="00CF1442"/>
    <w:rsid w:val="00CF1FF9"/>
    <w:rsid w:val="00CF2177"/>
    <w:rsid w:val="00CF2B8D"/>
    <w:rsid w:val="00CF456B"/>
    <w:rsid w:val="00CF4F90"/>
    <w:rsid w:val="00CF5A22"/>
    <w:rsid w:val="00CF5C73"/>
    <w:rsid w:val="00D005A8"/>
    <w:rsid w:val="00D00881"/>
    <w:rsid w:val="00D00B3E"/>
    <w:rsid w:val="00D01C3E"/>
    <w:rsid w:val="00D0262E"/>
    <w:rsid w:val="00D04336"/>
    <w:rsid w:val="00D04B6C"/>
    <w:rsid w:val="00D05E3D"/>
    <w:rsid w:val="00D06139"/>
    <w:rsid w:val="00D06667"/>
    <w:rsid w:val="00D066CE"/>
    <w:rsid w:val="00D07FB0"/>
    <w:rsid w:val="00D10B7D"/>
    <w:rsid w:val="00D110BD"/>
    <w:rsid w:val="00D11422"/>
    <w:rsid w:val="00D11A34"/>
    <w:rsid w:val="00D12310"/>
    <w:rsid w:val="00D13675"/>
    <w:rsid w:val="00D141E1"/>
    <w:rsid w:val="00D15314"/>
    <w:rsid w:val="00D17D6C"/>
    <w:rsid w:val="00D2022A"/>
    <w:rsid w:val="00D2155B"/>
    <w:rsid w:val="00D22086"/>
    <w:rsid w:val="00D23D11"/>
    <w:rsid w:val="00D244B6"/>
    <w:rsid w:val="00D24E55"/>
    <w:rsid w:val="00D24FC9"/>
    <w:rsid w:val="00D25431"/>
    <w:rsid w:val="00D2754D"/>
    <w:rsid w:val="00D27B27"/>
    <w:rsid w:val="00D311FC"/>
    <w:rsid w:val="00D31F15"/>
    <w:rsid w:val="00D3220D"/>
    <w:rsid w:val="00D3273C"/>
    <w:rsid w:val="00D33796"/>
    <w:rsid w:val="00D33BE9"/>
    <w:rsid w:val="00D33F93"/>
    <w:rsid w:val="00D357E5"/>
    <w:rsid w:val="00D357FF"/>
    <w:rsid w:val="00D35DCF"/>
    <w:rsid w:val="00D36695"/>
    <w:rsid w:val="00D40514"/>
    <w:rsid w:val="00D42304"/>
    <w:rsid w:val="00D424C7"/>
    <w:rsid w:val="00D42B20"/>
    <w:rsid w:val="00D43831"/>
    <w:rsid w:val="00D43B2A"/>
    <w:rsid w:val="00D43D83"/>
    <w:rsid w:val="00D44EBB"/>
    <w:rsid w:val="00D4690D"/>
    <w:rsid w:val="00D47264"/>
    <w:rsid w:val="00D47575"/>
    <w:rsid w:val="00D47D9A"/>
    <w:rsid w:val="00D522E7"/>
    <w:rsid w:val="00D5243B"/>
    <w:rsid w:val="00D533EC"/>
    <w:rsid w:val="00D56A95"/>
    <w:rsid w:val="00D5774A"/>
    <w:rsid w:val="00D6046B"/>
    <w:rsid w:val="00D61886"/>
    <w:rsid w:val="00D704F8"/>
    <w:rsid w:val="00D70739"/>
    <w:rsid w:val="00D70F16"/>
    <w:rsid w:val="00D712E4"/>
    <w:rsid w:val="00D72F57"/>
    <w:rsid w:val="00D73011"/>
    <w:rsid w:val="00D731FF"/>
    <w:rsid w:val="00D750A2"/>
    <w:rsid w:val="00D76A44"/>
    <w:rsid w:val="00D815EF"/>
    <w:rsid w:val="00D81F26"/>
    <w:rsid w:val="00D83F47"/>
    <w:rsid w:val="00D86231"/>
    <w:rsid w:val="00D91923"/>
    <w:rsid w:val="00D91F4E"/>
    <w:rsid w:val="00D93753"/>
    <w:rsid w:val="00D95A3B"/>
    <w:rsid w:val="00D96998"/>
    <w:rsid w:val="00D976DF"/>
    <w:rsid w:val="00DA03FB"/>
    <w:rsid w:val="00DA047D"/>
    <w:rsid w:val="00DA3167"/>
    <w:rsid w:val="00DA4DC3"/>
    <w:rsid w:val="00DA5C26"/>
    <w:rsid w:val="00DA75C0"/>
    <w:rsid w:val="00DA76F9"/>
    <w:rsid w:val="00DA77A5"/>
    <w:rsid w:val="00DB1306"/>
    <w:rsid w:val="00DB3322"/>
    <w:rsid w:val="00DB3DBF"/>
    <w:rsid w:val="00DB422B"/>
    <w:rsid w:val="00DB484F"/>
    <w:rsid w:val="00DB724F"/>
    <w:rsid w:val="00DB7328"/>
    <w:rsid w:val="00DB7C8E"/>
    <w:rsid w:val="00DC04F6"/>
    <w:rsid w:val="00DC05D8"/>
    <w:rsid w:val="00DC0690"/>
    <w:rsid w:val="00DC1D65"/>
    <w:rsid w:val="00DC2BBE"/>
    <w:rsid w:val="00DC3325"/>
    <w:rsid w:val="00DC3C57"/>
    <w:rsid w:val="00DC5501"/>
    <w:rsid w:val="00DC5EAC"/>
    <w:rsid w:val="00DC60C2"/>
    <w:rsid w:val="00DC61F6"/>
    <w:rsid w:val="00DC7154"/>
    <w:rsid w:val="00DC7E8A"/>
    <w:rsid w:val="00DD0F78"/>
    <w:rsid w:val="00DD1ADC"/>
    <w:rsid w:val="00DD1FE4"/>
    <w:rsid w:val="00DD273C"/>
    <w:rsid w:val="00DD2C5A"/>
    <w:rsid w:val="00DD3F28"/>
    <w:rsid w:val="00DD4537"/>
    <w:rsid w:val="00DD4E15"/>
    <w:rsid w:val="00DD4EF9"/>
    <w:rsid w:val="00DD772E"/>
    <w:rsid w:val="00DD79A9"/>
    <w:rsid w:val="00DE2304"/>
    <w:rsid w:val="00DE3138"/>
    <w:rsid w:val="00DE37F8"/>
    <w:rsid w:val="00DE3988"/>
    <w:rsid w:val="00DE4FCB"/>
    <w:rsid w:val="00DE5D07"/>
    <w:rsid w:val="00DE69CF"/>
    <w:rsid w:val="00DE6E8C"/>
    <w:rsid w:val="00DE72A7"/>
    <w:rsid w:val="00DE7832"/>
    <w:rsid w:val="00DF0EA2"/>
    <w:rsid w:val="00DF0F7B"/>
    <w:rsid w:val="00DF18FC"/>
    <w:rsid w:val="00DF5D2B"/>
    <w:rsid w:val="00E00325"/>
    <w:rsid w:val="00E00E8E"/>
    <w:rsid w:val="00E0106B"/>
    <w:rsid w:val="00E0141E"/>
    <w:rsid w:val="00E02623"/>
    <w:rsid w:val="00E02E34"/>
    <w:rsid w:val="00E05630"/>
    <w:rsid w:val="00E06DBB"/>
    <w:rsid w:val="00E10149"/>
    <w:rsid w:val="00E11340"/>
    <w:rsid w:val="00E122A1"/>
    <w:rsid w:val="00E13A0C"/>
    <w:rsid w:val="00E14206"/>
    <w:rsid w:val="00E16256"/>
    <w:rsid w:val="00E16372"/>
    <w:rsid w:val="00E1681E"/>
    <w:rsid w:val="00E20E4D"/>
    <w:rsid w:val="00E20ED6"/>
    <w:rsid w:val="00E21358"/>
    <w:rsid w:val="00E2249B"/>
    <w:rsid w:val="00E228EF"/>
    <w:rsid w:val="00E22A0D"/>
    <w:rsid w:val="00E22CC6"/>
    <w:rsid w:val="00E23664"/>
    <w:rsid w:val="00E23CE2"/>
    <w:rsid w:val="00E244F6"/>
    <w:rsid w:val="00E2541A"/>
    <w:rsid w:val="00E25B43"/>
    <w:rsid w:val="00E2771E"/>
    <w:rsid w:val="00E27AA2"/>
    <w:rsid w:val="00E30B0C"/>
    <w:rsid w:val="00E311EF"/>
    <w:rsid w:val="00E31AB0"/>
    <w:rsid w:val="00E32180"/>
    <w:rsid w:val="00E3302E"/>
    <w:rsid w:val="00E34948"/>
    <w:rsid w:val="00E3526D"/>
    <w:rsid w:val="00E35A7D"/>
    <w:rsid w:val="00E37569"/>
    <w:rsid w:val="00E401B2"/>
    <w:rsid w:val="00E4116B"/>
    <w:rsid w:val="00E41E30"/>
    <w:rsid w:val="00E42F73"/>
    <w:rsid w:val="00E43D70"/>
    <w:rsid w:val="00E4663C"/>
    <w:rsid w:val="00E466F3"/>
    <w:rsid w:val="00E47B2C"/>
    <w:rsid w:val="00E50F79"/>
    <w:rsid w:val="00E51560"/>
    <w:rsid w:val="00E51D98"/>
    <w:rsid w:val="00E53FC8"/>
    <w:rsid w:val="00E54347"/>
    <w:rsid w:val="00E55424"/>
    <w:rsid w:val="00E55915"/>
    <w:rsid w:val="00E55BB5"/>
    <w:rsid w:val="00E62344"/>
    <w:rsid w:val="00E64E30"/>
    <w:rsid w:val="00E65264"/>
    <w:rsid w:val="00E65E79"/>
    <w:rsid w:val="00E66BA2"/>
    <w:rsid w:val="00E67416"/>
    <w:rsid w:val="00E675AD"/>
    <w:rsid w:val="00E701FB"/>
    <w:rsid w:val="00E718B6"/>
    <w:rsid w:val="00E723BA"/>
    <w:rsid w:val="00E72A5B"/>
    <w:rsid w:val="00E73581"/>
    <w:rsid w:val="00E73D49"/>
    <w:rsid w:val="00E75F15"/>
    <w:rsid w:val="00E7754B"/>
    <w:rsid w:val="00E77A42"/>
    <w:rsid w:val="00E77BE7"/>
    <w:rsid w:val="00E802A7"/>
    <w:rsid w:val="00E82B39"/>
    <w:rsid w:val="00E833F7"/>
    <w:rsid w:val="00E83BDF"/>
    <w:rsid w:val="00E84AC3"/>
    <w:rsid w:val="00E85399"/>
    <w:rsid w:val="00E86DF6"/>
    <w:rsid w:val="00E87A1D"/>
    <w:rsid w:val="00E9094A"/>
    <w:rsid w:val="00E91D08"/>
    <w:rsid w:val="00E91D35"/>
    <w:rsid w:val="00E92248"/>
    <w:rsid w:val="00E926A5"/>
    <w:rsid w:val="00E94B8C"/>
    <w:rsid w:val="00E950AE"/>
    <w:rsid w:val="00E96C17"/>
    <w:rsid w:val="00E97CEC"/>
    <w:rsid w:val="00E97E1A"/>
    <w:rsid w:val="00EA0E9C"/>
    <w:rsid w:val="00EA11FB"/>
    <w:rsid w:val="00EA17C3"/>
    <w:rsid w:val="00EA2011"/>
    <w:rsid w:val="00EA2CAA"/>
    <w:rsid w:val="00EA3708"/>
    <w:rsid w:val="00EA3864"/>
    <w:rsid w:val="00EA3CA4"/>
    <w:rsid w:val="00EA5F3D"/>
    <w:rsid w:val="00EA7F1C"/>
    <w:rsid w:val="00EB15B6"/>
    <w:rsid w:val="00EB253B"/>
    <w:rsid w:val="00EB3D06"/>
    <w:rsid w:val="00EB3F6D"/>
    <w:rsid w:val="00EB4916"/>
    <w:rsid w:val="00EC00C9"/>
    <w:rsid w:val="00EC0DD9"/>
    <w:rsid w:val="00EC24BC"/>
    <w:rsid w:val="00EC2649"/>
    <w:rsid w:val="00EC3009"/>
    <w:rsid w:val="00EC31ED"/>
    <w:rsid w:val="00EC4AFD"/>
    <w:rsid w:val="00EC5836"/>
    <w:rsid w:val="00EC688C"/>
    <w:rsid w:val="00EC73AC"/>
    <w:rsid w:val="00ED1761"/>
    <w:rsid w:val="00ED1E06"/>
    <w:rsid w:val="00ED4A65"/>
    <w:rsid w:val="00ED57EA"/>
    <w:rsid w:val="00ED5BD4"/>
    <w:rsid w:val="00EE07D3"/>
    <w:rsid w:val="00EE0ECD"/>
    <w:rsid w:val="00EE11C6"/>
    <w:rsid w:val="00EE16E2"/>
    <w:rsid w:val="00EE1996"/>
    <w:rsid w:val="00EE1C01"/>
    <w:rsid w:val="00EE22AF"/>
    <w:rsid w:val="00EE380E"/>
    <w:rsid w:val="00EE39D5"/>
    <w:rsid w:val="00EE5D0C"/>
    <w:rsid w:val="00EE7EEF"/>
    <w:rsid w:val="00EF0171"/>
    <w:rsid w:val="00EF1A91"/>
    <w:rsid w:val="00EF1B25"/>
    <w:rsid w:val="00EF1CC5"/>
    <w:rsid w:val="00EF1DA0"/>
    <w:rsid w:val="00EF1E17"/>
    <w:rsid w:val="00EF2108"/>
    <w:rsid w:val="00EF2A7C"/>
    <w:rsid w:val="00EF4747"/>
    <w:rsid w:val="00EF4BF8"/>
    <w:rsid w:val="00EF7496"/>
    <w:rsid w:val="00F02253"/>
    <w:rsid w:val="00F0397D"/>
    <w:rsid w:val="00F03C2E"/>
    <w:rsid w:val="00F044F0"/>
    <w:rsid w:val="00F04A66"/>
    <w:rsid w:val="00F04B4B"/>
    <w:rsid w:val="00F0516C"/>
    <w:rsid w:val="00F067A2"/>
    <w:rsid w:val="00F07219"/>
    <w:rsid w:val="00F07353"/>
    <w:rsid w:val="00F07B9E"/>
    <w:rsid w:val="00F10835"/>
    <w:rsid w:val="00F1116F"/>
    <w:rsid w:val="00F11F6B"/>
    <w:rsid w:val="00F12193"/>
    <w:rsid w:val="00F1263A"/>
    <w:rsid w:val="00F13816"/>
    <w:rsid w:val="00F13865"/>
    <w:rsid w:val="00F15B77"/>
    <w:rsid w:val="00F15D94"/>
    <w:rsid w:val="00F24837"/>
    <w:rsid w:val="00F251AC"/>
    <w:rsid w:val="00F2575F"/>
    <w:rsid w:val="00F27565"/>
    <w:rsid w:val="00F310D4"/>
    <w:rsid w:val="00F317DD"/>
    <w:rsid w:val="00F31D5A"/>
    <w:rsid w:val="00F31F78"/>
    <w:rsid w:val="00F33416"/>
    <w:rsid w:val="00F33975"/>
    <w:rsid w:val="00F33DE9"/>
    <w:rsid w:val="00F35568"/>
    <w:rsid w:val="00F35E6D"/>
    <w:rsid w:val="00F3619A"/>
    <w:rsid w:val="00F40081"/>
    <w:rsid w:val="00F40AAA"/>
    <w:rsid w:val="00F40BA7"/>
    <w:rsid w:val="00F40F9D"/>
    <w:rsid w:val="00F41ACD"/>
    <w:rsid w:val="00F42B01"/>
    <w:rsid w:val="00F43A4C"/>
    <w:rsid w:val="00F46CB6"/>
    <w:rsid w:val="00F4720A"/>
    <w:rsid w:val="00F4756D"/>
    <w:rsid w:val="00F47DE8"/>
    <w:rsid w:val="00F52C97"/>
    <w:rsid w:val="00F5329C"/>
    <w:rsid w:val="00F537D7"/>
    <w:rsid w:val="00F53963"/>
    <w:rsid w:val="00F542C1"/>
    <w:rsid w:val="00F55E73"/>
    <w:rsid w:val="00F55EDA"/>
    <w:rsid w:val="00F56C80"/>
    <w:rsid w:val="00F60092"/>
    <w:rsid w:val="00F600C3"/>
    <w:rsid w:val="00F61163"/>
    <w:rsid w:val="00F61360"/>
    <w:rsid w:val="00F61C18"/>
    <w:rsid w:val="00F62634"/>
    <w:rsid w:val="00F65F4B"/>
    <w:rsid w:val="00F67A69"/>
    <w:rsid w:val="00F70BFF"/>
    <w:rsid w:val="00F70C9D"/>
    <w:rsid w:val="00F70EDA"/>
    <w:rsid w:val="00F74CD9"/>
    <w:rsid w:val="00F76ECF"/>
    <w:rsid w:val="00F777AE"/>
    <w:rsid w:val="00F80A7B"/>
    <w:rsid w:val="00F80E5D"/>
    <w:rsid w:val="00F81BFF"/>
    <w:rsid w:val="00F81E78"/>
    <w:rsid w:val="00F851CE"/>
    <w:rsid w:val="00F85BF2"/>
    <w:rsid w:val="00F86575"/>
    <w:rsid w:val="00F87120"/>
    <w:rsid w:val="00F901B3"/>
    <w:rsid w:val="00F90BDD"/>
    <w:rsid w:val="00F91219"/>
    <w:rsid w:val="00F9232E"/>
    <w:rsid w:val="00F92444"/>
    <w:rsid w:val="00F92A0C"/>
    <w:rsid w:val="00F9393E"/>
    <w:rsid w:val="00F94667"/>
    <w:rsid w:val="00F94AE8"/>
    <w:rsid w:val="00F96FD0"/>
    <w:rsid w:val="00F97A78"/>
    <w:rsid w:val="00FA0B20"/>
    <w:rsid w:val="00FA17A1"/>
    <w:rsid w:val="00FA1887"/>
    <w:rsid w:val="00FA24E7"/>
    <w:rsid w:val="00FA33F5"/>
    <w:rsid w:val="00FA5664"/>
    <w:rsid w:val="00FA5EE6"/>
    <w:rsid w:val="00FA732A"/>
    <w:rsid w:val="00FA7956"/>
    <w:rsid w:val="00FB0098"/>
    <w:rsid w:val="00FB2FCB"/>
    <w:rsid w:val="00FB7C55"/>
    <w:rsid w:val="00FC04C5"/>
    <w:rsid w:val="00FC1074"/>
    <w:rsid w:val="00FC1884"/>
    <w:rsid w:val="00FC371D"/>
    <w:rsid w:val="00FC3E09"/>
    <w:rsid w:val="00FC3FC4"/>
    <w:rsid w:val="00FC5D89"/>
    <w:rsid w:val="00FC5F0B"/>
    <w:rsid w:val="00FC64E6"/>
    <w:rsid w:val="00FC66F7"/>
    <w:rsid w:val="00FC6E4E"/>
    <w:rsid w:val="00FC7176"/>
    <w:rsid w:val="00FD2100"/>
    <w:rsid w:val="00FD2BF3"/>
    <w:rsid w:val="00FD32A0"/>
    <w:rsid w:val="00FD436C"/>
    <w:rsid w:val="00FD446D"/>
    <w:rsid w:val="00FD4F2C"/>
    <w:rsid w:val="00FD6394"/>
    <w:rsid w:val="00FD70A9"/>
    <w:rsid w:val="00FD70FD"/>
    <w:rsid w:val="00FD7A6C"/>
    <w:rsid w:val="00FE02F0"/>
    <w:rsid w:val="00FE0E6C"/>
    <w:rsid w:val="00FE1CDC"/>
    <w:rsid w:val="00FE70C3"/>
    <w:rsid w:val="00FF2AD9"/>
    <w:rsid w:val="00FF3320"/>
    <w:rsid w:val="00FF359F"/>
    <w:rsid w:val="00FF3DCF"/>
    <w:rsid w:val="00FF492C"/>
    <w:rsid w:val="00FF4A21"/>
    <w:rsid w:val="00FF4A3E"/>
    <w:rsid w:val="00FF5AA3"/>
    <w:rsid w:val="00FF5AD8"/>
    <w:rsid w:val="00FF6644"/>
    <w:rsid w:val="00FF6B64"/>
    <w:rsid w:val="00FF78C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lsdException w:name="heading 8" w:semiHidden="1" w:uiPriority="99" w:unhideWhenUsed="1" w:qFormat="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F17"/>
    <w:pPr>
      <w:jc w:val="both"/>
    </w:pPr>
    <w:rPr>
      <w:rFonts w:ascii="Calibri" w:hAnsi="Calibri"/>
      <w:sz w:val="24"/>
      <w:szCs w:val="24"/>
      <w:lang w:eastAsia="en-GB"/>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Bullets Points,ES Paragraph,PBAC ES Paragraph,Answer,lp1"/>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Answer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Default">
    <w:name w:val="Default"/>
    <w:rsid w:val="004508D9"/>
    <w:pPr>
      <w:autoSpaceDE w:val="0"/>
      <w:autoSpaceDN w:val="0"/>
      <w:adjustRightInd w:val="0"/>
    </w:pPr>
    <w:rPr>
      <w:color w:val="000000"/>
      <w:sz w:val="24"/>
      <w:szCs w:val="24"/>
      <w:lang w:val="en-US" w:eastAsia="en-US"/>
    </w:rPr>
  </w:style>
  <w:style w:type="paragraph" w:styleId="FootnoteText">
    <w:name w:val="footnote text"/>
    <w:aliases w:val="Footnote Text Char1,Footnote Text Char Char,Footnote Text Char2,Footnote Text Char Char1"/>
    <w:basedOn w:val="Normal"/>
    <w:link w:val="FootnoteTextChar"/>
    <w:unhideWhenUsed/>
    <w:rsid w:val="0098210D"/>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8210D"/>
    <w:rPr>
      <w:rFonts w:ascii="Calibri" w:hAnsi="Calibri"/>
      <w:lang w:eastAsia="en-GB"/>
    </w:rPr>
  </w:style>
  <w:style w:type="character" w:styleId="FootnoteReference">
    <w:name w:val="footnote reference"/>
    <w:basedOn w:val="DefaultParagraphFont"/>
    <w:unhideWhenUsed/>
    <w:rsid w:val="0098210D"/>
    <w:rPr>
      <w:vertAlign w:val="superscript"/>
    </w:rPr>
  </w:style>
  <w:style w:type="character" w:customStyle="1" w:styleId="UnresolvedMention1">
    <w:name w:val="Unresolved Mention1"/>
    <w:basedOn w:val="DefaultParagraphFont"/>
    <w:uiPriority w:val="99"/>
    <w:semiHidden/>
    <w:unhideWhenUsed/>
    <w:rsid w:val="00AA3186"/>
    <w:rPr>
      <w:color w:val="605E5C"/>
      <w:shd w:val="clear" w:color="auto" w:fill="E1DFDD"/>
    </w:rPr>
  </w:style>
  <w:style w:type="paragraph" w:customStyle="1" w:styleId="V50Instructions">
    <w:name w:val="V5.0 Instructions"/>
    <w:basedOn w:val="Normal"/>
    <w:link w:val="V50InstructionsChar"/>
    <w:qFormat/>
    <w:rsid w:val="000332EA"/>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0332EA"/>
    <w:rPr>
      <w:rFonts w:asciiTheme="minorHAnsi" w:eastAsiaTheme="minorHAnsi" w:hAnsiTheme="minorHAnsi" w:cstheme="minorBidi"/>
      <w:color w:val="4BACC6" w:themeColor="accent5"/>
      <w:sz w:val="24"/>
      <w:szCs w:val="22"/>
      <w:lang w:eastAsia="en-US"/>
    </w:rPr>
  </w:style>
  <w:style w:type="paragraph" w:customStyle="1" w:styleId="Table">
    <w:name w:val="Table"/>
    <w:link w:val="TableChar"/>
    <w:qFormat/>
    <w:rsid w:val="000332EA"/>
    <w:pPr>
      <w:tabs>
        <w:tab w:val="left" w:pos="113"/>
        <w:tab w:val="center" w:pos="142"/>
        <w:tab w:val="center" w:pos="284"/>
        <w:tab w:val="center" w:pos="425"/>
      </w:tabs>
    </w:pPr>
    <w:rPr>
      <w:rFonts w:ascii="Sabon" w:hAnsi="Sabon"/>
      <w:sz w:val="22"/>
      <w:szCs w:val="22"/>
      <w:lang w:val="en-GB" w:eastAsia="en-US"/>
    </w:rPr>
  </w:style>
  <w:style w:type="character" w:customStyle="1" w:styleId="TableChar">
    <w:name w:val="Table Char"/>
    <w:link w:val="Table"/>
    <w:rsid w:val="000332EA"/>
    <w:rPr>
      <w:rFonts w:ascii="Sabon" w:hAnsi="Sabon"/>
      <w:sz w:val="22"/>
      <w:szCs w:val="22"/>
      <w:lang w:val="en-GB" w:eastAsia="en-US"/>
    </w:rPr>
  </w:style>
  <w:style w:type="paragraph" w:customStyle="1" w:styleId="References">
    <w:name w:val="References"/>
    <w:basedOn w:val="Normal"/>
    <w:qFormat/>
    <w:rsid w:val="008278A0"/>
    <w:pPr>
      <w:keepLines/>
      <w:spacing w:after="200" w:line="276" w:lineRule="auto"/>
    </w:pPr>
    <w:rPr>
      <w:rFonts w:ascii="Garamond" w:hAnsi="Garamond" w:cs="Arial"/>
      <w:sz w:val="22"/>
      <w:lang w:eastAsia="en-US"/>
    </w:rPr>
  </w:style>
  <w:style w:type="paragraph" w:customStyle="1" w:styleId="PBACTableText">
    <w:name w:val="PBAC Table Text"/>
    <w:basedOn w:val="Normal"/>
    <w:link w:val="PBACTableTextChar"/>
    <w:rsid w:val="008F5F1D"/>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8F5F1D"/>
    <w:rPr>
      <w:rFonts w:ascii="Arial Narrow" w:hAnsi="Arial Narrow"/>
      <w:lang w:eastAsia="en-US"/>
    </w:rPr>
  </w:style>
  <w:style w:type="paragraph" w:customStyle="1" w:styleId="PbacTableHeading">
    <w:name w:val="Pbac Table Heading"/>
    <w:basedOn w:val="PBACTableText"/>
    <w:rsid w:val="008F5F1D"/>
    <w:pPr>
      <w:spacing w:before="0" w:after="80"/>
    </w:pPr>
    <w:rPr>
      <w:rFonts w:eastAsiaTheme="minorHAnsi" w:cs="Arial"/>
      <w:b/>
    </w:rPr>
  </w:style>
  <w:style w:type="table" w:customStyle="1" w:styleId="Summarybox2">
    <w:name w:val="Summary box2"/>
    <w:basedOn w:val="TableNormal"/>
    <w:uiPriority w:val="59"/>
    <w:rsid w:val="008059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2FAB"/>
    <w:rPr>
      <w:b/>
      <w:bCs/>
    </w:rPr>
  </w:style>
  <w:style w:type="character" w:customStyle="1" w:styleId="apple-converted-space">
    <w:name w:val="apple-converted-space"/>
    <w:basedOn w:val="DefaultParagraphFont"/>
    <w:rsid w:val="00514B1E"/>
  </w:style>
  <w:style w:type="character" w:styleId="Emphasis">
    <w:name w:val="Emphasis"/>
    <w:basedOn w:val="DefaultParagraphFont"/>
    <w:uiPriority w:val="20"/>
    <w:qFormat/>
    <w:rsid w:val="00514B1E"/>
    <w:rPr>
      <w:i/>
      <w:iCs/>
    </w:rPr>
  </w:style>
  <w:style w:type="character" w:customStyle="1" w:styleId="SmallBold">
    <w:name w:val="Small Bold"/>
    <w:basedOn w:val="DefaultParagraphFont"/>
    <w:uiPriority w:val="4"/>
    <w:rsid w:val="006F3D87"/>
    <w:rPr>
      <w:rFonts w:ascii="Calibri" w:hAnsi="Calibri"/>
      <w:b/>
      <w:sz w:val="20"/>
      <w:lang w:val="en-AU"/>
    </w:rPr>
  </w:style>
  <w:style w:type="paragraph" w:customStyle="1" w:styleId="TableParagraph">
    <w:name w:val="Table Paragraph"/>
    <w:basedOn w:val="Normal"/>
    <w:uiPriority w:val="1"/>
    <w:qFormat/>
    <w:rsid w:val="006F3D87"/>
    <w:pPr>
      <w:widowControl w:val="0"/>
      <w:autoSpaceDE w:val="0"/>
      <w:autoSpaceDN w:val="0"/>
    </w:pPr>
    <w:rPr>
      <w:rFonts w:ascii="Times New Roman" w:hAnsi="Times New Roman"/>
      <w:sz w:val="22"/>
      <w:szCs w:val="22"/>
      <w:lang w:val="en-US" w:eastAsia="en-US"/>
    </w:rPr>
  </w:style>
  <w:style w:type="character" w:customStyle="1" w:styleId="bkciteavail">
    <w:name w:val="bk_cite_avail"/>
    <w:basedOn w:val="DefaultParagraphFont"/>
    <w:rsid w:val="00931C7C"/>
  </w:style>
  <w:style w:type="table" w:customStyle="1" w:styleId="C-Table">
    <w:name w:val="C-Table"/>
    <w:basedOn w:val="TableNormal"/>
    <w:rsid w:val="00931C7C"/>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TableFigNoteLast">
    <w:name w:val="TableFigNote Last"/>
    <w:basedOn w:val="Normal"/>
    <w:autoRedefine/>
    <w:qFormat/>
    <w:rsid w:val="00931C7C"/>
    <w:pPr>
      <w:spacing w:after="360"/>
      <w:contextualSpacing/>
    </w:pPr>
    <w:rPr>
      <w:rFonts w:ascii="Garamond" w:eastAsiaTheme="minorHAnsi" w:hAnsi="Garamond" w:cstheme="minorBidi"/>
      <w:sz w:val="18"/>
      <w:szCs w:val="22"/>
      <w:lang w:eastAsia="en-US"/>
    </w:rPr>
  </w:style>
  <w:style w:type="character" w:customStyle="1" w:styleId="contribdegrees">
    <w:name w:val="contribdegrees"/>
    <w:basedOn w:val="DefaultParagraphFont"/>
    <w:rsid w:val="00931C7C"/>
  </w:style>
  <w:style w:type="character" w:styleId="HTMLCite">
    <w:name w:val="HTML Cite"/>
    <w:basedOn w:val="DefaultParagraphFont"/>
    <w:uiPriority w:val="99"/>
    <w:semiHidden/>
    <w:unhideWhenUsed/>
    <w:rsid w:val="00931C7C"/>
    <w:rPr>
      <w:i/>
      <w:iCs/>
    </w:rPr>
  </w:style>
  <w:style w:type="character" w:customStyle="1" w:styleId="BodyText1Char">
    <w:name w:val="Body Text1 Char"/>
    <w:link w:val="BodyText1"/>
    <w:locked/>
    <w:rsid w:val="00931C7C"/>
    <w:rPr>
      <w:rFonts w:ascii="Arial" w:hAnsi="Arial"/>
      <w:sz w:val="22"/>
      <w:szCs w:val="22"/>
      <w:lang w:val="en-US" w:eastAsia="en-GB"/>
    </w:rPr>
  </w:style>
  <w:style w:type="paragraph" w:customStyle="1" w:styleId="BodyText1">
    <w:name w:val="Body Text1"/>
    <w:basedOn w:val="Normal"/>
    <w:link w:val="BodyText1Char"/>
    <w:rsid w:val="00931C7C"/>
    <w:pPr>
      <w:widowControl w:val="0"/>
      <w:spacing w:before="120" w:after="120" w:line="276" w:lineRule="auto"/>
    </w:pPr>
    <w:rPr>
      <w:rFonts w:ascii="Arial" w:hAnsi="Arial"/>
      <w:sz w:val="22"/>
      <w:szCs w:val="22"/>
      <w:lang w:val="en-US"/>
    </w:rPr>
  </w:style>
  <w:style w:type="paragraph" w:customStyle="1" w:styleId="Tablefootnote">
    <w:name w:val="Table footnote"/>
    <w:basedOn w:val="Normal"/>
    <w:link w:val="TablefootnoteChar"/>
    <w:qFormat/>
    <w:rsid w:val="00931C7C"/>
    <w:pPr>
      <w:keepNext/>
      <w:keepLines/>
      <w:spacing w:before="120" w:after="120"/>
      <w:contextualSpacing/>
      <w:jc w:val="left"/>
    </w:pPr>
    <w:rPr>
      <w:rFonts w:ascii="Arial Narrow" w:hAnsi="Arial Narrow"/>
      <w:sz w:val="18"/>
      <w:szCs w:val="22"/>
      <w:lang w:eastAsia="en-US"/>
    </w:rPr>
  </w:style>
  <w:style w:type="character" w:customStyle="1" w:styleId="TablefootnoteChar">
    <w:name w:val="Table footnote Char"/>
    <w:basedOn w:val="DefaultParagraphFont"/>
    <w:link w:val="Tablefootnote"/>
    <w:rsid w:val="00931C7C"/>
    <w:rPr>
      <w:rFonts w:ascii="Arial Narrow" w:hAnsi="Arial Narrow"/>
      <w:sz w:val="18"/>
      <w:szCs w:val="22"/>
      <w:lang w:eastAsia="en-US"/>
    </w:rPr>
  </w:style>
  <w:style w:type="paragraph" w:customStyle="1" w:styleId="TableHeading0">
    <w:name w:val="Table Heading"/>
    <w:basedOn w:val="Normal"/>
    <w:link w:val="TableHeadingChar"/>
    <w:qFormat/>
    <w:rsid w:val="00931C7C"/>
    <w:pPr>
      <w:keepNext/>
      <w:spacing w:after="60"/>
      <w:jc w:val="left"/>
    </w:pPr>
    <w:rPr>
      <w:rFonts w:ascii="Arial Narrow" w:eastAsiaTheme="minorHAnsi" w:hAnsi="Arial Narrow" w:cstheme="minorBidi"/>
      <w:b/>
      <w:sz w:val="20"/>
      <w:szCs w:val="22"/>
      <w:lang w:eastAsia="en-US"/>
    </w:rPr>
  </w:style>
  <w:style w:type="paragraph" w:customStyle="1" w:styleId="Heading50">
    <w:name w:val="Heading5"/>
    <w:basedOn w:val="Normal"/>
    <w:next w:val="Normal"/>
    <w:autoRedefine/>
    <w:uiPriority w:val="99"/>
    <w:rsid w:val="00931C7C"/>
    <w:pPr>
      <w:keepNext/>
      <w:widowControl w:val="0"/>
      <w:spacing w:before="240" w:after="120"/>
      <w:jc w:val="left"/>
      <w:outlineLvl w:val="4"/>
    </w:pPr>
    <w:rPr>
      <w:rFonts w:ascii="Arial" w:hAnsi="Arial"/>
      <w:b/>
      <w:bCs/>
      <w:i/>
      <w:sz w:val="22"/>
    </w:rPr>
  </w:style>
  <w:style w:type="paragraph" w:customStyle="1" w:styleId="TableText1">
    <w:name w:val="TableText"/>
    <w:basedOn w:val="Normal"/>
    <w:link w:val="TableTextChar1"/>
    <w:uiPriority w:val="3"/>
    <w:qFormat/>
    <w:rsid w:val="00931C7C"/>
    <w:pPr>
      <w:keepNext/>
      <w:spacing w:before="40" w:after="40"/>
      <w:jc w:val="left"/>
    </w:pPr>
    <w:rPr>
      <w:rFonts w:ascii="Arial" w:hAnsi="Arial"/>
      <w:snapToGrid w:val="0"/>
      <w:sz w:val="18"/>
      <w:szCs w:val="20"/>
      <w:lang w:eastAsia="en-US"/>
    </w:rPr>
  </w:style>
  <w:style w:type="character" w:customStyle="1" w:styleId="TableTextChar1">
    <w:name w:val="TableText Char"/>
    <w:link w:val="TableText1"/>
    <w:uiPriority w:val="3"/>
    <w:rsid w:val="00931C7C"/>
    <w:rPr>
      <w:rFonts w:ascii="Arial" w:hAnsi="Arial"/>
      <w:snapToGrid w:val="0"/>
      <w:sz w:val="18"/>
      <w:lang w:eastAsia="en-US"/>
    </w:rPr>
  </w:style>
  <w:style w:type="paragraph" w:customStyle="1" w:styleId="summarybox">
    <w:name w:val="summary box"/>
    <w:basedOn w:val="Normal"/>
    <w:link w:val="summaryboxChar"/>
    <w:autoRedefine/>
    <w:uiPriority w:val="99"/>
    <w:rsid w:val="00931C7C"/>
    <w:pPr>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before="360" w:after="120" w:line="360" w:lineRule="auto"/>
      <w:jc w:val="left"/>
    </w:pPr>
    <w:rPr>
      <w:rFonts w:ascii="Arial" w:hAnsi="Arial"/>
      <w:b/>
      <w:sz w:val="28"/>
      <w:szCs w:val="28"/>
    </w:rPr>
  </w:style>
  <w:style w:type="character" w:customStyle="1" w:styleId="summaryboxChar">
    <w:name w:val="summary box Char"/>
    <w:link w:val="summarybox"/>
    <w:uiPriority w:val="99"/>
    <w:locked/>
    <w:rsid w:val="00931C7C"/>
    <w:rPr>
      <w:rFonts w:ascii="Arial" w:hAnsi="Arial"/>
      <w:b/>
      <w:sz w:val="28"/>
      <w:szCs w:val="28"/>
      <w:lang w:eastAsia="en-GB"/>
    </w:rPr>
  </w:style>
  <w:style w:type="paragraph" w:customStyle="1" w:styleId="Heading40">
    <w:name w:val="Heading4"/>
    <w:basedOn w:val="Normal"/>
    <w:next w:val="Normal"/>
    <w:link w:val="Heading4Char0"/>
    <w:autoRedefine/>
    <w:qFormat/>
    <w:rsid w:val="00931C7C"/>
    <w:pPr>
      <w:keepNext/>
      <w:keepLines/>
      <w:spacing w:before="240" w:after="120" w:line="276" w:lineRule="auto"/>
      <w:contextualSpacing/>
      <w:jc w:val="left"/>
      <w:outlineLvl w:val="3"/>
    </w:pPr>
    <w:rPr>
      <w:rFonts w:ascii="Arial" w:hAnsi="Arial"/>
      <w:b/>
      <w:sz w:val="22"/>
    </w:rPr>
  </w:style>
  <w:style w:type="character" w:customStyle="1" w:styleId="Heading4Char0">
    <w:name w:val="Heading4 Char"/>
    <w:link w:val="Heading40"/>
    <w:locked/>
    <w:rsid w:val="00931C7C"/>
    <w:rPr>
      <w:rFonts w:ascii="Arial" w:hAnsi="Arial"/>
      <w:b/>
      <w:sz w:val="22"/>
      <w:szCs w:val="24"/>
      <w:lang w:eastAsia="en-GB"/>
    </w:rPr>
  </w:style>
  <w:style w:type="character" w:customStyle="1" w:styleId="UnresolvedMention10">
    <w:name w:val="Unresolved Mention1"/>
    <w:basedOn w:val="DefaultParagraphFont"/>
    <w:uiPriority w:val="99"/>
    <w:semiHidden/>
    <w:unhideWhenUsed/>
    <w:rsid w:val="00931C7C"/>
    <w:rPr>
      <w:color w:val="605E5C"/>
      <w:shd w:val="clear" w:color="auto" w:fill="E1DFDD"/>
    </w:rPr>
  </w:style>
  <w:style w:type="character" w:customStyle="1" w:styleId="cit">
    <w:name w:val="cit"/>
    <w:basedOn w:val="DefaultParagraphFont"/>
    <w:rsid w:val="00931C7C"/>
  </w:style>
  <w:style w:type="character" w:customStyle="1" w:styleId="doi">
    <w:name w:val="doi"/>
    <w:basedOn w:val="DefaultParagraphFont"/>
    <w:rsid w:val="00931C7C"/>
  </w:style>
  <w:style w:type="character" w:customStyle="1" w:styleId="fm-citation-ids-label">
    <w:name w:val="fm-citation-ids-label"/>
    <w:basedOn w:val="DefaultParagraphFont"/>
    <w:rsid w:val="00931C7C"/>
  </w:style>
  <w:style w:type="character" w:customStyle="1" w:styleId="UnresolvedMention11">
    <w:name w:val="Unresolved Mention11"/>
    <w:basedOn w:val="DefaultParagraphFont"/>
    <w:uiPriority w:val="99"/>
    <w:semiHidden/>
    <w:unhideWhenUsed/>
    <w:rsid w:val="00931C7C"/>
    <w:rPr>
      <w:color w:val="605E5C"/>
      <w:shd w:val="clear" w:color="auto" w:fill="E1DFDD"/>
    </w:rPr>
  </w:style>
  <w:style w:type="character" w:customStyle="1" w:styleId="Heading1Char">
    <w:name w:val="Heading 1 Char"/>
    <w:basedOn w:val="DefaultParagraphFont"/>
    <w:link w:val="Heading1"/>
    <w:rsid w:val="00931C7C"/>
    <w:rPr>
      <w:rFonts w:ascii="Calibri" w:hAnsi="Calibri"/>
      <w:b/>
      <w:caps/>
      <w:sz w:val="32"/>
      <w:szCs w:val="24"/>
      <w:lang w:eastAsia="en-GB"/>
    </w:rPr>
  </w:style>
  <w:style w:type="character" w:customStyle="1" w:styleId="Heading3Char">
    <w:name w:val="Heading 3 Char"/>
    <w:basedOn w:val="DefaultParagraphFont"/>
    <w:link w:val="Heading3"/>
    <w:rsid w:val="00931C7C"/>
    <w:rPr>
      <w:rFonts w:ascii="Calibri" w:hAnsi="Calibri"/>
      <w:sz w:val="24"/>
      <w:szCs w:val="24"/>
      <w:u w:val="single"/>
      <w:lang w:eastAsia="en-GB"/>
    </w:rPr>
  </w:style>
  <w:style w:type="character" w:customStyle="1" w:styleId="Heading4Char">
    <w:name w:val="Heading 4 Char"/>
    <w:basedOn w:val="DefaultParagraphFont"/>
    <w:link w:val="Heading4"/>
    <w:rsid w:val="00931C7C"/>
    <w:rPr>
      <w:rFonts w:ascii="Calibri" w:hAnsi="Calibri"/>
      <w:b/>
      <w:bCs/>
      <w:i/>
      <w:sz w:val="26"/>
      <w:szCs w:val="28"/>
      <w:lang w:eastAsia="en-GB"/>
    </w:rPr>
  </w:style>
  <w:style w:type="character" w:customStyle="1" w:styleId="Heading5Char">
    <w:name w:val="Heading 5 Char"/>
    <w:basedOn w:val="DefaultParagraphFont"/>
    <w:link w:val="Heading5"/>
    <w:rsid w:val="00931C7C"/>
    <w:rPr>
      <w:rFonts w:ascii="Calibri" w:hAnsi="Calibri"/>
      <w:b/>
      <w:bCs/>
      <w:iCs/>
      <w:sz w:val="26"/>
      <w:szCs w:val="26"/>
      <w:lang w:eastAsia="en-GB"/>
    </w:rPr>
  </w:style>
  <w:style w:type="character" w:customStyle="1" w:styleId="Heading6Char">
    <w:name w:val="Heading 6 Char"/>
    <w:basedOn w:val="DefaultParagraphFont"/>
    <w:link w:val="Heading6"/>
    <w:rsid w:val="00931C7C"/>
    <w:rPr>
      <w:rFonts w:ascii="Calibri" w:hAnsi="Calibri"/>
      <w:b/>
      <w:bCs/>
      <w:i/>
      <w:sz w:val="24"/>
      <w:szCs w:val="24"/>
      <w:lang w:eastAsia="en-GB"/>
    </w:rPr>
  </w:style>
  <w:style w:type="paragraph" w:styleId="ListNumber">
    <w:name w:val="List Number"/>
    <w:basedOn w:val="Normal"/>
    <w:uiPriority w:val="16"/>
    <w:qFormat/>
    <w:rsid w:val="00931C7C"/>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931C7C"/>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931C7C"/>
    <w:pPr>
      <w:numPr>
        <w:numId w:val="7"/>
      </w:numPr>
    </w:pPr>
  </w:style>
  <w:style w:type="paragraph" w:styleId="ListNumber3">
    <w:name w:val="List Number 3"/>
    <w:basedOn w:val="Normal"/>
    <w:uiPriority w:val="16"/>
    <w:qFormat/>
    <w:rsid w:val="00931C7C"/>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931C7C"/>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TableGrid1">
    <w:name w:val="Table Grid1"/>
    <w:basedOn w:val="TableNormal"/>
    <w:next w:val="TableGrid"/>
    <w:uiPriority w:val="59"/>
    <w:rsid w:val="00931C7C"/>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ableHeadingChar">
    <w:name w:val="Table Heading Char"/>
    <w:link w:val="TableHeading0"/>
    <w:rsid w:val="00931C7C"/>
    <w:rPr>
      <w:rFonts w:ascii="Arial Narrow" w:eastAsiaTheme="minorHAnsi" w:hAnsi="Arial Narrow" w:cstheme="minorBidi"/>
      <w:b/>
      <w:szCs w:val="22"/>
      <w:lang w:eastAsia="en-US"/>
    </w:rPr>
  </w:style>
  <w:style w:type="numbering" w:customStyle="1" w:styleId="Lists1">
    <w:name w:val="Lists1"/>
    <w:uiPriority w:val="99"/>
    <w:rsid w:val="00931C7C"/>
  </w:style>
  <w:style w:type="paragraph" w:customStyle="1" w:styleId="msonormal0">
    <w:name w:val="msonormal"/>
    <w:basedOn w:val="Normal"/>
    <w:uiPriority w:val="99"/>
    <w:rsid w:val="00931C7C"/>
    <w:pPr>
      <w:spacing w:before="100" w:after="100"/>
      <w:jc w:val="left"/>
    </w:pPr>
    <w:rPr>
      <w:rFonts w:ascii="Times New Roman" w:hAnsi="Times New Roman"/>
      <w:szCs w:val="22"/>
      <w:lang w:val="en-GB" w:eastAsia="en-US"/>
    </w:rPr>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931C7C"/>
    <w:rPr>
      <w:rFonts w:ascii="Calibri" w:hAnsi="Calibri" w:cs="Arial"/>
      <w:lang w:eastAsia="en-US"/>
    </w:rPr>
  </w:style>
  <w:style w:type="character" w:customStyle="1" w:styleId="CommentTextChar1">
    <w:name w:val="Comment Text Char1"/>
    <w:aliases w:val="- H19 Char1"/>
    <w:basedOn w:val="DefaultParagraphFont"/>
    <w:uiPriority w:val="99"/>
    <w:semiHidden/>
    <w:rsid w:val="00931C7C"/>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sid w:val="00931C7C"/>
    <w:rPr>
      <w:rFonts w:ascii="Calibri" w:eastAsia="Times New Roman" w:hAnsi="Calibri" w:cs="Arial"/>
      <w:szCs w:val="22"/>
    </w:rPr>
  </w:style>
  <w:style w:type="table" w:customStyle="1" w:styleId="Summarybox1">
    <w:name w:val="Summary box1"/>
    <w:basedOn w:val="TableNormal"/>
    <w:next w:val="TableGrid"/>
    <w:uiPriority w:val="39"/>
    <w:rsid w:val="00931C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_Column headings"/>
    <w:basedOn w:val="BodyText"/>
    <w:rsid w:val="00931C7C"/>
    <w:pPr>
      <w:spacing w:before="60" w:after="60"/>
      <w:jc w:val="both"/>
    </w:pPr>
    <w:rPr>
      <w:rFonts w:ascii="Verdana" w:hAnsi="Verdana" w:cs="Arial"/>
      <w:b/>
      <w:sz w:val="18"/>
      <w:lang w:eastAsia="en-US"/>
    </w:rPr>
  </w:style>
  <w:style w:type="character" w:customStyle="1" w:styleId="CaptionChar2">
    <w:name w:val="Caption Char2"/>
    <w:aliases w:val="Caption Char Char1,Lengende Char,figure Char,caption Char,Caption-FUSA Char,Caption Char Char Char Char Char Char Char,Char Char"/>
    <w:rsid w:val="00931C7C"/>
    <w:rPr>
      <w:rFonts w:ascii="Garamond" w:hAnsi="Garamond"/>
      <w:b/>
      <w:sz w:val="22"/>
      <w:szCs w:val="22"/>
      <w:lang w:eastAsia="en-US"/>
    </w:rPr>
  </w:style>
  <w:style w:type="character" w:customStyle="1" w:styleId="UnresolvedMention2">
    <w:name w:val="Unresolved Mention2"/>
    <w:basedOn w:val="DefaultParagraphFont"/>
    <w:uiPriority w:val="99"/>
    <w:semiHidden/>
    <w:unhideWhenUsed/>
    <w:rsid w:val="00987DB7"/>
    <w:rPr>
      <w:color w:val="605E5C"/>
      <w:shd w:val="clear" w:color="auto" w:fill="E1DFDD"/>
    </w:rPr>
  </w:style>
  <w:style w:type="paragraph" w:customStyle="1" w:styleId="ExecSumBodyText">
    <w:name w:val="Exec Sum Body Text"/>
    <w:basedOn w:val="Normal"/>
    <w:link w:val="ExecSumBodyTextChar"/>
    <w:qFormat/>
    <w:rsid w:val="001A68B9"/>
    <w:pPr>
      <w:spacing w:after="120"/>
      <w:ind w:left="720" w:hanging="720"/>
    </w:pPr>
    <w:rPr>
      <w:rFonts w:asciiTheme="minorHAnsi" w:hAnsiTheme="minorHAnsi" w:cs="Arial"/>
      <w:snapToGrid w:val="0"/>
      <w:lang w:eastAsia="en-AU"/>
    </w:rPr>
  </w:style>
  <w:style w:type="character" w:customStyle="1" w:styleId="ExecSumBodyTextChar">
    <w:name w:val="Exec Sum Body Text Char"/>
    <w:basedOn w:val="DefaultParagraphFont"/>
    <w:link w:val="ExecSumBodyText"/>
    <w:rsid w:val="001A68B9"/>
    <w:rPr>
      <w:rFonts w:asciiTheme="minorHAnsi" w:hAnsiTheme="minorHAnsi" w:cs="Arial"/>
      <w:snapToGrid w:val="0"/>
      <w:sz w:val="24"/>
      <w:szCs w:val="24"/>
    </w:rPr>
  </w:style>
  <w:style w:type="paragraph" w:customStyle="1" w:styleId="PBACheading10">
    <w:name w:val="PBAC heading 1"/>
    <w:qFormat/>
    <w:rsid w:val="004B263F"/>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2125318">
      <w:bodyDiv w:val="1"/>
      <w:marLeft w:val="0"/>
      <w:marRight w:val="0"/>
      <w:marTop w:val="0"/>
      <w:marBottom w:val="0"/>
      <w:divBdr>
        <w:top w:val="none" w:sz="0" w:space="0" w:color="auto"/>
        <w:left w:val="none" w:sz="0" w:space="0" w:color="auto"/>
        <w:bottom w:val="none" w:sz="0" w:space="0" w:color="auto"/>
        <w:right w:val="none" w:sz="0" w:space="0" w:color="auto"/>
      </w:divBdr>
    </w:div>
    <w:div w:id="264732172">
      <w:bodyDiv w:val="1"/>
      <w:marLeft w:val="0"/>
      <w:marRight w:val="0"/>
      <w:marTop w:val="0"/>
      <w:marBottom w:val="0"/>
      <w:divBdr>
        <w:top w:val="none" w:sz="0" w:space="0" w:color="auto"/>
        <w:left w:val="none" w:sz="0" w:space="0" w:color="auto"/>
        <w:bottom w:val="none" w:sz="0" w:space="0" w:color="auto"/>
        <w:right w:val="none" w:sz="0" w:space="0" w:color="auto"/>
      </w:divBdr>
      <w:divsChild>
        <w:div w:id="341510982">
          <w:marLeft w:val="0"/>
          <w:marRight w:val="0"/>
          <w:marTop w:val="0"/>
          <w:marBottom w:val="0"/>
          <w:divBdr>
            <w:top w:val="none" w:sz="0" w:space="0" w:color="auto"/>
            <w:left w:val="none" w:sz="0" w:space="0" w:color="auto"/>
            <w:bottom w:val="none" w:sz="0" w:space="0" w:color="auto"/>
            <w:right w:val="none" w:sz="0" w:space="0" w:color="auto"/>
          </w:divBdr>
          <w:divsChild>
            <w:div w:id="1241257592">
              <w:marLeft w:val="0"/>
              <w:marRight w:val="0"/>
              <w:marTop w:val="0"/>
              <w:marBottom w:val="0"/>
              <w:divBdr>
                <w:top w:val="none" w:sz="0" w:space="0" w:color="auto"/>
                <w:left w:val="none" w:sz="0" w:space="0" w:color="auto"/>
                <w:bottom w:val="none" w:sz="0" w:space="0" w:color="auto"/>
                <w:right w:val="none" w:sz="0" w:space="0" w:color="auto"/>
              </w:divBdr>
              <w:divsChild>
                <w:div w:id="372996593">
                  <w:marLeft w:val="0"/>
                  <w:marRight w:val="0"/>
                  <w:marTop w:val="0"/>
                  <w:marBottom w:val="0"/>
                  <w:divBdr>
                    <w:top w:val="none" w:sz="0" w:space="0" w:color="auto"/>
                    <w:left w:val="none" w:sz="0" w:space="0" w:color="auto"/>
                    <w:bottom w:val="none" w:sz="0" w:space="0" w:color="auto"/>
                    <w:right w:val="none" w:sz="0" w:space="0" w:color="auto"/>
                  </w:divBdr>
                  <w:divsChild>
                    <w:div w:id="19362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3427">
      <w:bodyDiv w:val="1"/>
      <w:marLeft w:val="0"/>
      <w:marRight w:val="0"/>
      <w:marTop w:val="0"/>
      <w:marBottom w:val="0"/>
      <w:divBdr>
        <w:top w:val="none" w:sz="0" w:space="0" w:color="auto"/>
        <w:left w:val="none" w:sz="0" w:space="0" w:color="auto"/>
        <w:bottom w:val="none" w:sz="0" w:space="0" w:color="auto"/>
        <w:right w:val="none" w:sz="0" w:space="0" w:color="auto"/>
      </w:divBdr>
    </w:div>
    <w:div w:id="29625526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8557752">
      <w:bodyDiv w:val="1"/>
      <w:marLeft w:val="0"/>
      <w:marRight w:val="0"/>
      <w:marTop w:val="0"/>
      <w:marBottom w:val="0"/>
      <w:divBdr>
        <w:top w:val="none" w:sz="0" w:space="0" w:color="auto"/>
        <w:left w:val="none" w:sz="0" w:space="0" w:color="auto"/>
        <w:bottom w:val="none" w:sz="0" w:space="0" w:color="auto"/>
        <w:right w:val="none" w:sz="0" w:space="0" w:color="auto"/>
      </w:divBdr>
      <w:divsChild>
        <w:div w:id="1399011893">
          <w:marLeft w:val="1800"/>
          <w:marRight w:val="0"/>
          <w:marTop w:val="100"/>
          <w:marBottom w:val="0"/>
          <w:divBdr>
            <w:top w:val="none" w:sz="0" w:space="0" w:color="auto"/>
            <w:left w:val="none" w:sz="0" w:space="0" w:color="auto"/>
            <w:bottom w:val="none" w:sz="0" w:space="0" w:color="auto"/>
            <w:right w:val="none" w:sz="0" w:space="0" w:color="auto"/>
          </w:divBdr>
        </w:div>
      </w:divsChild>
    </w:div>
    <w:div w:id="529144453">
      <w:bodyDiv w:val="1"/>
      <w:marLeft w:val="0"/>
      <w:marRight w:val="0"/>
      <w:marTop w:val="0"/>
      <w:marBottom w:val="0"/>
      <w:divBdr>
        <w:top w:val="none" w:sz="0" w:space="0" w:color="auto"/>
        <w:left w:val="none" w:sz="0" w:space="0" w:color="auto"/>
        <w:bottom w:val="none" w:sz="0" w:space="0" w:color="auto"/>
        <w:right w:val="none" w:sz="0" w:space="0" w:color="auto"/>
      </w:divBdr>
      <w:divsChild>
        <w:div w:id="876819313">
          <w:marLeft w:val="0"/>
          <w:marRight w:val="0"/>
          <w:marTop w:val="0"/>
          <w:marBottom w:val="0"/>
          <w:divBdr>
            <w:top w:val="none" w:sz="0" w:space="0" w:color="auto"/>
            <w:left w:val="none" w:sz="0" w:space="0" w:color="auto"/>
            <w:bottom w:val="none" w:sz="0" w:space="0" w:color="auto"/>
            <w:right w:val="none" w:sz="0" w:space="0" w:color="auto"/>
          </w:divBdr>
          <w:divsChild>
            <w:div w:id="989869118">
              <w:marLeft w:val="0"/>
              <w:marRight w:val="0"/>
              <w:marTop w:val="0"/>
              <w:marBottom w:val="0"/>
              <w:divBdr>
                <w:top w:val="none" w:sz="0" w:space="0" w:color="auto"/>
                <w:left w:val="none" w:sz="0" w:space="0" w:color="auto"/>
                <w:bottom w:val="none" w:sz="0" w:space="0" w:color="auto"/>
                <w:right w:val="none" w:sz="0" w:space="0" w:color="auto"/>
              </w:divBdr>
              <w:divsChild>
                <w:div w:id="9274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1399">
      <w:bodyDiv w:val="1"/>
      <w:marLeft w:val="0"/>
      <w:marRight w:val="0"/>
      <w:marTop w:val="0"/>
      <w:marBottom w:val="0"/>
      <w:divBdr>
        <w:top w:val="none" w:sz="0" w:space="0" w:color="auto"/>
        <w:left w:val="none" w:sz="0" w:space="0" w:color="auto"/>
        <w:bottom w:val="none" w:sz="0" w:space="0" w:color="auto"/>
        <w:right w:val="none" w:sz="0" w:space="0" w:color="auto"/>
      </w:divBdr>
    </w:div>
    <w:div w:id="681519360">
      <w:bodyDiv w:val="1"/>
      <w:marLeft w:val="0"/>
      <w:marRight w:val="0"/>
      <w:marTop w:val="0"/>
      <w:marBottom w:val="0"/>
      <w:divBdr>
        <w:top w:val="none" w:sz="0" w:space="0" w:color="auto"/>
        <w:left w:val="none" w:sz="0" w:space="0" w:color="auto"/>
        <w:bottom w:val="none" w:sz="0" w:space="0" w:color="auto"/>
        <w:right w:val="none" w:sz="0" w:space="0" w:color="auto"/>
      </w:divBdr>
    </w:div>
    <w:div w:id="682324298">
      <w:bodyDiv w:val="1"/>
      <w:marLeft w:val="0"/>
      <w:marRight w:val="0"/>
      <w:marTop w:val="0"/>
      <w:marBottom w:val="0"/>
      <w:divBdr>
        <w:top w:val="none" w:sz="0" w:space="0" w:color="auto"/>
        <w:left w:val="none" w:sz="0" w:space="0" w:color="auto"/>
        <w:bottom w:val="none" w:sz="0" w:space="0" w:color="auto"/>
        <w:right w:val="none" w:sz="0" w:space="0" w:color="auto"/>
      </w:divBdr>
      <w:divsChild>
        <w:div w:id="890309213">
          <w:marLeft w:val="0"/>
          <w:marRight w:val="0"/>
          <w:marTop w:val="0"/>
          <w:marBottom w:val="0"/>
          <w:divBdr>
            <w:top w:val="none" w:sz="0" w:space="0" w:color="auto"/>
            <w:left w:val="none" w:sz="0" w:space="0" w:color="auto"/>
            <w:bottom w:val="none" w:sz="0" w:space="0" w:color="auto"/>
            <w:right w:val="none" w:sz="0" w:space="0" w:color="auto"/>
          </w:divBdr>
          <w:divsChild>
            <w:div w:id="989478501">
              <w:marLeft w:val="0"/>
              <w:marRight w:val="0"/>
              <w:marTop w:val="0"/>
              <w:marBottom w:val="0"/>
              <w:divBdr>
                <w:top w:val="none" w:sz="0" w:space="0" w:color="auto"/>
                <w:left w:val="none" w:sz="0" w:space="0" w:color="auto"/>
                <w:bottom w:val="none" w:sz="0" w:space="0" w:color="auto"/>
                <w:right w:val="none" w:sz="0" w:space="0" w:color="auto"/>
              </w:divBdr>
              <w:divsChild>
                <w:div w:id="1780879940">
                  <w:marLeft w:val="0"/>
                  <w:marRight w:val="0"/>
                  <w:marTop w:val="0"/>
                  <w:marBottom w:val="0"/>
                  <w:divBdr>
                    <w:top w:val="none" w:sz="0" w:space="0" w:color="auto"/>
                    <w:left w:val="none" w:sz="0" w:space="0" w:color="auto"/>
                    <w:bottom w:val="none" w:sz="0" w:space="0" w:color="auto"/>
                    <w:right w:val="none" w:sz="0" w:space="0" w:color="auto"/>
                  </w:divBdr>
                  <w:divsChild>
                    <w:div w:id="463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18800">
      <w:bodyDiv w:val="1"/>
      <w:marLeft w:val="0"/>
      <w:marRight w:val="0"/>
      <w:marTop w:val="0"/>
      <w:marBottom w:val="0"/>
      <w:divBdr>
        <w:top w:val="none" w:sz="0" w:space="0" w:color="auto"/>
        <w:left w:val="none" w:sz="0" w:space="0" w:color="auto"/>
        <w:bottom w:val="none" w:sz="0" w:space="0" w:color="auto"/>
        <w:right w:val="none" w:sz="0" w:space="0" w:color="auto"/>
      </w:divBdr>
      <w:divsChild>
        <w:div w:id="1597907741">
          <w:marLeft w:val="360"/>
          <w:marRight w:val="0"/>
          <w:marTop w:val="200"/>
          <w:marBottom w:val="0"/>
          <w:divBdr>
            <w:top w:val="none" w:sz="0" w:space="0" w:color="auto"/>
            <w:left w:val="none" w:sz="0" w:space="0" w:color="auto"/>
            <w:bottom w:val="none" w:sz="0" w:space="0" w:color="auto"/>
            <w:right w:val="none" w:sz="0" w:space="0" w:color="auto"/>
          </w:divBdr>
        </w:div>
      </w:divsChild>
    </w:div>
    <w:div w:id="785848573">
      <w:bodyDiv w:val="1"/>
      <w:marLeft w:val="0"/>
      <w:marRight w:val="0"/>
      <w:marTop w:val="0"/>
      <w:marBottom w:val="0"/>
      <w:divBdr>
        <w:top w:val="none" w:sz="0" w:space="0" w:color="auto"/>
        <w:left w:val="none" w:sz="0" w:space="0" w:color="auto"/>
        <w:bottom w:val="none" w:sz="0" w:space="0" w:color="auto"/>
        <w:right w:val="none" w:sz="0" w:space="0" w:color="auto"/>
      </w:divBdr>
      <w:divsChild>
        <w:div w:id="185411861">
          <w:marLeft w:val="0"/>
          <w:marRight w:val="0"/>
          <w:marTop w:val="0"/>
          <w:marBottom w:val="0"/>
          <w:divBdr>
            <w:top w:val="none" w:sz="0" w:space="0" w:color="auto"/>
            <w:left w:val="none" w:sz="0" w:space="0" w:color="auto"/>
            <w:bottom w:val="none" w:sz="0" w:space="0" w:color="auto"/>
            <w:right w:val="none" w:sz="0" w:space="0" w:color="auto"/>
          </w:divBdr>
          <w:divsChild>
            <w:div w:id="1279603762">
              <w:marLeft w:val="0"/>
              <w:marRight w:val="0"/>
              <w:marTop w:val="0"/>
              <w:marBottom w:val="0"/>
              <w:divBdr>
                <w:top w:val="none" w:sz="0" w:space="0" w:color="auto"/>
                <w:left w:val="none" w:sz="0" w:space="0" w:color="auto"/>
                <w:bottom w:val="none" w:sz="0" w:space="0" w:color="auto"/>
                <w:right w:val="none" w:sz="0" w:space="0" w:color="auto"/>
              </w:divBdr>
              <w:divsChild>
                <w:div w:id="5039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6663">
      <w:bodyDiv w:val="1"/>
      <w:marLeft w:val="0"/>
      <w:marRight w:val="0"/>
      <w:marTop w:val="0"/>
      <w:marBottom w:val="0"/>
      <w:divBdr>
        <w:top w:val="none" w:sz="0" w:space="0" w:color="auto"/>
        <w:left w:val="none" w:sz="0" w:space="0" w:color="auto"/>
        <w:bottom w:val="none" w:sz="0" w:space="0" w:color="auto"/>
        <w:right w:val="none" w:sz="0" w:space="0" w:color="auto"/>
      </w:divBdr>
      <w:divsChild>
        <w:div w:id="1541431264">
          <w:marLeft w:val="0"/>
          <w:marRight w:val="0"/>
          <w:marTop w:val="0"/>
          <w:marBottom w:val="0"/>
          <w:divBdr>
            <w:top w:val="none" w:sz="0" w:space="0" w:color="auto"/>
            <w:left w:val="none" w:sz="0" w:space="0" w:color="auto"/>
            <w:bottom w:val="none" w:sz="0" w:space="0" w:color="auto"/>
            <w:right w:val="none" w:sz="0" w:space="0" w:color="auto"/>
          </w:divBdr>
          <w:divsChild>
            <w:div w:id="418217885">
              <w:marLeft w:val="0"/>
              <w:marRight w:val="0"/>
              <w:marTop w:val="0"/>
              <w:marBottom w:val="0"/>
              <w:divBdr>
                <w:top w:val="none" w:sz="0" w:space="0" w:color="auto"/>
                <w:left w:val="none" w:sz="0" w:space="0" w:color="auto"/>
                <w:bottom w:val="none" w:sz="0" w:space="0" w:color="auto"/>
                <w:right w:val="none" w:sz="0" w:space="0" w:color="auto"/>
              </w:divBdr>
              <w:divsChild>
                <w:div w:id="1527670895">
                  <w:marLeft w:val="0"/>
                  <w:marRight w:val="0"/>
                  <w:marTop w:val="0"/>
                  <w:marBottom w:val="0"/>
                  <w:divBdr>
                    <w:top w:val="none" w:sz="0" w:space="0" w:color="auto"/>
                    <w:left w:val="none" w:sz="0" w:space="0" w:color="auto"/>
                    <w:bottom w:val="none" w:sz="0" w:space="0" w:color="auto"/>
                    <w:right w:val="none" w:sz="0" w:space="0" w:color="auto"/>
                  </w:divBdr>
                </w:div>
              </w:divsChild>
            </w:div>
            <w:div w:id="1667244094">
              <w:marLeft w:val="0"/>
              <w:marRight w:val="0"/>
              <w:marTop w:val="0"/>
              <w:marBottom w:val="0"/>
              <w:divBdr>
                <w:top w:val="none" w:sz="0" w:space="0" w:color="auto"/>
                <w:left w:val="none" w:sz="0" w:space="0" w:color="auto"/>
                <w:bottom w:val="none" w:sz="0" w:space="0" w:color="auto"/>
                <w:right w:val="none" w:sz="0" w:space="0" w:color="auto"/>
              </w:divBdr>
              <w:divsChild>
                <w:div w:id="1439447627">
                  <w:marLeft w:val="0"/>
                  <w:marRight w:val="0"/>
                  <w:marTop w:val="0"/>
                  <w:marBottom w:val="0"/>
                  <w:divBdr>
                    <w:top w:val="none" w:sz="0" w:space="0" w:color="auto"/>
                    <w:left w:val="none" w:sz="0" w:space="0" w:color="auto"/>
                    <w:bottom w:val="none" w:sz="0" w:space="0" w:color="auto"/>
                    <w:right w:val="none" w:sz="0" w:space="0" w:color="auto"/>
                  </w:divBdr>
                </w:div>
              </w:divsChild>
            </w:div>
            <w:div w:id="406192543">
              <w:marLeft w:val="0"/>
              <w:marRight w:val="0"/>
              <w:marTop w:val="0"/>
              <w:marBottom w:val="0"/>
              <w:divBdr>
                <w:top w:val="none" w:sz="0" w:space="0" w:color="auto"/>
                <w:left w:val="none" w:sz="0" w:space="0" w:color="auto"/>
                <w:bottom w:val="none" w:sz="0" w:space="0" w:color="auto"/>
                <w:right w:val="none" w:sz="0" w:space="0" w:color="auto"/>
              </w:divBdr>
              <w:divsChild>
                <w:div w:id="1760060504">
                  <w:marLeft w:val="0"/>
                  <w:marRight w:val="0"/>
                  <w:marTop w:val="0"/>
                  <w:marBottom w:val="0"/>
                  <w:divBdr>
                    <w:top w:val="none" w:sz="0" w:space="0" w:color="auto"/>
                    <w:left w:val="none" w:sz="0" w:space="0" w:color="auto"/>
                    <w:bottom w:val="none" w:sz="0" w:space="0" w:color="auto"/>
                    <w:right w:val="none" w:sz="0" w:space="0" w:color="auto"/>
                  </w:divBdr>
                </w:div>
              </w:divsChild>
            </w:div>
            <w:div w:id="40178977">
              <w:marLeft w:val="0"/>
              <w:marRight w:val="0"/>
              <w:marTop w:val="0"/>
              <w:marBottom w:val="0"/>
              <w:divBdr>
                <w:top w:val="none" w:sz="0" w:space="0" w:color="auto"/>
                <w:left w:val="none" w:sz="0" w:space="0" w:color="auto"/>
                <w:bottom w:val="none" w:sz="0" w:space="0" w:color="auto"/>
                <w:right w:val="none" w:sz="0" w:space="0" w:color="auto"/>
              </w:divBdr>
              <w:divsChild>
                <w:div w:id="1024136046">
                  <w:marLeft w:val="0"/>
                  <w:marRight w:val="0"/>
                  <w:marTop w:val="0"/>
                  <w:marBottom w:val="0"/>
                  <w:divBdr>
                    <w:top w:val="none" w:sz="0" w:space="0" w:color="auto"/>
                    <w:left w:val="none" w:sz="0" w:space="0" w:color="auto"/>
                    <w:bottom w:val="none" w:sz="0" w:space="0" w:color="auto"/>
                    <w:right w:val="none" w:sz="0" w:space="0" w:color="auto"/>
                  </w:divBdr>
                </w:div>
              </w:divsChild>
            </w:div>
            <w:div w:id="2098283140">
              <w:marLeft w:val="0"/>
              <w:marRight w:val="0"/>
              <w:marTop w:val="0"/>
              <w:marBottom w:val="0"/>
              <w:divBdr>
                <w:top w:val="none" w:sz="0" w:space="0" w:color="auto"/>
                <w:left w:val="none" w:sz="0" w:space="0" w:color="auto"/>
                <w:bottom w:val="none" w:sz="0" w:space="0" w:color="auto"/>
                <w:right w:val="none" w:sz="0" w:space="0" w:color="auto"/>
              </w:divBdr>
              <w:divsChild>
                <w:div w:id="5947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33319">
      <w:bodyDiv w:val="1"/>
      <w:marLeft w:val="0"/>
      <w:marRight w:val="0"/>
      <w:marTop w:val="0"/>
      <w:marBottom w:val="0"/>
      <w:divBdr>
        <w:top w:val="none" w:sz="0" w:space="0" w:color="auto"/>
        <w:left w:val="none" w:sz="0" w:space="0" w:color="auto"/>
        <w:bottom w:val="none" w:sz="0" w:space="0" w:color="auto"/>
        <w:right w:val="none" w:sz="0" w:space="0" w:color="auto"/>
      </w:divBdr>
      <w:divsChild>
        <w:div w:id="285045399">
          <w:marLeft w:val="0"/>
          <w:marRight w:val="0"/>
          <w:marTop w:val="0"/>
          <w:marBottom w:val="0"/>
          <w:divBdr>
            <w:top w:val="none" w:sz="0" w:space="0" w:color="auto"/>
            <w:left w:val="none" w:sz="0" w:space="0" w:color="auto"/>
            <w:bottom w:val="none" w:sz="0" w:space="0" w:color="auto"/>
            <w:right w:val="none" w:sz="0" w:space="0" w:color="auto"/>
          </w:divBdr>
          <w:divsChild>
            <w:div w:id="85276760">
              <w:marLeft w:val="0"/>
              <w:marRight w:val="0"/>
              <w:marTop w:val="0"/>
              <w:marBottom w:val="0"/>
              <w:divBdr>
                <w:top w:val="none" w:sz="0" w:space="0" w:color="auto"/>
                <w:left w:val="none" w:sz="0" w:space="0" w:color="auto"/>
                <w:bottom w:val="none" w:sz="0" w:space="0" w:color="auto"/>
                <w:right w:val="none" w:sz="0" w:space="0" w:color="auto"/>
              </w:divBdr>
              <w:divsChild>
                <w:div w:id="1215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70092">
      <w:bodyDiv w:val="1"/>
      <w:marLeft w:val="0"/>
      <w:marRight w:val="0"/>
      <w:marTop w:val="0"/>
      <w:marBottom w:val="0"/>
      <w:divBdr>
        <w:top w:val="none" w:sz="0" w:space="0" w:color="auto"/>
        <w:left w:val="none" w:sz="0" w:space="0" w:color="auto"/>
        <w:bottom w:val="none" w:sz="0" w:space="0" w:color="auto"/>
        <w:right w:val="none" w:sz="0" w:space="0" w:color="auto"/>
      </w:divBdr>
      <w:divsChild>
        <w:div w:id="1895891422">
          <w:marLeft w:val="0"/>
          <w:marRight w:val="0"/>
          <w:marTop w:val="0"/>
          <w:marBottom w:val="0"/>
          <w:divBdr>
            <w:top w:val="none" w:sz="0" w:space="0" w:color="auto"/>
            <w:left w:val="none" w:sz="0" w:space="0" w:color="auto"/>
            <w:bottom w:val="none" w:sz="0" w:space="0" w:color="auto"/>
            <w:right w:val="none" w:sz="0" w:space="0" w:color="auto"/>
          </w:divBdr>
          <w:divsChild>
            <w:div w:id="1641616088">
              <w:marLeft w:val="0"/>
              <w:marRight w:val="0"/>
              <w:marTop w:val="0"/>
              <w:marBottom w:val="0"/>
              <w:divBdr>
                <w:top w:val="none" w:sz="0" w:space="0" w:color="auto"/>
                <w:left w:val="none" w:sz="0" w:space="0" w:color="auto"/>
                <w:bottom w:val="none" w:sz="0" w:space="0" w:color="auto"/>
                <w:right w:val="none" w:sz="0" w:space="0" w:color="auto"/>
              </w:divBdr>
              <w:divsChild>
                <w:div w:id="601424231">
                  <w:marLeft w:val="0"/>
                  <w:marRight w:val="0"/>
                  <w:marTop w:val="0"/>
                  <w:marBottom w:val="0"/>
                  <w:divBdr>
                    <w:top w:val="none" w:sz="0" w:space="0" w:color="auto"/>
                    <w:left w:val="none" w:sz="0" w:space="0" w:color="auto"/>
                    <w:bottom w:val="none" w:sz="0" w:space="0" w:color="auto"/>
                    <w:right w:val="none" w:sz="0" w:space="0" w:color="auto"/>
                  </w:divBdr>
                  <w:divsChild>
                    <w:div w:id="6533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53826">
      <w:bodyDiv w:val="1"/>
      <w:marLeft w:val="0"/>
      <w:marRight w:val="0"/>
      <w:marTop w:val="0"/>
      <w:marBottom w:val="0"/>
      <w:divBdr>
        <w:top w:val="none" w:sz="0" w:space="0" w:color="auto"/>
        <w:left w:val="none" w:sz="0" w:space="0" w:color="auto"/>
        <w:bottom w:val="none" w:sz="0" w:space="0" w:color="auto"/>
        <w:right w:val="none" w:sz="0" w:space="0" w:color="auto"/>
      </w:divBdr>
      <w:divsChild>
        <w:div w:id="288708635">
          <w:marLeft w:val="0"/>
          <w:marRight w:val="0"/>
          <w:marTop w:val="0"/>
          <w:marBottom w:val="0"/>
          <w:divBdr>
            <w:top w:val="none" w:sz="0" w:space="0" w:color="auto"/>
            <w:left w:val="none" w:sz="0" w:space="0" w:color="auto"/>
            <w:bottom w:val="none" w:sz="0" w:space="0" w:color="auto"/>
            <w:right w:val="none" w:sz="0" w:space="0" w:color="auto"/>
          </w:divBdr>
          <w:divsChild>
            <w:div w:id="1444420133">
              <w:marLeft w:val="0"/>
              <w:marRight w:val="0"/>
              <w:marTop w:val="0"/>
              <w:marBottom w:val="0"/>
              <w:divBdr>
                <w:top w:val="none" w:sz="0" w:space="0" w:color="auto"/>
                <w:left w:val="none" w:sz="0" w:space="0" w:color="auto"/>
                <w:bottom w:val="none" w:sz="0" w:space="0" w:color="auto"/>
                <w:right w:val="none" w:sz="0" w:space="0" w:color="auto"/>
              </w:divBdr>
              <w:divsChild>
                <w:div w:id="16541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01672">
      <w:bodyDiv w:val="1"/>
      <w:marLeft w:val="0"/>
      <w:marRight w:val="0"/>
      <w:marTop w:val="0"/>
      <w:marBottom w:val="0"/>
      <w:divBdr>
        <w:top w:val="none" w:sz="0" w:space="0" w:color="auto"/>
        <w:left w:val="none" w:sz="0" w:space="0" w:color="auto"/>
        <w:bottom w:val="none" w:sz="0" w:space="0" w:color="auto"/>
        <w:right w:val="none" w:sz="0" w:space="0" w:color="auto"/>
      </w:divBdr>
    </w:div>
    <w:div w:id="1102190103">
      <w:bodyDiv w:val="1"/>
      <w:marLeft w:val="0"/>
      <w:marRight w:val="0"/>
      <w:marTop w:val="0"/>
      <w:marBottom w:val="0"/>
      <w:divBdr>
        <w:top w:val="none" w:sz="0" w:space="0" w:color="auto"/>
        <w:left w:val="none" w:sz="0" w:space="0" w:color="auto"/>
        <w:bottom w:val="none" w:sz="0" w:space="0" w:color="auto"/>
        <w:right w:val="none" w:sz="0" w:space="0" w:color="auto"/>
      </w:divBdr>
      <w:divsChild>
        <w:div w:id="1800995982">
          <w:marLeft w:val="0"/>
          <w:marRight w:val="0"/>
          <w:marTop w:val="0"/>
          <w:marBottom w:val="0"/>
          <w:divBdr>
            <w:top w:val="none" w:sz="0" w:space="0" w:color="auto"/>
            <w:left w:val="none" w:sz="0" w:space="0" w:color="auto"/>
            <w:bottom w:val="none" w:sz="0" w:space="0" w:color="auto"/>
            <w:right w:val="none" w:sz="0" w:space="0" w:color="auto"/>
          </w:divBdr>
          <w:divsChild>
            <w:div w:id="1090590404">
              <w:marLeft w:val="0"/>
              <w:marRight w:val="0"/>
              <w:marTop w:val="0"/>
              <w:marBottom w:val="0"/>
              <w:divBdr>
                <w:top w:val="none" w:sz="0" w:space="0" w:color="auto"/>
                <w:left w:val="none" w:sz="0" w:space="0" w:color="auto"/>
                <w:bottom w:val="none" w:sz="0" w:space="0" w:color="auto"/>
                <w:right w:val="none" w:sz="0" w:space="0" w:color="auto"/>
              </w:divBdr>
              <w:divsChild>
                <w:div w:id="1319648475">
                  <w:marLeft w:val="0"/>
                  <w:marRight w:val="0"/>
                  <w:marTop w:val="0"/>
                  <w:marBottom w:val="0"/>
                  <w:divBdr>
                    <w:top w:val="none" w:sz="0" w:space="0" w:color="auto"/>
                    <w:left w:val="none" w:sz="0" w:space="0" w:color="auto"/>
                    <w:bottom w:val="none" w:sz="0" w:space="0" w:color="auto"/>
                    <w:right w:val="none" w:sz="0" w:space="0" w:color="auto"/>
                  </w:divBdr>
                  <w:divsChild>
                    <w:div w:id="14244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10499">
      <w:bodyDiv w:val="1"/>
      <w:marLeft w:val="0"/>
      <w:marRight w:val="0"/>
      <w:marTop w:val="0"/>
      <w:marBottom w:val="0"/>
      <w:divBdr>
        <w:top w:val="none" w:sz="0" w:space="0" w:color="auto"/>
        <w:left w:val="none" w:sz="0" w:space="0" w:color="auto"/>
        <w:bottom w:val="none" w:sz="0" w:space="0" w:color="auto"/>
        <w:right w:val="none" w:sz="0" w:space="0" w:color="auto"/>
      </w:divBdr>
      <w:divsChild>
        <w:div w:id="1330330136">
          <w:marLeft w:val="0"/>
          <w:marRight w:val="0"/>
          <w:marTop w:val="0"/>
          <w:marBottom w:val="0"/>
          <w:divBdr>
            <w:top w:val="none" w:sz="0" w:space="0" w:color="auto"/>
            <w:left w:val="none" w:sz="0" w:space="0" w:color="auto"/>
            <w:bottom w:val="none" w:sz="0" w:space="0" w:color="auto"/>
            <w:right w:val="none" w:sz="0" w:space="0" w:color="auto"/>
          </w:divBdr>
          <w:divsChild>
            <w:div w:id="1391003590">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02999">
      <w:bodyDiv w:val="1"/>
      <w:marLeft w:val="0"/>
      <w:marRight w:val="0"/>
      <w:marTop w:val="0"/>
      <w:marBottom w:val="0"/>
      <w:divBdr>
        <w:top w:val="none" w:sz="0" w:space="0" w:color="auto"/>
        <w:left w:val="none" w:sz="0" w:space="0" w:color="auto"/>
        <w:bottom w:val="none" w:sz="0" w:space="0" w:color="auto"/>
        <w:right w:val="none" w:sz="0" w:space="0" w:color="auto"/>
      </w:divBdr>
      <w:divsChild>
        <w:div w:id="580066465">
          <w:marLeft w:val="0"/>
          <w:marRight w:val="0"/>
          <w:marTop w:val="0"/>
          <w:marBottom w:val="0"/>
          <w:divBdr>
            <w:top w:val="none" w:sz="0" w:space="0" w:color="auto"/>
            <w:left w:val="none" w:sz="0" w:space="0" w:color="auto"/>
            <w:bottom w:val="none" w:sz="0" w:space="0" w:color="auto"/>
            <w:right w:val="none" w:sz="0" w:space="0" w:color="auto"/>
          </w:divBdr>
          <w:divsChild>
            <w:div w:id="1361935877">
              <w:marLeft w:val="0"/>
              <w:marRight w:val="0"/>
              <w:marTop w:val="0"/>
              <w:marBottom w:val="0"/>
              <w:divBdr>
                <w:top w:val="none" w:sz="0" w:space="0" w:color="auto"/>
                <w:left w:val="none" w:sz="0" w:space="0" w:color="auto"/>
                <w:bottom w:val="none" w:sz="0" w:space="0" w:color="auto"/>
                <w:right w:val="none" w:sz="0" w:space="0" w:color="auto"/>
              </w:divBdr>
              <w:divsChild>
                <w:div w:id="7739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98736">
      <w:bodyDiv w:val="1"/>
      <w:marLeft w:val="0"/>
      <w:marRight w:val="0"/>
      <w:marTop w:val="0"/>
      <w:marBottom w:val="0"/>
      <w:divBdr>
        <w:top w:val="none" w:sz="0" w:space="0" w:color="auto"/>
        <w:left w:val="none" w:sz="0" w:space="0" w:color="auto"/>
        <w:bottom w:val="none" w:sz="0" w:space="0" w:color="auto"/>
        <w:right w:val="none" w:sz="0" w:space="0" w:color="auto"/>
      </w:divBdr>
    </w:div>
    <w:div w:id="1322199297">
      <w:bodyDiv w:val="1"/>
      <w:marLeft w:val="0"/>
      <w:marRight w:val="0"/>
      <w:marTop w:val="0"/>
      <w:marBottom w:val="0"/>
      <w:divBdr>
        <w:top w:val="none" w:sz="0" w:space="0" w:color="auto"/>
        <w:left w:val="none" w:sz="0" w:space="0" w:color="auto"/>
        <w:bottom w:val="none" w:sz="0" w:space="0" w:color="auto"/>
        <w:right w:val="none" w:sz="0" w:space="0" w:color="auto"/>
      </w:divBdr>
    </w:div>
    <w:div w:id="1346059510">
      <w:bodyDiv w:val="1"/>
      <w:marLeft w:val="0"/>
      <w:marRight w:val="0"/>
      <w:marTop w:val="0"/>
      <w:marBottom w:val="0"/>
      <w:divBdr>
        <w:top w:val="none" w:sz="0" w:space="0" w:color="auto"/>
        <w:left w:val="none" w:sz="0" w:space="0" w:color="auto"/>
        <w:bottom w:val="none" w:sz="0" w:space="0" w:color="auto"/>
        <w:right w:val="none" w:sz="0" w:space="0" w:color="auto"/>
      </w:divBdr>
    </w:div>
    <w:div w:id="1352023752">
      <w:bodyDiv w:val="1"/>
      <w:marLeft w:val="0"/>
      <w:marRight w:val="0"/>
      <w:marTop w:val="0"/>
      <w:marBottom w:val="0"/>
      <w:divBdr>
        <w:top w:val="none" w:sz="0" w:space="0" w:color="auto"/>
        <w:left w:val="none" w:sz="0" w:space="0" w:color="auto"/>
        <w:bottom w:val="none" w:sz="0" w:space="0" w:color="auto"/>
        <w:right w:val="none" w:sz="0" w:space="0" w:color="auto"/>
      </w:divBdr>
    </w:div>
    <w:div w:id="1387996804">
      <w:bodyDiv w:val="1"/>
      <w:marLeft w:val="0"/>
      <w:marRight w:val="0"/>
      <w:marTop w:val="0"/>
      <w:marBottom w:val="0"/>
      <w:divBdr>
        <w:top w:val="none" w:sz="0" w:space="0" w:color="auto"/>
        <w:left w:val="none" w:sz="0" w:space="0" w:color="auto"/>
        <w:bottom w:val="none" w:sz="0" w:space="0" w:color="auto"/>
        <w:right w:val="none" w:sz="0" w:space="0" w:color="auto"/>
      </w:divBdr>
      <w:divsChild>
        <w:div w:id="1853643361">
          <w:marLeft w:val="1800"/>
          <w:marRight w:val="0"/>
          <w:marTop w:val="100"/>
          <w:marBottom w:val="0"/>
          <w:divBdr>
            <w:top w:val="none" w:sz="0" w:space="0" w:color="auto"/>
            <w:left w:val="none" w:sz="0" w:space="0" w:color="auto"/>
            <w:bottom w:val="none" w:sz="0" w:space="0" w:color="auto"/>
            <w:right w:val="none" w:sz="0" w:space="0" w:color="auto"/>
          </w:divBdr>
        </w:div>
      </w:divsChild>
    </w:div>
    <w:div w:id="1585459117">
      <w:bodyDiv w:val="1"/>
      <w:marLeft w:val="0"/>
      <w:marRight w:val="0"/>
      <w:marTop w:val="0"/>
      <w:marBottom w:val="0"/>
      <w:divBdr>
        <w:top w:val="none" w:sz="0" w:space="0" w:color="auto"/>
        <w:left w:val="none" w:sz="0" w:space="0" w:color="auto"/>
        <w:bottom w:val="none" w:sz="0" w:space="0" w:color="auto"/>
        <w:right w:val="none" w:sz="0" w:space="0" w:color="auto"/>
      </w:divBdr>
      <w:divsChild>
        <w:div w:id="1264068908">
          <w:marLeft w:val="1080"/>
          <w:marRight w:val="0"/>
          <w:marTop w:val="100"/>
          <w:marBottom w:val="0"/>
          <w:divBdr>
            <w:top w:val="none" w:sz="0" w:space="0" w:color="auto"/>
            <w:left w:val="none" w:sz="0" w:space="0" w:color="auto"/>
            <w:bottom w:val="none" w:sz="0" w:space="0" w:color="auto"/>
            <w:right w:val="none" w:sz="0" w:space="0" w:color="auto"/>
          </w:divBdr>
        </w:div>
        <w:div w:id="1673484954">
          <w:marLeft w:val="1800"/>
          <w:marRight w:val="0"/>
          <w:marTop w:val="100"/>
          <w:marBottom w:val="0"/>
          <w:divBdr>
            <w:top w:val="none" w:sz="0" w:space="0" w:color="auto"/>
            <w:left w:val="none" w:sz="0" w:space="0" w:color="auto"/>
            <w:bottom w:val="none" w:sz="0" w:space="0" w:color="auto"/>
            <w:right w:val="none" w:sz="0" w:space="0" w:color="auto"/>
          </w:divBdr>
        </w:div>
        <w:div w:id="1623686038">
          <w:marLeft w:val="1800"/>
          <w:marRight w:val="0"/>
          <w:marTop w:val="100"/>
          <w:marBottom w:val="0"/>
          <w:divBdr>
            <w:top w:val="none" w:sz="0" w:space="0" w:color="auto"/>
            <w:left w:val="none" w:sz="0" w:space="0" w:color="auto"/>
            <w:bottom w:val="none" w:sz="0" w:space="0" w:color="auto"/>
            <w:right w:val="none" w:sz="0" w:space="0" w:color="auto"/>
          </w:divBdr>
        </w:div>
        <w:div w:id="917785554">
          <w:marLeft w:val="360"/>
          <w:marRight w:val="0"/>
          <w:marTop w:val="200"/>
          <w:marBottom w:val="0"/>
          <w:divBdr>
            <w:top w:val="none" w:sz="0" w:space="0" w:color="auto"/>
            <w:left w:val="none" w:sz="0" w:space="0" w:color="auto"/>
            <w:bottom w:val="none" w:sz="0" w:space="0" w:color="auto"/>
            <w:right w:val="none" w:sz="0" w:space="0" w:color="auto"/>
          </w:divBdr>
        </w:div>
        <w:div w:id="665010286">
          <w:marLeft w:val="1080"/>
          <w:marRight w:val="0"/>
          <w:marTop w:val="100"/>
          <w:marBottom w:val="0"/>
          <w:divBdr>
            <w:top w:val="none" w:sz="0" w:space="0" w:color="auto"/>
            <w:left w:val="none" w:sz="0" w:space="0" w:color="auto"/>
            <w:bottom w:val="none" w:sz="0" w:space="0" w:color="auto"/>
            <w:right w:val="none" w:sz="0" w:space="0" w:color="auto"/>
          </w:divBdr>
        </w:div>
      </w:divsChild>
    </w:div>
    <w:div w:id="1603613087">
      <w:bodyDiv w:val="1"/>
      <w:marLeft w:val="0"/>
      <w:marRight w:val="0"/>
      <w:marTop w:val="0"/>
      <w:marBottom w:val="0"/>
      <w:divBdr>
        <w:top w:val="none" w:sz="0" w:space="0" w:color="auto"/>
        <w:left w:val="none" w:sz="0" w:space="0" w:color="auto"/>
        <w:bottom w:val="none" w:sz="0" w:space="0" w:color="auto"/>
        <w:right w:val="none" w:sz="0" w:space="0" w:color="auto"/>
      </w:divBdr>
      <w:divsChild>
        <w:div w:id="887766233">
          <w:marLeft w:val="0"/>
          <w:marRight w:val="0"/>
          <w:marTop w:val="0"/>
          <w:marBottom w:val="0"/>
          <w:divBdr>
            <w:top w:val="none" w:sz="0" w:space="0" w:color="auto"/>
            <w:left w:val="none" w:sz="0" w:space="0" w:color="auto"/>
            <w:bottom w:val="none" w:sz="0" w:space="0" w:color="auto"/>
            <w:right w:val="none" w:sz="0" w:space="0" w:color="auto"/>
          </w:divBdr>
          <w:divsChild>
            <w:div w:id="260188704">
              <w:marLeft w:val="0"/>
              <w:marRight w:val="0"/>
              <w:marTop w:val="0"/>
              <w:marBottom w:val="0"/>
              <w:divBdr>
                <w:top w:val="none" w:sz="0" w:space="0" w:color="auto"/>
                <w:left w:val="none" w:sz="0" w:space="0" w:color="auto"/>
                <w:bottom w:val="none" w:sz="0" w:space="0" w:color="auto"/>
                <w:right w:val="none" w:sz="0" w:space="0" w:color="auto"/>
              </w:divBdr>
              <w:divsChild>
                <w:div w:id="3346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072">
      <w:bodyDiv w:val="1"/>
      <w:marLeft w:val="0"/>
      <w:marRight w:val="0"/>
      <w:marTop w:val="0"/>
      <w:marBottom w:val="0"/>
      <w:divBdr>
        <w:top w:val="none" w:sz="0" w:space="0" w:color="auto"/>
        <w:left w:val="none" w:sz="0" w:space="0" w:color="auto"/>
        <w:bottom w:val="none" w:sz="0" w:space="0" w:color="auto"/>
        <w:right w:val="none" w:sz="0" w:space="0" w:color="auto"/>
      </w:divBdr>
    </w:div>
    <w:div w:id="1765149802">
      <w:bodyDiv w:val="1"/>
      <w:marLeft w:val="0"/>
      <w:marRight w:val="0"/>
      <w:marTop w:val="0"/>
      <w:marBottom w:val="0"/>
      <w:divBdr>
        <w:top w:val="none" w:sz="0" w:space="0" w:color="auto"/>
        <w:left w:val="none" w:sz="0" w:space="0" w:color="auto"/>
        <w:bottom w:val="none" w:sz="0" w:space="0" w:color="auto"/>
        <w:right w:val="none" w:sz="0" w:space="0" w:color="auto"/>
      </w:divBdr>
      <w:divsChild>
        <w:div w:id="782379437">
          <w:marLeft w:val="0"/>
          <w:marRight w:val="0"/>
          <w:marTop w:val="0"/>
          <w:marBottom w:val="0"/>
          <w:divBdr>
            <w:top w:val="none" w:sz="0" w:space="0" w:color="auto"/>
            <w:left w:val="none" w:sz="0" w:space="0" w:color="auto"/>
            <w:bottom w:val="none" w:sz="0" w:space="0" w:color="auto"/>
            <w:right w:val="none" w:sz="0" w:space="0" w:color="auto"/>
          </w:divBdr>
          <w:divsChild>
            <w:div w:id="192155447">
              <w:marLeft w:val="0"/>
              <w:marRight w:val="0"/>
              <w:marTop w:val="0"/>
              <w:marBottom w:val="0"/>
              <w:divBdr>
                <w:top w:val="none" w:sz="0" w:space="0" w:color="auto"/>
                <w:left w:val="none" w:sz="0" w:space="0" w:color="auto"/>
                <w:bottom w:val="none" w:sz="0" w:space="0" w:color="auto"/>
                <w:right w:val="none" w:sz="0" w:space="0" w:color="auto"/>
              </w:divBdr>
              <w:divsChild>
                <w:div w:id="6104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1158">
      <w:bodyDiv w:val="1"/>
      <w:marLeft w:val="0"/>
      <w:marRight w:val="0"/>
      <w:marTop w:val="0"/>
      <w:marBottom w:val="0"/>
      <w:divBdr>
        <w:top w:val="none" w:sz="0" w:space="0" w:color="auto"/>
        <w:left w:val="none" w:sz="0" w:space="0" w:color="auto"/>
        <w:bottom w:val="none" w:sz="0" w:space="0" w:color="auto"/>
        <w:right w:val="none" w:sz="0" w:space="0" w:color="auto"/>
      </w:divBdr>
      <w:divsChild>
        <w:div w:id="1869364991">
          <w:marLeft w:val="0"/>
          <w:marRight w:val="0"/>
          <w:marTop w:val="0"/>
          <w:marBottom w:val="0"/>
          <w:divBdr>
            <w:top w:val="none" w:sz="0" w:space="0" w:color="auto"/>
            <w:left w:val="none" w:sz="0" w:space="0" w:color="auto"/>
            <w:bottom w:val="none" w:sz="0" w:space="0" w:color="auto"/>
            <w:right w:val="none" w:sz="0" w:space="0" w:color="auto"/>
          </w:divBdr>
          <w:divsChild>
            <w:div w:id="1110272531">
              <w:marLeft w:val="0"/>
              <w:marRight w:val="0"/>
              <w:marTop w:val="0"/>
              <w:marBottom w:val="0"/>
              <w:divBdr>
                <w:top w:val="none" w:sz="0" w:space="0" w:color="auto"/>
                <w:left w:val="none" w:sz="0" w:space="0" w:color="auto"/>
                <w:bottom w:val="none" w:sz="0" w:space="0" w:color="auto"/>
                <w:right w:val="none" w:sz="0" w:space="0" w:color="auto"/>
              </w:divBdr>
              <w:divsChild>
                <w:div w:id="20042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7176">
      <w:bodyDiv w:val="1"/>
      <w:marLeft w:val="0"/>
      <w:marRight w:val="0"/>
      <w:marTop w:val="0"/>
      <w:marBottom w:val="0"/>
      <w:divBdr>
        <w:top w:val="none" w:sz="0" w:space="0" w:color="auto"/>
        <w:left w:val="none" w:sz="0" w:space="0" w:color="auto"/>
        <w:bottom w:val="none" w:sz="0" w:space="0" w:color="auto"/>
        <w:right w:val="none" w:sz="0" w:space="0" w:color="auto"/>
      </w:divBdr>
      <w:divsChild>
        <w:div w:id="1565949653">
          <w:marLeft w:val="0"/>
          <w:marRight w:val="0"/>
          <w:marTop w:val="0"/>
          <w:marBottom w:val="0"/>
          <w:divBdr>
            <w:top w:val="none" w:sz="0" w:space="0" w:color="auto"/>
            <w:left w:val="none" w:sz="0" w:space="0" w:color="auto"/>
            <w:bottom w:val="none" w:sz="0" w:space="0" w:color="auto"/>
            <w:right w:val="none" w:sz="0" w:space="0" w:color="auto"/>
          </w:divBdr>
          <w:divsChild>
            <w:div w:id="839344564">
              <w:marLeft w:val="0"/>
              <w:marRight w:val="0"/>
              <w:marTop w:val="0"/>
              <w:marBottom w:val="0"/>
              <w:divBdr>
                <w:top w:val="none" w:sz="0" w:space="0" w:color="auto"/>
                <w:left w:val="none" w:sz="0" w:space="0" w:color="auto"/>
                <w:bottom w:val="none" w:sz="0" w:space="0" w:color="auto"/>
                <w:right w:val="none" w:sz="0" w:space="0" w:color="auto"/>
              </w:divBdr>
              <w:divsChild>
                <w:div w:id="17915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77533">
      <w:bodyDiv w:val="1"/>
      <w:marLeft w:val="0"/>
      <w:marRight w:val="0"/>
      <w:marTop w:val="0"/>
      <w:marBottom w:val="0"/>
      <w:divBdr>
        <w:top w:val="none" w:sz="0" w:space="0" w:color="auto"/>
        <w:left w:val="none" w:sz="0" w:space="0" w:color="auto"/>
        <w:bottom w:val="none" w:sz="0" w:space="0" w:color="auto"/>
        <w:right w:val="none" w:sz="0" w:space="0" w:color="auto"/>
      </w:divBdr>
      <w:divsChild>
        <w:div w:id="349769595">
          <w:marLeft w:val="0"/>
          <w:marRight w:val="0"/>
          <w:marTop w:val="0"/>
          <w:marBottom w:val="0"/>
          <w:divBdr>
            <w:top w:val="none" w:sz="0" w:space="0" w:color="auto"/>
            <w:left w:val="none" w:sz="0" w:space="0" w:color="auto"/>
            <w:bottom w:val="none" w:sz="0" w:space="0" w:color="auto"/>
            <w:right w:val="none" w:sz="0" w:space="0" w:color="auto"/>
          </w:divBdr>
          <w:divsChild>
            <w:div w:id="611589272">
              <w:marLeft w:val="0"/>
              <w:marRight w:val="0"/>
              <w:marTop w:val="0"/>
              <w:marBottom w:val="0"/>
              <w:divBdr>
                <w:top w:val="none" w:sz="0" w:space="0" w:color="auto"/>
                <w:left w:val="none" w:sz="0" w:space="0" w:color="auto"/>
                <w:bottom w:val="none" w:sz="0" w:space="0" w:color="auto"/>
                <w:right w:val="none" w:sz="0" w:space="0" w:color="auto"/>
              </w:divBdr>
              <w:divsChild>
                <w:div w:id="17078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2756038">
      <w:bodyDiv w:val="1"/>
      <w:marLeft w:val="0"/>
      <w:marRight w:val="0"/>
      <w:marTop w:val="0"/>
      <w:marBottom w:val="0"/>
      <w:divBdr>
        <w:top w:val="none" w:sz="0" w:space="0" w:color="auto"/>
        <w:left w:val="none" w:sz="0" w:space="0" w:color="auto"/>
        <w:bottom w:val="none" w:sz="0" w:space="0" w:color="auto"/>
        <w:right w:val="none" w:sz="0" w:space="0" w:color="auto"/>
      </w:divBdr>
      <w:divsChild>
        <w:div w:id="517742070">
          <w:marLeft w:val="0"/>
          <w:marRight w:val="0"/>
          <w:marTop w:val="0"/>
          <w:marBottom w:val="0"/>
          <w:divBdr>
            <w:top w:val="none" w:sz="0" w:space="0" w:color="auto"/>
            <w:left w:val="none" w:sz="0" w:space="0" w:color="auto"/>
            <w:bottom w:val="none" w:sz="0" w:space="0" w:color="auto"/>
            <w:right w:val="none" w:sz="0" w:space="0" w:color="auto"/>
          </w:divBdr>
          <w:divsChild>
            <w:div w:id="1526598020">
              <w:marLeft w:val="0"/>
              <w:marRight w:val="0"/>
              <w:marTop w:val="0"/>
              <w:marBottom w:val="0"/>
              <w:divBdr>
                <w:top w:val="none" w:sz="0" w:space="0" w:color="auto"/>
                <w:left w:val="none" w:sz="0" w:space="0" w:color="auto"/>
                <w:bottom w:val="none" w:sz="0" w:space="0" w:color="auto"/>
                <w:right w:val="none" w:sz="0" w:space="0" w:color="auto"/>
              </w:divBdr>
              <w:divsChild>
                <w:div w:id="1384452723">
                  <w:marLeft w:val="0"/>
                  <w:marRight w:val="0"/>
                  <w:marTop w:val="0"/>
                  <w:marBottom w:val="0"/>
                  <w:divBdr>
                    <w:top w:val="none" w:sz="0" w:space="0" w:color="auto"/>
                    <w:left w:val="none" w:sz="0" w:space="0" w:color="auto"/>
                    <w:bottom w:val="none" w:sz="0" w:space="0" w:color="auto"/>
                    <w:right w:val="none" w:sz="0" w:space="0" w:color="auto"/>
                  </w:divBdr>
                  <w:divsChild>
                    <w:div w:id="14533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2393">
      <w:bodyDiv w:val="1"/>
      <w:marLeft w:val="0"/>
      <w:marRight w:val="0"/>
      <w:marTop w:val="0"/>
      <w:marBottom w:val="0"/>
      <w:divBdr>
        <w:top w:val="none" w:sz="0" w:space="0" w:color="auto"/>
        <w:left w:val="none" w:sz="0" w:space="0" w:color="auto"/>
        <w:bottom w:val="none" w:sz="0" w:space="0" w:color="auto"/>
        <w:right w:val="none" w:sz="0" w:space="0" w:color="auto"/>
      </w:divBdr>
      <w:divsChild>
        <w:div w:id="223444270">
          <w:marLeft w:val="0"/>
          <w:marRight w:val="0"/>
          <w:marTop w:val="0"/>
          <w:marBottom w:val="0"/>
          <w:divBdr>
            <w:top w:val="none" w:sz="0" w:space="0" w:color="auto"/>
            <w:left w:val="none" w:sz="0" w:space="0" w:color="auto"/>
            <w:bottom w:val="none" w:sz="0" w:space="0" w:color="auto"/>
            <w:right w:val="none" w:sz="0" w:space="0" w:color="auto"/>
          </w:divBdr>
          <w:divsChild>
            <w:div w:id="1658530646">
              <w:marLeft w:val="0"/>
              <w:marRight w:val="0"/>
              <w:marTop w:val="0"/>
              <w:marBottom w:val="0"/>
              <w:divBdr>
                <w:top w:val="none" w:sz="0" w:space="0" w:color="auto"/>
                <w:left w:val="none" w:sz="0" w:space="0" w:color="auto"/>
                <w:bottom w:val="none" w:sz="0" w:space="0" w:color="auto"/>
                <w:right w:val="none" w:sz="0" w:space="0" w:color="auto"/>
              </w:divBdr>
              <w:divsChild>
                <w:div w:id="1703165685">
                  <w:marLeft w:val="0"/>
                  <w:marRight w:val="0"/>
                  <w:marTop w:val="0"/>
                  <w:marBottom w:val="0"/>
                  <w:divBdr>
                    <w:top w:val="none" w:sz="0" w:space="0" w:color="auto"/>
                    <w:left w:val="none" w:sz="0" w:space="0" w:color="auto"/>
                    <w:bottom w:val="none" w:sz="0" w:space="0" w:color="auto"/>
                    <w:right w:val="none" w:sz="0" w:space="0" w:color="auto"/>
                  </w:divBdr>
                  <w:divsChild>
                    <w:div w:id="1011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17169">
      <w:bodyDiv w:val="1"/>
      <w:marLeft w:val="0"/>
      <w:marRight w:val="0"/>
      <w:marTop w:val="0"/>
      <w:marBottom w:val="0"/>
      <w:divBdr>
        <w:top w:val="none" w:sz="0" w:space="0" w:color="auto"/>
        <w:left w:val="none" w:sz="0" w:space="0" w:color="auto"/>
        <w:bottom w:val="none" w:sz="0" w:space="0" w:color="auto"/>
        <w:right w:val="none" w:sz="0" w:space="0" w:color="auto"/>
      </w:divBdr>
      <w:divsChild>
        <w:div w:id="723065814">
          <w:marLeft w:val="0"/>
          <w:marRight w:val="0"/>
          <w:marTop w:val="0"/>
          <w:marBottom w:val="0"/>
          <w:divBdr>
            <w:top w:val="none" w:sz="0" w:space="0" w:color="auto"/>
            <w:left w:val="none" w:sz="0" w:space="0" w:color="auto"/>
            <w:bottom w:val="none" w:sz="0" w:space="0" w:color="auto"/>
            <w:right w:val="none" w:sz="0" w:space="0" w:color="auto"/>
          </w:divBdr>
          <w:divsChild>
            <w:div w:id="399987702">
              <w:marLeft w:val="0"/>
              <w:marRight w:val="0"/>
              <w:marTop w:val="0"/>
              <w:marBottom w:val="0"/>
              <w:divBdr>
                <w:top w:val="none" w:sz="0" w:space="0" w:color="auto"/>
                <w:left w:val="none" w:sz="0" w:space="0" w:color="auto"/>
                <w:bottom w:val="none" w:sz="0" w:space="0" w:color="auto"/>
                <w:right w:val="none" w:sz="0" w:space="0" w:color="auto"/>
              </w:divBdr>
              <w:divsChild>
                <w:div w:id="17232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ictrp/network/primary/en/" TargetMode="External"/><Relationship Id="rId2" Type="http://schemas.openxmlformats.org/officeDocument/2006/relationships/hyperlink" Target="https://www.nice.org.uk/guidance/ng25/evidence/a-clinical-effectiveness-of-prophylactic-progesterone-in-preventing-preterm-labour-pdf-6847804765" TargetMode="External"/><Relationship Id="rId1" Type="http://schemas.openxmlformats.org/officeDocument/2006/relationships/hyperlink" Target="https://www.nice.org.uk/guidance/ng25/resources/preterm-labour-and-birth-pdf-1837333576645" TargetMode="External"/><Relationship Id="rId4" Type="http://schemas.openxmlformats.org/officeDocument/2006/relationships/hyperlink" Target="https://doi.org/10.1371/journal.pone.0234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Dep19</b:Tag>
    <b:SourceType>InternetSite</b:SourceType>
    <b:Guid>{1412C022-84CB-42C7-96EE-FAB727300201}</b:Guid>
    <b:Title>Risk of preterm birth</b:Title>
    <b:Year>2019</b:Year>
    <b:Author>
      <b:Author>
        <b:Corporate>Department of Health</b:Corporate>
      </b:Author>
    </b:Author>
    <b:InternetSiteTitle>Australian Government - Department of Heatlh</b:InternetSiteTitle>
    <b:Month>May</b:Month>
    <b:Day>29</b:Day>
    <b:URL>https://www.health.gov.au/resources/pregnancy-care-guidelines/part-d-clinical-assessments/risk-of-preterm-birth</b:URL>
    <b:RefOrder>7</b:RefOrder>
  </b:Source>
  <b:Source>
    <b:Tag>Dod13</b:Tag>
    <b:SourceType>JournalArticle</b:SourceType>
    <b:Guid>{F1A15B41-05FC-485B-A6AF-271A1717A323}</b:Guid>
    <b:Title>Prenatal Administration of Progesterone for Preventing Preterm Birth in Women Considered to Be at Risk of Preterm Birth</b:Title>
    <b:JournalName>Cochrane Database Syst Rev</b:JournalName>
    <b:Year>2013</b:Year>
    <b:Pages>7: CD00947</b:Pages>
    <b:Author>
      <b:Author>
        <b:NameList>
          <b:Person>
            <b:Last>Dodd</b:Last>
            <b:First>J</b:First>
          </b:Person>
          <b:Person>
            <b:Last>Jones</b:Last>
            <b:First>L</b:First>
          </b:Person>
          <b:Person>
            <b:Last>Flenady</b:Last>
            <b:First>V</b:First>
          </b:Person>
          <b:Person>
            <b:Last>Cincotta</b:Last>
            <b:First>R</b:First>
          </b:Person>
          <b:Person>
            <b:Last>Crowther</b:Last>
            <b:First>C</b:First>
          </b:Person>
        </b:NameList>
      </b:Author>
    </b:Author>
    <b:RefOrder>10</b:RefOrder>
  </b:Source>
</b:Sources>
</file>

<file path=customXml/itemProps1.xml><?xml version="1.0" encoding="utf-8"?>
<ds:datastoreItem xmlns:ds="http://schemas.openxmlformats.org/officeDocument/2006/customXml" ds:itemID="{DA353EAD-A667-445F-9DC4-55CEE997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7739</Words>
  <Characters>43226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2021-03-02T04:38:00Z</dcterms:created>
  <dcterms:modified xsi:type="dcterms:W3CDTF">2021-03-02T04:39:00Z</dcterms:modified>
</cp:coreProperties>
</file>