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2F4" w:rsidRPr="006F307B" w:rsidRDefault="006852F4" w:rsidP="00ED436C">
      <w:pPr>
        <w:pStyle w:val="1MainTitle"/>
        <w:jc w:val="left"/>
        <w:rPr>
          <w:rFonts w:asciiTheme="minorHAnsi" w:eastAsia="Calibri" w:hAnsiTheme="minorHAnsi"/>
          <w:lang w:eastAsia="en-US"/>
        </w:rPr>
      </w:pPr>
      <w:bookmarkStart w:id="0" w:name="_Toc51080556"/>
      <w:bookmarkStart w:id="1" w:name="_Toc51080557"/>
      <w:r w:rsidRPr="006F307B">
        <w:rPr>
          <w:rFonts w:asciiTheme="minorHAnsi" w:eastAsia="Calibri" w:hAnsiTheme="minorHAnsi"/>
          <w:lang w:eastAsia="en-US"/>
        </w:rPr>
        <w:t>6.08</w:t>
      </w:r>
      <w:r w:rsidRPr="006F307B">
        <w:rPr>
          <w:rFonts w:asciiTheme="minorHAnsi" w:eastAsia="Calibri" w:hAnsiTheme="minorHAnsi"/>
          <w:lang w:eastAsia="en-US"/>
        </w:rPr>
        <w:tab/>
        <w:t>P</w:t>
      </w:r>
      <w:bookmarkEnd w:id="0"/>
      <w:r w:rsidR="00ED436C">
        <w:rPr>
          <w:rFonts w:asciiTheme="minorHAnsi" w:eastAsia="Calibri" w:hAnsiTheme="minorHAnsi"/>
          <w:lang w:eastAsia="en-US"/>
        </w:rPr>
        <w:t>EMBROLIZUMAB</w:t>
      </w:r>
    </w:p>
    <w:p w:rsidR="006852F4" w:rsidRPr="006F307B" w:rsidRDefault="006852F4" w:rsidP="00CA41B6">
      <w:pPr>
        <w:pStyle w:val="1MainTitle"/>
        <w:jc w:val="left"/>
        <w:rPr>
          <w:rFonts w:asciiTheme="minorHAnsi" w:eastAsia="Calibri" w:hAnsiTheme="minorHAnsi"/>
          <w:lang w:eastAsia="en-US"/>
        </w:rPr>
      </w:pPr>
      <w:r w:rsidRPr="006F307B">
        <w:rPr>
          <w:rFonts w:asciiTheme="minorHAnsi" w:eastAsia="Calibri" w:hAnsiTheme="minorHAnsi"/>
          <w:lang w:eastAsia="en-US"/>
        </w:rPr>
        <w:tab/>
        <w:t>Solution concentrate for I.V. infusion 100 mg in 4 mL,</w:t>
      </w:r>
    </w:p>
    <w:p w:rsidR="006852F4" w:rsidRPr="006F307B" w:rsidRDefault="006852F4" w:rsidP="00CA41B6">
      <w:pPr>
        <w:pStyle w:val="1MainTitle"/>
        <w:ind w:firstLine="0"/>
        <w:jc w:val="left"/>
        <w:rPr>
          <w:rFonts w:asciiTheme="minorHAnsi" w:eastAsia="Calibri" w:hAnsiTheme="minorHAnsi"/>
          <w:lang w:eastAsia="en-US"/>
        </w:rPr>
      </w:pPr>
      <w:r w:rsidRPr="006F307B">
        <w:rPr>
          <w:rFonts w:asciiTheme="minorHAnsi" w:eastAsia="Calibri" w:hAnsiTheme="minorHAnsi"/>
          <w:lang w:eastAsia="en-US"/>
        </w:rPr>
        <w:t>Keytruda®,</w:t>
      </w:r>
    </w:p>
    <w:p w:rsidR="00CA41B6" w:rsidRPr="006F307B" w:rsidRDefault="006852F4" w:rsidP="00CA41B6">
      <w:pPr>
        <w:pStyle w:val="1MainTitle"/>
        <w:jc w:val="left"/>
        <w:rPr>
          <w:rFonts w:asciiTheme="minorHAnsi" w:eastAsia="Calibri" w:hAnsiTheme="minorHAnsi"/>
          <w:lang w:eastAsia="en-US"/>
        </w:rPr>
      </w:pPr>
      <w:r w:rsidRPr="006F307B">
        <w:rPr>
          <w:rFonts w:asciiTheme="minorHAnsi" w:eastAsia="Calibri" w:hAnsiTheme="minorHAnsi"/>
          <w:lang w:eastAsia="en-US"/>
        </w:rPr>
        <w:tab/>
        <w:t>Merck Sharp &amp; Dohme (Australia) Pty Ltd</w:t>
      </w:r>
      <w:bookmarkStart w:id="2" w:name="_Toc413139271"/>
      <w:bookmarkStart w:id="3" w:name="_Toc51080577"/>
      <w:bookmarkEnd w:id="1"/>
    </w:p>
    <w:p w:rsidR="00C317F3" w:rsidRPr="006F307B" w:rsidRDefault="00C317F3" w:rsidP="00CA41B6">
      <w:pPr>
        <w:pStyle w:val="PBACESHeading1"/>
      </w:pPr>
      <w:r w:rsidRPr="006F307B">
        <w:t xml:space="preserve">Purpose of </w:t>
      </w:r>
      <w:r w:rsidR="00934564" w:rsidRPr="006F307B">
        <w:t>submiss</w:t>
      </w:r>
      <w:r w:rsidRPr="006F307B">
        <w:t>ion</w:t>
      </w:r>
      <w:bookmarkEnd w:id="2"/>
      <w:bookmarkEnd w:id="3"/>
    </w:p>
    <w:p w:rsidR="009A580E" w:rsidRPr="006F307B" w:rsidRDefault="00B03AAA" w:rsidP="007E2F09">
      <w:pPr>
        <w:pStyle w:val="ListParagraph"/>
      </w:pPr>
      <w:r w:rsidRPr="006F307B">
        <w:t xml:space="preserve">The </w:t>
      </w:r>
      <w:r w:rsidR="004C4F46" w:rsidRPr="006F307B">
        <w:t>application request</w:t>
      </w:r>
      <w:r w:rsidRPr="006F307B">
        <w:t>ed</w:t>
      </w:r>
      <w:r w:rsidR="004C4F46" w:rsidRPr="006F307B">
        <w:t xml:space="preserve"> MBS listing of programmed death ligand 1 (PD-L1) testing and PBS listing of pembrolizumab for the targeted treatment of recurrent or metastatic (R/M) squamous cell carcinoma (SCC) of the oral cavity, pharynx and larynx </w:t>
      </w:r>
      <w:r w:rsidR="00BE012C" w:rsidRPr="006F307B">
        <w:t xml:space="preserve">(also referred to herein as head and neck SCC (HNSCC)) </w:t>
      </w:r>
      <w:r w:rsidR="004C4F46" w:rsidRPr="006F307B">
        <w:t xml:space="preserve">in patients with combined positive score (CPS) </w:t>
      </w:r>
      <w:r w:rsidR="004C4F46" w:rsidRPr="006F307B">
        <w:rPr>
          <w:rFonts w:cstheme="minorHAnsi"/>
        </w:rPr>
        <w:t>≥</w:t>
      </w:r>
      <w:r w:rsidR="004C4F46" w:rsidRPr="006F307B">
        <w:t>1.</w:t>
      </w:r>
    </w:p>
    <w:p w:rsidR="004C4F46" w:rsidRPr="006F307B" w:rsidRDefault="004C4F46" w:rsidP="00EC0C76">
      <w:pPr>
        <w:pStyle w:val="ListParagraph"/>
        <w:rPr>
          <w:color w:val="auto"/>
        </w:rPr>
      </w:pPr>
      <w:r w:rsidRPr="006F307B">
        <w:rPr>
          <w:color w:val="auto"/>
        </w:rPr>
        <w:t>The requested basis for listing was cost</w:t>
      </w:r>
      <w:r w:rsidR="004A02B7" w:rsidRPr="006F307B">
        <w:rPr>
          <w:color w:val="auto"/>
        </w:rPr>
        <w:t>-</w:t>
      </w:r>
      <w:r w:rsidRPr="006F307B">
        <w:rPr>
          <w:color w:val="auto"/>
        </w:rPr>
        <w:t>effectiveness compared with standard of care (SoC)</w:t>
      </w:r>
      <w:r w:rsidR="00EC0C76" w:rsidRPr="006F307B">
        <w:rPr>
          <w:color w:val="auto"/>
        </w:rPr>
        <w:t>. The submission proposed that first</w:t>
      </w:r>
      <w:r w:rsidR="00C7195D">
        <w:rPr>
          <w:color w:val="auto"/>
        </w:rPr>
        <w:t>-</w:t>
      </w:r>
      <w:r w:rsidR="00EC0C76" w:rsidRPr="006F307B">
        <w:rPr>
          <w:color w:val="auto"/>
        </w:rPr>
        <w:t>line (1L) platinum + 5-FU (referred to as chemotherapy herein) was the mai</w:t>
      </w:r>
      <w:r w:rsidR="00C7195D">
        <w:rPr>
          <w:color w:val="auto"/>
        </w:rPr>
        <w:t>n comparator followed by second-</w:t>
      </w:r>
      <w:r w:rsidR="00EC0C76" w:rsidRPr="006F307B">
        <w:rPr>
          <w:color w:val="auto"/>
        </w:rPr>
        <w:t xml:space="preserve">line (2L) nivolumab in a proportion of patients (assumed to be 66.7%). </w:t>
      </w:r>
      <w:r w:rsidR="005E0724" w:rsidRPr="006F307B">
        <w:rPr>
          <w:color w:val="auto"/>
        </w:rPr>
        <w:t xml:space="preserve">This regimen is also referred to as the standard of care (SoC) and is used interchangeably </w:t>
      </w:r>
      <w:r w:rsidR="00383513" w:rsidRPr="006F307B">
        <w:rPr>
          <w:color w:val="auto"/>
        </w:rPr>
        <w:t>herein</w:t>
      </w:r>
      <w:r w:rsidR="005E0724" w:rsidRPr="006F307B">
        <w:rPr>
          <w:color w:val="auto"/>
        </w:rPr>
        <w:t>.</w:t>
      </w:r>
    </w:p>
    <w:p w:rsidR="005A19AA" w:rsidRDefault="005A19AA">
      <w:pPr>
        <w:spacing w:before="0" w:line="259" w:lineRule="auto"/>
        <w:jc w:val="left"/>
        <w:rPr>
          <w:rFonts w:ascii="Arial Narrow" w:hAnsi="Arial Narrow"/>
          <w:b/>
          <w:iCs/>
          <w:sz w:val="20"/>
          <w:szCs w:val="18"/>
        </w:rPr>
      </w:pPr>
      <w:r>
        <w:br w:type="page"/>
      </w:r>
    </w:p>
    <w:p w:rsidR="004C4F46" w:rsidRPr="006F307B" w:rsidRDefault="004C4F46" w:rsidP="00F86BC8">
      <w:pPr>
        <w:pStyle w:val="Caption"/>
      </w:pPr>
      <w:r w:rsidRPr="006F307B">
        <w:lastRenderedPageBreak/>
        <w:t>Table</w:t>
      </w:r>
      <w:r w:rsidR="006562DA" w:rsidRPr="006F307B">
        <w:t xml:space="preserve"> </w:t>
      </w:r>
      <w:r w:rsidRPr="007278E9">
        <w:t>1</w:t>
      </w:r>
      <w:r w:rsidR="00B03AAA" w:rsidRPr="007278E9">
        <w:t>:</w:t>
      </w:r>
      <w:r w:rsidR="006562DA" w:rsidRPr="006F307B">
        <w:t xml:space="preserve"> </w:t>
      </w:r>
      <w:r w:rsidRPr="006F307B">
        <w:t>Key components of the clinical issue addressed by the submission</w:t>
      </w:r>
    </w:p>
    <w:tbl>
      <w:tblPr>
        <w:tblStyle w:val="PBACTableStyle"/>
        <w:tblW w:w="0" w:type="auto"/>
        <w:tblLook w:val="04A0" w:firstRow="1" w:lastRow="0" w:firstColumn="1" w:lastColumn="0" w:noHBand="0" w:noVBand="1"/>
        <w:tblCaption w:val="Table 1: Key components of the clinical issue addressed by the submission"/>
      </w:tblPr>
      <w:tblGrid>
        <w:gridCol w:w="1696"/>
        <w:gridCol w:w="7320"/>
      </w:tblGrid>
      <w:tr w:rsidR="004C4F46" w:rsidRPr="006F307B" w:rsidTr="006F0C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vAlign w:val="bottom"/>
          </w:tcPr>
          <w:p w:rsidR="004C4F46" w:rsidRPr="007278E9" w:rsidRDefault="004C4F46" w:rsidP="004C4F46">
            <w:pPr>
              <w:pStyle w:val="TableText"/>
              <w:rPr>
                <w:lang w:val="en-AU"/>
              </w:rPr>
            </w:pPr>
            <w:r w:rsidRPr="006F307B">
              <w:t>Component</w:t>
            </w:r>
          </w:p>
        </w:tc>
        <w:tc>
          <w:tcPr>
            <w:tcW w:w="7320" w:type="dxa"/>
            <w:vAlign w:val="bottom"/>
          </w:tcPr>
          <w:p w:rsidR="004C4F46" w:rsidRPr="007278E9" w:rsidRDefault="004C4F46" w:rsidP="004C4F46">
            <w:pPr>
              <w:pStyle w:val="TableText"/>
              <w:cnfStyle w:val="100000000000" w:firstRow="1" w:lastRow="0" w:firstColumn="0" w:lastColumn="0" w:oddVBand="0" w:evenVBand="0" w:oddHBand="0" w:evenHBand="0" w:firstRowFirstColumn="0" w:firstRowLastColumn="0" w:lastRowFirstColumn="0" w:lastRowLastColumn="0"/>
              <w:rPr>
                <w:lang w:val="en-AU"/>
              </w:rPr>
            </w:pPr>
            <w:r w:rsidRPr="006F307B">
              <w:t>Description</w:t>
            </w:r>
          </w:p>
        </w:tc>
      </w:tr>
      <w:tr w:rsidR="004C4F46" w:rsidRPr="006F307B" w:rsidTr="004C4F46">
        <w:tc>
          <w:tcPr>
            <w:cnfStyle w:val="001000000000" w:firstRow="0" w:lastRow="0" w:firstColumn="1" w:lastColumn="0" w:oddVBand="0" w:evenVBand="0" w:oddHBand="0" w:evenHBand="0" w:firstRowFirstColumn="0" w:firstRowLastColumn="0" w:lastRowFirstColumn="0" w:lastRowLastColumn="0"/>
            <w:tcW w:w="1696" w:type="dxa"/>
          </w:tcPr>
          <w:p w:rsidR="004C4F46" w:rsidRPr="007278E9" w:rsidRDefault="004C4F46" w:rsidP="004C4F46">
            <w:pPr>
              <w:pStyle w:val="TableText"/>
              <w:rPr>
                <w:lang w:val="en-AU"/>
              </w:rPr>
            </w:pPr>
            <w:r w:rsidRPr="006F307B">
              <w:t>Population</w:t>
            </w:r>
          </w:p>
        </w:tc>
        <w:tc>
          <w:tcPr>
            <w:tcW w:w="7320" w:type="dxa"/>
          </w:tcPr>
          <w:p w:rsidR="004C4F46" w:rsidRPr="007278E9" w:rsidRDefault="004C4F46" w:rsidP="004C4F46">
            <w:pPr>
              <w:pStyle w:val="TableText"/>
              <w:cnfStyle w:val="000000000000" w:firstRow="0" w:lastRow="0" w:firstColumn="0" w:lastColumn="0" w:oddVBand="0" w:evenVBand="0" w:oddHBand="0" w:evenHBand="0" w:firstRowFirstColumn="0" w:firstRowLastColumn="0" w:lastRowFirstColumn="0" w:lastRowLastColumn="0"/>
              <w:rPr>
                <w:lang w:val="en-AU"/>
              </w:rPr>
            </w:pPr>
            <w:r w:rsidRPr="006F307B">
              <w:t xml:space="preserve">Test: </w:t>
            </w:r>
            <w:r w:rsidR="00276B47" w:rsidRPr="006F307B">
              <w:t>p</w:t>
            </w:r>
            <w:r w:rsidRPr="006F307B">
              <w:t xml:space="preserve">atients with </w:t>
            </w:r>
            <w:r w:rsidR="00276B47" w:rsidRPr="006F307B">
              <w:t>r</w:t>
            </w:r>
            <w:r w:rsidRPr="006F307B">
              <w:t>ecurrent or metastatic (R/M) squamous cell carcinoma (SCC) of the oral cavity, pharynx and larynx who have not had prior systemic therapy administered in the recurrent or metastatic setting.</w:t>
            </w:r>
          </w:p>
          <w:p w:rsidR="004C4F46" w:rsidRPr="007278E9" w:rsidRDefault="004C4F46" w:rsidP="004C4F46">
            <w:pPr>
              <w:pStyle w:val="TableText"/>
              <w:cnfStyle w:val="000000000000" w:firstRow="0" w:lastRow="0" w:firstColumn="0" w:lastColumn="0" w:oddVBand="0" w:evenVBand="0" w:oddHBand="0" w:evenHBand="0" w:firstRowFirstColumn="0" w:firstRowLastColumn="0" w:lastRowFirstColumn="0" w:lastRowLastColumn="0"/>
              <w:rPr>
                <w:lang w:val="en-AU"/>
              </w:rPr>
            </w:pPr>
          </w:p>
          <w:p w:rsidR="004C4F46" w:rsidRPr="007278E9" w:rsidRDefault="004C4F46" w:rsidP="004C4F46">
            <w:pPr>
              <w:pStyle w:val="TableText"/>
              <w:cnfStyle w:val="000000000000" w:firstRow="0" w:lastRow="0" w:firstColumn="0" w:lastColumn="0" w:oddVBand="0" w:evenVBand="0" w:oddHBand="0" w:evenHBand="0" w:firstRowFirstColumn="0" w:firstRowLastColumn="0" w:lastRowFirstColumn="0" w:lastRowLastColumn="0"/>
              <w:rPr>
                <w:lang w:val="en-AU"/>
              </w:rPr>
            </w:pPr>
            <w:r w:rsidRPr="006F307B">
              <w:t xml:space="preserve">Medicine: </w:t>
            </w:r>
            <w:r w:rsidR="00276B47" w:rsidRPr="006F307B">
              <w:t>p</w:t>
            </w:r>
            <w:r w:rsidRPr="006F307B">
              <w:t>atients with R/M SCC of the oral cavity, pharynx and larynx who have not had prior systemic therapy administered in the recurrent or metastatic setting whose tumours express PD-L1 Combined Positive Score (CPS) ≥1.</w:t>
            </w:r>
          </w:p>
        </w:tc>
      </w:tr>
      <w:tr w:rsidR="004C4F46" w:rsidRPr="006F307B" w:rsidTr="004C4F46">
        <w:tc>
          <w:tcPr>
            <w:cnfStyle w:val="001000000000" w:firstRow="0" w:lastRow="0" w:firstColumn="1" w:lastColumn="0" w:oddVBand="0" w:evenVBand="0" w:oddHBand="0" w:evenHBand="0" w:firstRowFirstColumn="0" w:firstRowLastColumn="0" w:lastRowFirstColumn="0" w:lastRowLastColumn="0"/>
            <w:tcW w:w="1696" w:type="dxa"/>
          </w:tcPr>
          <w:p w:rsidR="004C4F46" w:rsidRPr="007278E9" w:rsidRDefault="004C4F46" w:rsidP="004C4F46">
            <w:pPr>
              <w:pStyle w:val="TableText"/>
              <w:rPr>
                <w:lang w:val="en-AU"/>
              </w:rPr>
            </w:pPr>
            <w:r w:rsidRPr="006F307B">
              <w:t>Intervention</w:t>
            </w:r>
          </w:p>
        </w:tc>
        <w:tc>
          <w:tcPr>
            <w:tcW w:w="7320" w:type="dxa"/>
          </w:tcPr>
          <w:p w:rsidR="004C4F46" w:rsidRPr="007278E9" w:rsidRDefault="004C4F46" w:rsidP="004C4F46">
            <w:pPr>
              <w:pStyle w:val="TableText"/>
              <w:cnfStyle w:val="000000000000" w:firstRow="0" w:lastRow="0" w:firstColumn="0" w:lastColumn="0" w:oddVBand="0" w:evenVBand="0" w:oddHBand="0" w:evenHBand="0" w:firstRowFirstColumn="0" w:firstRowLastColumn="0" w:lastRowFirstColumn="0" w:lastRowLastColumn="0"/>
              <w:rPr>
                <w:lang w:val="en-AU"/>
              </w:rPr>
            </w:pPr>
            <w:r w:rsidRPr="006F307B">
              <w:t>Test: PD-L1 testing using the 22C3 antibody as part of the PharmDX kit or as a laboratory developed test (LDT).</w:t>
            </w:r>
          </w:p>
          <w:p w:rsidR="004C4F46" w:rsidRPr="007278E9" w:rsidRDefault="004C4F46" w:rsidP="004C4F46">
            <w:pPr>
              <w:pStyle w:val="TableText"/>
              <w:cnfStyle w:val="000000000000" w:firstRow="0" w:lastRow="0" w:firstColumn="0" w:lastColumn="0" w:oddVBand="0" w:evenVBand="0" w:oddHBand="0" w:evenHBand="0" w:firstRowFirstColumn="0" w:firstRowLastColumn="0" w:lastRowFirstColumn="0" w:lastRowLastColumn="0"/>
              <w:rPr>
                <w:lang w:val="en-AU"/>
              </w:rPr>
            </w:pPr>
          </w:p>
          <w:p w:rsidR="004C4F46" w:rsidRPr="007278E9" w:rsidRDefault="004C4F46" w:rsidP="005666B7">
            <w:pPr>
              <w:pStyle w:val="TableText"/>
              <w:cnfStyle w:val="000000000000" w:firstRow="0" w:lastRow="0" w:firstColumn="0" w:lastColumn="0" w:oddVBand="0" w:evenVBand="0" w:oddHBand="0" w:evenHBand="0" w:firstRowFirstColumn="0" w:firstRowLastColumn="0" w:lastRowFirstColumn="0" w:lastRowLastColumn="0"/>
              <w:rPr>
                <w:lang w:val="en-AU"/>
              </w:rPr>
            </w:pPr>
            <w:r w:rsidRPr="006F307B">
              <w:t xml:space="preserve">Medicine: </w:t>
            </w:r>
            <w:r w:rsidR="00276B47" w:rsidRPr="006F307B">
              <w:t>p</w:t>
            </w:r>
            <w:r w:rsidRPr="006F307B">
              <w:t xml:space="preserve">embrolizumab (200 mg IV) every 3 weeks in combination with platinum and 5-FU, OR </w:t>
            </w:r>
            <w:r w:rsidR="00276B47" w:rsidRPr="006F307B">
              <w:t>p</w:t>
            </w:r>
            <w:r w:rsidRPr="006F307B">
              <w:t>embrolizumab (200 mg IV) every 3 weeks as a single agent.</w:t>
            </w:r>
          </w:p>
        </w:tc>
      </w:tr>
      <w:tr w:rsidR="004C4F46" w:rsidRPr="006F307B" w:rsidTr="004C4F46">
        <w:tc>
          <w:tcPr>
            <w:cnfStyle w:val="001000000000" w:firstRow="0" w:lastRow="0" w:firstColumn="1" w:lastColumn="0" w:oddVBand="0" w:evenVBand="0" w:oddHBand="0" w:evenHBand="0" w:firstRowFirstColumn="0" w:firstRowLastColumn="0" w:lastRowFirstColumn="0" w:lastRowLastColumn="0"/>
            <w:tcW w:w="1696" w:type="dxa"/>
          </w:tcPr>
          <w:p w:rsidR="004C4F46" w:rsidRPr="007278E9" w:rsidRDefault="004C4F46" w:rsidP="004C4F46">
            <w:pPr>
              <w:pStyle w:val="TableText"/>
              <w:rPr>
                <w:lang w:val="en-AU"/>
              </w:rPr>
            </w:pPr>
            <w:r w:rsidRPr="006F307B">
              <w:t>Comparator</w:t>
            </w:r>
          </w:p>
        </w:tc>
        <w:tc>
          <w:tcPr>
            <w:tcW w:w="7320" w:type="dxa"/>
          </w:tcPr>
          <w:p w:rsidR="004C4F46" w:rsidRPr="007278E9" w:rsidRDefault="004C4F46" w:rsidP="004C4F46">
            <w:pPr>
              <w:pStyle w:val="TableText"/>
              <w:cnfStyle w:val="000000000000" w:firstRow="0" w:lastRow="0" w:firstColumn="0" w:lastColumn="0" w:oddVBand="0" w:evenVBand="0" w:oddHBand="0" w:evenHBand="0" w:firstRowFirstColumn="0" w:firstRowLastColumn="0" w:lastRowFirstColumn="0" w:lastRowLastColumn="0"/>
              <w:rPr>
                <w:lang w:val="en-AU"/>
              </w:rPr>
            </w:pPr>
            <w:r w:rsidRPr="006F307B">
              <w:t>Test: no testing.</w:t>
            </w:r>
          </w:p>
          <w:p w:rsidR="004C4F46" w:rsidRPr="007278E9" w:rsidRDefault="004C4F46" w:rsidP="004C4F46">
            <w:pPr>
              <w:pStyle w:val="TableText"/>
              <w:cnfStyle w:val="000000000000" w:firstRow="0" w:lastRow="0" w:firstColumn="0" w:lastColumn="0" w:oddVBand="0" w:evenVBand="0" w:oddHBand="0" w:evenHBand="0" w:firstRowFirstColumn="0" w:firstRowLastColumn="0" w:lastRowFirstColumn="0" w:lastRowLastColumn="0"/>
              <w:rPr>
                <w:lang w:val="en-AU"/>
              </w:rPr>
            </w:pPr>
          </w:p>
          <w:p w:rsidR="004C4F46" w:rsidRPr="007278E9" w:rsidRDefault="004C4F46" w:rsidP="00276B47">
            <w:pPr>
              <w:pStyle w:val="TableText"/>
              <w:cnfStyle w:val="000000000000" w:firstRow="0" w:lastRow="0" w:firstColumn="0" w:lastColumn="0" w:oddVBand="0" w:evenVBand="0" w:oddHBand="0" w:evenHBand="0" w:firstRowFirstColumn="0" w:firstRowLastColumn="0" w:lastRowFirstColumn="0" w:lastRowLastColumn="0"/>
              <w:rPr>
                <w:lang w:val="en-AU"/>
              </w:rPr>
            </w:pPr>
            <w:r w:rsidRPr="006F307B">
              <w:t xml:space="preserve">Medicine: </w:t>
            </w:r>
            <w:r w:rsidR="00276B47" w:rsidRPr="006F307B">
              <w:t>s</w:t>
            </w:r>
            <w:r w:rsidRPr="006F307B">
              <w:t>tandard of care (SoC), defined as carboplatin (AUC 5 mg/m²) IV or cisplatin (100 mg/m²) IV and 5-FU (1000 mg/m² per day for 4 consecutive days) IV every 3 weeks for six cycles followed by 2</w:t>
            </w:r>
            <w:r w:rsidRPr="006F307B">
              <w:rPr>
                <w:vertAlign w:val="superscript"/>
              </w:rPr>
              <w:t>nd</w:t>
            </w:r>
            <w:r w:rsidR="00276B47" w:rsidRPr="006F307B">
              <w:t>-l</w:t>
            </w:r>
            <w:r w:rsidRPr="006F307B">
              <w:t>ine nivolumab 480mg every 4 weeks in 66.7% of patients.</w:t>
            </w:r>
          </w:p>
        </w:tc>
      </w:tr>
      <w:tr w:rsidR="004C4F46" w:rsidRPr="006F307B" w:rsidTr="004C4F46">
        <w:tc>
          <w:tcPr>
            <w:cnfStyle w:val="001000000000" w:firstRow="0" w:lastRow="0" w:firstColumn="1" w:lastColumn="0" w:oddVBand="0" w:evenVBand="0" w:oddHBand="0" w:evenHBand="0" w:firstRowFirstColumn="0" w:firstRowLastColumn="0" w:lastRowFirstColumn="0" w:lastRowLastColumn="0"/>
            <w:tcW w:w="1696" w:type="dxa"/>
          </w:tcPr>
          <w:p w:rsidR="004C4F46" w:rsidRPr="007278E9" w:rsidRDefault="004C4F46" w:rsidP="004C4F46">
            <w:pPr>
              <w:pStyle w:val="TableText"/>
              <w:rPr>
                <w:lang w:val="en-AU"/>
              </w:rPr>
            </w:pPr>
            <w:r w:rsidRPr="006F307B">
              <w:t>Outcomes</w:t>
            </w:r>
          </w:p>
        </w:tc>
        <w:tc>
          <w:tcPr>
            <w:tcW w:w="7320" w:type="dxa"/>
          </w:tcPr>
          <w:p w:rsidR="004C4F46" w:rsidRPr="007278E9" w:rsidRDefault="00593978" w:rsidP="004C4F46">
            <w:pPr>
              <w:pStyle w:val="TableText"/>
              <w:cnfStyle w:val="000000000000" w:firstRow="0" w:lastRow="0" w:firstColumn="0" w:lastColumn="0" w:oddVBand="0" w:evenVBand="0" w:oddHBand="0" w:evenHBand="0" w:firstRowFirstColumn="0" w:firstRowLastColumn="0" w:lastRowFirstColumn="0" w:lastRowLastColumn="0"/>
              <w:rPr>
                <w:lang w:val="en-AU"/>
              </w:rPr>
            </w:pPr>
            <w:r>
              <w:t>Overall survival, progression-</w:t>
            </w:r>
            <w:r w:rsidR="004C4F46" w:rsidRPr="006F307B">
              <w:t>free survival, overall response rate, safety and quality of life.</w:t>
            </w:r>
          </w:p>
        </w:tc>
      </w:tr>
      <w:tr w:rsidR="004C4F46" w:rsidRPr="006F307B" w:rsidTr="004C4F46">
        <w:tc>
          <w:tcPr>
            <w:cnfStyle w:val="001000000000" w:firstRow="0" w:lastRow="0" w:firstColumn="1" w:lastColumn="0" w:oddVBand="0" w:evenVBand="0" w:oddHBand="0" w:evenHBand="0" w:firstRowFirstColumn="0" w:firstRowLastColumn="0" w:lastRowFirstColumn="0" w:lastRowLastColumn="0"/>
            <w:tcW w:w="1696" w:type="dxa"/>
          </w:tcPr>
          <w:p w:rsidR="004C4F46" w:rsidRPr="007278E9" w:rsidRDefault="004C4F46" w:rsidP="004C4F46">
            <w:pPr>
              <w:pStyle w:val="TableText"/>
              <w:rPr>
                <w:lang w:val="en-AU"/>
              </w:rPr>
            </w:pPr>
            <w:r w:rsidRPr="006F307B">
              <w:t>Clinical claim</w:t>
            </w:r>
          </w:p>
        </w:tc>
        <w:tc>
          <w:tcPr>
            <w:tcW w:w="7320" w:type="dxa"/>
          </w:tcPr>
          <w:p w:rsidR="004C4F46" w:rsidRPr="007278E9" w:rsidRDefault="004C4F46" w:rsidP="004C4F46">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6F307B">
              <w:t>In patients with recurrent or metastatic squamous cell cancer of the head &amp; neck who have not had prior systemic therapy administered whose tumours express CPS ≥1:</w:t>
            </w:r>
          </w:p>
          <w:p w:rsidR="004C4F46" w:rsidRPr="007278E9" w:rsidRDefault="00276B47" w:rsidP="00CA41B6">
            <w:pPr>
              <w:pStyle w:val="TableText"/>
              <w:numPr>
                <w:ilvl w:val="0"/>
                <w:numId w:val="19"/>
              </w:numPr>
              <w:spacing w:before="0" w:after="0" w:line="240" w:lineRule="auto"/>
              <w:ind w:left="171" w:hanging="171"/>
              <w:cnfStyle w:val="000000000000" w:firstRow="0" w:lastRow="0" w:firstColumn="0" w:lastColumn="0" w:oddVBand="0" w:evenVBand="0" w:oddHBand="0" w:evenHBand="0" w:firstRowFirstColumn="0" w:firstRowLastColumn="0" w:lastRowFirstColumn="0" w:lastRowLastColumn="0"/>
              <w:rPr>
                <w:lang w:val="en-AU"/>
              </w:rPr>
            </w:pPr>
            <w:r w:rsidRPr="006F307B">
              <w:t>p</w:t>
            </w:r>
            <w:r w:rsidR="004C4F46" w:rsidRPr="006F307B">
              <w:t xml:space="preserve">embrolizumab in combination with chemotherapy (platinum + 5-FU) is superior to platinum + 5-FU in terms of efficacy and non-inferior in terms of safety; and </w:t>
            </w:r>
          </w:p>
          <w:p w:rsidR="004C4F46" w:rsidRPr="007278E9" w:rsidRDefault="00276B47" w:rsidP="00CA41B6">
            <w:pPr>
              <w:pStyle w:val="TableText"/>
              <w:numPr>
                <w:ilvl w:val="0"/>
                <w:numId w:val="19"/>
              </w:numPr>
              <w:spacing w:before="0" w:after="0" w:line="240" w:lineRule="auto"/>
              <w:ind w:left="171" w:hanging="171"/>
              <w:cnfStyle w:val="000000000000" w:firstRow="0" w:lastRow="0" w:firstColumn="0" w:lastColumn="0" w:oddVBand="0" w:evenVBand="0" w:oddHBand="0" w:evenHBand="0" w:firstRowFirstColumn="0" w:firstRowLastColumn="0" w:lastRowFirstColumn="0" w:lastRowLastColumn="0"/>
              <w:rPr>
                <w:lang w:val="en-AU"/>
              </w:rPr>
            </w:pPr>
            <w:r w:rsidRPr="006F307B">
              <w:t>p</w:t>
            </w:r>
            <w:r w:rsidR="004C4F46" w:rsidRPr="006F307B">
              <w:t>embrolizumab as monotherapy is superior to platinum + 5-FU in terms of efficacy and superior in terms of safety</w:t>
            </w:r>
          </w:p>
        </w:tc>
      </w:tr>
    </w:tbl>
    <w:p w:rsidR="004C4F46" w:rsidRPr="006F307B" w:rsidRDefault="004C4F46" w:rsidP="004C4F46">
      <w:pPr>
        <w:pStyle w:val="TableFooter"/>
      </w:pPr>
      <w:r w:rsidRPr="006F307B">
        <w:t>Source: Table 1.1-1, p2-3 of the submission</w:t>
      </w:r>
    </w:p>
    <w:p w:rsidR="00934564" w:rsidRPr="006F307B" w:rsidRDefault="004C4F46" w:rsidP="007E2F09">
      <w:pPr>
        <w:pStyle w:val="ListParagraph"/>
        <w:rPr>
          <w:color w:val="auto"/>
        </w:rPr>
      </w:pPr>
      <w:r w:rsidRPr="006F307B">
        <w:rPr>
          <w:color w:val="auto"/>
        </w:rPr>
        <w:t xml:space="preserve">The submission proposed that PD-L1 testing </w:t>
      </w:r>
      <w:r w:rsidR="000A7D42">
        <w:rPr>
          <w:color w:val="auto"/>
        </w:rPr>
        <w:t xml:space="preserve">with CPS scoring </w:t>
      </w:r>
      <w:r w:rsidRPr="006F307B">
        <w:rPr>
          <w:color w:val="auto"/>
        </w:rPr>
        <w:t>will become a part of the diagnostic workup in patients with newly diagnosed metastatic disease. Patients whose disease has recurred and who are not suitable for local treatment are currently re-biopsied as part of standard treatment. Once PD-L1 status is confirmed, pembrolizumab may be considered as a treatment option.</w:t>
      </w:r>
    </w:p>
    <w:p w:rsidR="00934564" w:rsidRPr="006F307B" w:rsidRDefault="004C4F46" w:rsidP="00B32228">
      <w:pPr>
        <w:pStyle w:val="ListParagraph"/>
      </w:pPr>
      <w:r w:rsidRPr="006F307B">
        <w:t xml:space="preserve">Pembrolizumab may be used as </w:t>
      </w:r>
      <w:r w:rsidR="00E449D5" w:rsidRPr="006F307B">
        <w:t>monotherapy or</w:t>
      </w:r>
      <w:r w:rsidR="00D770E0" w:rsidRPr="006F307B">
        <w:t xml:space="preserve"> together with chemotherapy </w:t>
      </w:r>
      <w:r w:rsidRPr="006F307B">
        <w:t xml:space="preserve">and </w:t>
      </w:r>
      <w:r w:rsidR="00D770E0" w:rsidRPr="006F307B">
        <w:t xml:space="preserve">would </w:t>
      </w:r>
      <w:r w:rsidRPr="006F307B">
        <w:t xml:space="preserve">replace SoC (1L chemotherapy </w:t>
      </w:r>
      <w:r w:rsidR="00B32228" w:rsidRPr="006F307B">
        <w:t xml:space="preserve">± </w:t>
      </w:r>
      <w:r w:rsidRPr="006F307B">
        <w:t>2L nivolumab).</w:t>
      </w:r>
      <w:r w:rsidR="00B32228" w:rsidRPr="006F307B">
        <w:t xml:space="preserve"> The use of 1L pembrolizumab would precl</w:t>
      </w:r>
      <w:r w:rsidR="003C787D">
        <w:t>ude patients from accessing PBS-</w:t>
      </w:r>
      <w:r w:rsidR="00B32228" w:rsidRPr="006F307B">
        <w:t xml:space="preserve">subsidised 2L nivolumab, as the current 2L nivolumab restriction states that </w:t>
      </w:r>
      <w:r w:rsidR="00B32228" w:rsidRPr="006F307B">
        <w:rPr>
          <w:color w:val="auto"/>
        </w:rPr>
        <w:t>patients must not have received prior treatment with a programmed cell death-1 (PD-1) inhibitor for R/M</w:t>
      </w:r>
      <w:r w:rsidR="005666B7" w:rsidRPr="006F307B">
        <w:rPr>
          <w:color w:val="auto"/>
        </w:rPr>
        <w:t xml:space="preserve"> SCC</w:t>
      </w:r>
      <w:r w:rsidR="00B32228" w:rsidRPr="006F307B">
        <w:rPr>
          <w:color w:val="auto"/>
        </w:rPr>
        <w:t xml:space="preserve"> of the oral cavity, pharynx and larynx. Therefore 1L pembrolizumab would directly replace 2L nivolumab use. </w:t>
      </w:r>
      <w:r w:rsidR="00364DB5" w:rsidRPr="006F307B">
        <w:rPr>
          <w:color w:val="auto"/>
        </w:rPr>
        <w:t xml:space="preserve">The PBAC noted there is also a group of patients </w:t>
      </w:r>
      <w:r w:rsidR="00BE012C" w:rsidRPr="006F307B">
        <w:rPr>
          <w:color w:val="auto"/>
        </w:rPr>
        <w:t>who</w:t>
      </w:r>
      <w:r w:rsidR="00364DB5" w:rsidRPr="006F307B">
        <w:rPr>
          <w:color w:val="auto"/>
        </w:rPr>
        <w:t xml:space="preserve"> </w:t>
      </w:r>
      <w:r w:rsidR="00303EC1" w:rsidRPr="006F307B">
        <w:rPr>
          <w:color w:val="auto"/>
        </w:rPr>
        <w:t>are treated with</w:t>
      </w:r>
      <w:r w:rsidR="00364DB5" w:rsidRPr="006F307B">
        <w:rPr>
          <w:color w:val="auto"/>
        </w:rPr>
        <w:t xml:space="preserve"> curative intent (generally with chemoradiotherapy) and </w:t>
      </w:r>
      <w:r w:rsidR="00303EC1" w:rsidRPr="006F307B">
        <w:rPr>
          <w:color w:val="auto"/>
        </w:rPr>
        <w:t>where these patients</w:t>
      </w:r>
      <w:r w:rsidR="00364DB5" w:rsidRPr="006F307B">
        <w:rPr>
          <w:color w:val="auto"/>
        </w:rPr>
        <w:t xml:space="preserve"> relapse within 6 months </w:t>
      </w:r>
      <w:r w:rsidR="00303EC1" w:rsidRPr="006F307B">
        <w:rPr>
          <w:color w:val="auto"/>
        </w:rPr>
        <w:t xml:space="preserve">they are eligible for </w:t>
      </w:r>
      <w:r w:rsidR="003C787D">
        <w:rPr>
          <w:color w:val="auto"/>
        </w:rPr>
        <w:t>nivolumab.</w:t>
      </w:r>
    </w:p>
    <w:p w:rsidR="00C317F3" w:rsidRPr="006F307B" w:rsidRDefault="00C317F3" w:rsidP="00C339CC">
      <w:pPr>
        <w:pStyle w:val="PBACESHeading1"/>
      </w:pPr>
      <w:bookmarkStart w:id="4" w:name="_Toc413139272"/>
      <w:bookmarkStart w:id="5" w:name="_Toc51080578"/>
      <w:r w:rsidRPr="006F307B">
        <w:lastRenderedPageBreak/>
        <w:t>Requested listing</w:t>
      </w:r>
      <w:bookmarkEnd w:id="4"/>
      <w:bookmarkEnd w:id="5"/>
    </w:p>
    <w:p w:rsidR="00575AEF" w:rsidRPr="006F307B" w:rsidRDefault="00575AEF" w:rsidP="004C4F46">
      <w:pPr>
        <w:pStyle w:val="ListParagraph"/>
        <w:rPr>
          <w:color w:val="auto"/>
        </w:rPr>
      </w:pPr>
      <w:bookmarkStart w:id="6" w:name="_Toc413139273"/>
      <w:r w:rsidRPr="006F307B">
        <w:rPr>
          <w:color w:val="auto"/>
        </w:rPr>
        <w:t xml:space="preserve">The requested listing is presented below. </w:t>
      </w:r>
      <w:r w:rsidRPr="006F307B">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247"/>
        <w:gridCol w:w="924"/>
        <w:gridCol w:w="706"/>
        <w:gridCol w:w="1598"/>
        <w:gridCol w:w="1995"/>
      </w:tblGrid>
      <w:tr w:rsidR="00473681" w:rsidRPr="006F307B" w:rsidTr="005A19AA">
        <w:trPr>
          <w:cantSplit/>
          <w:trHeight w:val="212"/>
        </w:trPr>
        <w:tc>
          <w:tcPr>
            <w:tcW w:w="1416" w:type="pct"/>
            <w:tcBorders>
              <w:top w:val="nil"/>
              <w:left w:val="nil"/>
              <w:bottom w:val="single" w:sz="4" w:space="0" w:color="auto"/>
              <w:right w:val="nil"/>
            </w:tcBorders>
          </w:tcPr>
          <w:p w:rsidR="009A7547" w:rsidRPr="006F307B" w:rsidRDefault="009A7547" w:rsidP="00575AEF">
            <w:pPr>
              <w:pStyle w:val="Tabletext0"/>
              <w:rPr>
                <w:b/>
              </w:rPr>
            </w:pPr>
            <w:r w:rsidRPr="006F307B">
              <w:rPr>
                <w:b/>
              </w:rPr>
              <w:t>Name, manner of administration</w:t>
            </w:r>
          </w:p>
        </w:tc>
        <w:tc>
          <w:tcPr>
            <w:tcW w:w="691" w:type="pct"/>
            <w:tcBorders>
              <w:top w:val="nil"/>
              <w:left w:val="nil"/>
              <w:bottom w:val="single" w:sz="4" w:space="0" w:color="auto"/>
              <w:right w:val="nil"/>
            </w:tcBorders>
          </w:tcPr>
          <w:p w:rsidR="009A7547" w:rsidRPr="006F307B" w:rsidRDefault="009A7547" w:rsidP="00575AEF">
            <w:pPr>
              <w:pStyle w:val="Tabletext0"/>
              <w:rPr>
                <w:b/>
              </w:rPr>
            </w:pPr>
            <w:r w:rsidRPr="006F307B">
              <w:rPr>
                <w:b/>
              </w:rPr>
              <w:t>PBS item code</w:t>
            </w:r>
          </w:p>
        </w:tc>
        <w:tc>
          <w:tcPr>
            <w:tcW w:w="512" w:type="pct"/>
            <w:tcBorders>
              <w:top w:val="nil"/>
              <w:left w:val="nil"/>
              <w:bottom w:val="single" w:sz="4" w:space="0" w:color="auto"/>
              <w:right w:val="nil"/>
            </w:tcBorders>
          </w:tcPr>
          <w:p w:rsidR="009A7547" w:rsidRPr="006F307B" w:rsidRDefault="009A7547" w:rsidP="00575AEF">
            <w:pPr>
              <w:pStyle w:val="Tabletext0"/>
              <w:rPr>
                <w:b/>
              </w:rPr>
            </w:pPr>
            <w:r w:rsidRPr="006F307B">
              <w:rPr>
                <w:b/>
              </w:rPr>
              <w:t>Max. Amount</w:t>
            </w:r>
          </w:p>
        </w:tc>
        <w:tc>
          <w:tcPr>
            <w:tcW w:w="391" w:type="pct"/>
            <w:tcBorders>
              <w:top w:val="nil"/>
              <w:left w:val="nil"/>
              <w:bottom w:val="single" w:sz="4" w:space="0" w:color="auto"/>
              <w:right w:val="nil"/>
            </w:tcBorders>
          </w:tcPr>
          <w:p w:rsidR="009A7547" w:rsidRPr="006F307B" w:rsidRDefault="009A7547" w:rsidP="00575AEF">
            <w:pPr>
              <w:pStyle w:val="Tabletext0"/>
              <w:rPr>
                <w:b/>
              </w:rPr>
            </w:pPr>
            <w:r w:rsidRPr="006F307B">
              <w:rPr>
                <w:b/>
              </w:rPr>
              <w:t>№.of Rpts</w:t>
            </w:r>
          </w:p>
        </w:tc>
        <w:tc>
          <w:tcPr>
            <w:tcW w:w="885" w:type="pct"/>
            <w:tcBorders>
              <w:top w:val="nil"/>
              <w:left w:val="nil"/>
              <w:bottom w:val="single" w:sz="4" w:space="0" w:color="auto"/>
              <w:right w:val="nil"/>
            </w:tcBorders>
          </w:tcPr>
          <w:p w:rsidR="009A7547" w:rsidRPr="006F307B" w:rsidRDefault="009A7547" w:rsidP="00575AEF">
            <w:pPr>
              <w:pStyle w:val="Tabletext0"/>
              <w:rPr>
                <w:b/>
              </w:rPr>
            </w:pPr>
            <w:r w:rsidRPr="006F307B">
              <w:rPr>
                <w:b/>
              </w:rPr>
              <w:t>Dispensed Price for Max. Amount</w:t>
            </w:r>
          </w:p>
        </w:tc>
        <w:tc>
          <w:tcPr>
            <w:tcW w:w="1105" w:type="pct"/>
            <w:tcBorders>
              <w:top w:val="nil"/>
              <w:left w:val="nil"/>
              <w:bottom w:val="single" w:sz="4" w:space="0" w:color="auto"/>
              <w:right w:val="nil"/>
            </w:tcBorders>
          </w:tcPr>
          <w:p w:rsidR="009A7547" w:rsidRPr="006F307B" w:rsidRDefault="00527CD8" w:rsidP="00575AEF">
            <w:pPr>
              <w:pStyle w:val="Tabletext0"/>
              <w:rPr>
                <w:b/>
              </w:rPr>
            </w:pPr>
            <w:r w:rsidRPr="006F307B">
              <w:rPr>
                <w:b/>
              </w:rPr>
              <w:t>Proprietary name and manufacturer</w:t>
            </w:r>
          </w:p>
        </w:tc>
      </w:tr>
      <w:tr w:rsidR="00473681" w:rsidRPr="006F307B" w:rsidTr="005A19AA">
        <w:trPr>
          <w:cantSplit/>
          <w:trHeight w:val="577"/>
        </w:trPr>
        <w:tc>
          <w:tcPr>
            <w:tcW w:w="1416" w:type="pct"/>
            <w:tcBorders>
              <w:top w:val="single" w:sz="4" w:space="0" w:color="auto"/>
              <w:left w:val="nil"/>
              <w:bottom w:val="nil"/>
              <w:right w:val="nil"/>
            </w:tcBorders>
          </w:tcPr>
          <w:p w:rsidR="009A7547" w:rsidRPr="006F307B" w:rsidRDefault="009A7547" w:rsidP="004914E3">
            <w:pPr>
              <w:pStyle w:val="Tabletext0"/>
            </w:pPr>
            <w:r w:rsidRPr="006F307B">
              <w:t>PEMBROLIZUMAB</w:t>
            </w:r>
          </w:p>
          <w:p w:rsidR="009A7547" w:rsidRPr="006F307B" w:rsidRDefault="00245123">
            <w:pPr>
              <w:pStyle w:val="Tabletext0"/>
            </w:pPr>
            <w:r w:rsidRPr="006F307B">
              <w:t>100 mg/4 mL injection</w:t>
            </w:r>
          </w:p>
        </w:tc>
        <w:tc>
          <w:tcPr>
            <w:tcW w:w="691" w:type="pct"/>
            <w:tcBorders>
              <w:top w:val="single" w:sz="4" w:space="0" w:color="auto"/>
              <w:left w:val="nil"/>
              <w:bottom w:val="nil"/>
              <w:right w:val="nil"/>
            </w:tcBorders>
          </w:tcPr>
          <w:p w:rsidR="009A7547" w:rsidRPr="006F307B" w:rsidRDefault="009A7547" w:rsidP="004914E3">
            <w:pPr>
              <w:pStyle w:val="Tabletext0"/>
            </w:pPr>
            <w:r w:rsidRPr="006F307B">
              <w:t>NEW (Public)</w:t>
            </w:r>
          </w:p>
          <w:p w:rsidR="009A7547" w:rsidRPr="006F307B" w:rsidRDefault="009A7547" w:rsidP="004914E3">
            <w:pPr>
              <w:pStyle w:val="Tabletext0"/>
            </w:pPr>
            <w:r w:rsidRPr="006F307B">
              <w:t>NEW (Private)</w:t>
            </w:r>
          </w:p>
        </w:tc>
        <w:tc>
          <w:tcPr>
            <w:tcW w:w="512" w:type="pct"/>
            <w:tcBorders>
              <w:top w:val="single" w:sz="4" w:space="0" w:color="auto"/>
              <w:left w:val="nil"/>
              <w:bottom w:val="nil"/>
              <w:right w:val="nil"/>
            </w:tcBorders>
          </w:tcPr>
          <w:p w:rsidR="009A7547" w:rsidRPr="006F307B" w:rsidRDefault="009A7547">
            <w:pPr>
              <w:pStyle w:val="Tabletext0"/>
            </w:pPr>
            <w:r w:rsidRPr="006F307B">
              <w:t>200 mg</w:t>
            </w:r>
          </w:p>
        </w:tc>
        <w:tc>
          <w:tcPr>
            <w:tcW w:w="391" w:type="pct"/>
            <w:tcBorders>
              <w:top w:val="single" w:sz="4" w:space="0" w:color="auto"/>
              <w:left w:val="nil"/>
              <w:bottom w:val="nil"/>
              <w:right w:val="nil"/>
            </w:tcBorders>
          </w:tcPr>
          <w:p w:rsidR="009A7547" w:rsidRPr="006F307B" w:rsidRDefault="009A7547">
            <w:pPr>
              <w:pStyle w:val="Tabletext0"/>
            </w:pPr>
            <w:r w:rsidRPr="006F307B">
              <w:t>6</w:t>
            </w:r>
          </w:p>
        </w:tc>
        <w:tc>
          <w:tcPr>
            <w:tcW w:w="885" w:type="pct"/>
            <w:tcBorders>
              <w:top w:val="single" w:sz="4" w:space="0" w:color="auto"/>
              <w:left w:val="nil"/>
              <w:bottom w:val="nil"/>
              <w:right w:val="nil"/>
            </w:tcBorders>
          </w:tcPr>
          <w:p w:rsidR="009A7547" w:rsidRPr="006F307B" w:rsidRDefault="009A7547" w:rsidP="009A7547">
            <w:pPr>
              <w:pStyle w:val="TableText"/>
            </w:pPr>
            <w:r w:rsidRPr="006F307B">
              <w:t>Published</w:t>
            </w:r>
          </w:p>
          <w:p w:rsidR="009A7547" w:rsidRPr="006F307B" w:rsidRDefault="009A7547" w:rsidP="009A7547">
            <w:pPr>
              <w:pStyle w:val="TableText"/>
            </w:pPr>
            <w:r w:rsidRPr="006F307B">
              <w:t>$8,717.46 (private)</w:t>
            </w:r>
          </w:p>
          <w:p w:rsidR="009A7547" w:rsidRPr="006F307B" w:rsidRDefault="009A7547" w:rsidP="009A7547">
            <w:pPr>
              <w:pStyle w:val="TableText"/>
            </w:pPr>
            <w:r w:rsidRPr="006F307B">
              <w:t>$8,559.06 (public)</w:t>
            </w:r>
          </w:p>
          <w:p w:rsidR="009A7547" w:rsidRPr="006F307B" w:rsidRDefault="009A7547" w:rsidP="009A7547">
            <w:pPr>
              <w:pStyle w:val="TableText"/>
              <w:rPr>
                <w:vertAlign w:val="superscript"/>
              </w:rPr>
            </w:pPr>
            <w:r w:rsidRPr="006F307B">
              <w:t xml:space="preserve">Effective (SPA) </w:t>
            </w:r>
            <w:r w:rsidRPr="006F307B">
              <w:rPr>
                <w:vertAlign w:val="superscript"/>
              </w:rPr>
              <w:t>a</w:t>
            </w:r>
          </w:p>
          <w:p w:rsidR="009A7547" w:rsidRPr="006F307B" w:rsidRDefault="009A7547" w:rsidP="009A7547">
            <w:pPr>
              <w:pStyle w:val="TableText"/>
            </w:pPr>
            <w:r w:rsidRPr="006F307B">
              <w:t>$</w:t>
            </w:r>
            <w:r w:rsidR="00071965">
              <w:rPr>
                <w:noProof/>
                <w:color w:val="000000"/>
                <w:highlight w:val="black"/>
              </w:rPr>
              <w:t>'''''''''''''''''''''''</w:t>
            </w:r>
            <w:r w:rsidRPr="006F307B">
              <w:t xml:space="preserve"> (private)</w:t>
            </w:r>
          </w:p>
          <w:p w:rsidR="009A7547" w:rsidRPr="006F307B" w:rsidRDefault="009A7547" w:rsidP="009A7547">
            <w:pPr>
              <w:pStyle w:val="Tabletext0"/>
            </w:pPr>
            <w:r w:rsidRPr="006F307B">
              <w:t>$</w:t>
            </w:r>
            <w:r w:rsidR="00071965">
              <w:rPr>
                <w:noProof/>
                <w:color w:val="000000"/>
                <w:highlight w:val="black"/>
              </w:rPr>
              <w:t>'''''''''''''''''''''''</w:t>
            </w:r>
            <w:r w:rsidRPr="006F307B">
              <w:t xml:space="preserve"> (public)</w:t>
            </w:r>
          </w:p>
        </w:tc>
        <w:tc>
          <w:tcPr>
            <w:tcW w:w="1105" w:type="pct"/>
            <w:tcBorders>
              <w:top w:val="single" w:sz="4" w:space="0" w:color="auto"/>
              <w:left w:val="nil"/>
              <w:bottom w:val="nil"/>
              <w:right w:val="nil"/>
            </w:tcBorders>
          </w:tcPr>
          <w:p w:rsidR="00527CD8" w:rsidRPr="006F307B" w:rsidRDefault="00527CD8">
            <w:pPr>
              <w:pStyle w:val="Tabletext0"/>
            </w:pPr>
            <w:r w:rsidRPr="006F307B">
              <w:t>Keytruda</w:t>
            </w:r>
          </w:p>
          <w:p w:rsidR="009A7547" w:rsidRPr="006F307B" w:rsidRDefault="00527CD8">
            <w:pPr>
              <w:pStyle w:val="Tabletext0"/>
            </w:pPr>
            <w:r w:rsidRPr="006F307B">
              <w:t>Merck Sharp &amp; Dohme (Australia) Pty Ltd</w:t>
            </w:r>
          </w:p>
        </w:tc>
      </w:tr>
    </w:tbl>
    <w:p w:rsidR="005C339B" w:rsidRDefault="005C339B" w:rsidP="00575AEF">
      <w:pPr>
        <w:rPr>
          <w:rFonts w:ascii="Arial Narrow" w:hAnsi="Arial Narrow"/>
          <w:b/>
          <w:sz w:val="20"/>
          <w:szCs w:val="20"/>
        </w:rPr>
      </w:pPr>
    </w:p>
    <w:p w:rsidR="005C339B" w:rsidRDefault="005C339B">
      <w:pPr>
        <w:spacing w:before="0" w:line="259" w:lineRule="auto"/>
        <w:jc w:val="left"/>
        <w:rPr>
          <w:rFonts w:ascii="Arial Narrow" w:hAnsi="Arial Narrow"/>
          <w:b/>
          <w:sz w:val="20"/>
          <w:szCs w:val="20"/>
        </w:rPr>
      </w:pPr>
      <w:r>
        <w:rPr>
          <w:rFonts w:ascii="Arial Narrow" w:hAnsi="Arial Narrow"/>
          <w:b/>
          <w:sz w:val="20"/>
          <w:szCs w:val="20"/>
        </w:rPr>
        <w:br w:type="page"/>
      </w:r>
    </w:p>
    <w:p w:rsidR="00575AEF" w:rsidRPr="007278E9" w:rsidRDefault="00575AEF" w:rsidP="00575AEF">
      <w:pPr>
        <w:rPr>
          <w:rFonts w:ascii="Arial Narrow" w:hAnsi="Arial Narrow"/>
          <w:b/>
          <w:sz w:val="20"/>
          <w:szCs w:val="20"/>
        </w:rPr>
      </w:pPr>
      <w:r w:rsidRPr="007278E9">
        <w:rPr>
          <w:rFonts w:ascii="Arial Narrow" w:hAnsi="Arial Narrow"/>
          <w:b/>
          <w:sz w:val="20"/>
          <w:szCs w:val="20"/>
        </w:rPr>
        <w:lastRenderedPageBreak/>
        <w:t>Initial treatment - Restriction Summary [new] / ToC: [new]</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itial treatment - Restriction Summary [new] / ToC: [new]"/>
      </w:tblPr>
      <w:tblGrid>
        <w:gridCol w:w="9016"/>
      </w:tblGrid>
      <w:tr w:rsidR="00527CD8" w:rsidRPr="006F307B" w:rsidTr="006F0C01">
        <w:trPr>
          <w:cnfStyle w:val="100000000000" w:firstRow="1" w:lastRow="0" w:firstColumn="0" w:lastColumn="0" w:oddVBand="0" w:evenVBand="0" w:oddHBand="0" w:evenHBand="0" w:firstRowFirstColumn="0" w:firstRowLastColumn="0" w:lastRowFirstColumn="0" w:lastRowLastColumn="0"/>
          <w:tblHeader/>
        </w:trPr>
        <w:tc>
          <w:tcPr>
            <w:tcW w:w="9016" w:type="dxa"/>
            <w:shd w:val="clear" w:color="auto" w:fill="auto"/>
          </w:tcPr>
          <w:p w:rsidR="00527CD8" w:rsidRPr="007278E9" w:rsidRDefault="00527CD8" w:rsidP="004914E3">
            <w:pPr>
              <w:pStyle w:val="Tabletext0"/>
              <w:rPr>
                <w:lang w:val="en-AU"/>
              </w:rPr>
            </w:pPr>
            <w:r w:rsidRPr="006F307B">
              <w:t xml:space="preserve">Category/Program: </w:t>
            </w:r>
            <w:r w:rsidRPr="006F307B">
              <w:rPr>
                <w:rFonts w:cstheme="minorHAnsi"/>
                <w:bCs/>
              </w:rPr>
              <w:t>Section 100 – Efficient Funding of Chemotherapy; Public/Private Hospital</w:t>
            </w:r>
          </w:p>
        </w:tc>
      </w:tr>
      <w:tr w:rsidR="00527CD8" w:rsidRPr="006F307B" w:rsidTr="008E5D18">
        <w:trPr>
          <w:trHeight w:val="60"/>
        </w:trPr>
        <w:tc>
          <w:tcPr>
            <w:tcW w:w="9016" w:type="dxa"/>
            <w:shd w:val="clear" w:color="auto" w:fill="auto"/>
          </w:tcPr>
          <w:p w:rsidR="00527CD8" w:rsidRPr="007278E9" w:rsidRDefault="00527CD8" w:rsidP="004914E3">
            <w:pPr>
              <w:pStyle w:val="Tabletext0"/>
              <w:rPr>
                <w:rFonts w:cstheme="minorHAnsi"/>
                <w:lang w:val="en-AU"/>
              </w:rPr>
            </w:pPr>
            <w:r w:rsidRPr="006F307B">
              <w:rPr>
                <w:rFonts w:cstheme="minorHAnsi"/>
              </w:rPr>
              <w:t>Prescriber type:</w:t>
            </w:r>
          </w:p>
          <w:p w:rsidR="00527CD8" w:rsidRPr="007278E9" w:rsidRDefault="00527CD8" w:rsidP="004914E3">
            <w:pPr>
              <w:pStyle w:val="Tabletext0"/>
              <w:rPr>
                <w:lang w:val="en-AU"/>
              </w:rPr>
            </w:pPr>
            <w:r w:rsidRPr="007278E9">
              <w:rPr>
                <w:rFonts w:cstheme="minorHAnsi"/>
              </w:rPr>
              <w:fldChar w:fldCharType="begin">
                <w:ffData>
                  <w:name w:val="Check1"/>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Dental  </w:t>
            </w:r>
            <w:r w:rsidRPr="007278E9">
              <w:rPr>
                <w:rFonts w:cstheme="minorHAnsi"/>
              </w:rPr>
              <w:fldChar w:fldCharType="begin">
                <w:ffData>
                  <w:name w:val=""/>
                  <w:enabled/>
                  <w:calcOnExit w:val="0"/>
                  <w:checkBox>
                    <w:sizeAuto/>
                    <w:default w:val="1"/>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Medical Practitioners  </w:t>
            </w:r>
            <w:r w:rsidRPr="007278E9">
              <w:rPr>
                <w:rFonts w:cstheme="minorHAnsi"/>
              </w:rPr>
              <w:fldChar w:fldCharType="begin">
                <w:ffData>
                  <w:name w:val="Check3"/>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Nurse practitioners  </w:t>
            </w:r>
            <w:r w:rsidRPr="007278E9">
              <w:rPr>
                <w:rFonts w:cstheme="minorHAnsi"/>
              </w:rPr>
              <w:fldChar w:fldCharType="begin">
                <w:ffData>
                  <w:name w:val=""/>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Optometrists  </w:t>
            </w:r>
            <w:r w:rsidRPr="007278E9">
              <w:rPr>
                <w:rFonts w:cstheme="minorHAnsi"/>
              </w:rPr>
              <w:fldChar w:fldCharType="begin">
                <w:ffData>
                  <w:name w:val="Check5"/>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Midwives</w:t>
            </w:r>
          </w:p>
        </w:tc>
      </w:tr>
      <w:tr w:rsidR="00527CD8" w:rsidRPr="006F307B" w:rsidTr="008E5D18">
        <w:tc>
          <w:tcPr>
            <w:tcW w:w="9016" w:type="dxa"/>
            <w:shd w:val="clear" w:color="auto" w:fill="auto"/>
          </w:tcPr>
          <w:p w:rsidR="00527CD8" w:rsidRPr="007278E9" w:rsidRDefault="00527CD8" w:rsidP="004914E3">
            <w:pPr>
              <w:pStyle w:val="Tabletext0"/>
              <w:rPr>
                <w:lang w:val="en-AU" w:eastAsia="en-AU"/>
              </w:rPr>
            </w:pPr>
            <w:r w:rsidRPr="006F307B">
              <w:rPr>
                <w:lang w:eastAsia="en-AU"/>
              </w:rPr>
              <w:t>Restriction Level / Method:</w:t>
            </w:r>
          </w:p>
          <w:p w:rsidR="00527CD8" w:rsidRPr="007278E9" w:rsidRDefault="00527CD8" w:rsidP="004914E3">
            <w:pPr>
              <w:pStyle w:val="Tabletext0"/>
              <w:rPr>
                <w:lang w:val="en-AU"/>
              </w:rPr>
            </w:pPr>
            <w:r w:rsidRPr="007278E9">
              <w:rPr>
                <w:lang w:eastAsia="en-AU"/>
              </w:rPr>
              <w:fldChar w:fldCharType="begin">
                <w:ffData>
                  <w:name w:val=""/>
                  <w:enabled/>
                  <w:calcOnExit w:val="0"/>
                  <w:checkBox>
                    <w:sizeAuto/>
                    <w:default w:val="1"/>
                  </w:checkBox>
                </w:ffData>
              </w:fldChar>
            </w:r>
            <w:r w:rsidRPr="006F307B">
              <w:rPr>
                <w:lang w:eastAsia="en-AU"/>
              </w:rPr>
              <w:instrText xml:space="preserve"> FORMCHECKBOX </w:instrText>
            </w:r>
            <w:r w:rsidR="005C339B">
              <w:rPr>
                <w:lang w:eastAsia="en-AU"/>
              </w:rPr>
            </w:r>
            <w:r w:rsidR="005C339B">
              <w:rPr>
                <w:lang w:eastAsia="en-AU"/>
              </w:rPr>
              <w:fldChar w:fldCharType="separate"/>
            </w:r>
            <w:r w:rsidRPr="007278E9">
              <w:rPr>
                <w:lang w:eastAsia="en-AU"/>
              </w:rPr>
              <w:fldChar w:fldCharType="end"/>
            </w:r>
            <w:r w:rsidRPr="006F307B">
              <w:rPr>
                <w:lang w:eastAsia="en-AU"/>
              </w:rPr>
              <w:t>Streamlined</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Administrative Advice: No increase in the maximum quantity or number of units may be authorised.</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Administrative Advice: No increase in the maximum number of repeats may be authorised.</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rPr>
                <w:i/>
              </w:rPr>
              <w:t xml:space="preserve">Administrative Advice: </w:t>
            </w:r>
            <w:r w:rsidRPr="006F307B">
              <w:rPr>
                <w:rFonts w:cs="Open Sans"/>
                <w:i/>
              </w:rPr>
              <w:t>Special Pricing Arrangements apply.</w:t>
            </w:r>
          </w:p>
        </w:tc>
      </w:tr>
      <w:tr w:rsidR="00527CD8" w:rsidRPr="006F307B" w:rsidTr="008E5D18">
        <w:tc>
          <w:tcPr>
            <w:tcW w:w="9016" w:type="dxa"/>
            <w:shd w:val="clear" w:color="auto" w:fill="auto"/>
          </w:tcPr>
          <w:p w:rsidR="00527CD8" w:rsidRPr="007278E9" w:rsidRDefault="00527CD8" w:rsidP="004914E3">
            <w:pPr>
              <w:pStyle w:val="Tabletext0"/>
              <w:rPr>
                <w:i/>
                <w:lang w:val="en-AU"/>
              </w:rPr>
            </w:pPr>
            <w:r w:rsidRPr="006F307B">
              <w:rPr>
                <w:rFonts w:cs="Arial"/>
                <w:i/>
              </w:rPr>
              <w:t>Administrative Advice: Patient should be treated with the recommended dose of pembrolizumab according to the TGA-approved Product Information</w:t>
            </w:r>
            <w:r w:rsidRPr="006F307B">
              <w:rPr>
                <w:rFonts w:ascii="Open Sans" w:hAnsi="Open Sans" w:cs="Open Sans"/>
                <w:sz w:val="21"/>
                <w:szCs w:val="21"/>
              </w:rPr>
              <w:t>.</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Severity:</w:t>
            </w:r>
            <w:r w:rsidRPr="006F307B">
              <w:rPr>
                <w:i/>
              </w:rPr>
              <w:t xml:space="preserve"> </w:t>
            </w:r>
            <w:r w:rsidRPr="006F307B">
              <w:t xml:space="preserve">Recurrent or metastatic </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Condition:</w:t>
            </w:r>
            <w:r w:rsidRPr="006F307B">
              <w:rPr>
                <w:i/>
              </w:rPr>
              <w:t xml:space="preserve"> </w:t>
            </w:r>
            <w:r w:rsidRPr="006F307B">
              <w:rPr>
                <w:strike/>
              </w:rPr>
              <w:t>Head and neck squamous cell carcinoma (HNSCC)</w:t>
            </w:r>
            <w:r w:rsidRPr="006F307B">
              <w:t xml:space="preserve"> </w:t>
            </w:r>
            <w:r w:rsidRPr="006F307B">
              <w:rPr>
                <w:i/>
              </w:rPr>
              <w:t>Squamous cell carcinoma of the oral cavity, pharynx or larynx</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 xml:space="preserve">Indication: Recurrent or metastatic squamous cell carcinoma of the oral cavity, pharynx or larynx </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 xml:space="preserve">Treatment Phase: Initial treatment </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Clinical criteria:</w:t>
            </w:r>
          </w:p>
        </w:tc>
      </w:tr>
      <w:tr w:rsidR="00527CD8" w:rsidRPr="006F307B" w:rsidTr="008E5D18">
        <w:tc>
          <w:tcPr>
            <w:tcW w:w="9016" w:type="dxa"/>
            <w:shd w:val="clear" w:color="auto" w:fill="auto"/>
          </w:tcPr>
          <w:p w:rsidR="00527CD8" w:rsidRPr="007278E9" w:rsidRDefault="00527CD8" w:rsidP="004914E3">
            <w:pPr>
              <w:pStyle w:val="Tabletext0"/>
              <w:rPr>
                <w:rFonts w:eastAsia="Calibri" w:cs="Arial"/>
                <w:lang w:val="en-AU"/>
              </w:rPr>
            </w:pPr>
            <w:r w:rsidRPr="006F307B">
              <w:rPr>
                <w:rFonts w:eastAsia="Calibri" w:cs="Arial"/>
              </w:rPr>
              <w:t>The condition must be</w:t>
            </w:r>
            <w:r w:rsidRPr="006F307B">
              <w:rPr>
                <w:rFonts w:eastAsia="Calibri" w:cs="Arial"/>
                <w:strike/>
              </w:rPr>
              <w:t xml:space="preserve"> recurrent or metastatic squamous cell carcinoma of the oral cavity, pharynx or larynx </w:t>
            </w:r>
            <w:r w:rsidRPr="006F307B">
              <w:rPr>
                <w:rFonts w:eastAsia="Calibri" w:cs="Arial"/>
              </w:rPr>
              <w:t xml:space="preserve">incurable by local therapies </w:t>
            </w:r>
            <w:r w:rsidRPr="006F307B">
              <w:rPr>
                <w:rFonts w:eastAsia="Calibri" w:cs="Arial"/>
                <w:i/>
              </w:rPr>
              <w:t xml:space="preserve">in the locally advanced setting </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AND</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Clinical criteria:</w:t>
            </w:r>
          </w:p>
        </w:tc>
      </w:tr>
      <w:tr w:rsidR="00527CD8" w:rsidRPr="006F307B" w:rsidTr="008E5D18">
        <w:trPr>
          <w:trHeight w:val="195"/>
        </w:trPr>
        <w:tc>
          <w:tcPr>
            <w:tcW w:w="9016" w:type="dxa"/>
            <w:shd w:val="clear" w:color="auto" w:fill="auto"/>
          </w:tcPr>
          <w:p w:rsidR="00527CD8" w:rsidRPr="007278E9" w:rsidRDefault="00527CD8" w:rsidP="004914E3">
            <w:pPr>
              <w:pStyle w:val="Tabletext0"/>
              <w:rPr>
                <w:rFonts w:eastAsia="Calibri" w:cs="Calibri"/>
                <w:strike/>
                <w:lang w:val="en-AU"/>
              </w:rPr>
            </w:pPr>
            <w:r w:rsidRPr="006F307B">
              <w:rPr>
                <w:rFonts w:eastAsia="Calibri" w:cs="Calibri"/>
                <w:strike/>
              </w:rPr>
              <w:t>The condition</w:t>
            </w:r>
            <w:r w:rsidRPr="006F307B">
              <w:rPr>
                <w:rFonts w:eastAsia="Calibri" w:cs="Calibri"/>
                <w:i/>
                <w:strike/>
              </w:rPr>
              <w:t xml:space="preserve"> </w:t>
            </w:r>
            <w:r w:rsidRPr="006F307B">
              <w:rPr>
                <w:rFonts w:eastAsia="Calibri" w:cs="Calibri"/>
                <w:strike/>
              </w:rPr>
              <w:t>should not have had prior systemic therapy administered in the recurrent or metastatic setting; or</w:t>
            </w:r>
          </w:p>
          <w:p w:rsidR="00527CD8" w:rsidRPr="007278E9" w:rsidRDefault="00527CD8" w:rsidP="004914E3">
            <w:pPr>
              <w:pStyle w:val="Tabletext0"/>
              <w:rPr>
                <w:rFonts w:eastAsia="Calibri" w:cs="Calibri"/>
                <w:strike/>
                <w:lang w:val="en-AU"/>
              </w:rPr>
            </w:pPr>
            <w:r w:rsidRPr="006F307B">
              <w:rPr>
                <w:rFonts w:cs="Open Sans"/>
                <w:i/>
              </w:rPr>
              <w:t xml:space="preserve">Patient must not have had systemic therapy for this condition in the recurrent or metastatic setting prior to initiating PBS-subsidised treatment with this drug for this condition; </w:t>
            </w:r>
          </w:p>
          <w:p w:rsidR="00527CD8" w:rsidRPr="007278E9" w:rsidRDefault="00527CD8" w:rsidP="004914E3">
            <w:pPr>
              <w:pStyle w:val="Tabletext0"/>
              <w:rPr>
                <w:rFonts w:eastAsia="Calibri" w:cs="Calibri"/>
                <w:strike/>
                <w:lang w:val="en-AU"/>
              </w:rPr>
            </w:pPr>
            <w:r w:rsidRPr="006F307B">
              <w:rPr>
                <w:rFonts w:cs="Open Sans"/>
                <w:i/>
              </w:rPr>
              <w:t xml:space="preserve">AND </w:t>
            </w:r>
          </w:p>
        </w:tc>
      </w:tr>
      <w:tr w:rsidR="00527CD8" w:rsidRPr="006F307B" w:rsidTr="008E5D18">
        <w:trPr>
          <w:trHeight w:val="307"/>
        </w:trPr>
        <w:tc>
          <w:tcPr>
            <w:tcW w:w="9016" w:type="dxa"/>
            <w:shd w:val="clear" w:color="auto" w:fill="auto"/>
          </w:tcPr>
          <w:p w:rsidR="00527CD8" w:rsidRPr="007278E9" w:rsidRDefault="00527CD8" w:rsidP="004914E3">
            <w:pPr>
              <w:pStyle w:val="Tabletext0"/>
              <w:rPr>
                <w:rFonts w:eastAsia="Calibri" w:cs="Calibri"/>
                <w:lang w:val="en-AU"/>
              </w:rPr>
            </w:pPr>
            <w:r w:rsidRPr="006F307B">
              <w:rPr>
                <w:rFonts w:eastAsia="Calibri" w:cs="Calibri"/>
              </w:rPr>
              <w:t xml:space="preserve">Patient must not have </w:t>
            </w:r>
            <w:r w:rsidRPr="006F307B">
              <w:rPr>
                <w:rFonts w:eastAsia="Calibri" w:cs="Calibri"/>
                <w:i/>
              </w:rPr>
              <w:t>experienced</w:t>
            </w:r>
            <w:r w:rsidRPr="006F307B">
              <w:rPr>
                <w:rFonts w:eastAsia="Calibri" w:cs="Calibri"/>
              </w:rPr>
              <w:t xml:space="preserve"> </w:t>
            </w:r>
            <w:r w:rsidRPr="006F307B">
              <w:rPr>
                <w:rFonts w:eastAsia="Calibri" w:cs="Calibri"/>
                <w:strike/>
              </w:rPr>
              <w:t>had a</w:t>
            </w:r>
            <w:r w:rsidRPr="006F307B">
              <w:rPr>
                <w:rFonts w:eastAsia="Calibri" w:cs="Calibri"/>
              </w:rPr>
              <w:t xml:space="preserve"> </w:t>
            </w:r>
            <w:r w:rsidRPr="006F307B">
              <w:rPr>
                <w:rFonts w:eastAsia="Calibri" w:cs="Calibri"/>
                <w:i/>
              </w:rPr>
              <w:t>disease</w:t>
            </w:r>
            <w:r w:rsidRPr="006F307B">
              <w:rPr>
                <w:rFonts w:eastAsia="Calibri" w:cs="Calibri"/>
              </w:rPr>
              <w:t xml:space="preserve"> recurrence within 6 months of</w:t>
            </w:r>
            <w:r w:rsidRPr="006F307B">
              <w:rPr>
                <w:rFonts w:eastAsia="Calibri" w:cs="Calibri"/>
                <w:i/>
              </w:rPr>
              <w:t xml:space="preserve"> completion of</w:t>
            </w:r>
            <w:r w:rsidRPr="006F307B">
              <w:rPr>
                <w:rFonts w:eastAsia="Calibri" w:cs="Calibri"/>
              </w:rPr>
              <w:t xml:space="preserve"> </w:t>
            </w:r>
            <w:r w:rsidRPr="006F307B">
              <w:rPr>
                <w:rFonts w:eastAsia="Calibri" w:cs="Calibri"/>
                <w:i/>
              </w:rPr>
              <w:t>systemic therapy</w:t>
            </w:r>
            <w:r w:rsidRPr="006F307B">
              <w:rPr>
                <w:rFonts w:eastAsia="Calibri" w:cs="Calibri"/>
                <w:strike/>
              </w:rPr>
              <w:t>platinum-based chemotherapy</w:t>
            </w:r>
            <w:r w:rsidRPr="006F307B">
              <w:rPr>
                <w:rFonts w:eastAsia="Calibri" w:cs="Calibri"/>
              </w:rPr>
              <w:t xml:space="preserve"> </w:t>
            </w:r>
            <w:r w:rsidRPr="006F307B">
              <w:rPr>
                <w:rFonts w:eastAsia="Calibri" w:cs="Calibri"/>
                <w:i/>
              </w:rPr>
              <w:t xml:space="preserve">if previously treated </w:t>
            </w:r>
            <w:r w:rsidRPr="006F307B">
              <w:rPr>
                <w:rFonts w:eastAsia="Calibri" w:cs="Calibri"/>
              </w:rPr>
              <w:t>in the locally advanced setting</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AND</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Clinical criteria:</w:t>
            </w:r>
          </w:p>
        </w:tc>
      </w:tr>
      <w:tr w:rsidR="00527CD8" w:rsidRPr="006F307B" w:rsidTr="008E5D18">
        <w:tc>
          <w:tcPr>
            <w:tcW w:w="9016" w:type="dxa"/>
            <w:shd w:val="clear" w:color="auto" w:fill="auto"/>
          </w:tcPr>
          <w:p w:rsidR="00527CD8" w:rsidRPr="007278E9" w:rsidRDefault="00527CD8" w:rsidP="004914E3">
            <w:pPr>
              <w:pStyle w:val="Tabletext0"/>
              <w:rPr>
                <w:rFonts w:eastAsia="Calibri" w:cs="Calibri"/>
                <w:lang w:val="en-AU"/>
              </w:rPr>
            </w:pPr>
            <w:r w:rsidRPr="006F307B">
              <w:rPr>
                <w:rFonts w:eastAsia="Calibri" w:cs="Calibri"/>
              </w:rPr>
              <w:t>Patient must have had a WHO performance status of 0 or 1</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AND</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Clinical criteria:</w:t>
            </w:r>
          </w:p>
        </w:tc>
      </w:tr>
      <w:tr w:rsidR="00527CD8" w:rsidRPr="006F307B" w:rsidTr="008E5D18">
        <w:trPr>
          <w:trHeight w:val="413"/>
        </w:trPr>
        <w:tc>
          <w:tcPr>
            <w:tcW w:w="9016" w:type="dxa"/>
            <w:shd w:val="clear" w:color="auto" w:fill="auto"/>
          </w:tcPr>
          <w:p w:rsidR="00527CD8" w:rsidRPr="007278E9" w:rsidRDefault="00527CD8" w:rsidP="004914E3">
            <w:pPr>
              <w:pStyle w:val="Tabletext0"/>
              <w:rPr>
                <w:rFonts w:eastAsia="Calibri" w:cs="Calibri"/>
                <w:lang w:val="en-AU"/>
              </w:rPr>
            </w:pPr>
            <w:r w:rsidRPr="006F307B">
              <w:rPr>
                <w:rFonts w:eastAsia="Calibri" w:cs="Calibri"/>
              </w:rPr>
              <w:t>The treatment must be administered as a single agent (monotherapy</w:t>
            </w:r>
            <w:r w:rsidRPr="006F307B">
              <w:rPr>
                <w:rFonts w:eastAsia="Calibri" w:cs="Calibri"/>
                <w:strike/>
              </w:rPr>
              <w:t>) in patients whose tumours express PD-L1 CPS ≥1</w:t>
            </w:r>
            <w:r w:rsidRPr="006F307B">
              <w:rPr>
                <w:rFonts w:eastAsia="Calibri" w:cs="Calibri"/>
              </w:rPr>
              <w:t>; or</w:t>
            </w:r>
          </w:p>
        </w:tc>
      </w:tr>
      <w:tr w:rsidR="00527CD8" w:rsidRPr="006F307B" w:rsidTr="008E5D18">
        <w:trPr>
          <w:trHeight w:val="412"/>
        </w:trPr>
        <w:tc>
          <w:tcPr>
            <w:tcW w:w="9016" w:type="dxa"/>
            <w:shd w:val="clear" w:color="auto" w:fill="auto"/>
          </w:tcPr>
          <w:p w:rsidR="00527CD8" w:rsidRPr="007278E9" w:rsidRDefault="00527CD8" w:rsidP="004914E3">
            <w:pPr>
              <w:pStyle w:val="Tabletext0"/>
              <w:rPr>
                <w:rFonts w:eastAsia="Calibri" w:cs="Calibri"/>
                <w:lang w:val="en-AU"/>
              </w:rPr>
            </w:pPr>
            <w:r w:rsidRPr="006F307B">
              <w:rPr>
                <w:rFonts w:eastAsia="Calibri" w:cs="Calibri"/>
              </w:rPr>
              <w:t>The treatment must be commenced in combination with platinum-based chemotherapy</w:t>
            </w:r>
            <w:r w:rsidRPr="006F307B">
              <w:rPr>
                <w:rFonts w:eastAsia="Calibri" w:cs="Calibri"/>
                <w:strike/>
              </w:rPr>
              <w:t xml:space="preserve"> in patients whose tumours express PD-L1 CPS ≥1</w:t>
            </w:r>
          </w:p>
        </w:tc>
      </w:tr>
      <w:tr w:rsidR="00527CD8" w:rsidRPr="006F307B" w:rsidTr="008E5D18">
        <w:tc>
          <w:tcPr>
            <w:tcW w:w="9016" w:type="dxa"/>
            <w:shd w:val="clear" w:color="auto" w:fill="auto"/>
          </w:tcPr>
          <w:p w:rsidR="00527CD8" w:rsidRPr="007278E9" w:rsidRDefault="00527CD8" w:rsidP="004914E3">
            <w:pPr>
              <w:pStyle w:val="Tabletext0"/>
              <w:rPr>
                <w:i/>
                <w:lang w:val="en-AU"/>
              </w:rPr>
            </w:pPr>
            <w:r w:rsidRPr="006F307B">
              <w:rPr>
                <w:i/>
              </w:rPr>
              <w:t>AND</w:t>
            </w:r>
          </w:p>
        </w:tc>
      </w:tr>
      <w:tr w:rsidR="00527CD8" w:rsidRPr="006F307B" w:rsidTr="008E5D18">
        <w:trPr>
          <w:trHeight w:val="138"/>
        </w:trPr>
        <w:tc>
          <w:tcPr>
            <w:tcW w:w="9016" w:type="dxa"/>
            <w:shd w:val="clear" w:color="auto" w:fill="auto"/>
          </w:tcPr>
          <w:p w:rsidR="00527CD8" w:rsidRPr="007278E9" w:rsidRDefault="00527CD8" w:rsidP="004914E3">
            <w:pPr>
              <w:pStyle w:val="Tabletext0"/>
              <w:rPr>
                <w:i/>
                <w:lang w:val="en-AU"/>
              </w:rPr>
            </w:pPr>
            <w:r w:rsidRPr="006F307B">
              <w:rPr>
                <w:i/>
              </w:rPr>
              <w:t>Clinical criteria:</w:t>
            </w:r>
          </w:p>
        </w:tc>
      </w:tr>
      <w:tr w:rsidR="00527CD8" w:rsidRPr="006F307B" w:rsidTr="008E5D18">
        <w:trPr>
          <w:trHeight w:val="412"/>
        </w:trPr>
        <w:tc>
          <w:tcPr>
            <w:tcW w:w="9016" w:type="dxa"/>
            <w:shd w:val="clear" w:color="auto" w:fill="auto"/>
          </w:tcPr>
          <w:p w:rsidR="00527CD8" w:rsidRPr="007278E9" w:rsidRDefault="00527CD8" w:rsidP="004914E3">
            <w:pPr>
              <w:pStyle w:val="Tabletext0"/>
              <w:rPr>
                <w:rFonts w:eastAsia="Calibri" w:cs="Calibri"/>
                <w:i/>
                <w:lang w:val="en-AU"/>
              </w:rPr>
            </w:pPr>
            <w:r w:rsidRPr="006F307B">
              <w:rPr>
                <w:rFonts w:cs="Open Sans"/>
                <w:i/>
                <w:snapToGrid w:val="0"/>
              </w:rPr>
              <w:t>The condition must express programmed cell death ligand 1 (PD-L1) with a combined positive score (CPS) ≥1 in the tumour sample</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AND</w:t>
            </w:r>
          </w:p>
        </w:tc>
      </w:tr>
      <w:tr w:rsidR="00527CD8" w:rsidRPr="006F307B" w:rsidTr="008E5D18">
        <w:tc>
          <w:tcPr>
            <w:tcW w:w="9016" w:type="dxa"/>
            <w:shd w:val="clear" w:color="auto" w:fill="auto"/>
          </w:tcPr>
          <w:p w:rsidR="00527CD8" w:rsidRPr="007278E9" w:rsidRDefault="00527CD8" w:rsidP="004914E3">
            <w:pPr>
              <w:pStyle w:val="Tabletext0"/>
              <w:rPr>
                <w:lang w:val="en-AU"/>
              </w:rPr>
            </w:pPr>
            <w:r w:rsidRPr="006F307B">
              <w:t>Clinical criteria:</w:t>
            </w:r>
          </w:p>
        </w:tc>
      </w:tr>
      <w:tr w:rsidR="00527CD8" w:rsidRPr="006F307B" w:rsidTr="008E5D18">
        <w:tc>
          <w:tcPr>
            <w:tcW w:w="9016" w:type="dxa"/>
            <w:shd w:val="clear" w:color="auto" w:fill="auto"/>
          </w:tcPr>
          <w:p w:rsidR="00527CD8" w:rsidRPr="007278E9" w:rsidRDefault="00527CD8" w:rsidP="004914E3">
            <w:pPr>
              <w:pStyle w:val="Tabletext0"/>
              <w:rPr>
                <w:rFonts w:eastAsia="Calibri" w:cs="Calibri"/>
                <w:lang w:val="en-AU"/>
              </w:rPr>
            </w:pPr>
            <w:r w:rsidRPr="006F307B">
              <w:rPr>
                <w:rFonts w:eastAsia="Calibri" w:cs="Calibri"/>
              </w:rPr>
              <w:t>The treatment must not exceed a total of 7 doses under this restriction</w:t>
            </w:r>
          </w:p>
        </w:tc>
      </w:tr>
      <w:tr w:rsidR="00527CD8" w:rsidRPr="006F307B" w:rsidTr="008E5D18">
        <w:trPr>
          <w:trHeight w:val="558"/>
        </w:trPr>
        <w:tc>
          <w:tcPr>
            <w:tcW w:w="9016" w:type="dxa"/>
            <w:shd w:val="clear" w:color="auto" w:fill="auto"/>
          </w:tcPr>
          <w:p w:rsidR="00527CD8" w:rsidRPr="007278E9" w:rsidRDefault="00527CD8" w:rsidP="004914E3">
            <w:pPr>
              <w:pStyle w:val="Tabletext0"/>
              <w:rPr>
                <w:i/>
                <w:lang w:val="en-AU"/>
              </w:rPr>
            </w:pPr>
            <w:r w:rsidRPr="006F307B">
              <w:rPr>
                <w:i/>
              </w:rPr>
              <w:t>Administrative Advice:</w:t>
            </w:r>
            <w:r w:rsidRPr="006F307B">
              <w:rPr>
                <w:i/>
              </w:rPr>
              <w:br/>
            </w:r>
            <w:r w:rsidRPr="006F307B">
              <w:rPr>
                <w:rFonts w:cs="Open Sans"/>
                <w:i/>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575AEF" w:rsidRPr="006F307B" w:rsidRDefault="00575AEF" w:rsidP="00575AEF">
      <w:pPr>
        <w:rPr>
          <w:sz w:val="20"/>
          <w:szCs w:val="20"/>
        </w:rPr>
      </w:pPr>
    </w:p>
    <w:tbl>
      <w:tblPr>
        <w:tblW w:w="5000" w:type="pct"/>
        <w:tblLook w:val="0000" w:firstRow="0" w:lastRow="0" w:firstColumn="0" w:lastColumn="0" w:noHBand="0" w:noVBand="0"/>
      </w:tblPr>
      <w:tblGrid>
        <w:gridCol w:w="1927"/>
        <w:gridCol w:w="1184"/>
        <w:gridCol w:w="890"/>
        <w:gridCol w:w="913"/>
        <w:gridCol w:w="1706"/>
        <w:gridCol w:w="2406"/>
      </w:tblGrid>
      <w:tr w:rsidR="00245123" w:rsidRPr="006F307B" w:rsidTr="008E5D18">
        <w:trPr>
          <w:cantSplit/>
          <w:trHeight w:val="212"/>
        </w:trPr>
        <w:tc>
          <w:tcPr>
            <w:tcW w:w="1067" w:type="pct"/>
            <w:tcBorders>
              <w:bottom w:val="single" w:sz="4" w:space="0" w:color="auto"/>
            </w:tcBorders>
          </w:tcPr>
          <w:p w:rsidR="00245123" w:rsidRPr="006F307B" w:rsidRDefault="00245123" w:rsidP="00245123">
            <w:pPr>
              <w:pStyle w:val="Tabletext0"/>
              <w:keepNext/>
              <w:keepLines/>
              <w:rPr>
                <w:b/>
              </w:rPr>
            </w:pPr>
            <w:r w:rsidRPr="006F307B">
              <w:rPr>
                <w:b/>
              </w:rPr>
              <w:lastRenderedPageBreak/>
              <w:t>Name, manner of administration</w:t>
            </w:r>
          </w:p>
        </w:tc>
        <w:tc>
          <w:tcPr>
            <w:tcW w:w="656" w:type="pct"/>
            <w:tcBorders>
              <w:bottom w:val="single" w:sz="4" w:space="0" w:color="auto"/>
            </w:tcBorders>
          </w:tcPr>
          <w:p w:rsidR="00245123" w:rsidRPr="006F307B" w:rsidRDefault="00245123" w:rsidP="00245123">
            <w:pPr>
              <w:pStyle w:val="Tabletext0"/>
              <w:keepNext/>
              <w:keepLines/>
              <w:rPr>
                <w:b/>
              </w:rPr>
            </w:pPr>
            <w:r w:rsidRPr="006F307B">
              <w:rPr>
                <w:b/>
              </w:rPr>
              <w:t>PBS item code</w:t>
            </w:r>
          </w:p>
        </w:tc>
        <w:tc>
          <w:tcPr>
            <w:tcW w:w="493" w:type="pct"/>
            <w:tcBorders>
              <w:bottom w:val="single" w:sz="4" w:space="0" w:color="auto"/>
            </w:tcBorders>
          </w:tcPr>
          <w:p w:rsidR="00245123" w:rsidRPr="006F307B" w:rsidRDefault="00245123" w:rsidP="00245123">
            <w:pPr>
              <w:pStyle w:val="Tabletext0"/>
              <w:keepNext/>
              <w:keepLines/>
              <w:rPr>
                <w:b/>
              </w:rPr>
            </w:pPr>
            <w:r w:rsidRPr="006F307B">
              <w:rPr>
                <w:b/>
              </w:rPr>
              <w:t>Max. Amount</w:t>
            </w:r>
          </w:p>
        </w:tc>
        <w:tc>
          <w:tcPr>
            <w:tcW w:w="506" w:type="pct"/>
            <w:tcBorders>
              <w:bottom w:val="single" w:sz="4" w:space="0" w:color="auto"/>
            </w:tcBorders>
          </w:tcPr>
          <w:p w:rsidR="00245123" w:rsidRPr="006F307B" w:rsidRDefault="00245123" w:rsidP="00245123">
            <w:pPr>
              <w:pStyle w:val="Tabletext0"/>
              <w:keepNext/>
              <w:keepLines/>
              <w:rPr>
                <w:b/>
              </w:rPr>
            </w:pPr>
            <w:r w:rsidRPr="006F307B">
              <w:rPr>
                <w:b/>
              </w:rPr>
              <w:t>№.of Rpts</w:t>
            </w:r>
          </w:p>
        </w:tc>
        <w:tc>
          <w:tcPr>
            <w:tcW w:w="945" w:type="pct"/>
            <w:tcBorders>
              <w:bottom w:val="single" w:sz="4" w:space="0" w:color="auto"/>
            </w:tcBorders>
          </w:tcPr>
          <w:p w:rsidR="00245123" w:rsidRPr="006F307B" w:rsidRDefault="00245123" w:rsidP="00245123">
            <w:pPr>
              <w:pStyle w:val="Tabletext0"/>
              <w:keepNext/>
              <w:keepLines/>
              <w:rPr>
                <w:b/>
              </w:rPr>
            </w:pPr>
            <w:r w:rsidRPr="006F307B">
              <w:rPr>
                <w:b/>
              </w:rPr>
              <w:t>Dispensed Price for Max. Amount</w:t>
            </w:r>
          </w:p>
        </w:tc>
        <w:tc>
          <w:tcPr>
            <w:tcW w:w="1333" w:type="pct"/>
            <w:tcBorders>
              <w:bottom w:val="single" w:sz="4" w:space="0" w:color="auto"/>
            </w:tcBorders>
          </w:tcPr>
          <w:p w:rsidR="00245123" w:rsidRPr="006F307B" w:rsidRDefault="00245123" w:rsidP="00245123">
            <w:pPr>
              <w:pStyle w:val="Tabletext0"/>
              <w:keepNext/>
              <w:keepLines/>
              <w:rPr>
                <w:b/>
              </w:rPr>
            </w:pPr>
            <w:r w:rsidRPr="006F307B">
              <w:rPr>
                <w:b/>
              </w:rPr>
              <w:t>Proprietary name and manufacturer</w:t>
            </w:r>
          </w:p>
        </w:tc>
      </w:tr>
      <w:tr w:rsidR="00245123" w:rsidRPr="006F307B" w:rsidTr="008E5D18">
        <w:trPr>
          <w:cantSplit/>
          <w:trHeight w:val="577"/>
        </w:trPr>
        <w:tc>
          <w:tcPr>
            <w:tcW w:w="1067" w:type="pct"/>
            <w:tcBorders>
              <w:top w:val="single" w:sz="4" w:space="0" w:color="auto"/>
            </w:tcBorders>
          </w:tcPr>
          <w:p w:rsidR="00245123" w:rsidRPr="006F307B" w:rsidRDefault="00245123" w:rsidP="00245123">
            <w:pPr>
              <w:pStyle w:val="Tabletext0"/>
              <w:keepNext/>
              <w:keepLines/>
            </w:pPr>
            <w:r w:rsidRPr="006F307B">
              <w:rPr>
                <w:caps/>
              </w:rPr>
              <w:t>PEMBROLIZUMAB</w:t>
            </w:r>
          </w:p>
          <w:p w:rsidR="00245123" w:rsidRPr="006F307B" w:rsidRDefault="00245123">
            <w:pPr>
              <w:pStyle w:val="Tabletext0"/>
              <w:keepNext/>
              <w:keepLines/>
            </w:pPr>
            <w:r w:rsidRPr="006F307B">
              <w:t>100 mg/4 mL injection</w:t>
            </w:r>
          </w:p>
        </w:tc>
        <w:tc>
          <w:tcPr>
            <w:tcW w:w="656" w:type="pct"/>
            <w:tcBorders>
              <w:top w:val="single" w:sz="4" w:space="0" w:color="auto"/>
            </w:tcBorders>
          </w:tcPr>
          <w:p w:rsidR="00245123" w:rsidRPr="006F307B" w:rsidRDefault="00245123">
            <w:pPr>
              <w:pStyle w:val="Tabletext0"/>
              <w:keepNext/>
              <w:keepLines/>
            </w:pPr>
            <w:r w:rsidRPr="006F307B">
              <w:t>NEW (Public)</w:t>
            </w:r>
          </w:p>
          <w:p w:rsidR="00245123" w:rsidRPr="006F307B" w:rsidRDefault="00245123">
            <w:pPr>
              <w:pStyle w:val="Tabletext0"/>
              <w:keepNext/>
              <w:keepLines/>
            </w:pPr>
            <w:r w:rsidRPr="006F307B">
              <w:t>NEW (Private)</w:t>
            </w:r>
          </w:p>
        </w:tc>
        <w:tc>
          <w:tcPr>
            <w:tcW w:w="493" w:type="pct"/>
            <w:tcBorders>
              <w:top w:val="single" w:sz="4" w:space="0" w:color="auto"/>
            </w:tcBorders>
          </w:tcPr>
          <w:p w:rsidR="00245123" w:rsidRPr="006F307B" w:rsidRDefault="00245123">
            <w:pPr>
              <w:pStyle w:val="Tabletext0"/>
              <w:keepNext/>
              <w:keepLines/>
            </w:pPr>
            <w:r w:rsidRPr="006F307B">
              <w:t>200 mg</w:t>
            </w:r>
          </w:p>
        </w:tc>
        <w:tc>
          <w:tcPr>
            <w:tcW w:w="506" w:type="pct"/>
            <w:tcBorders>
              <w:top w:val="single" w:sz="4" w:space="0" w:color="auto"/>
            </w:tcBorders>
          </w:tcPr>
          <w:p w:rsidR="00245123" w:rsidRPr="006F307B" w:rsidRDefault="00245123">
            <w:pPr>
              <w:pStyle w:val="Tabletext0"/>
              <w:keepNext/>
              <w:keepLines/>
            </w:pPr>
            <w:r w:rsidRPr="006F307B">
              <w:t>6</w:t>
            </w:r>
          </w:p>
        </w:tc>
        <w:tc>
          <w:tcPr>
            <w:tcW w:w="945" w:type="pct"/>
            <w:tcBorders>
              <w:top w:val="single" w:sz="4" w:space="0" w:color="auto"/>
            </w:tcBorders>
          </w:tcPr>
          <w:p w:rsidR="00245123" w:rsidRPr="006F307B" w:rsidRDefault="00245123" w:rsidP="00245123">
            <w:pPr>
              <w:pStyle w:val="TableText"/>
            </w:pPr>
            <w:r w:rsidRPr="006F307B">
              <w:t>Published</w:t>
            </w:r>
          </w:p>
          <w:p w:rsidR="00245123" w:rsidRPr="006F307B" w:rsidRDefault="00245123" w:rsidP="00245123">
            <w:pPr>
              <w:pStyle w:val="TableText"/>
            </w:pPr>
            <w:r w:rsidRPr="006F307B">
              <w:t>$8,717.46 (private)</w:t>
            </w:r>
          </w:p>
          <w:p w:rsidR="00245123" w:rsidRPr="006F307B" w:rsidRDefault="00245123" w:rsidP="00245123">
            <w:pPr>
              <w:pStyle w:val="TableText"/>
            </w:pPr>
            <w:r w:rsidRPr="006F307B">
              <w:t>$8,559.06 (public)</w:t>
            </w:r>
          </w:p>
          <w:p w:rsidR="00245123" w:rsidRPr="006F307B" w:rsidRDefault="00245123" w:rsidP="00245123">
            <w:pPr>
              <w:pStyle w:val="TableText"/>
              <w:rPr>
                <w:vertAlign w:val="superscript"/>
              </w:rPr>
            </w:pPr>
            <w:r w:rsidRPr="006F307B">
              <w:t xml:space="preserve">Effective (SPA) </w:t>
            </w:r>
            <w:r w:rsidRPr="006F307B">
              <w:rPr>
                <w:vertAlign w:val="superscript"/>
              </w:rPr>
              <w:t>a</w:t>
            </w:r>
          </w:p>
          <w:p w:rsidR="00245123" w:rsidRPr="006F307B" w:rsidRDefault="00245123" w:rsidP="00245123">
            <w:pPr>
              <w:pStyle w:val="TableText"/>
            </w:pPr>
            <w:r w:rsidRPr="006F307B">
              <w:t>$</w:t>
            </w:r>
            <w:r w:rsidR="00071965">
              <w:rPr>
                <w:noProof/>
                <w:color w:val="000000"/>
                <w:highlight w:val="black"/>
              </w:rPr>
              <w:t>'''''''''''''''''''''</w:t>
            </w:r>
            <w:r w:rsidRPr="006F307B">
              <w:t xml:space="preserve"> (private)</w:t>
            </w:r>
          </w:p>
          <w:p w:rsidR="00245123" w:rsidRPr="006F307B" w:rsidRDefault="00245123" w:rsidP="00245123">
            <w:pPr>
              <w:pStyle w:val="Tabletext0"/>
              <w:keepNext/>
              <w:keepLines/>
            </w:pPr>
            <w:r w:rsidRPr="006F307B">
              <w:t>$</w:t>
            </w:r>
            <w:r w:rsidR="00071965">
              <w:rPr>
                <w:noProof/>
                <w:color w:val="000000"/>
                <w:highlight w:val="black"/>
              </w:rPr>
              <w:t>''''''''''''''''''''</w:t>
            </w:r>
            <w:r w:rsidRPr="006F307B">
              <w:t xml:space="preserve"> (public)</w:t>
            </w:r>
          </w:p>
        </w:tc>
        <w:tc>
          <w:tcPr>
            <w:tcW w:w="1333" w:type="pct"/>
            <w:tcBorders>
              <w:top w:val="single" w:sz="4" w:space="0" w:color="auto"/>
            </w:tcBorders>
          </w:tcPr>
          <w:p w:rsidR="00245123" w:rsidRPr="006F307B" w:rsidRDefault="00245123">
            <w:pPr>
              <w:pStyle w:val="Tabletext0"/>
              <w:keepNext/>
              <w:keepLines/>
            </w:pPr>
            <w:r w:rsidRPr="006F307B">
              <w:t xml:space="preserve">Keytruda </w:t>
            </w:r>
          </w:p>
          <w:p w:rsidR="00245123" w:rsidRPr="006F307B" w:rsidRDefault="00245123">
            <w:pPr>
              <w:pStyle w:val="Tabletext0"/>
              <w:keepNext/>
              <w:keepLines/>
            </w:pPr>
            <w:r w:rsidRPr="006F307B">
              <w:t>Merck Sharp &amp; Dohme (Australia) Pty Ltd</w:t>
            </w:r>
          </w:p>
          <w:p w:rsidR="00245123" w:rsidRPr="006F307B" w:rsidRDefault="00245123">
            <w:pPr>
              <w:pStyle w:val="Tabletext0"/>
              <w:keepNext/>
              <w:keepLines/>
            </w:pPr>
          </w:p>
        </w:tc>
      </w:tr>
    </w:tbl>
    <w:p w:rsidR="00575AEF" w:rsidRPr="006F307B" w:rsidRDefault="00575AEF" w:rsidP="00575AEF">
      <w:pPr>
        <w:rPr>
          <w:rFonts w:ascii="Arial Narrow" w:hAnsi="Arial Narrow"/>
          <w:b/>
          <w:sz w:val="20"/>
          <w:szCs w:val="20"/>
        </w:rPr>
      </w:pPr>
      <w:r w:rsidRPr="006F307B">
        <w:rPr>
          <w:rFonts w:ascii="Arial Narrow" w:hAnsi="Arial Narrow"/>
          <w:b/>
          <w:sz w:val="20"/>
          <w:szCs w:val="20"/>
        </w:rPr>
        <w:t>Continuing treatment - Restriction Summary [new] / ToC: [new]</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inuing treatment - Restriction Summary [new] / ToC: [new]"/>
      </w:tblPr>
      <w:tblGrid>
        <w:gridCol w:w="9016"/>
      </w:tblGrid>
      <w:tr w:rsidR="00245123" w:rsidRPr="006F307B" w:rsidTr="006F0C01">
        <w:trPr>
          <w:cnfStyle w:val="100000000000" w:firstRow="1" w:lastRow="0" w:firstColumn="0" w:lastColumn="0" w:oddVBand="0" w:evenVBand="0" w:oddHBand="0" w:evenHBand="0" w:firstRowFirstColumn="0" w:firstRowLastColumn="0" w:lastRowFirstColumn="0" w:lastRowLastColumn="0"/>
          <w:tblHeader/>
        </w:trPr>
        <w:tc>
          <w:tcPr>
            <w:tcW w:w="9016" w:type="dxa"/>
            <w:shd w:val="clear" w:color="auto" w:fill="auto"/>
          </w:tcPr>
          <w:p w:rsidR="00245123" w:rsidRPr="007278E9" w:rsidRDefault="00245123" w:rsidP="004914E3">
            <w:pPr>
              <w:pStyle w:val="Tabletext0"/>
              <w:rPr>
                <w:lang w:val="en-AU"/>
              </w:rPr>
            </w:pPr>
            <w:r w:rsidRPr="006F307B">
              <w:t xml:space="preserve">Category/Program: </w:t>
            </w:r>
            <w:r w:rsidRPr="006F307B">
              <w:rPr>
                <w:rFonts w:cstheme="minorHAnsi"/>
                <w:bCs/>
              </w:rPr>
              <w:t>Section 100 – Efficient Funding of Chemotherapy; Public/Private Hospital</w:t>
            </w:r>
          </w:p>
        </w:tc>
      </w:tr>
      <w:tr w:rsidR="00245123" w:rsidRPr="006F307B" w:rsidTr="008E5D18">
        <w:trPr>
          <w:trHeight w:val="60"/>
        </w:trPr>
        <w:tc>
          <w:tcPr>
            <w:tcW w:w="9016" w:type="dxa"/>
            <w:shd w:val="clear" w:color="auto" w:fill="auto"/>
          </w:tcPr>
          <w:p w:rsidR="00245123" w:rsidRPr="007278E9" w:rsidRDefault="00245123" w:rsidP="004914E3">
            <w:pPr>
              <w:pStyle w:val="Tabletext0"/>
              <w:rPr>
                <w:rFonts w:cstheme="minorHAnsi"/>
                <w:lang w:val="en-AU"/>
              </w:rPr>
            </w:pPr>
            <w:r w:rsidRPr="006F307B">
              <w:rPr>
                <w:rFonts w:cstheme="minorHAnsi"/>
              </w:rPr>
              <w:t>Prescriber type:</w:t>
            </w:r>
          </w:p>
          <w:p w:rsidR="00245123" w:rsidRPr="007278E9" w:rsidRDefault="00245123" w:rsidP="004914E3">
            <w:pPr>
              <w:pStyle w:val="Tabletext0"/>
              <w:rPr>
                <w:lang w:val="en-AU"/>
              </w:rPr>
            </w:pPr>
            <w:r w:rsidRPr="007278E9">
              <w:rPr>
                <w:rFonts w:cstheme="minorHAnsi"/>
              </w:rPr>
              <w:fldChar w:fldCharType="begin">
                <w:ffData>
                  <w:name w:val="Check1"/>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Dental  </w:t>
            </w:r>
            <w:r w:rsidRPr="007278E9">
              <w:rPr>
                <w:rFonts w:cstheme="minorHAnsi"/>
              </w:rPr>
              <w:fldChar w:fldCharType="begin">
                <w:ffData>
                  <w:name w:val=""/>
                  <w:enabled/>
                  <w:calcOnExit w:val="0"/>
                  <w:checkBox>
                    <w:sizeAuto/>
                    <w:default w:val="1"/>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Medical Practitioners  </w:t>
            </w:r>
            <w:r w:rsidRPr="007278E9">
              <w:rPr>
                <w:rFonts w:cstheme="minorHAnsi"/>
              </w:rPr>
              <w:fldChar w:fldCharType="begin">
                <w:ffData>
                  <w:name w:val="Check3"/>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Nurse practitioners  </w:t>
            </w:r>
            <w:r w:rsidRPr="007278E9">
              <w:rPr>
                <w:rFonts w:cstheme="minorHAnsi"/>
              </w:rPr>
              <w:fldChar w:fldCharType="begin">
                <w:ffData>
                  <w:name w:val=""/>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Optometrists  </w:t>
            </w:r>
            <w:r w:rsidRPr="007278E9">
              <w:rPr>
                <w:rFonts w:cstheme="minorHAnsi"/>
              </w:rPr>
              <w:fldChar w:fldCharType="begin">
                <w:ffData>
                  <w:name w:val="Check5"/>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Midwives</w:t>
            </w:r>
          </w:p>
        </w:tc>
      </w:tr>
      <w:tr w:rsidR="00245123" w:rsidRPr="006F307B" w:rsidTr="008E5D18">
        <w:tc>
          <w:tcPr>
            <w:tcW w:w="9016" w:type="dxa"/>
            <w:shd w:val="clear" w:color="auto" w:fill="auto"/>
          </w:tcPr>
          <w:p w:rsidR="00245123" w:rsidRPr="007278E9" w:rsidRDefault="00245123" w:rsidP="004914E3">
            <w:pPr>
              <w:pStyle w:val="Tabletext0"/>
              <w:rPr>
                <w:lang w:val="en-AU" w:eastAsia="en-AU"/>
              </w:rPr>
            </w:pPr>
            <w:r w:rsidRPr="006F307B">
              <w:rPr>
                <w:lang w:eastAsia="en-AU"/>
              </w:rPr>
              <w:t>Restriction Level / Method:</w:t>
            </w:r>
          </w:p>
          <w:p w:rsidR="00245123" w:rsidRPr="007278E9" w:rsidRDefault="00245123" w:rsidP="004914E3">
            <w:pPr>
              <w:pStyle w:val="Tabletext0"/>
              <w:rPr>
                <w:lang w:val="en-AU"/>
              </w:rPr>
            </w:pPr>
            <w:r w:rsidRPr="007278E9">
              <w:rPr>
                <w:lang w:eastAsia="en-AU"/>
              </w:rPr>
              <w:fldChar w:fldCharType="begin">
                <w:ffData>
                  <w:name w:val=""/>
                  <w:enabled/>
                  <w:calcOnExit w:val="0"/>
                  <w:checkBox>
                    <w:sizeAuto/>
                    <w:default w:val="1"/>
                  </w:checkBox>
                </w:ffData>
              </w:fldChar>
            </w:r>
            <w:r w:rsidRPr="006F307B">
              <w:rPr>
                <w:lang w:eastAsia="en-AU"/>
              </w:rPr>
              <w:instrText xml:space="preserve"> FORMCHECKBOX </w:instrText>
            </w:r>
            <w:r w:rsidR="005C339B">
              <w:rPr>
                <w:lang w:eastAsia="en-AU"/>
              </w:rPr>
            </w:r>
            <w:r w:rsidR="005C339B">
              <w:rPr>
                <w:lang w:eastAsia="en-AU"/>
              </w:rPr>
              <w:fldChar w:fldCharType="separate"/>
            </w:r>
            <w:r w:rsidRPr="007278E9">
              <w:rPr>
                <w:lang w:eastAsia="en-AU"/>
              </w:rPr>
              <w:fldChar w:fldCharType="end"/>
            </w:r>
            <w:r w:rsidRPr="006F307B">
              <w:rPr>
                <w:lang w:eastAsia="en-AU"/>
              </w:rPr>
              <w:t>Streamlined</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Administrative Advice: No increase in the maximum quantity or number of units may be authorised.</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Administrative Advice: No increase in the maximum number of repeats may be authorised.</w:t>
            </w:r>
          </w:p>
        </w:tc>
      </w:tr>
      <w:tr w:rsidR="00245123" w:rsidRPr="006F307B" w:rsidTr="008E5D18">
        <w:tc>
          <w:tcPr>
            <w:tcW w:w="9016" w:type="dxa"/>
            <w:shd w:val="clear" w:color="auto" w:fill="auto"/>
          </w:tcPr>
          <w:p w:rsidR="00245123" w:rsidRPr="007278E9" w:rsidRDefault="00245123" w:rsidP="004914E3">
            <w:pPr>
              <w:pStyle w:val="Tabletext0"/>
              <w:rPr>
                <w:i/>
                <w:lang w:val="en-AU"/>
              </w:rPr>
            </w:pPr>
            <w:r w:rsidRPr="006F307B">
              <w:rPr>
                <w:i/>
              </w:rPr>
              <w:t xml:space="preserve">Administrative Advice: </w:t>
            </w:r>
            <w:r w:rsidRPr="006F307B">
              <w:rPr>
                <w:rFonts w:cs="Open Sans"/>
                <w:i/>
              </w:rPr>
              <w:t>Special Pricing Arrangements apply.</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rPr>
                <w:rFonts w:cs="Arial"/>
                <w:i/>
              </w:rPr>
              <w:t>Administrative Advice: Patient should be treated with the recommended dose of pembrolizumab according to the TGA-approved Product Information</w:t>
            </w:r>
            <w:r w:rsidRPr="006F307B">
              <w:rPr>
                <w:rFonts w:ascii="Open Sans" w:hAnsi="Open Sans" w:cs="Open Sans"/>
                <w:sz w:val="21"/>
                <w:szCs w:val="21"/>
              </w:rPr>
              <w:t>.</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Severity:</w:t>
            </w:r>
            <w:r w:rsidRPr="006F307B">
              <w:rPr>
                <w:i/>
              </w:rPr>
              <w:t xml:space="preserve"> </w:t>
            </w:r>
            <w:r w:rsidRPr="006F307B">
              <w:t xml:space="preserve">Recurrent or metastatic </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Condition:</w:t>
            </w:r>
            <w:r w:rsidRPr="006F307B">
              <w:rPr>
                <w:i/>
              </w:rPr>
              <w:t xml:space="preserve"> </w:t>
            </w:r>
            <w:r w:rsidRPr="006F307B">
              <w:rPr>
                <w:strike/>
              </w:rPr>
              <w:t>Head and neck squamous cell carcinoma (HNSCC)</w:t>
            </w:r>
            <w:r w:rsidRPr="006F307B">
              <w:t xml:space="preserve"> </w:t>
            </w:r>
            <w:r w:rsidRPr="006F307B">
              <w:rPr>
                <w:i/>
              </w:rPr>
              <w:t>Squamous cell carcinoma of the oral cavity, pharynx or larynx</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 xml:space="preserve">Indication: Recurrent or metastatic squamous cell carcinoma of the oral cavity, pharynx or larynx </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 xml:space="preserve">Treatment Phase: Continuing treatment </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Clinical criteria:</w:t>
            </w:r>
          </w:p>
        </w:tc>
      </w:tr>
      <w:tr w:rsidR="00245123" w:rsidRPr="006F307B" w:rsidTr="008E5D18">
        <w:tc>
          <w:tcPr>
            <w:tcW w:w="9016" w:type="dxa"/>
            <w:shd w:val="clear" w:color="auto" w:fill="auto"/>
          </w:tcPr>
          <w:p w:rsidR="00245123" w:rsidRPr="007278E9" w:rsidRDefault="00245123" w:rsidP="004914E3">
            <w:pPr>
              <w:pStyle w:val="Tabletext0"/>
              <w:rPr>
                <w:rFonts w:eastAsia="Calibri" w:cs="Calibri"/>
                <w:lang w:val="en-AU"/>
              </w:rPr>
            </w:pPr>
            <w:r w:rsidRPr="006F307B">
              <w:rPr>
                <w:rFonts w:eastAsia="Calibri" w:cs="Calibri"/>
              </w:rPr>
              <w:t>Patient must have previously received PBS-subsidised treatment with this drug for this condition</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AND</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Clinical criteria:</w:t>
            </w:r>
          </w:p>
        </w:tc>
      </w:tr>
      <w:tr w:rsidR="00245123" w:rsidRPr="006F307B" w:rsidTr="008E5D18">
        <w:trPr>
          <w:trHeight w:val="195"/>
        </w:trPr>
        <w:tc>
          <w:tcPr>
            <w:tcW w:w="9016" w:type="dxa"/>
            <w:shd w:val="clear" w:color="auto" w:fill="auto"/>
          </w:tcPr>
          <w:p w:rsidR="00245123" w:rsidRPr="007278E9" w:rsidRDefault="00245123" w:rsidP="004914E3">
            <w:pPr>
              <w:pStyle w:val="Tabletext0"/>
              <w:rPr>
                <w:rFonts w:eastAsia="Calibri" w:cs="Calibri"/>
                <w:lang w:val="en-AU"/>
              </w:rPr>
            </w:pPr>
            <w:r w:rsidRPr="006F307B">
              <w:rPr>
                <w:rFonts w:eastAsia="Calibri" w:cs="Calibri"/>
              </w:rPr>
              <w:t>Patient must not have developed disease progression while being treated with this drug for this condition</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AND</w:t>
            </w:r>
          </w:p>
        </w:tc>
      </w:tr>
      <w:tr w:rsidR="00245123" w:rsidRPr="006F307B" w:rsidTr="008E5D18">
        <w:tc>
          <w:tcPr>
            <w:tcW w:w="9016" w:type="dxa"/>
            <w:shd w:val="clear" w:color="auto" w:fill="auto"/>
          </w:tcPr>
          <w:p w:rsidR="00245123" w:rsidRPr="007278E9" w:rsidRDefault="00245123" w:rsidP="004914E3">
            <w:pPr>
              <w:pStyle w:val="Tabletext0"/>
              <w:rPr>
                <w:lang w:val="en-AU"/>
              </w:rPr>
            </w:pPr>
            <w:r w:rsidRPr="006F307B">
              <w:t>Clinical criteria:</w:t>
            </w:r>
          </w:p>
        </w:tc>
      </w:tr>
      <w:tr w:rsidR="00245123" w:rsidRPr="006F307B" w:rsidTr="008E5D18">
        <w:tc>
          <w:tcPr>
            <w:tcW w:w="9016" w:type="dxa"/>
            <w:shd w:val="clear" w:color="auto" w:fill="auto"/>
          </w:tcPr>
          <w:p w:rsidR="00245123" w:rsidRPr="007278E9" w:rsidRDefault="00245123" w:rsidP="004914E3">
            <w:pPr>
              <w:pStyle w:val="Tabletext0"/>
              <w:rPr>
                <w:rFonts w:eastAsia="Calibri" w:cs="Calibri"/>
                <w:lang w:val="en-AU"/>
              </w:rPr>
            </w:pPr>
            <w:r w:rsidRPr="006F307B">
              <w:rPr>
                <w:rFonts w:eastAsia="Calibri" w:cs="Calibri"/>
              </w:rPr>
              <w:t xml:space="preserve">The treatment must not exceed a total of 35 cycles </w:t>
            </w:r>
            <w:r w:rsidRPr="006F307B">
              <w:rPr>
                <w:rFonts w:eastAsia="Calibri" w:cs="Calibri"/>
                <w:i/>
              </w:rPr>
              <w:t>in a lifetime</w:t>
            </w:r>
            <w:r w:rsidRPr="006F307B">
              <w:rPr>
                <w:rFonts w:eastAsia="Calibri" w:cs="Calibri"/>
              </w:rPr>
              <w:t xml:space="preserve"> </w:t>
            </w:r>
            <w:r w:rsidRPr="006F307B">
              <w:rPr>
                <w:rFonts w:eastAsia="Calibri" w:cs="Calibri"/>
                <w:strike/>
              </w:rPr>
              <w:t>or up to 24 months of treatment under this restriction</w:t>
            </w:r>
          </w:p>
        </w:tc>
      </w:tr>
    </w:tbl>
    <w:p w:rsidR="00575AEF" w:rsidRPr="006F307B" w:rsidRDefault="00575AEF" w:rsidP="00575AEF">
      <w:pPr>
        <w:rPr>
          <w:sz w:val="20"/>
          <w:szCs w:val="20"/>
        </w:rPr>
      </w:pPr>
    </w:p>
    <w:tbl>
      <w:tblPr>
        <w:tblW w:w="5000" w:type="pct"/>
        <w:tblLook w:val="0000" w:firstRow="0" w:lastRow="0" w:firstColumn="0" w:lastColumn="0" w:noHBand="0" w:noVBand="0"/>
      </w:tblPr>
      <w:tblGrid>
        <w:gridCol w:w="2211"/>
        <w:gridCol w:w="1464"/>
        <w:gridCol w:w="1208"/>
        <w:gridCol w:w="659"/>
        <w:gridCol w:w="2058"/>
        <w:gridCol w:w="1426"/>
      </w:tblGrid>
      <w:tr w:rsidR="00B40491" w:rsidRPr="006F307B" w:rsidTr="008E5D18">
        <w:trPr>
          <w:cantSplit/>
          <w:trHeight w:val="246"/>
        </w:trPr>
        <w:tc>
          <w:tcPr>
            <w:tcW w:w="1225" w:type="pct"/>
            <w:tcBorders>
              <w:bottom w:val="single" w:sz="4" w:space="0" w:color="auto"/>
            </w:tcBorders>
          </w:tcPr>
          <w:p w:rsidR="00245123" w:rsidRPr="006F307B" w:rsidRDefault="00245123" w:rsidP="00245123">
            <w:pPr>
              <w:pStyle w:val="Tabletext0"/>
              <w:rPr>
                <w:b/>
              </w:rPr>
            </w:pPr>
            <w:r w:rsidRPr="006F307B">
              <w:rPr>
                <w:b/>
              </w:rPr>
              <w:t>Name, manner of administration</w:t>
            </w:r>
          </w:p>
        </w:tc>
        <w:tc>
          <w:tcPr>
            <w:tcW w:w="811" w:type="pct"/>
            <w:tcBorders>
              <w:bottom w:val="single" w:sz="4" w:space="0" w:color="auto"/>
            </w:tcBorders>
          </w:tcPr>
          <w:p w:rsidR="00245123" w:rsidRPr="006F307B" w:rsidRDefault="00245123" w:rsidP="00245123">
            <w:pPr>
              <w:pStyle w:val="Tabletext0"/>
              <w:rPr>
                <w:b/>
              </w:rPr>
            </w:pPr>
            <w:r w:rsidRPr="006F307B">
              <w:rPr>
                <w:b/>
              </w:rPr>
              <w:t>PBS item code</w:t>
            </w:r>
          </w:p>
        </w:tc>
        <w:tc>
          <w:tcPr>
            <w:tcW w:w="669" w:type="pct"/>
            <w:tcBorders>
              <w:bottom w:val="single" w:sz="4" w:space="0" w:color="auto"/>
            </w:tcBorders>
          </w:tcPr>
          <w:p w:rsidR="00245123" w:rsidRPr="006F307B" w:rsidRDefault="00245123" w:rsidP="00245123">
            <w:pPr>
              <w:pStyle w:val="Tabletext0"/>
              <w:rPr>
                <w:b/>
              </w:rPr>
            </w:pPr>
            <w:r w:rsidRPr="006F307B">
              <w:rPr>
                <w:b/>
              </w:rPr>
              <w:t>Max. Amount</w:t>
            </w:r>
          </w:p>
        </w:tc>
        <w:tc>
          <w:tcPr>
            <w:tcW w:w="365" w:type="pct"/>
            <w:tcBorders>
              <w:bottom w:val="single" w:sz="4" w:space="0" w:color="auto"/>
            </w:tcBorders>
          </w:tcPr>
          <w:p w:rsidR="00245123" w:rsidRPr="006F307B" w:rsidRDefault="00245123" w:rsidP="00245123">
            <w:pPr>
              <w:pStyle w:val="Tabletext0"/>
              <w:rPr>
                <w:b/>
              </w:rPr>
            </w:pPr>
            <w:r w:rsidRPr="006F307B">
              <w:rPr>
                <w:b/>
              </w:rPr>
              <w:t>№.of Rpts</w:t>
            </w:r>
          </w:p>
        </w:tc>
        <w:tc>
          <w:tcPr>
            <w:tcW w:w="1140" w:type="pct"/>
            <w:tcBorders>
              <w:bottom w:val="single" w:sz="4" w:space="0" w:color="auto"/>
            </w:tcBorders>
          </w:tcPr>
          <w:p w:rsidR="00245123" w:rsidRPr="006F307B" w:rsidRDefault="00245123" w:rsidP="00245123">
            <w:pPr>
              <w:pStyle w:val="Tabletext0"/>
              <w:rPr>
                <w:b/>
              </w:rPr>
            </w:pPr>
            <w:r w:rsidRPr="006F307B">
              <w:rPr>
                <w:b/>
              </w:rPr>
              <w:t>Dispensed Price for Max. Amount</w:t>
            </w:r>
          </w:p>
        </w:tc>
        <w:tc>
          <w:tcPr>
            <w:tcW w:w="790" w:type="pct"/>
            <w:tcBorders>
              <w:bottom w:val="single" w:sz="4" w:space="0" w:color="auto"/>
            </w:tcBorders>
          </w:tcPr>
          <w:p w:rsidR="00245123" w:rsidRPr="006F307B" w:rsidRDefault="00245123" w:rsidP="00245123">
            <w:pPr>
              <w:pStyle w:val="Tabletext0"/>
              <w:rPr>
                <w:b/>
              </w:rPr>
            </w:pPr>
            <w:r w:rsidRPr="006F307B">
              <w:rPr>
                <w:b/>
              </w:rPr>
              <w:t>Manufacturer</w:t>
            </w:r>
          </w:p>
        </w:tc>
      </w:tr>
      <w:tr w:rsidR="00B40491" w:rsidRPr="006F307B" w:rsidTr="008E5D18">
        <w:trPr>
          <w:cantSplit/>
          <w:trHeight w:val="672"/>
        </w:trPr>
        <w:tc>
          <w:tcPr>
            <w:tcW w:w="1225" w:type="pct"/>
            <w:tcBorders>
              <w:top w:val="single" w:sz="4" w:space="0" w:color="auto"/>
            </w:tcBorders>
          </w:tcPr>
          <w:p w:rsidR="00245123" w:rsidRPr="006F307B" w:rsidRDefault="00245123" w:rsidP="00245123">
            <w:pPr>
              <w:pStyle w:val="Tabletext0"/>
            </w:pPr>
            <w:r w:rsidRPr="006F307B">
              <w:rPr>
                <w:caps/>
              </w:rPr>
              <w:t>PEMBROLIZUMAB</w:t>
            </w:r>
          </w:p>
          <w:p w:rsidR="00245123" w:rsidRPr="006F307B" w:rsidRDefault="00245123" w:rsidP="006F307B">
            <w:pPr>
              <w:pStyle w:val="Tabletext0"/>
            </w:pPr>
            <w:r w:rsidRPr="006F307B">
              <w:t>100 mg/4 mL injection</w:t>
            </w:r>
          </w:p>
        </w:tc>
        <w:tc>
          <w:tcPr>
            <w:tcW w:w="811" w:type="pct"/>
            <w:tcBorders>
              <w:top w:val="single" w:sz="4" w:space="0" w:color="auto"/>
            </w:tcBorders>
          </w:tcPr>
          <w:p w:rsidR="00245123" w:rsidRPr="006F307B" w:rsidRDefault="00245123" w:rsidP="00245123">
            <w:pPr>
              <w:pStyle w:val="Tabletext0"/>
            </w:pPr>
            <w:r w:rsidRPr="006F307B">
              <w:t>NEW (Public)</w:t>
            </w:r>
          </w:p>
          <w:p w:rsidR="00245123" w:rsidRPr="006F307B" w:rsidRDefault="00245123" w:rsidP="00245123">
            <w:pPr>
              <w:pStyle w:val="Tabletext0"/>
            </w:pPr>
            <w:r w:rsidRPr="006F307B">
              <w:t>NEW (Private)</w:t>
            </w:r>
          </w:p>
        </w:tc>
        <w:tc>
          <w:tcPr>
            <w:tcW w:w="669" w:type="pct"/>
            <w:tcBorders>
              <w:top w:val="single" w:sz="4" w:space="0" w:color="auto"/>
            </w:tcBorders>
          </w:tcPr>
          <w:p w:rsidR="00245123" w:rsidRPr="006F307B" w:rsidRDefault="00245123">
            <w:pPr>
              <w:pStyle w:val="Tabletext0"/>
            </w:pPr>
            <w:r w:rsidRPr="006F307B">
              <w:t>200 mg</w:t>
            </w:r>
          </w:p>
        </w:tc>
        <w:tc>
          <w:tcPr>
            <w:tcW w:w="365" w:type="pct"/>
            <w:tcBorders>
              <w:top w:val="single" w:sz="4" w:space="0" w:color="auto"/>
            </w:tcBorders>
          </w:tcPr>
          <w:p w:rsidR="00245123" w:rsidRPr="006F307B" w:rsidRDefault="00245123">
            <w:pPr>
              <w:pStyle w:val="Tabletext0"/>
            </w:pPr>
            <w:r w:rsidRPr="006F307B">
              <w:t>6</w:t>
            </w:r>
          </w:p>
        </w:tc>
        <w:tc>
          <w:tcPr>
            <w:tcW w:w="1140" w:type="pct"/>
            <w:tcBorders>
              <w:top w:val="single" w:sz="4" w:space="0" w:color="auto"/>
            </w:tcBorders>
          </w:tcPr>
          <w:p w:rsidR="00245123" w:rsidRPr="006F307B" w:rsidRDefault="00245123" w:rsidP="00245123">
            <w:pPr>
              <w:pStyle w:val="TableText"/>
            </w:pPr>
            <w:r w:rsidRPr="006F307B">
              <w:t>Published</w:t>
            </w:r>
          </w:p>
          <w:p w:rsidR="00245123" w:rsidRPr="006F307B" w:rsidRDefault="00245123" w:rsidP="00245123">
            <w:pPr>
              <w:pStyle w:val="TableText"/>
            </w:pPr>
            <w:r w:rsidRPr="006F307B">
              <w:t>$8,717.46 (private)</w:t>
            </w:r>
          </w:p>
          <w:p w:rsidR="00245123" w:rsidRPr="006F307B" w:rsidRDefault="00245123" w:rsidP="00245123">
            <w:pPr>
              <w:pStyle w:val="TableText"/>
            </w:pPr>
            <w:r w:rsidRPr="006F307B">
              <w:t>$8,559.06 (public)</w:t>
            </w:r>
          </w:p>
          <w:p w:rsidR="00245123" w:rsidRPr="006F307B" w:rsidRDefault="00245123" w:rsidP="00245123">
            <w:pPr>
              <w:pStyle w:val="TableText"/>
              <w:rPr>
                <w:vertAlign w:val="superscript"/>
              </w:rPr>
            </w:pPr>
            <w:r w:rsidRPr="006F307B">
              <w:t xml:space="preserve">Effective (SPA) </w:t>
            </w:r>
            <w:r w:rsidRPr="006F307B">
              <w:rPr>
                <w:vertAlign w:val="superscript"/>
              </w:rPr>
              <w:t>a</w:t>
            </w:r>
          </w:p>
          <w:p w:rsidR="00245123" w:rsidRPr="006F307B" w:rsidRDefault="00245123" w:rsidP="00245123">
            <w:pPr>
              <w:pStyle w:val="TableText"/>
            </w:pPr>
            <w:r w:rsidRPr="006F307B">
              <w:t>$</w:t>
            </w:r>
            <w:r w:rsidR="00071965">
              <w:rPr>
                <w:noProof/>
                <w:color w:val="000000"/>
                <w:highlight w:val="black"/>
              </w:rPr>
              <w:t>'''''''''''''''''''''''</w:t>
            </w:r>
            <w:r w:rsidRPr="006F307B">
              <w:t xml:space="preserve"> (private)</w:t>
            </w:r>
          </w:p>
          <w:p w:rsidR="00245123" w:rsidRPr="006F307B" w:rsidDel="00245123" w:rsidRDefault="00245123" w:rsidP="00245123">
            <w:pPr>
              <w:pStyle w:val="Tabletext0"/>
            </w:pPr>
            <w:r w:rsidRPr="006F307B">
              <w:t>$</w:t>
            </w:r>
            <w:r w:rsidR="00071965">
              <w:rPr>
                <w:noProof/>
                <w:color w:val="000000"/>
                <w:highlight w:val="black"/>
              </w:rPr>
              <w:t>''''''''''''''''''''''</w:t>
            </w:r>
            <w:r w:rsidRPr="006F307B">
              <w:t xml:space="preserve"> (public)</w:t>
            </w:r>
          </w:p>
        </w:tc>
        <w:tc>
          <w:tcPr>
            <w:tcW w:w="790" w:type="pct"/>
            <w:tcBorders>
              <w:top w:val="single" w:sz="4" w:space="0" w:color="auto"/>
            </w:tcBorders>
          </w:tcPr>
          <w:p w:rsidR="00245123" w:rsidRPr="006F307B" w:rsidRDefault="00245123">
            <w:pPr>
              <w:pStyle w:val="Tabletext0"/>
            </w:pPr>
            <w:r w:rsidRPr="006F307B">
              <w:t>Keytruda</w:t>
            </w:r>
          </w:p>
          <w:p w:rsidR="00245123" w:rsidRPr="006F307B" w:rsidRDefault="00245123">
            <w:pPr>
              <w:pStyle w:val="Tabletext0"/>
            </w:pPr>
            <w:r w:rsidRPr="006F307B">
              <w:t>Merck Sharp &amp; Dohme (Australia) Pty Ltd</w:t>
            </w:r>
          </w:p>
        </w:tc>
      </w:tr>
    </w:tbl>
    <w:p w:rsidR="0031644D" w:rsidRDefault="0031644D" w:rsidP="00575AEF">
      <w:pPr>
        <w:rPr>
          <w:rFonts w:ascii="Arial Narrow" w:hAnsi="Arial Narrow"/>
          <w:b/>
          <w:sz w:val="20"/>
          <w:szCs w:val="20"/>
        </w:rPr>
      </w:pPr>
    </w:p>
    <w:p w:rsidR="0031644D" w:rsidRDefault="0031644D">
      <w:pPr>
        <w:spacing w:before="0" w:line="259" w:lineRule="auto"/>
        <w:jc w:val="left"/>
        <w:rPr>
          <w:rFonts w:ascii="Arial Narrow" w:hAnsi="Arial Narrow"/>
          <w:b/>
          <w:sz w:val="20"/>
          <w:szCs w:val="20"/>
        </w:rPr>
      </w:pPr>
      <w:r>
        <w:rPr>
          <w:rFonts w:ascii="Arial Narrow" w:hAnsi="Arial Narrow"/>
          <w:b/>
          <w:sz w:val="20"/>
          <w:szCs w:val="20"/>
        </w:rPr>
        <w:br w:type="page"/>
      </w:r>
    </w:p>
    <w:p w:rsidR="00575AEF" w:rsidRPr="006F307B" w:rsidRDefault="00575AEF" w:rsidP="00575AEF">
      <w:pPr>
        <w:rPr>
          <w:rFonts w:ascii="Arial Narrow" w:hAnsi="Arial Narrow"/>
          <w:b/>
          <w:sz w:val="20"/>
          <w:szCs w:val="20"/>
        </w:rPr>
      </w:pPr>
      <w:r w:rsidRPr="006F307B">
        <w:rPr>
          <w:rFonts w:ascii="Arial Narrow" w:hAnsi="Arial Narrow"/>
          <w:b/>
          <w:sz w:val="20"/>
          <w:szCs w:val="20"/>
        </w:rPr>
        <w:lastRenderedPageBreak/>
        <w:t>Grandfather treatment - Restriction Summary [new] / ToC: [new]</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randfather treatment - Restriction Summary [new] / ToC: [new]"/>
      </w:tblPr>
      <w:tblGrid>
        <w:gridCol w:w="9016"/>
      </w:tblGrid>
      <w:tr w:rsidR="00F7647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9016" w:type="dxa"/>
            <w:shd w:val="clear" w:color="auto" w:fill="auto"/>
          </w:tcPr>
          <w:p w:rsidR="00F76471" w:rsidRPr="007278E9" w:rsidRDefault="00F76471" w:rsidP="004914E3">
            <w:pPr>
              <w:pStyle w:val="Tabletext0"/>
              <w:rPr>
                <w:lang w:val="en-AU"/>
              </w:rPr>
            </w:pPr>
            <w:r w:rsidRPr="006F307B">
              <w:t xml:space="preserve">Category/Program: </w:t>
            </w:r>
            <w:r w:rsidRPr="006F307B">
              <w:rPr>
                <w:rFonts w:cstheme="minorHAnsi"/>
                <w:bCs/>
              </w:rPr>
              <w:t>Section 100 – Efficient Funding of Chemotherapy; Public/Private Hospital</w:t>
            </w:r>
          </w:p>
        </w:tc>
      </w:tr>
      <w:tr w:rsidR="00F76471" w:rsidRPr="006F307B" w:rsidTr="008E5D18">
        <w:trPr>
          <w:trHeight w:val="60"/>
        </w:trPr>
        <w:tc>
          <w:tcPr>
            <w:tcW w:w="9016" w:type="dxa"/>
            <w:shd w:val="clear" w:color="auto" w:fill="auto"/>
          </w:tcPr>
          <w:p w:rsidR="00F76471" w:rsidRPr="007278E9" w:rsidRDefault="00F76471" w:rsidP="004914E3">
            <w:pPr>
              <w:pStyle w:val="Tabletext0"/>
              <w:rPr>
                <w:rFonts w:cstheme="minorHAnsi"/>
                <w:lang w:val="en-AU"/>
              </w:rPr>
            </w:pPr>
            <w:r w:rsidRPr="006F307B">
              <w:rPr>
                <w:rFonts w:cstheme="minorHAnsi"/>
              </w:rPr>
              <w:t>Prescriber type:</w:t>
            </w:r>
          </w:p>
          <w:p w:rsidR="00F76471" w:rsidRPr="007278E9" w:rsidRDefault="00F76471" w:rsidP="004914E3">
            <w:pPr>
              <w:pStyle w:val="Tabletext0"/>
              <w:rPr>
                <w:lang w:val="en-AU"/>
              </w:rPr>
            </w:pPr>
            <w:r w:rsidRPr="007278E9">
              <w:rPr>
                <w:rFonts w:cstheme="minorHAnsi"/>
              </w:rPr>
              <w:fldChar w:fldCharType="begin">
                <w:ffData>
                  <w:name w:val="Check1"/>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Dental  </w:t>
            </w:r>
            <w:r w:rsidRPr="007278E9">
              <w:rPr>
                <w:rFonts w:cstheme="minorHAnsi"/>
              </w:rPr>
              <w:fldChar w:fldCharType="begin">
                <w:ffData>
                  <w:name w:val=""/>
                  <w:enabled/>
                  <w:calcOnExit w:val="0"/>
                  <w:checkBox>
                    <w:sizeAuto/>
                    <w:default w:val="1"/>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Medical Practitioners  </w:t>
            </w:r>
            <w:r w:rsidRPr="007278E9">
              <w:rPr>
                <w:rFonts w:cstheme="minorHAnsi"/>
              </w:rPr>
              <w:fldChar w:fldCharType="begin">
                <w:ffData>
                  <w:name w:val="Check3"/>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Nurse practitioners  </w:t>
            </w:r>
            <w:r w:rsidRPr="007278E9">
              <w:rPr>
                <w:rFonts w:cstheme="minorHAnsi"/>
              </w:rPr>
              <w:fldChar w:fldCharType="begin">
                <w:ffData>
                  <w:name w:val=""/>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Optometrists  </w:t>
            </w:r>
            <w:r w:rsidRPr="007278E9">
              <w:rPr>
                <w:rFonts w:cstheme="minorHAnsi"/>
              </w:rPr>
              <w:fldChar w:fldCharType="begin">
                <w:ffData>
                  <w:name w:val="Check5"/>
                  <w:enabled/>
                  <w:calcOnExit w:val="0"/>
                  <w:checkBox>
                    <w:sizeAuto/>
                    <w:default w:val="0"/>
                  </w:checkBox>
                </w:ffData>
              </w:fldChar>
            </w:r>
            <w:r w:rsidRPr="006F307B">
              <w:rPr>
                <w:rFonts w:cstheme="minorHAnsi"/>
              </w:rPr>
              <w:instrText xml:space="preserve"> FORMCHECKBOX </w:instrText>
            </w:r>
            <w:r w:rsidR="005C339B">
              <w:rPr>
                <w:rFonts w:cstheme="minorHAnsi"/>
              </w:rPr>
            </w:r>
            <w:r w:rsidR="005C339B">
              <w:rPr>
                <w:rFonts w:cstheme="minorHAnsi"/>
              </w:rPr>
              <w:fldChar w:fldCharType="separate"/>
            </w:r>
            <w:r w:rsidRPr="007278E9">
              <w:rPr>
                <w:rFonts w:cstheme="minorHAnsi"/>
              </w:rPr>
              <w:fldChar w:fldCharType="end"/>
            </w:r>
            <w:r w:rsidRPr="006F307B">
              <w:rPr>
                <w:rFonts w:cstheme="minorHAnsi"/>
              </w:rPr>
              <w:t xml:space="preserve"> Midwives</w:t>
            </w:r>
          </w:p>
        </w:tc>
      </w:tr>
      <w:tr w:rsidR="00F76471" w:rsidRPr="006F307B" w:rsidTr="008E5D18">
        <w:tc>
          <w:tcPr>
            <w:tcW w:w="9016" w:type="dxa"/>
            <w:shd w:val="clear" w:color="auto" w:fill="auto"/>
          </w:tcPr>
          <w:p w:rsidR="00F76471" w:rsidRPr="007278E9" w:rsidRDefault="00F76471" w:rsidP="004914E3">
            <w:pPr>
              <w:pStyle w:val="Tabletext0"/>
              <w:rPr>
                <w:lang w:val="en-AU" w:eastAsia="en-AU"/>
              </w:rPr>
            </w:pPr>
            <w:r w:rsidRPr="006F307B">
              <w:rPr>
                <w:lang w:eastAsia="en-AU"/>
              </w:rPr>
              <w:t>Restriction Level / Method:</w:t>
            </w:r>
          </w:p>
          <w:p w:rsidR="00F76471" w:rsidRPr="007278E9" w:rsidRDefault="00F76471" w:rsidP="004914E3">
            <w:pPr>
              <w:pStyle w:val="Tabletext0"/>
              <w:rPr>
                <w:lang w:val="en-AU"/>
              </w:rPr>
            </w:pPr>
            <w:r w:rsidRPr="007278E9">
              <w:rPr>
                <w:lang w:eastAsia="en-AU"/>
              </w:rPr>
              <w:fldChar w:fldCharType="begin">
                <w:ffData>
                  <w:name w:val=""/>
                  <w:enabled/>
                  <w:calcOnExit w:val="0"/>
                  <w:checkBox>
                    <w:sizeAuto/>
                    <w:default w:val="1"/>
                  </w:checkBox>
                </w:ffData>
              </w:fldChar>
            </w:r>
            <w:r w:rsidRPr="006F307B">
              <w:rPr>
                <w:lang w:eastAsia="en-AU"/>
              </w:rPr>
              <w:instrText xml:space="preserve"> FORMCHECKBOX </w:instrText>
            </w:r>
            <w:r w:rsidR="005C339B">
              <w:rPr>
                <w:lang w:eastAsia="en-AU"/>
              </w:rPr>
            </w:r>
            <w:r w:rsidR="005C339B">
              <w:rPr>
                <w:lang w:eastAsia="en-AU"/>
              </w:rPr>
              <w:fldChar w:fldCharType="separate"/>
            </w:r>
            <w:r w:rsidRPr="007278E9">
              <w:rPr>
                <w:lang w:eastAsia="en-AU"/>
              </w:rPr>
              <w:fldChar w:fldCharType="end"/>
            </w:r>
            <w:r w:rsidRPr="006F307B">
              <w:rPr>
                <w:lang w:eastAsia="en-AU"/>
              </w:rPr>
              <w:t>Streamlined</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Administrative Advice: No increase in the maximum quantity or number of units may be authorised.</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Administrative Advice: No increase in the maximum number of repeats may be authorised.</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rPr>
                <w:i/>
              </w:rPr>
              <w:t xml:space="preserve">Administrative Advice: </w:t>
            </w:r>
            <w:r w:rsidRPr="006F307B">
              <w:rPr>
                <w:rFonts w:cs="Open Sans"/>
                <w:i/>
              </w:rPr>
              <w:t>Special Pricing Arrangements apply.</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rPr>
                <w:rFonts w:cs="Arial"/>
                <w:i/>
              </w:rPr>
              <w:t>Administrative Advice: Patient should be treated with the recommended dose of pembrolizumab according to the TGA-approved Product Information</w:t>
            </w:r>
            <w:r w:rsidRPr="006F307B">
              <w:rPr>
                <w:rFonts w:ascii="Open Sans" w:hAnsi="Open Sans" w:cs="Open Sans"/>
                <w:sz w:val="21"/>
                <w:szCs w:val="21"/>
              </w:rPr>
              <w:t>.</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Severity:</w:t>
            </w:r>
            <w:r w:rsidRPr="006F307B">
              <w:rPr>
                <w:i/>
              </w:rPr>
              <w:t xml:space="preserve"> </w:t>
            </w:r>
            <w:r w:rsidRPr="006F307B">
              <w:t xml:space="preserve">Recurrent or metastatic </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Condition:</w:t>
            </w:r>
            <w:r w:rsidRPr="006F307B">
              <w:rPr>
                <w:i/>
              </w:rPr>
              <w:t xml:space="preserve"> </w:t>
            </w:r>
            <w:r w:rsidRPr="006F307B">
              <w:rPr>
                <w:strike/>
              </w:rPr>
              <w:t>Head and neck squamous cell carcinoma (HNSCC)</w:t>
            </w:r>
            <w:r w:rsidRPr="006F307B">
              <w:t xml:space="preserve"> </w:t>
            </w:r>
            <w:r w:rsidRPr="006F307B">
              <w:rPr>
                <w:i/>
              </w:rPr>
              <w:t>Squamous cell carcinoma of the oral cavity, pharynx or larynx</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 xml:space="preserve">Indication: Recurrent or metastatic squamous cell carcinoma of the oral cavity, pharynx or larynx </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 xml:space="preserve">Treatment Phase: Grandfather treatment </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Clinical criteria:</w:t>
            </w:r>
          </w:p>
        </w:tc>
      </w:tr>
      <w:tr w:rsidR="00F76471" w:rsidRPr="006F307B" w:rsidTr="008E5D18">
        <w:tc>
          <w:tcPr>
            <w:tcW w:w="9016" w:type="dxa"/>
            <w:shd w:val="clear" w:color="auto" w:fill="auto"/>
          </w:tcPr>
          <w:p w:rsidR="00F76471" w:rsidRPr="007278E9" w:rsidRDefault="00F76471" w:rsidP="004914E3">
            <w:pPr>
              <w:pStyle w:val="Tabletext0"/>
              <w:rPr>
                <w:rFonts w:eastAsia="Calibri" w:cs="Arial"/>
                <w:lang w:val="en-AU"/>
              </w:rPr>
            </w:pPr>
            <w:r w:rsidRPr="006F307B">
              <w:rPr>
                <w:rFonts w:eastAsia="Calibri" w:cs="Calibri"/>
              </w:rPr>
              <w:t xml:space="preserve">Patient must have </w:t>
            </w:r>
            <w:r w:rsidRPr="006F307B">
              <w:rPr>
                <w:rFonts w:eastAsia="Calibri" w:cs="Calibri"/>
                <w:i/>
              </w:rPr>
              <w:t xml:space="preserve">previously </w:t>
            </w:r>
            <w:r w:rsidRPr="006F307B">
              <w:rPr>
                <w:rFonts w:eastAsia="Calibri" w:cs="Calibri"/>
              </w:rPr>
              <w:t xml:space="preserve">received non-PBS </w:t>
            </w:r>
            <w:r w:rsidRPr="006F307B">
              <w:rPr>
                <w:rFonts w:eastAsia="Calibri" w:cs="Calibri"/>
                <w:i/>
              </w:rPr>
              <w:t xml:space="preserve">subsidised </w:t>
            </w:r>
            <w:r w:rsidRPr="006F307B">
              <w:rPr>
                <w:rFonts w:eastAsia="Calibri" w:cs="Calibri"/>
              </w:rPr>
              <w:t xml:space="preserve">treatment with this drug for this condition </w:t>
            </w:r>
            <w:r w:rsidRPr="006F307B">
              <w:rPr>
                <w:rFonts w:eastAsia="Calibri" w:cs="Calibri"/>
                <w:strike/>
              </w:rPr>
              <w:t>in</w:t>
            </w:r>
            <w:r w:rsidRPr="006F307B">
              <w:rPr>
                <w:rFonts w:eastAsia="Calibri" w:cs="Calibri"/>
              </w:rPr>
              <w:t xml:space="preserve"> </w:t>
            </w:r>
            <w:r w:rsidRPr="006F307B">
              <w:rPr>
                <w:rFonts w:eastAsia="Calibri" w:cs="Calibri"/>
                <w:strike/>
              </w:rPr>
              <w:t>the recurrent/metastatic setting</w:t>
            </w:r>
            <w:r w:rsidRPr="006F307B">
              <w:rPr>
                <w:rFonts w:eastAsia="Calibri" w:cs="Calibri"/>
              </w:rPr>
              <w:t xml:space="preserve"> prior to [listing date] </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AND</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Clinical criteria:</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strike/>
                <w:lang w:val="en-AU"/>
              </w:rPr>
            </w:pPr>
            <w:r w:rsidRPr="006F307B">
              <w:rPr>
                <w:rFonts w:eastAsia="Calibri" w:cs="Calibri"/>
                <w:strike/>
              </w:rPr>
              <w:t xml:space="preserve">Patient must not have received prior PBS-subsidised treatment with a programmed cell death-1 (PD-1) inhibitor </w:t>
            </w:r>
            <w:r w:rsidRPr="006F307B">
              <w:rPr>
                <w:rFonts w:cs="Open Sans"/>
                <w:strike/>
              </w:rPr>
              <w:t>or a programmed cell death ligand-1 (PD-L1) inhibitor</w:t>
            </w:r>
            <w:r w:rsidRPr="006F307B">
              <w:rPr>
                <w:rFonts w:ascii="Open Sans" w:hAnsi="Open Sans" w:cs="Open Sans"/>
                <w:strike/>
              </w:rPr>
              <w:t xml:space="preserve"> </w:t>
            </w:r>
            <w:r w:rsidRPr="006F307B">
              <w:rPr>
                <w:rFonts w:cs="Open Sans"/>
                <w:strike/>
              </w:rPr>
              <w:t xml:space="preserve">for this condition </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i/>
                <w:lang w:val="en-AU"/>
              </w:rPr>
            </w:pPr>
            <w:r w:rsidRPr="006F307B">
              <w:rPr>
                <w:rFonts w:eastAsia="Calibri" w:cs="Calibri"/>
                <w:i/>
              </w:rPr>
              <w:t xml:space="preserve">AND </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i/>
                <w:lang w:val="en-AU"/>
              </w:rPr>
            </w:pPr>
            <w:r w:rsidRPr="006F307B">
              <w:rPr>
                <w:rFonts w:eastAsia="Calibri" w:cs="Calibri"/>
                <w:i/>
              </w:rPr>
              <w:t>Clinical criteria:</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strike/>
                <w:lang w:val="en-AU"/>
              </w:rPr>
            </w:pPr>
            <w:r w:rsidRPr="006F307B">
              <w:rPr>
                <w:rFonts w:cs="Open Sans"/>
                <w:i/>
              </w:rPr>
              <w:t xml:space="preserve">Patient must not have had systemic therapy for this condition in the recurrent or metastatic setting prior to initiating non PBS-subsidised treatment with this drug for this condition; </w:t>
            </w:r>
          </w:p>
          <w:p w:rsidR="00F76471" w:rsidRPr="007278E9" w:rsidRDefault="00F76471" w:rsidP="004914E3">
            <w:pPr>
              <w:pStyle w:val="Tabletext0"/>
              <w:rPr>
                <w:rFonts w:eastAsia="Calibri" w:cs="Calibri"/>
                <w:i/>
                <w:lang w:val="en-AU"/>
              </w:rPr>
            </w:pPr>
            <w:r w:rsidRPr="006F307B">
              <w:rPr>
                <w:rFonts w:cs="Open Sans"/>
                <w:i/>
              </w:rPr>
              <w:t>AND</w:t>
            </w:r>
          </w:p>
        </w:tc>
      </w:tr>
      <w:tr w:rsidR="00F76471" w:rsidRPr="006F307B" w:rsidTr="008E5D18">
        <w:tc>
          <w:tcPr>
            <w:tcW w:w="9016" w:type="dxa"/>
            <w:shd w:val="clear" w:color="auto" w:fill="auto"/>
          </w:tcPr>
          <w:p w:rsidR="00F76471" w:rsidRPr="007278E9" w:rsidRDefault="00F76471" w:rsidP="004914E3">
            <w:pPr>
              <w:pStyle w:val="Tabletext0"/>
              <w:rPr>
                <w:rFonts w:cs="Open Sans"/>
                <w:i/>
                <w:lang w:val="en-AU"/>
              </w:rPr>
            </w:pPr>
            <w:r w:rsidRPr="006F307B">
              <w:rPr>
                <w:rFonts w:eastAsia="Calibri" w:cs="Calibri"/>
                <w:i/>
              </w:rPr>
              <w:t>Patient must not have experienced disease recurrence within 6 months of completion of systemic therapy if treated in the locally advanced setting prior to non-PBS subsidised treatment with this drug for this condition</w:t>
            </w:r>
          </w:p>
        </w:tc>
      </w:tr>
      <w:tr w:rsidR="00F76471" w:rsidRPr="006F307B" w:rsidTr="008E5D18">
        <w:tc>
          <w:tcPr>
            <w:tcW w:w="9016" w:type="dxa"/>
            <w:shd w:val="clear" w:color="auto" w:fill="auto"/>
          </w:tcPr>
          <w:p w:rsidR="00F76471" w:rsidRPr="007278E9" w:rsidRDefault="00F76471" w:rsidP="004914E3">
            <w:pPr>
              <w:pStyle w:val="Tabletext0"/>
              <w:rPr>
                <w:i/>
                <w:lang w:val="en-AU"/>
              </w:rPr>
            </w:pPr>
            <w:r w:rsidRPr="006F307B">
              <w:rPr>
                <w:i/>
              </w:rPr>
              <w:t>AND</w:t>
            </w:r>
          </w:p>
        </w:tc>
      </w:tr>
      <w:tr w:rsidR="00F76471" w:rsidRPr="006F307B" w:rsidTr="008E5D18">
        <w:tc>
          <w:tcPr>
            <w:tcW w:w="9016" w:type="dxa"/>
            <w:shd w:val="clear" w:color="auto" w:fill="auto"/>
          </w:tcPr>
          <w:p w:rsidR="00F76471" w:rsidRPr="007278E9" w:rsidRDefault="00F76471" w:rsidP="004914E3">
            <w:pPr>
              <w:pStyle w:val="Tabletext0"/>
              <w:rPr>
                <w:i/>
                <w:lang w:val="en-AU"/>
              </w:rPr>
            </w:pPr>
            <w:r w:rsidRPr="006F307B">
              <w:rPr>
                <w:i/>
              </w:rPr>
              <w:t>Clinical criteria:</w:t>
            </w:r>
          </w:p>
        </w:tc>
      </w:tr>
      <w:tr w:rsidR="00F76471" w:rsidRPr="006F307B" w:rsidTr="008E5D18">
        <w:trPr>
          <w:trHeight w:val="413"/>
        </w:trPr>
        <w:tc>
          <w:tcPr>
            <w:tcW w:w="9016" w:type="dxa"/>
            <w:shd w:val="clear" w:color="auto" w:fill="auto"/>
          </w:tcPr>
          <w:p w:rsidR="00F76471" w:rsidRPr="007278E9" w:rsidRDefault="00F76471" w:rsidP="004914E3">
            <w:pPr>
              <w:pStyle w:val="Tabletext0"/>
              <w:rPr>
                <w:rFonts w:eastAsia="Calibri" w:cs="Calibri"/>
                <w:i/>
                <w:lang w:val="en-AU"/>
              </w:rPr>
            </w:pPr>
            <w:r w:rsidRPr="006F307B">
              <w:rPr>
                <w:rFonts w:eastAsia="Calibri" w:cs="Calibri"/>
                <w:i/>
              </w:rPr>
              <w:t>The treatment must be administered as a single agent (monotherapy); or</w:t>
            </w:r>
          </w:p>
          <w:p w:rsidR="00F76471" w:rsidRPr="007278E9" w:rsidRDefault="00F76471" w:rsidP="004914E3">
            <w:pPr>
              <w:pStyle w:val="Tabletext0"/>
              <w:rPr>
                <w:rFonts w:eastAsia="Calibri" w:cs="Calibri"/>
                <w:i/>
                <w:lang w:val="en-AU"/>
              </w:rPr>
            </w:pPr>
            <w:r w:rsidRPr="006F307B">
              <w:rPr>
                <w:rFonts w:eastAsia="Calibri" w:cs="Calibri"/>
                <w:i/>
              </w:rPr>
              <w:t>The treatment must be commenced in combination with platinum-based chemotherapy</w:t>
            </w:r>
          </w:p>
        </w:tc>
      </w:tr>
      <w:tr w:rsidR="00F76471" w:rsidRPr="006F307B" w:rsidTr="008E5D18">
        <w:tc>
          <w:tcPr>
            <w:tcW w:w="9016" w:type="dxa"/>
            <w:shd w:val="clear" w:color="auto" w:fill="auto"/>
          </w:tcPr>
          <w:p w:rsidR="00F76471" w:rsidRPr="007278E9" w:rsidRDefault="00F76471" w:rsidP="004914E3">
            <w:pPr>
              <w:pStyle w:val="Tabletext0"/>
              <w:rPr>
                <w:i/>
                <w:lang w:val="en-AU"/>
              </w:rPr>
            </w:pPr>
            <w:r w:rsidRPr="006F307B">
              <w:rPr>
                <w:i/>
              </w:rPr>
              <w:t>AND</w:t>
            </w:r>
          </w:p>
        </w:tc>
      </w:tr>
      <w:tr w:rsidR="00F76471" w:rsidRPr="006F307B" w:rsidTr="008E5D18">
        <w:trPr>
          <w:trHeight w:val="138"/>
        </w:trPr>
        <w:tc>
          <w:tcPr>
            <w:tcW w:w="9016" w:type="dxa"/>
            <w:shd w:val="clear" w:color="auto" w:fill="auto"/>
          </w:tcPr>
          <w:p w:rsidR="00F76471" w:rsidRPr="007278E9" w:rsidRDefault="00F76471" w:rsidP="004914E3">
            <w:pPr>
              <w:pStyle w:val="Tabletext0"/>
              <w:rPr>
                <w:i/>
                <w:lang w:val="en-AU"/>
              </w:rPr>
            </w:pPr>
            <w:r w:rsidRPr="006F307B">
              <w:rPr>
                <w:i/>
              </w:rPr>
              <w:t>Clinical criteria:</w:t>
            </w:r>
          </w:p>
        </w:tc>
      </w:tr>
      <w:tr w:rsidR="00F76471" w:rsidRPr="006F307B" w:rsidTr="008E5D18">
        <w:trPr>
          <w:trHeight w:val="412"/>
        </w:trPr>
        <w:tc>
          <w:tcPr>
            <w:tcW w:w="9016" w:type="dxa"/>
            <w:shd w:val="clear" w:color="auto" w:fill="auto"/>
          </w:tcPr>
          <w:p w:rsidR="00F76471" w:rsidRPr="007278E9" w:rsidRDefault="00F76471" w:rsidP="004914E3">
            <w:pPr>
              <w:pStyle w:val="Tabletext0"/>
              <w:rPr>
                <w:rFonts w:eastAsia="Calibri" w:cs="Calibri"/>
                <w:i/>
                <w:lang w:val="en-AU"/>
              </w:rPr>
            </w:pPr>
            <w:r w:rsidRPr="006F307B">
              <w:rPr>
                <w:rFonts w:cs="Open Sans"/>
                <w:i/>
                <w:snapToGrid w:val="0"/>
              </w:rPr>
              <w:t>The condition must express programmed cell death ligand 1 (PD-L1) with a combined positive score (CPS) ≥1 in the tumour sample</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i/>
                <w:lang w:val="en-AU"/>
              </w:rPr>
            </w:pPr>
            <w:r w:rsidRPr="006F307B">
              <w:rPr>
                <w:rFonts w:eastAsia="Calibri" w:cs="Calibri"/>
                <w:i/>
              </w:rPr>
              <w:t>AND</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i/>
                <w:lang w:val="en-AU"/>
              </w:rPr>
            </w:pPr>
            <w:r w:rsidRPr="006F307B">
              <w:rPr>
                <w:i/>
              </w:rPr>
              <w:t>Clinical criteria:</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i/>
                <w:lang w:val="en-AU"/>
              </w:rPr>
            </w:pPr>
            <w:r w:rsidRPr="006F307B">
              <w:rPr>
                <w:rFonts w:eastAsia="Calibri" w:cs="Calibri"/>
                <w:i/>
              </w:rPr>
              <w:t>Patient must not have developed disease progression while being treated with this drug for this condition</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AND</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lang w:val="en-AU"/>
              </w:rPr>
            </w:pPr>
            <w:r w:rsidRPr="006F307B">
              <w:t>Clinical criteria:</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lang w:val="en-AU"/>
              </w:rPr>
            </w:pPr>
            <w:r w:rsidRPr="006F307B">
              <w:rPr>
                <w:rFonts w:eastAsia="Calibri" w:cs="Calibri"/>
              </w:rPr>
              <w:t>Patient must have had a WHO performance status of 0 or 1</w:t>
            </w:r>
            <w:r w:rsidRPr="006F307B">
              <w:rPr>
                <w:rFonts w:ascii="Open Sans" w:hAnsi="Open Sans" w:cs="Open Sans"/>
              </w:rPr>
              <w:t xml:space="preserve"> </w:t>
            </w:r>
            <w:r w:rsidRPr="006F307B">
              <w:rPr>
                <w:rFonts w:cs="Open Sans"/>
                <w:i/>
              </w:rPr>
              <w:t>prior to initiation of non-PBS-subsidised treatment with this drug for this condition</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strike/>
                <w:lang w:val="en-AU"/>
              </w:rPr>
            </w:pPr>
            <w:r w:rsidRPr="006F307B">
              <w:rPr>
                <w:strike/>
              </w:rPr>
              <w:t>AND</w:t>
            </w:r>
          </w:p>
        </w:tc>
      </w:tr>
      <w:tr w:rsidR="00F76471" w:rsidRPr="006F307B" w:rsidTr="008E5D18">
        <w:tc>
          <w:tcPr>
            <w:tcW w:w="9016" w:type="dxa"/>
            <w:shd w:val="clear" w:color="auto" w:fill="auto"/>
          </w:tcPr>
          <w:p w:rsidR="00F76471" w:rsidRPr="007278E9" w:rsidRDefault="00F76471" w:rsidP="004914E3">
            <w:pPr>
              <w:pStyle w:val="Tabletext0"/>
              <w:rPr>
                <w:strike/>
                <w:lang w:val="en-AU"/>
              </w:rPr>
            </w:pPr>
            <w:r w:rsidRPr="006F307B">
              <w:rPr>
                <w:strike/>
              </w:rPr>
              <w:t>Clinical criteria:</w:t>
            </w:r>
          </w:p>
        </w:tc>
      </w:tr>
      <w:tr w:rsidR="00F76471" w:rsidRPr="006F307B" w:rsidTr="008E5D18">
        <w:tc>
          <w:tcPr>
            <w:tcW w:w="9016" w:type="dxa"/>
            <w:shd w:val="clear" w:color="auto" w:fill="auto"/>
          </w:tcPr>
          <w:p w:rsidR="00F76471" w:rsidRPr="007278E9" w:rsidRDefault="00F76471" w:rsidP="004914E3">
            <w:pPr>
              <w:pStyle w:val="Tabletext0"/>
              <w:rPr>
                <w:strike/>
                <w:lang w:val="en-AU"/>
              </w:rPr>
            </w:pPr>
            <w:r w:rsidRPr="006F307B">
              <w:rPr>
                <w:rFonts w:eastAsia="Calibri" w:cs="Calibri"/>
                <w:strike/>
              </w:rPr>
              <w:t>The patient must not have evidence of recurrence</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AND</w:t>
            </w:r>
          </w:p>
        </w:tc>
      </w:tr>
      <w:tr w:rsidR="00F76471" w:rsidRPr="006F307B" w:rsidTr="008E5D18">
        <w:tc>
          <w:tcPr>
            <w:tcW w:w="9016" w:type="dxa"/>
            <w:shd w:val="clear" w:color="auto" w:fill="auto"/>
          </w:tcPr>
          <w:p w:rsidR="00F76471" w:rsidRPr="007278E9" w:rsidRDefault="00F76471" w:rsidP="004914E3">
            <w:pPr>
              <w:pStyle w:val="Tabletext0"/>
              <w:rPr>
                <w:lang w:val="en-AU"/>
              </w:rPr>
            </w:pPr>
            <w:r w:rsidRPr="006F307B">
              <w:t>Clinical criteria:</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lang w:val="en-AU"/>
              </w:rPr>
            </w:pPr>
            <w:r w:rsidRPr="006F307B">
              <w:rPr>
                <w:rFonts w:eastAsia="Calibri" w:cs="Calibri"/>
              </w:rPr>
              <w:t xml:space="preserve">The treatment must not exceed a total of 35 cycles </w:t>
            </w:r>
            <w:r w:rsidRPr="006F307B">
              <w:rPr>
                <w:rFonts w:eastAsia="Calibri" w:cs="Calibri"/>
                <w:i/>
              </w:rPr>
              <w:t>of combined</w:t>
            </w:r>
            <w:r w:rsidRPr="006F307B">
              <w:rPr>
                <w:rFonts w:eastAsia="Calibri" w:cs="Calibri"/>
              </w:rPr>
              <w:t xml:space="preserve"> </w:t>
            </w:r>
            <w:r w:rsidRPr="006F307B">
              <w:rPr>
                <w:rFonts w:eastAsia="Calibri" w:cs="Calibri"/>
                <w:i/>
              </w:rPr>
              <w:t>non-PBS subsidised and PBS-subsidised treatment under the grandfather and continuing treatment restrictions</w:t>
            </w:r>
            <w:r w:rsidRPr="006F307B">
              <w:rPr>
                <w:rFonts w:eastAsia="Calibri" w:cs="Calibri"/>
              </w:rPr>
              <w:t xml:space="preserve"> </w:t>
            </w:r>
            <w:r w:rsidRPr="006F307B">
              <w:rPr>
                <w:rFonts w:eastAsia="Calibri" w:cs="Calibri"/>
                <w:i/>
              </w:rPr>
              <w:t>in a lifetime</w:t>
            </w:r>
            <w:r w:rsidRPr="006F307B">
              <w:rPr>
                <w:rFonts w:eastAsia="Calibri" w:cs="Calibri"/>
              </w:rPr>
              <w:t xml:space="preserve"> </w:t>
            </w:r>
            <w:r w:rsidRPr="006F307B">
              <w:rPr>
                <w:rFonts w:eastAsia="Calibri" w:cs="Calibri"/>
                <w:strike/>
              </w:rPr>
              <w:t xml:space="preserve">or up to 24 months of treatment under this restriction </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lang w:val="en-AU"/>
              </w:rPr>
            </w:pPr>
            <w:r w:rsidRPr="006F307B">
              <w:rPr>
                <w:i/>
              </w:rPr>
              <w:lastRenderedPageBreak/>
              <w:t>Administrative Advice:</w:t>
            </w:r>
            <w:r w:rsidRPr="006F307B">
              <w:rPr>
                <w:i/>
              </w:rPr>
              <w:br/>
            </w:r>
            <w:r w:rsidRPr="006F307B">
              <w:rPr>
                <w:rFonts w:cs="Open Sans"/>
                <w:i/>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lang w:val="en-AU"/>
              </w:rPr>
            </w:pPr>
            <w:r w:rsidRPr="006F307B">
              <w:rPr>
                <w:rFonts w:eastAsia="Calibri" w:cs="Calibri"/>
              </w:rPr>
              <w:t xml:space="preserve">Administrative Advice: </w:t>
            </w:r>
          </w:p>
          <w:p w:rsidR="00F76471" w:rsidRPr="007278E9" w:rsidRDefault="00F76471" w:rsidP="004914E3">
            <w:pPr>
              <w:pStyle w:val="Tabletext0"/>
              <w:rPr>
                <w:rFonts w:eastAsia="Calibri" w:cs="Calibri"/>
                <w:sz w:val="18"/>
                <w:lang w:val="en-AU"/>
              </w:rPr>
            </w:pPr>
            <w:r w:rsidRPr="006F307B">
              <w:rPr>
                <w:rFonts w:eastAsia="Calibri" w:cs="Calibri"/>
              </w:rPr>
              <w:t>This grandfather restriction will cease to operate from 12 months after the date specified in the clinical criteria.</w:t>
            </w:r>
          </w:p>
        </w:tc>
      </w:tr>
      <w:tr w:rsidR="00F76471" w:rsidRPr="006F307B" w:rsidTr="008E5D18">
        <w:tc>
          <w:tcPr>
            <w:tcW w:w="9016" w:type="dxa"/>
            <w:shd w:val="clear" w:color="auto" w:fill="auto"/>
          </w:tcPr>
          <w:p w:rsidR="00F76471" w:rsidRPr="007278E9" w:rsidRDefault="00F76471" w:rsidP="004914E3">
            <w:pPr>
              <w:pStyle w:val="Tabletext0"/>
              <w:rPr>
                <w:rFonts w:eastAsia="Calibri" w:cs="Calibri"/>
                <w:lang w:val="en-AU"/>
              </w:rPr>
            </w:pPr>
            <w:r w:rsidRPr="006F307B">
              <w:rPr>
                <w:rFonts w:eastAsia="Calibri" w:cs="Calibri"/>
              </w:rPr>
              <w:t xml:space="preserve">Administrative Advice: </w:t>
            </w:r>
            <w:r w:rsidRPr="006F307B">
              <w:rPr>
                <w:rFonts w:eastAsia="Calibri" w:cs="Calibri"/>
              </w:rPr>
              <w:br/>
            </w:r>
            <w:r w:rsidRPr="006F307B">
              <w:rPr>
                <w:rFonts w:cs="Open Sans"/>
              </w:rPr>
              <w:t>A patient may only qualify for PBS-subsidised treatment under this restriction once.</w:t>
            </w:r>
          </w:p>
        </w:tc>
      </w:tr>
      <w:tr w:rsidR="00F76471" w:rsidRPr="006F307B" w:rsidTr="008E5D18">
        <w:tc>
          <w:tcPr>
            <w:tcW w:w="9016" w:type="dxa"/>
            <w:shd w:val="clear" w:color="auto" w:fill="auto"/>
          </w:tcPr>
          <w:p w:rsidR="00F76471" w:rsidRPr="007278E9" w:rsidRDefault="00F76471" w:rsidP="004914E3">
            <w:pPr>
              <w:pStyle w:val="Tabletext0"/>
              <w:rPr>
                <w:rFonts w:eastAsia="Calibri" w:cs="Arial"/>
                <w:lang w:val="en-AU"/>
              </w:rPr>
            </w:pPr>
            <w:r w:rsidRPr="006F307B">
              <w:rPr>
                <w:rFonts w:eastAsia="Calibri" w:cs="Arial"/>
              </w:rPr>
              <w:t xml:space="preserve">Administrative Advice: </w:t>
            </w:r>
            <w:r w:rsidRPr="006F307B">
              <w:rPr>
                <w:rFonts w:eastAsia="Calibri" w:cs="Arial"/>
              </w:rPr>
              <w:br/>
            </w:r>
            <w:r w:rsidRPr="006F307B">
              <w:rPr>
                <w:rFonts w:cs="Arial"/>
              </w:rPr>
              <w:t>Following completion of the initial PBS subsidised course, further applications for treatment will be assessed under the continuing treatment restriction.</w:t>
            </w:r>
          </w:p>
        </w:tc>
      </w:tr>
    </w:tbl>
    <w:p w:rsidR="00575AEF" w:rsidRPr="006F307B" w:rsidRDefault="009A7547" w:rsidP="009A7547">
      <w:pPr>
        <w:pStyle w:val="TableFooter"/>
      </w:pPr>
      <w:r w:rsidRPr="006F307B">
        <w:t>Source: p14-15 of the submission</w:t>
      </w:r>
    </w:p>
    <w:p w:rsidR="008D7BF5" w:rsidRPr="006F307B" w:rsidRDefault="004C4F46" w:rsidP="004C4F46">
      <w:pPr>
        <w:pStyle w:val="ListParagraph"/>
        <w:rPr>
          <w:color w:val="auto"/>
        </w:rPr>
      </w:pPr>
      <w:r w:rsidRPr="006F307B">
        <w:rPr>
          <w:color w:val="auto"/>
        </w:rPr>
        <w:t>The recommended dose of pembrolizumab is 200</w:t>
      </w:r>
      <w:r w:rsidR="00F76471" w:rsidRPr="006F307B">
        <w:rPr>
          <w:color w:val="auto"/>
        </w:rPr>
        <w:t> </w:t>
      </w:r>
      <w:r w:rsidRPr="006F307B">
        <w:rPr>
          <w:color w:val="auto"/>
        </w:rPr>
        <w:t>mg administered as an infusion over 30 minutes every 3 weeks, up to a maximum of 35 doses (</w:t>
      </w:r>
      <w:r w:rsidR="004A02B7" w:rsidRPr="006F307B">
        <w:rPr>
          <w:color w:val="auto"/>
        </w:rPr>
        <w:t xml:space="preserve">equivalent to </w:t>
      </w:r>
      <w:r w:rsidRPr="006F307B">
        <w:rPr>
          <w:color w:val="auto"/>
        </w:rPr>
        <w:t>2 years of</w:t>
      </w:r>
      <w:r w:rsidR="004A02B7" w:rsidRPr="006F307B">
        <w:rPr>
          <w:color w:val="auto"/>
        </w:rPr>
        <w:t xml:space="preserve"> continuous</w:t>
      </w:r>
      <w:r w:rsidRPr="006F307B">
        <w:rPr>
          <w:color w:val="auto"/>
        </w:rPr>
        <w:t xml:space="preserve"> treatment).</w:t>
      </w:r>
    </w:p>
    <w:p w:rsidR="004758E3" w:rsidRPr="006F307B" w:rsidRDefault="004C4F46" w:rsidP="00372A2C">
      <w:pPr>
        <w:pStyle w:val="ListParagraph"/>
        <w:rPr>
          <w:color w:val="auto"/>
        </w:rPr>
      </w:pPr>
      <w:r w:rsidRPr="006F307B">
        <w:rPr>
          <w:color w:val="auto"/>
        </w:rPr>
        <w:t>The submission proposed an effective price of $</w:t>
      </w:r>
      <w:r w:rsidR="00071965">
        <w:rPr>
          <w:noProof/>
          <w:color w:val="000000"/>
          <w:highlight w:val="black"/>
        </w:rPr>
        <w:t>''''''''''''''''</w:t>
      </w:r>
      <w:r w:rsidRPr="006F307B">
        <w:rPr>
          <w:color w:val="auto"/>
        </w:rPr>
        <w:t xml:space="preserve"> (public) and $</w:t>
      </w:r>
      <w:r w:rsidR="00071965">
        <w:rPr>
          <w:noProof/>
          <w:color w:val="000000"/>
          <w:highlight w:val="black"/>
        </w:rPr>
        <w:t>''''''''''''''''</w:t>
      </w:r>
      <w:r w:rsidRPr="006F307B">
        <w:rPr>
          <w:color w:val="auto"/>
        </w:rPr>
        <w:t xml:space="preserve"> (private) for 200</w:t>
      </w:r>
      <w:r w:rsidR="00F76471" w:rsidRPr="006F307B">
        <w:rPr>
          <w:color w:val="auto"/>
        </w:rPr>
        <w:t> </w:t>
      </w:r>
      <w:r w:rsidRPr="006F307B">
        <w:rPr>
          <w:color w:val="auto"/>
        </w:rPr>
        <w:t xml:space="preserve">mg of pembrolizumab. </w:t>
      </w:r>
      <w:r w:rsidR="00B40491" w:rsidRPr="006F307B">
        <w:rPr>
          <w:color w:val="auto"/>
        </w:rPr>
        <w:t>T</w:t>
      </w:r>
      <w:r w:rsidRPr="006F307B">
        <w:rPr>
          <w:color w:val="auto"/>
        </w:rPr>
        <w:t>he submission proposed two separate prices for pembrolizumab in the economic model depending on the regimen. The price applied for pembrolizumab monotherapy was $</w:t>
      </w:r>
      <w:r w:rsidR="00071965">
        <w:rPr>
          <w:noProof/>
          <w:color w:val="000000"/>
          <w:highlight w:val="black"/>
        </w:rPr>
        <w:t>'''''''''''''''''</w:t>
      </w:r>
      <w:r w:rsidRPr="006F307B">
        <w:rPr>
          <w:color w:val="auto"/>
        </w:rPr>
        <w:t xml:space="preserve"> and the price applied for pembrolizumab when used with chemotherapy was $</w:t>
      </w:r>
      <w:r w:rsidR="00071965">
        <w:rPr>
          <w:noProof/>
          <w:color w:val="000000"/>
          <w:highlight w:val="black"/>
        </w:rPr>
        <w:t>''''''''''''''''</w:t>
      </w:r>
      <w:r w:rsidRPr="006F307B">
        <w:rPr>
          <w:color w:val="auto"/>
        </w:rPr>
        <w:t xml:space="preserve">, assuming 38.7% public hospital use. </w:t>
      </w:r>
      <w:r w:rsidR="00DC462D" w:rsidRPr="006F307B">
        <w:rPr>
          <w:color w:val="auto"/>
        </w:rPr>
        <w:t xml:space="preserve">In the </w:t>
      </w:r>
      <w:r w:rsidR="005C339B">
        <w:t>Pre-Sub-Committee Response</w:t>
      </w:r>
      <w:r w:rsidR="005C339B" w:rsidRPr="006F307B">
        <w:rPr>
          <w:color w:val="auto"/>
        </w:rPr>
        <w:t xml:space="preserve"> </w:t>
      </w:r>
      <w:r w:rsidR="005C339B">
        <w:rPr>
          <w:color w:val="auto"/>
        </w:rPr>
        <w:t>(</w:t>
      </w:r>
      <w:r w:rsidR="00DC462D" w:rsidRPr="006F307B">
        <w:rPr>
          <w:color w:val="auto"/>
        </w:rPr>
        <w:t>PSCR</w:t>
      </w:r>
      <w:r w:rsidR="005C339B">
        <w:rPr>
          <w:color w:val="auto"/>
        </w:rPr>
        <w:t>)</w:t>
      </w:r>
      <w:r w:rsidR="00DA6CFB" w:rsidRPr="006F307B">
        <w:rPr>
          <w:color w:val="auto"/>
        </w:rPr>
        <w:t>,</w:t>
      </w:r>
      <w:r w:rsidR="00DC462D" w:rsidRPr="006F307B">
        <w:rPr>
          <w:color w:val="auto"/>
        </w:rPr>
        <w:t xml:space="preserve"> the sponsor clarified that the</w:t>
      </w:r>
      <w:r w:rsidR="00A35C65" w:rsidRPr="006F307B">
        <w:rPr>
          <w:color w:val="auto"/>
        </w:rPr>
        <w:t xml:space="preserve"> different prices were based on the different incremental costs and value pembrolizumab provides in each treatment setting and suggested a final weighted price across the population could be agreed for PBS listing.</w:t>
      </w:r>
      <w:r w:rsidRPr="006F307B">
        <w:rPr>
          <w:color w:val="auto"/>
        </w:rPr>
        <w:t xml:space="preserve"> </w:t>
      </w:r>
      <w:r w:rsidR="00A35C65" w:rsidRPr="006F307B">
        <w:rPr>
          <w:color w:val="auto"/>
        </w:rPr>
        <w:t>The submission requested a special pricing arrangement, with the proposed public price for pembrolizumab the same as for other listed indications</w:t>
      </w:r>
      <w:r w:rsidR="00DA6CFB" w:rsidRPr="006F307B">
        <w:rPr>
          <w:color w:val="auto"/>
        </w:rPr>
        <w:t xml:space="preserve"> (AEMP $4,237 per 100 mg vial).</w:t>
      </w:r>
    </w:p>
    <w:p w:rsidR="00EA33AD" w:rsidRPr="006F307B" w:rsidRDefault="00D9615B" w:rsidP="00AA1CEE">
      <w:pPr>
        <w:pStyle w:val="ListParagraph"/>
        <w:rPr>
          <w:color w:val="auto"/>
        </w:rPr>
      </w:pPr>
      <w:r w:rsidRPr="006F307B">
        <w:rPr>
          <w:color w:val="auto"/>
        </w:rPr>
        <w:t>The ESC</w:t>
      </w:r>
      <w:r w:rsidR="0021591C" w:rsidRPr="006F307B">
        <w:rPr>
          <w:color w:val="auto"/>
        </w:rPr>
        <w:t>s</w:t>
      </w:r>
      <w:r w:rsidRPr="006F307B">
        <w:rPr>
          <w:color w:val="auto"/>
        </w:rPr>
        <w:t xml:space="preserve"> noted that the proposed restriction for pembrolizumab in patients with tumours that express PD-L1 CPS</w:t>
      </w:r>
      <w:r w:rsidRPr="006F307B">
        <w:rPr>
          <w:rFonts w:cstheme="minorHAnsi"/>
          <w:color w:val="auto"/>
        </w:rPr>
        <w:t>≥</w:t>
      </w:r>
      <w:r w:rsidRPr="006F307B">
        <w:rPr>
          <w:color w:val="auto"/>
        </w:rPr>
        <w:t>1 was consistent with the approved TGA listing.</w:t>
      </w:r>
    </w:p>
    <w:p w:rsidR="00B446C2" w:rsidRPr="006F307B" w:rsidRDefault="00EA33AD" w:rsidP="00F86BC8">
      <w:pPr>
        <w:pStyle w:val="ListParagraph"/>
        <w:rPr>
          <w:color w:val="auto"/>
        </w:rPr>
      </w:pPr>
      <w:r w:rsidRPr="006F307B">
        <w:rPr>
          <w:color w:val="auto"/>
        </w:rPr>
        <w:t>T</w:t>
      </w:r>
      <w:r w:rsidR="00261CAA" w:rsidRPr="006F307B">
        <w:rPr>
          <w:color w:val="auto"/>
        </w:rPr>
        <w:t xml:space="preserve">he </w:t>
      </w:r>
      <w:r w:rsidR="003C787D">
        <w:rPr>
          <w:color w:val="auto"/>
        </w:rPr>
        <w:t>requested</w:t>
      </w:r>
      <w:r w:rsidR="00C52862" w:rsidRPr="006F307B">
        <w:rPr>
          <w:color w:val="auto"/>
        </w:rPr>
        <w:t xml:space="preserve"> PBS </w:t>
      </w:r>
      <w:r w:rsidR="003C787D">
        <w:rPr>
          <w:color w:val="auto"/>
        </w:rPr>
        <w:t>restriction</w:t>
      </w:r>
      <w:r w:rsidR="00330F14">
        <w:rPr>
          <w:color w:val="auto"/>
        </w:rPr>
        <w:t xml:space="preserve"> indication</w:t>
      </w:r>
      <w:r w:rsidR="00C52862" w:rsidRPr="006F307B">
        <w:rPr>
          <w:color w:val="auto"/>
        </w:rPr>
        <w:t xml:space="preserve"> was specific to</w:t>
      </w:r>
      <w:r w:rsidR="00E377AB" w:rsidRPr="006F307B">
        <w:rPr>
          <w:color w:val="auto"/>
        </w:rPr>
        <w:t xml:space="preserve"> R/M SCC of the oral cavity, pharynx and larynx, whereas the proposed TGA indication </w:t>
      </w:r>
      <w:r w:rsidR="00FF075C" w:rsidRPr="006F307B">
        <w:rPr>
          <w:color w:val="auto"/>
        </w:rPr>
        <w:t xml:space="preserve">was </w:t>
      </w:r>
      <w:r w:rsidR="00C52862" w:rsidRPr="006F307B">
        <w:rPr>
          <w:color w:val="auto"/>
        </w:rPr>
        <w:t>HNSCC</w:t>
      </w:r>
      <w:r w:rsidR="00FF075C" w:rsidRPr="006F307B">
        <w:rPr>
          <w:color w:val="auto"/>
        </w:rPr>
        <w:t xml:space="preserve">. </w:t>
      </w:r>
      <w:r w:rsidR="00F41175" w:rsidRPr="006F307B">
        <w:rPr>
          <w:color w:val="auto"/>
        </w:rPr>
        <w:t>Th</w:t>
      </w:r>
      <w:r w:rsidR="00F76471" w:rsidRPr="006F307B">
        <w:rPr>
          <w:color w:val="auto"/>
        </w:rPr>
        <w:t>e</w:t>
      </w:r>
      <w:r w:rsidR="00F41175" w:rsidRPr="006F307B">
        <w:rPr>
          <w:color w:val="auto"/>
        </w:rPr>
        <w:t xml:space="preserve"> </w:t>
      </w:r>
      <w:r w:rsidR="003C787D">
        <w:rPr>
          <w:color w:val="auto"/>
        </w:rPr>
        <w:t>requested restriction</w:t>
      </w:r>
      <w:r w:rsidR="00F41175" w:rsidRPr="006F307B">
        <w:rPr>
          <w:color w:val="auto"/>
        </w:rPr>
        <w:t xml:space="preserve"> </w:t>
      </w:r>
      <w:r w:rsidR="00330F14">
        <w:rPr>
          <w:color w:val="auto"/>
        </w:rPr>
        <w:t>indication</w:t>
      </w:r>
      <w:r w:rsidR="00F41175" w:rsidRPr="006F307B">
        <w:rPr>
          <w:color w:val="auto"/>
        </w:rPr>
        <w:t xml:space="preserve"> for pembrolizumab aligns with the 2L nivolumab listing. </w:t>
      </w:r>
      <w:r w:rsidR="00C92B69" w:rsidRPr="006F307B">
        <w:rPr>
          <w:color w:val="auto"/>
        </w:rPr>
        <w:t xml:space="preserve">It is unclear </w:t>
      </w:r>
      <w:r w:rsidR="00F76471" w:rsidRPr="006F307B">
        <w:rPr>
          <w:color w:val="auto"/>
        </w:rPr>
        <w:t>whether</w:t>
      </w:r>
      <w:r w:rsidR="00C92B69" w:rsidRPr="006F307B">
        <w:rPr>
          <w:color w:val="auto"/>
        </w:rPr>
        <w:t xml:space="preserve"> the </w:t>
      </w:r>
      <w:r w:rsidR="003C787D">
        <w:rPr>
          <w:color w:val="auto"/>
        </w:rPr>
        <w:t>requested restriction</w:t>
      </w:r>
      <w:r w:rsidR="00C92B69" w:rsidRPr="006F307B">
        <w:rPr>
          <w:color w:val="auto"/>
        </w:rPr>
        <w:t xml:space="preserve"> of ‘recurrent or metastatic squamous cell carcinoma of the oral cavity, pharynx or larynx’ is sufficient to exclude nasopharyngeal carcinomas as the nasopharynx is part of the pharynx. </w:t>
      </w:r>
      <w:r w:rsidR="004C4F46" w:rsidRPr="006F307B">
        <w:rPr>
          <w:color w:val="auto"/>
        </w:rPr>
        <w:t xml:space="preserve">The submission noted that while Keynote-048 (KN048; the pembrolizumab trial presented in the submission) excluded patients with cancer of the nasopharynx, the requested PBS restriction </w:t>
      </w:r>
      <w:r w:rsidR="00F41175" w:rsidRPr="006F307B">
        <w:rPr>
          <w:color w:val="auto"/>
        </w:rPr>
        <w:t xml:space="preserve">may </w:t>
      </w:r>
      <w:r w:rsidR="004C4F46" w:rsidRPr="006F307B">
        <w:rPr>
          <w:color w:val="auto"/>
        </w:rPr>
        <w:t xml:space="preserve">not exclude treatment in these patients. </w:t>
      </w:r>
      <w:r w:rsidR="00C92B69" w:rsidRPr="006F307B">
        <w:rPr>
          <w:color w:val="auto"/>
        </w:rPr>
        <w:t>The submission argued that clinicians are unlikely to treat patients with nasopharyngeal SCC with pembrolizumab due to its distinct</w:t>
      </w:r>
      <w:r w:rsidR="003C787D">
        <w:rPr>
          <w:color w:val="auto"/>
        </w:rPr>
        <w:t xml:space="preserve"> disease aetiology.</w:t>
      </w:r>
    </w:p>
    <w:p w:rsidR="005D25B9" w:rsidRPr="006F307B" w:rsidRDefault="004C4F46" w:rsidP="005D25B9">
      <w:pPr>
        <w:pStyle w:val="ListParagraph"/>
        <w:rPr>
          <w:color w:val="auto"/>
        </w:rPr>
      </w:pPr>
      <w:r w:rsidRPr="006F307B">
        <w:t xml:space="preserve">The maximum duration of treatment of 35 cycles/24 months was consistent with the maximum duration of treatment in KN048. </w:t>
      </w:r>
      <w:r w:rsidR="00EA33AD" w:rsidRPr="006F307B">
        <w:t xml:space="preserve">The PBAC </w:t>
      </w:r>
      <w:r w:rsidR="009C07AA" w:rsidRPr="006F307B">
        <w:t xml:space="preserve">considered the </w:t>
      </w:r>
      <w:r w:rsidR="00EA33AD" w:rsidRPr="006F307B">
        <w:t xml:space="preserve">restriction wording </w:t>
      </w:r>
      <w:r w:rsidR="009C07AA" w:rsidRPr="006F307B">
        <w:t xml:space="preserve">should </w:t>
      </w:r>
      <w:r w:rsidR="00EA33AD" w:rsidRPr="006F307B">
        <w:t xml:space="preserve">reflect the fact that treatment with pembrolizumab must not exceed </w:t>
      </w:r>
      <w:r w:rsidR="00EA33AD" w:rsidRPr="006F307B">
        <w:lastRenderedPageBreak/>
        <w:t>a total of 35 cycles in a lifetime (</w:t>
      </w:r>
      <w:r w:rsidR="009C07AA" w:rsidRPr="006F307B">
        <w:t>including use under initial, grandfather and continuing listings</w:t>
      </w:r>
      <w:r w:rsidR="00EA33AD" w:rsidRPr="006F307B">
        <w:t>).</w:t>
      </w:r>
    </w:p>
    <w:p w:rsidR="005D25B9" w:rsidRPr="006F307B" w:rsidRDefault="005D25B9" w:rsidP="005D25B9">
      <w:pPr>
        <w:pStyle w:val="ListParagraph"/>
        <w:rPr>
          <w:color w:val="auto"/>
        </w:rPr>
      </w:pPr>
      <w:r w:rsidRPr="007278E9">
        <w:t>Patients included in the pivotal trial (KN048) did not have prior systemic therapy administered in the recurrent or metastatic setting. Prior systemic therapy, given as part of combination therapy for locally advanced disease, was allowed where the treatment was completed more than 6 months prior to signing consent. The requested clinical criteria did not align with these inclusion criteria and changes were proposed to more closely reflect the prior treatments of patients included in the trial.</w:t>
      </w:r>
    </w:p>
    <w:p w:rsidR="005D25B9" w:rsidRPr="006F307B" w:rsidRDefault="005D25B9" w:rsidP="005D25B9">
      <w:pPr>
        <w:pStyle w:val="ListParagraph"/>
        <w:rPr>
          <w:color w:val="auto"/>
        </w:rPr>
      </w:pPr>
      <w:r w:rsidRPr="007278E9">
        <w:rPr>
          <w:rFonts w:cs="Calibri"/>
          <w:iCs/>
        </w:rPr>
        <w:t xml:space="preserve">Given that the requested listing specified that patients must express PD-L1 CPS </w:t>
      </w:r>
      <w:r w:rsidRPr="006F307B">
        <w:rPr>
          <w:rFonts w:cs="Calibri"/>
        </w:rPr>
        <w:t>≥</w:t>
      </w:r>
      <w:r w:rsidRPr="006F307B">
        <w:t>1 for either monotherapy or combination therapy, the Secretariat proposed the addition of a new, separate clinical criterion</w:t>
      </w:r>
      <w:r w:rsidR="009C07AA" w:rsidRPr="006F307B">
        <w:t xml:space="preserve"> to reflect this requirement</w:t>
      </w:r>
      <w:r w:rsidRPr="006F307B">
        <w:t>.</w:t>
      </w:r>
    </w:p>
    <w:p w:rsidR="005D25B9" w:rsidRPr="00B74405" w:rsidRDefault="005D25B9" w:rsidP="005D25B9">
      <w:pPr>
        <w:pStyle w:val="ListParagraph"/>
        <w:rPr>
          <w:color w:val="auto"/>
        </w:rPr>
      </w:pPr>
      <w:r w:rsidRPr="007278E9">
        <w:t xml:space="preserve">The Secretariat modified the proposed restriction for grandfather treatment so that the wording used aligns with the pembrolizumab (NSCLC) grandfather listing. </w:t>
      </w:r>
      <w:r w:rsidRPr="006F307B">
        <w:t>Additionally, the Secretariat modified the wording of this restriction to align with requirements for initial treatment (such as prior treatments and PD-L1 CPS ≥1).</w:t>
      </w:r>
    </w:p>
    <w:p w:rsidR="00364B9D" w:rsidRPr="006F307B" w:rsidRDefault="00364B9D" w:rsidP="00364B9D">
      <w:pPr>
        <w:pStyle w:val="ListParagraph"/>
        <w:numPr>
          <w:ilvl w:val="0"/>
          <w:numId w:val="0"/>
        </w:numPr>
        <w:ind w:left="720"/>
        <w:rPr>
          <w:color w:val="auto"/>
        </w:rPr>
      </w:pPr>
      <w:r w:rsidRPr="006F307B">
        <w:rPr>
          <w:i/>
        </w:rPr>
        <w:t>For more detail on PBAC’s view, see section 7 PBAC outcome.</w:t>
      </w:r>
    </w:p>
    <w:p w:rsidR="009C4F22" w:rsidRPr="006F307B" w:rsidRDefault="009C4F22" w:rsidP="00C339CC">
      <w:pPr>
        <w:pStyle w:val="PBACESHeading1"/>
      </w:pPr>
      <w:bookmarkStart w:id="7" w:name="_Toc487029150"/>
      <w:bookmarkStart w:id="8" w:name="_Toc51080579"/>
      <w:bookmarkEnd w:id="6"/>
      <w:r w:rsidRPr="006F307B">
        <w:t>Background</w:t>
      </w:r>
      <w:bookmarkEnd w:id="7"/>
      <w:bookmarkEnd w:id="8"/>
    </w:p>
    <w:p w:rsidR="009C4F22" w:rsidRPr="006F307B" w:rsidRDefault="008D7BF5" w:rsidP="00485F65">
      <w:pPr>
        <w:pStyle w:val="PBACESHeading2"/>
        <w:spacing w:before="240"/>
        <w:rPr>
          <w:rFonts w:asciiTheme="minorHAnsi" w:hAnsiTheme="minorHAnsi" w:cstheme="minorHAnsi"/>
        </w:rPr>
      </w:pPr>
      <w:bookmarkStart w:id="9" w:name="_Toc51080580"/>
      <w:r w:rsidRPr="006F307B">
        <w:rPr>
          <w:rFonts w:asciiTheme="minorHAnsi" w:hAnsiTheme="minorHAnsi" w:cstheme="minorHAnsi"/>
        </w:rPr>
        <w:t xml:space="preserve">Registration </w:t>
      </w:r>
      <w:r w:rsidR="00854EF0" w:rsidRPr="006F307B">
        <w:rPr>
          <w:rFonts w:asciiTheme="minorHAnsi" w:hAnsiTheme="minorHAnsi" w:cstheme="minorHAnsi"/>
        </w:rPr>
        <w:t>st</w:t>
      </w:r>
      <w:r w:rsidRPr="006F307B">
        <w:rPr>
          <w:rFonts w:asciiTheme="minorHAnsi" w:hAnsiTheme="minorHAnsi" w:cstheme="minorHAnsi"/>
        </w:rPr>
        <w:t>atus</w:t>
      </w:r>
      <w:bookmarkEnd w:id="9"/>
    </w:p>
    <w:p w:rsidR="005B61EA" w:rsidRPr="006F307B" w:rsidRDefault="004C4F46" w:rsidP="00C339CC">
      <w:pPr>
        <w:pStyle w:val="ListParagraph"/>
        <w:rPr>
          <w:color w:val="auto"/>
        </w:rPr>
      </w:pPr>
      <w:r w:rsidRPr="006F307B">
        <w:t xml:space="preserve">The submission was made under TGA/PBAC Parallel Process. At the time of evaluation the CER (stage I) was </w:t>
      </w:r>
      <w:r w:rsidRPr="006F307B">
        <w:rPr>
          <w:color w:val="auto"/>
        </w:rPr>
        <w:t>available.</w:t>
      </w:r>
      <w:r w:rsidR="00EA33AD" w:rsidRPr="006F307B">
        <w:rPr>
          <w:color w:val="auto"/>
        </w:rPr>
        <w:t xml:space="preserve"> At the time of </w:t>
      </w:r>
      <w:r w:rsidR="006D2604" w:rsidRPr="006F307B">
        <w:rPr>
          <w:color w:val="auto"/>
        </w:rPr>
        <w:t xml:space="preserve">PBAC </w:t>
      </w:r>
      <w:r w:rsidR="00EA33AD" w:rsidRPr="006F307B">
        <w:rPr>
          <w:color w:val="auto"/>
        </w:rPr>
        <w:t>consideration</w:t>
      </w:r>
      <w:r w:rsidR="00195670" w:rsidRPr="006F307B">
        <w:rPr>
          <w:color w:val="auto"/>
        </w:rPr>
        <w:t>,</w:t>
      </w:r>
      <w:r w:rsidR="00EA33AD" w:rsidRPr="006F307B">
        <w:rPr>
          <w:color w:val="auto"/>
        </w:rPr>
        <w:t xml:space="preserve"> the delegate’s overview and approved PI were available.</w:t>
      </w:r>
    </w:p>
    <w:p w:rsidR="003C787D" w:rsidRPr="006F307B" w:rsidRDefault="003C787D" w:rsidP="003C787D">
      <w:pPr>
        <w:pStyle w:val="ListParagraph"/>
      </w:pPr>
      <w:r w:rsidRPr="006F307B">
        <w:t xml:space="preserve">The ESCs noted that the PSCR stated that subsequent to the CER, the TGA delegate and the sponsor agreed on the </w:t>
      </w:r>
      <w:r w:rsidRPr="00B74405">
        <w:t xml:space="preserve">below </w:t>
      </w:r>
      <w:r w:rsidRPr="006F307B">
        <w:t>indication:</w:t>
      </w:r>
    </w:p>
    <w:p w:rsidR="003C787D" w:rsidRPr="007278E9" w:rsidRDefault="003C787D" w:rsidP="003C787D">
      <w:pPr>
        <w:pStyle w:val="ListParagraph"/>
        <w:numPr>
          <w:ilvl w:val="0"/>
          <w:numId w:val="15"/>
        </w:numPr>
        <w:ind w:left="1134" w:hanging="425"/>
      </w:pPr>
      <w:r w:rsidRPr="007278E9">
        <w:t>Pembrolizumab, as monotherapy or in combination with platinum and 5-fluorouracil (5-FU) chemotherapy, is indicated for the first-line treatment of patients with metastatic or unresectable recurrent HNSCC, and whose tumours express PD-L1 [Combined Positive Score (CPS) ≥1] as determined by a validated test.</w:t>
      </w:r>
    </w:p>
    <w:p w:rsidR="005B61EA" w:rsidRPr="006F307B" w:rsidRDefault="004C46AE" w:rsidP="00C339CC">
      <w:pPr>
        <w:pStyle w:val="ListParagraph"/>
        <w:rPr>
          <w:color w:val="auto"/>
        </w:rPr>
      </w:pPr>
      <w:r w:rsidRPr="003C787D">
        <w:t>Pembrolizumab</w:t>
      </w:r>
      <w:r w:rsidR="004C4F46" w:rsidRPr="006F307B">
        <w:rPr>
          <w:color w:val="auto"/>
        </w:rPr>
        <w:t xml:space="preserve"> is TGA approved for a number of indications including for </w:t>
      </w:r>
      <w:r w:rsidR="00026F98" w:rsidRPr="006F307B">
        <w:rPr>
          <w:color w:val="auto"/>
        </w:rPr>
        <w:t>non-small</w:t>
      </w:r>
      <w:r w:rsidR="004C4F46" w:rsidRPr="006F307B">
        <w:rPr>
          <w:color w:val="auto"/>
        </w:rPr>
        <w:t xml:space="preserve"> cell lung cancer (NSCLC), melanoma, Hodgkin lymphoma, urothelial cancer, primary mediastinal B-cell lymphoma and microsatellite instability-high (MSI-H) or mismatch r</w:t>
      </w:r>
      <w:r w:rsidR="003C787D">
        <w:rPr>
          <w:color w:val="auto"/>
        </w:rPr>
        <w:t>epair deficient (dMMR) cancers.</w:t>
      </w:r>
    </w:p>
    <w:p w:rsidR="001916C0" w:rsidRPr="006F307B" w:rsidRDefault="001916C0" w:rsidP="00485F65">
      <w:pPr>
        <w:pStyle w:val="PBACESHeading2"/>
        <w:spacing w:before="240"/>
        <w:rPr>
          <w:rFonts w:asciiTheme="minorHAnsi" w:hAnsiTheme="minorHAnsi" w:cstheme="minorHAnsi"/>
        </w:rPr>
      </w:pPr>
      <w:bookmarkStart w:id="10" w:name="_Toc492317094"/>
      <w:bookmarkStart w:id="11" w:name="_Toc51080581"/>
      <w:r w:rsidRPr="006F307B">
        <w:rPr>
          <w:rFonts w:asciiTheme="minorHAnsi" w:hAnsiTheme="minorHAnsi" w:cstheme="minorHAnsi"/>
        </w:rPr>
        <w:t>Previous PBAC consideration</w:t>
      </w:r>
      <w:bookmarkEnd w:id="10"/>
      <w:bookmarkEnd w:id="11"/>
    </w:p>
    <w:p w:rsidR="00EA33AD" w:rsidRPr="006F307B" w:rsidRDefault="004C4F46" w:rsidP="00F86BC8">
      <w:pPr>
        <w:pStyle w:val="ListParagraph"/>
        <w:rPr>
          <w:color w:val="auto"/>
        </w:rPr>
      </w:pPr>
      <w:r w:rsidRPr="006F307B">
        <w:rPr>
          <w:color w:val="auto"/>
        </w:rPr>
        <w:t>The PBAC has not previously considered pembrolizumab for R/M HNSCC.</w:t>
      </w:r>
    </w:p>
    <w:p w:rsidR="00364B9D" w:rsidRPr="006F307B" w:rsidRDefault="00364B9D" w:rsidP="00364B9D">
      <w:pPr>
        <w:pStyle w:val="ListParagraph"/>
        <w:numPr>
          <w:ilvl w:val="0"/>
          <w:numId w:val="0"/>
        </w:numPr>
        <w:ind w:left="720"/>
        <w:rPr>
          <w:color w:val="auto"/>
        </w:rPr>
      </w:pPr>
      <w:r w:rsidRPr="00B74405">
        <w:rPr>
          <w:i/>
        </w:rPr>
        <w:t>For more detail on PBAC’s view, see section 7 PBAC outcome.</w:t>
      </w:r>
    </w:p>
    <w:p w:rsidR="008D7BF5" w:rsidRPr="006F307B" w:rsidRDefault="008D7BF5" w:rsidP="00B05E21">
      <w:pPr>
        <w:pStyle w:val="PBACESHeading1"/>
      </w:pPr>
      <w:bookmarkStart w:id="12" w:name="_Toc476306884"/>
      <w:bookmarkStart w:id="13" w:name="_Toc51080582"/>
      <w:bookmarkStart w:id="14" w:name="_Toc413139275"/>
      <w:r w:rsidRPr="006F307B">
        <w:lastRenderedPageBreak/>
        <w:t>Population and disease</w:t>
      </w:r>
      <w:bookmarkEnd w:id="12"/>
      <w:bookmarkEnd w:id="13"/>
    </w:p>
    <w:p w:rsidR="008D7BF5" w:rsidRPr="006F307B" w:rsidRDefault="004C4F46" w:rsidP="00D61FBC">
      <w:pPr>
        <w:pStyle w:val="ListParagraph"/>
      </w:pPr>
      <w:r w:rsidRPr="006F307B">
        <w:rPr>
          <w:rStyle w:val="InstructionalTextChar"/>
          <w:color w:val="auto"/>
        </w:rPr>
        <w:t>The target population was patients with R/M HNSCC</w:t>
      </w:r>
      <w:r w:rsidR="00D61FBC" w:rsidRPr="006F307B">
        <w:rPr>
          <w:rStyle w:val="InstructionalTextChar"/>
          <w:color w:val="auto"/>
        </w:rPr>
        <w:t xml:space="preserve"> </w:t>
      </w:r>
      <w:r w:rsidR="00A835B4" w:rsidRPr="006F307B">
        <w:rPr>
          <w:rStyle w:val="InstructionalTextChar"/>
          <w:color w:val="auto"/>
        </w:rPr>
        <w:t>of</w:t>
      </w:r>
      <w:r w:rsidR="00D61FBC" w:rsidRPr="006F307B">
        <w:rPr>
          <w:rStyle w:val="InstructionalTextChar"/>
          <w:color w:val="auto"/>
        </w:rPr>
        <w:t xml:space="preserve"> </w:t>
      </w:r>
      <w:r w:rsidRPr="006F307B">
        <w:rPr>
          <w:rStyle w:val="InstructionalTextChar"/>
          <w:color w:val="auto"/>
        </w:rPr>
        <w:t xml:space="preserve">the oral cavity, pharynx, </w:t>
      </w:r>
      <w:r w:rsidR="00D61FBC" w:rsidRPr="006F307B">
        <w:rPr>
          <w:rStyle w:val="InstructionalTextChar"/>
          <w:color w:val="auto"/>
        </w:rPr>
        <w:t xml:space="preserve">and </w:t>
      </w:r>
      <w:r w:rsidRPr="006F307B">
        <w:rPr>
          <w:rStyle w:val="InstructionalTextChar"/>
          <w:color w:val="auto"/>
        </w:rPr>
        <w:t xml:space="preserve">larynx </w:t>
      </w:r>
      <w:r w:rsidR="00D61FBC" w:rsidRPr="006F307B">
        <w:rPr>
          <w:rStyle w:val="InstructionalTextChar"/>
          <w:color w:val="auto"/>
        </w:rPr>
        <w:t xml:space="preserve">which is incurable by local therapy, </w:t>
      </w:r>
      <w:r w:rsidRPr="006F307B">
        <w:rPr>
          <w:rStyle w:val="InstructionalTextChar"/>
          <w:color w:val="auto"/>
        </w:rPr>
        <w:t xml:space="preserve">who have not had prior systemic therapy administered in this setting and whose tumours express PD-L1 CPS≥1. Based on estimates from the Australian Institute of Health and Welfare (AIHW) in 2019, approximately 4,455 Australian patients had </w:t>
      </w:r>
      <w:r w:rsidR="00D61FBC" w:rsidRPr="006F307B">
        <w:rPr>
          <w:rStyle w:val="InstructionalTextChar"/>
          <w:color w:val="auto"/>
        </w:rPr>
        <w:t>SCC</w:t>
      </w:r>
      <w:r w:rsidRPr="006F307B">
        <w:rPr>
          <w:rStyle w:val="InstructionalTextChar"/>
          <w:color w:val="auto"/>
        </w:rPr>
        <w:t xml:space="preserve"> of the oral cavity, pharynx or larynx. A majority (73%) were male, with an average age of 65 years (based on 2014 data).</w:t>
      </w:r>
    </w:p>
    <w:p w:rsidR="008D7BF5" w:rsidRPr="006F307B" w:rsidRDefault="007A6A0A" w:rsidP="0068446B">
      <w:pPr>
        <w:pStyle w:val="ListParagraph"/>
        <w:rPr>
          <w:color w:val="auto"/>
        </w:rPr>
      </w:pPr>
      <w:r w:rsidRPr="006F307B">
        <w:rPr>
          <w:color w:val="auto"/>
        </w:rPr>
        <w:t>Patients with R/M HNSCC which is incurable by local therapy have significant mortality. The submission estimate</w:t>
      </w:r>
      <w:r w:rsidR="001C7472" w:rsidRPr="006F307B">
        <w:rPr>
          <w:color w:val="auto"/>
        </w:rPr>
        <w:t>d</w:t>
      </w:r>
      <w:r w:rsidRPr="006F307B">
        <w:rPr>
          <w:color w:val="auto"/>
        </w:rPr>
        <w:t xml:space="preserve"> that the 5 year survival is only 5.3%.</w:t>
      </w:r>
    </w:p>
    <w:p w:rsidR="007A6A0A" w:rsidRPr="006F307B" w:rsidRDefault="007A6A0A" w:rsidP="0068446B">
      <w:pPr>
        <w:pStyle w:val="ListParagraph"/>
        <w:rPr>
          <w:color w:val="auto"/>
        </w:rPr>
      </w:pPr>
      <w:r w:rsidRPr="006F307B">
        <w:rPr>
          <w:color w:val="auto"/>
        </w:rPr>
        <w:t xml:space="preserve">The submission proposed the use of PD-L1 biomarker, as detected by the PharmDX 22C3 test using the CPS scoring algorithm, to determine eligibility to pembrolizumab in R/M HNSCC. A CPS ≥1 was proposed as the threshold for eligibility. The CPS measures the number of PD-L1 stained cells, including tumour cells, lymphocytes, and macrophages, divided by the total number of viable tumour cells, multiplied by 100. Despite its derivation, the CPS is expressed as a value and not a percentage, and although the result can exceed 100, the maximum score is defined as CPS 100. </w:t>
      </w:r>
      <w:r w:rsidR="00EF502D" w:rsidRPr="006F307B">
        <w:rPr>
          <w:color w:val="auto"/>
        </w:rPr>
        <w:t>The PBAC noted t</w:t>
      </w:r>
      <w:r w:rsidRPr="006F307B">
        <w:rPr>
          <w:color w:val="auto"/>
        </w:rPr>
        <w:t xml:space="preserve">he submission estimated that 85.2% of all R/M HNSCC patients will have CPS </w:t>
      </w:r>
      <w:r w:rsidRPr="006F307B">
        <w:rPr>
          <w:rFonts w:cstheme="minorHAnsi"/>
          <w:color w:val="auto"/>
        </w:rPr>
        <w:t>≥</w:t>
      </w:r>
      <w:r w:rsidRPr="006F307B">
        <w:rPr>
          <w:color w:val="auto"/>
        </w:rPr>
        <w:t>1</w:t>
      </w:r>
      <w:r w:rsidR="006D2604" w:rsidRPr="006F307B">
        <w:rPr>
          <w:color w:val="auto"/>
        </w:rPr>
        <w:t>, based on patients in the KN048 trial</w:t>
      </w:r>
      <w:r w:rsidRPr="006F307B">
        <w:rPr>
          <w:color w:val="auto"/>
        </w:rPr>
        <w:t>.</w:t>
      </w:r>
    </w:p>
    <w:p w:rsidR="007A6A0A" w:rsidRPr="006F307B" w:rsidRDefault="007A6A0A" w:rsidP="0068446B">
      <w:pPr>
        <w:pStyle w:val="ListParagraph"/>
        <w:rPr>
          <w:color w:val="auto"/>
        </w:rPr>
      </w:pPr>
      <w:r w:rsidRPr="006F307B">
        <w:rPr>
          <w:color w:val="auto"/>
        </w:rPr>
        <w:t xml:space="preserve">Pembrolizumab </w:t>
      </w:r>
      <w:r w:rsidRPr="006F307B">
        <w:rPr>
          <w:rFonts w:cstheme="minorHAnsi"/>
          <w:color w:val="auto"/>
        </w:rPr>
        <w:t>±</w:t>
      </w:r>
      <w:r w:rsidRPr="006F307B">
        <w:rPr>
          <w:color w:val="auto"/>
        </w:rPr>
        <w:t xml:space="preserve"> chemotherapy is expected to replace 1L chemotherapy </w:t>
      </w:r>
      <w:r w:rsidR="00D61FBC" w:rsidRPr="006F307B">
        <w:rPr>
          <w:color w:val="auto"/>
        </w:rPr>
        <w:t>(</w:t>
      </w:r>
      <w:r w:rsidR="001C7472" w:rsidRPr="006F307B">
        <w:rPr>
          <w:color w:val="auto"/>
        </w:rPr>
        <w:t xml:space="preserve">followed by </w:t>
      </w:r>
      <w:r w:rsidR="00D61FBC" w:rsidRPr="006F307B">
        <w:rPr>
          <w:color w:val="auto"/>
        </w:rPr>
        <w:t>2L nivolumab</w:t>
      </w:r>
      <w:r w:rsidR="008A0B13" w:rsidRPr="006F307B">
        <w:rPr>
          <w:color w:val="auto"/>
        </w:rPr>
        <w:t xml:space="preserve"> in a proportion</w:t>
      </w:r>
      <w:r w:rsidR="00D61FBC" w:rsidRPr="006F307B">
        <w:rPr>
          <w:color w:val="auto"/>
        </w:rPr>
        <w:t xml:space="preserve">) </w:t>
      </w:r>
      <w:r w:rsidRPr="006F307B">
        <w:rPr>
          <w:color w:val="auto"/>
        </w:rPr>
        <w:t>in patients with R/M HNSCC</w:t>
      </w:r>
      <w:r w:rsidR="00D61FBC" w:rsidRPr="006F307B">
        <w:rPr>
          <w:color w:val="auto"/>
        </w:rPr>
        <w:t xml:space="preserve"> of the oral cavity, pharynx and larynx</w:t>
      </w:r>
      <w:r w:rsidRPr="006F307B">
        <w:rPr>
          <w:color w:val="auto"/>
        </w:rPr>
        <w:t xml:space="preserve"> who have not previously been treated.</w:t>
      </w:r>
    </w:p>
    <w:p w:rsidR="00364B9D" w:rsidRPr="006F307B" w:rsidRDefault="00364B9D" w:rsidP="00364B9D">
      <w:pPr>
        <w:pStyle w:val="ListParagraph"/>
        <w:numPr>
          <w:ilvl w:val="0"/>
          <w:numId w:val="0"/>
        </w:numPr>
        <w:ind w:left="720"/>
        <w:rPr>
          <w:color w:val="auto"/>
        </w:rPr>
      </w:pPr>
      <w:r w:rsidRPr="006F307B">
        <w:rPr>
          <w:i/>
        </w:rPr>
        <w:t>For more detail on PBAC’s view, see section 7 PBAC outcome.</w:t>
      </w:r>
    </w:p>
    <w:p w:rsidR="00C317F3" w:rsidRPr="006F307B" w:rsidRDefault="00C317F3" w:rsidP="0068446B">
      <w:pPr>
        <w:pStyle w:val="PBACESHeading1"/>
      </w:pPr>
      <w:bookmarkStart w:id="15" w:name="_Toc51080583"/>
      <w:r w:rsidRPr="006F307B">
        <w:t>Comparator</w:t>
      </w:r>
      <w:bookmarkEnd w:id="14"/>
      <w:bookmarkEnd w:id="15"/>
    </w:p>
    <w:p w:rsidR="002D0EF2" w:rsidRPr="007278E9" w:rsidRDefault="007A6A0A" w:rsidP="008E5D18">
      <w:pPr>
        <w:pStyle w:val="ListParagraph"/>
        <w:spacing w:before="0" w:after="120"/>
        <w:rPr>
          <w:rStyle w:val="InstructionalTextChar"/>
          <w:color w:val="auto"/>
          <w:u w:val="single"/>
        </w:rPr>
      </w:pPr>
      <w:r w:rsidRPr="006F307B">
        <w:rPr>
          <w:rStyle w:val="InstructionalTextChar"/>
          <w:color w:val="auto"/>
        </w:rPr>
        <w:t xml:space="preserve">The nominated comparator for the PD-L1 testing using the 22C3 antibody was no testing. The </w:t>
      </w:r>
      <w:r w:rsidR="00D64A75" w:rsidRPr="006F307B">
        <w:rPr>
          <w:rStyle w:val="InstructionalTextChar"/>
          <w:color w:val="auto"/>
        </w:rPr>
        <w:t>submission proposed 1L chemotherapy as the main comparator to pembrolizumab, followed by 2L nivolumab in a proportion of patients (assumed to be 66.7</w:t>
      </w:r>
      <w:r w:rsidR="00D64A75" w:rsidRPr="006F307B">
        <w:rPr>
          <w:rStyle w:val="InstructionalTextChar"/>
          <w:rFonts w:cstheme="minorHAnsi"/>
          <w:color w:val="auto"/>
        </w:rPr>
        <w:t>%</w:t>
      </w:r>
      <w:r w:rsidR="00943FF7" w:rsidRPr="006F307B">
        <w:rPr>
          <w:rStyle w:val="InstructionalTextChar"/>
          <w:rFonts w:cstheme="minorHAnsi"/>
          <w:color w:val="auto"/>
        </w:rPr>
        <w:t>,</w:t>
      </w:r>
      <w:r w:rsidR="00943FF7" w:rsidRPr="006F307B">
        <w:rPr>
          <w:rFonts w:cstheme="minorHAnsi"/>
        </w:rPr>
        <w:t xml:space="preserve"> based on PBS script data </w:t>
      </w:r>
      <w:r w:rsidR="001C7472" w:rsidRPr="006F307B">
        <w:rPr>
          <w:rFonts w:cstheme="minorHAnsi"/>
        </w:rPr>
        <w:t>for nivolumab and submission’s financial estimates of pembrolizumab patients</w:t>
      </w:r>
      <w:r w:rsidR="00D64A75" w:rsidRPr="006F307B">
        <w:rPr>
          <w:rStyle w:val="InstructionalTextChar"/>
          <w:rFonts w:cstheme="minorHAnsi"/>
          <w:color w:val="auto"/>
        </w:rPr>
        <w:t>).</w:t>
      </w:r>
      <w:r w:rsidR="00D64A75" w:rsidRPr="006F307B">
        <w:rPr>
          <w:rStyle w:val="InstructionalTextChar"/>
          <w:color w:val="auto"/>
        </w:rPr>
        <w:t xml:space="preserve"> </w:t>
      </w:r>
      <w:r w:rsidR="00E921C2" w:rsidRPr="006F307B">
        <w:rPr>
          <w:rStyle w:val="InstructionalTextChar"/>
          <w:color w:val="auto"/>
        </w:rPr>
        <w:t xml:space="preserve">The submission also </w:t>
      </w:r>
      <w:r w:rsidR="006F307B" w:rsidRPr="006F307B">
        <w:rPr>
          <w:rStyle w:val="InstructionalTextChar"/>
          <w:color w:val="auto"/>
        </w:rPr>
        <w:t>referred</w:t>
      </w:r>
      <w:r w:rsidR="00E921C2" w:rsidRPr="006F307B">
        <w:rPr>
          <w:rStyle w:val="InstructionalTextChar"/>
          <w:color w:val="auto"/>
        </w:rPr>
        <w:t xml:space="preserve"> to this as SoC. </w:t>
      </w:r>
      <w:r w:rsidR="00B508A4" w:rsidRPr="006F307B">
        <w:rPr>
          <w:color w:val="auto"/>
        </w:rPr>
        <w:t>The PBAC noted that while the comparator of SoC was appropriately identified by the submission, neither the clinical evidence nor the economic evaluation presented by the submission considered the efficacy of 2L nivolumab, therefore the clinical evidence and economic information presented by the submission did not reflect the increment over current clinical practice.</w:t>
      </w:r>
      <w:bookmarkStart w:id="16" w:name="_Toc413139276"/>
    </w:p>
    <w:p w:rsidR="00FB1BE1" w:rsidRPr="006F307B" w:rsidRDefault="006D2604" w:rsidP="00AC0B0B">
      <w:pPr>
        <w:pStyle w:val="ListParagraph"/>
        <w:rPr>
          <w:rFonts w:cstheme="minorHAnsi"/>
          <w:color w:val="auto"/>
          <w:szCs w:val="24"/>
        </w:rPr>
      </w:pPr>
      <w:r w:rsidRPr="006F307B">
        <w:rPr>
          <w:rFonts w:cstheme="minorHAnsi"/>
          <w:szCs w:val="24"/>
        </w:rPr>
        <w:t>I</w:t>
      </w:r>
      <w:r w:rsidR="00FB1BE1" w:rsidRPr="006F307B">
        <w:rPr>
          <w:rFonts w:cstheme="minorHAnsi"/>
          <w:szCs w:val="24"/>
        </w:rPr>
        <w:t>n order to calculate the proportion of patients receiving 2L nivolumab, the sponsor used data provided by Prospection, which use</w:t>
      </w:r>
      <w:r w:rsidR="001C7472" w:rsidRPr="006F307B">
        <w:rPr>
          <w:rFonts w:cstheme="minorHAnsi"/>
          <w:szCs w:val="24"/>
        </w:rPr>
        <w:t>d</w:t>
      </w:r>
      <w:r w:rsidR="00CE197B" w:rsidRPr="006F307B">
        <w:rPr>
          <w:rFonts w:cstheme="minorHAnsi"/>
          <w:szCs w:val="24"/>
        </w:rPr>
        <w:t xml:space="preserve"> </w:t>
      </w:r>
      <w:r w:rsidR="001C7472" w:rsidRPr="006F307B">
        <w:rPr>
          <w:rFonts w:cstheme="minorHAnsi"/>
          <w:szCs w:val="24"/>
        </w:rPr>
        <w:t>the</w:t>
      </w:r>
      <w:r w:rsidR="00FB1BE1" w:rsidRPr="006F307B">
        <w:rPr>
          <w:rFonts w:cstheme="minorHAnsi"/>
          <w:szCs w:val="24"/>
        </w:rPr>
        <w:t xml:space="preserve"> 10% PBS sample to extrapolate the total </w:t>
      </w:r>
      <w:r w:rsidR="000E4E64" w:rsidRPr="006F307B">
        <w:rPr>
          <w:rFonts w:cstheme="minorHAnsi"/>
          <w:szCs w:val="24"/>
        </w:rPr>
        <w:t xml:space="preserve">number of </w:t>
      </w:r>
      <w:r w:rsidR="00FB1BE1" w:rsidRPr="006F307B">
        <w:rPr>
          <w:rFonts w:cstheme="minorHAnsi"/>
          <w:szCs w:val="24"/>
        </w:rPr>
        <w:t>treated patient</w:t>
      </w:r>
      <w:r w:rsidR="001C7472" w:rsidRPr="006F307B">
        <w:rPr>
          <w:rFonts w:cstheme="minorHAnsi"/>
          <w:szCs w:val="24"/>
        </w:rPr>
        <w:t>s</w:t>
      </w:r>
      <w:r w:rsidR="000E4E64" w:rsidRPr="006F307B">
        <w:rPr>
          <w:rFonts w:cstheme="minorHAnsi"/>
          <w:szCs w:val="24"/>
        </w:rPr>
        <w:t xml:space="preserve"> </w:t>
      </w:r>
      <w:r w:rsidR="00FB1BE1" w:rsidRPr="006F307B">
        <w:rPr>
          <w:rFonts w:cstheme="minorHAnsi"/>
          <w:szCs w:val="24"/>
        </w:rPr>
        <w:t xml:space="preserve">and related drug use. </w:t>
      </w:r>
      <w:r w:rsidR="001C7472" w:rsidRPr="006F307B">
        <w:rPr>
          <w:rFonts w:cstheme="minorHAnsi"/>
          <w:szCs w:val="24"/>
        </w:rPr>
        <w:t>Based on this data</w:t>
      </w:r>
      <w:r w:rsidR="00FB1BE1" w:rsidRPr="006F307B">
        <w:rPr>
          <w:rFonts w:cstheme="minorHAnsi"/>
          <w:szCs w:val="24"/>
        </w:rPr>
        <w:t xml:space="preserve"> the estimated number of patients who received </w:t>
      </w:r>
      <w:r w:rsidR="00AF46AA" w:rsidRPr="006F307B">
        <w:rPr>
          <w:rFonts w:cstheme="minorHAnsi"/>
          <w:szCs w:val="24"/>
        </w:rPr>
        <w:t xml:space="preserve">2L </w:t>
      </w:r>
      <w:r w:rsidR="00FB1BE1" w:rsidRPr="006F307B">
        <w:rPr>
          <w:rFonts w:cstheme="minorHAnsi"/>
          <w:szCs w:val="24"/>
        </w:rPr>
        <w:t>nivolumab</w:t>
      </w:r>
      <w:r w:rsidR="00AF46AA" w:rsidRPr="006F307B">
        <w:rPr>
          <w:rFonts w:cstheme="minorHAnsi"/>
          <w:szCs w:val="24"/>
        </w:rPr>
        <w:t xml:space="preserve"> </w:t>
      </w:r>
      <w:r w:rsidR="00FB1BE1" w:rsidRPr="006F307B">
        <w:rPr>
          <w:rFonts w:cstheme="minorHAnsi"/>
          <w:szCs w:val="24"/>
        </w:rPr>
        <w:t xml:space="preserve">for this indication was 484 patients in 2019, equivalent to 66.7% (484/726) of the incident population derived in </w:t>
      </w:r>
      <w:r w:rsidR="00FB1BE1" w:rsidRPr="006F307B">
        <w:rPr>
          <w:rFonts w:cstheme="minorHAnsi"/>
          <w:szCs w:val="24"/>
        </w:rPr>
        <w:lastRenderedPageBreak/>
        <w:t xml:space="preserve">the financial estimates. </w:t>
      </w:r>
      <w:r w:rsidR="00C71C44" w:rsidRPr="006F307B">
        <w:rPr>
          <w:color w:val="auto"/>
        </w:rPr>
        <w:t>The ESC</w:t>
      </w:r>
      <w:r w:rsidR="0021591C" w:rsidRPr="006F307B">
        <w:rPr>
          <w:color w:val="auto"/>
        </w:rPr>
        <w:t>s</w:t>
      </w:r>
      <w:r w:rsidR="00C71C44" w:rsidRPr="006F307B">
        <w:rPr>
          <w:color w:val="auto"/>
        </w:rPr>
        <w:t xml:space="preserve"> considered that the proportion of patients likely to be treated with 2L nivolumab was uncertain as the sponsor’s calculations </w:t>
      </w:r>
      <w:r w:rsidR="00815D2D" w:rsidRPr="006F307B">
        <w:rPr>
          <w:color w:val="auto"/>
        </w:rPr>
        <w:t>relied</w:t>
      </w:r>
      <w:r w:rsidR="00C71C44" w:rsidRPr="006F307B">
        <w:rPr>
          <w:color w:val="auto"/>
        </w:rPr>
        <w:t xml:space="preserve"> on assumptions regarding the number of patients to be treated with pembrolizumab </w:t>
      </w:r>
      <w:r w:rsidR="001C7472" w:rsidRPr="00B74405">
        <w:rPr>
          <w:color w:val="auto"/>
        </w:rPr>
        <w:t>from</w:t>
      </w:r>
      <w:r w:rsidR="00C71C44" w:rsidRPr="006F307B">
        <w:rPr>
          <w:color w:val="auto"/>
        </w:rPr>
        <w:t xml:space="preserve"> the complex epidemiological approach presented in the financial</w:t>
      </w:r>
      <w:r w:rsidR="006B09F4" w:rsidRPr="006F307B">
        <w:rPr>
          <w:color w:val="auto"/>
        </w:rPr>
        <w:t xml:space="preserve"> estimates</w:t>
      </w:r>
      <w:r w:rsidR="003C787D">
        <w:rPr>
          <w:color w:val="auto"/>
        </w:rPr>
        <w:t>.</w:t>
      </w:r>
    </w:p>
    <w:p w:rsidR="00364B9D" w:rsidRPr="006F307B" w:rsidRDefault="00364B9D" w:rsidP="00364B9D">
      <w:pPr>
        <w:pStyle w:val="ListParagraph"/>
        <w:numPr>
          <w:ilvl w:val="0"/>
          <w:numId w:val="0"/>
        </w:numPr>
        <w:ind w:left="720"/>
        <w:rPr>
          <w:rFonts w:cstheme="minorHAnsi"/>
          <w:color w:val="auto"/>
          <w:szCs w:val="24"/>
        </w:rPr>
      </w:pPr>
      <w:r w:rsidRPr="006F307B">
        <w:rPr>
          <w:i/>
        </w:rPr>
        <w:t>For more detail on PBAC’s view, see section 7 PBAC outcome.</w:t>
      </w:r>
    </w:p>
    <w:p w:rsidR="00C317F3" w:rsidRPr="006F307B" w:rsidRDefault="00C317F3" w:rsidP="0076446C">
      <w:pPr>
        <w:pStyle w:val="PBACESHeading1"/>
      </w:pPr>
      <w:bookmarkStart w:id="17" w:name="_Ref496885030"/>
      <w:bookmarkStart w:id="18" w:name="_Toc51080584"/>
      <w:r w:rsidRPr="006F307B">
        <w:t>Consideration of the evidence</w:t>
      </w:r>
      <w:bookmarkEnd w:id="16"/>
      <w:bookmarkEnd w:id="17"/>
      <w:bookmarkEnd w:id="18"/>
    </w:p>
    <w:p w:rsidR="00364B9D" w:rsidRPr="006F307B" w:rsidRDefault="00364B9D" w:rsidP="00364B9D">
      <w:pPr>
        <w:pStyle w:val="PBACESHeading2"/>
        <w:spacing w:before="240"/>
        <w:rPr>
          <w:rFonts w:asciiTheme="minorHAnsi" w:hAnsiTheme="minorHAnsi" w:cstheme="minorHAnsi"/>
        </w:rPr>
      </w:pPr>
      <w:bookmarkStart w:id="19" w:name="_Toc51080585"/>
      <w:r w:rsidRPr="006F307B">
        <w:rPr>
          <w:rFonts w:asciiTheme="minorHAnsi" w:hAnsiTheme="minorHAnsi" w:cstheme="minorHAnsi"/>
        </w:rPr>
        <w:t>Sponsor hearing</w:t>
      </w:r>
    </w:p>
    <w:p w:rsidR="00364B9D" w:rsidRPr="006F307B" w:rsidRDefault="00364B9D" w:rsidP="00364B9D">
      <w:pPr>
        <w:pStyle w:val="ListParagraph"/>
      </w:pPr>
      <w:r w:rsidRPr="006F307B">
        <w:rPr>
          <w:color w:val="auto"/>
        </w:rPr>
        <w:t>Ther</w:t>
      </w:r>
      <w:r w:rsidR="003C787D">
        <w:rPr>
          <w:color w:val="auto"/>
        </w:rPr>
        <w:t>e was no hearing for this item.</w:t>
      </w:r>
    </w:p>
    <w:p w:rsidR="00364B9D" w:rsidRPr="006F307B" w:rsidRDefault="00364B9D" w:rsidP="00364B9D">
      <w:pPr>
        <w:pStyle w:val="PBACESHeading2"/>
        <w:spacing w:before="240"/>
        <w:rPr>
          <w:rFonts w:asciiTheme="minorHAnsi" w:hAnsiTheme="minorHAnsi" w:cstheme="minorHAnsi"/>
        </w:rPr>
      </w:pPr>
      <w:r w:rsidRPr="006F307B">
        <w:rPr>
          <w:rFonts w:asciiTheme="minorHAnsi" w:hAnsiTheme="minorHAnsi" w:cstheme="minorHAnsi"/>
        </w:rPr>
        <w:t>Consumer comments</w:t>
      </w:r>
    </w:p>
    <w:p w:rsidR="00C54994" w:rsidRPr="006F307B" w:rsidRDefault="00266D24" w:rsidP="001B72CE">
      <w:pPr>
        <w:pStyle w:val="ListParagraph"/>
        <w:rPr>
          <w:color w:val="auto"/>
        </w:rPr>
      </w:pPr>
      <w:r w:rsidRPr="006F307B">
        <w:rPr>
          <w:color w:val="auto"/>
        </w:rPr>
        <w:t>The PBAC noted and welcomed the input from individuals (2) and organisations (3) via the Consumer Comments facility on the PBS website.</w:t>
      </w:r>
    </w:p>
    <w:p w:rsidR="00266D24" w:rsidRPr="006F307B" w:rsidRDefault="0087316B" w:rsidP="001B72CE">
      <w:pPr>
        <w:pStyle w:val="ListParagraph"/>
        <w:rPr>
          <w:color w:val="auto"/>
        </w:rPr>
      </w:pPr>
      <w:r w:rsidRPr="006F307B">
        <w:rPr>
          <w:color w:val="auto"/>
        </w:rPr>
        <w:t>The PBAC noted the support received from</w:t>
      </w:r>
      <w:r w:rsidR="00C54994" w:rsidRPr="006F307B">
        <w:rPr>
          <w:color w:val="auto"/>
        </w:rPr>
        <w:t xml:space="preserve"> patient support organisations</w:t>
      </w:r>
      <w:r w:rsidRPr="006F307B">
        <w:rPr>
          <w:color w:val="auto"/>
        </w:rPr>
        <w:t xml:space="preserve"> </w:t>
      </w:r>
      <w:r w:rsidR="00C54994" w:rsidRPr="006F307B">
        <w:rPr>
          <w:color w:val="auto"/>
        </w:rPr>
        <w:t>(</w:t>
      </w:r>
      <w:r w:rsidRPr="006F307B">
        <w:rPr>
          <w:color w:val="auto"/>
        </w:rPr>
        <w:t>Beyond Five and Rare Cancers Australia</w:t>
      </w:r>
      <w:r w:rsidR="00C54994" w:rsidRPr="006F307B">
        <w:rPr>
          <w:color w:val="auto"/>
        </w:rPr>
        <w:t>)</w:t>
      </w:r>
      <w:r w:rsidRPr="006F307B">
        <w:rPr>
          <w:color w:val="auto"/>
        </w:rPr>
        <w:t xml:space="preserve"> which described</w:t>
      </w:r>
      <w:r w:rsidR="00266D24" w:rsidRPr="006F307B">
        <w:rPr>
          <w:color w:val="auto"/>
        </w:rPr>
        <w:t xml:space="preserve"> benefits of treatment </w:t>
      </w:r>
      <w:r w:rsidR="00CE5684" w:rsidRPr="006F307B">
        <w:rPr>
          <w:color w:val="auto"/>
        </w:rPr>
        <w:t>with pembrolizumab</w:t>
      </w:r>
      <w:r w:rsidR="00C54994" w:rsidRPr="006F307B">
        <w:rPr>
          <w:color w:val="auto"/>
        </w:rPr>
        <w:t xml:space="preserve"> for HN</w:t>
      </w:r>
      <w:r w:rsidR="00AB275F" w:rsidRPr="006F307B">
        <w:rPr>
          <w:color w:val="auto"/>
        </w:rPr>
        <w:t>SCC</w:t>
      </w:r>
      <w:r w:rsidR="00CE5684" w:rsidRPr="006F307B">
        <w:rPr>
          <w:color w:val="auto"/>
        </w:rPr>
        <w:t xml:space="preserve">, including improved quality of life, </w:t>
      </w:r>
      <w:r w:rsidRPr="006F307B">
        <w:rPr>
          <w:color w:val="auto"/>
        </w:rPr>
        <w:t>and the option for prescribers to use an immunotherapy</w:t>
      </w:r>
      <w:r w:rsidR="001B72CE" w:rsidRPr="006F307B">
        <w:rPr>
          <w:color w:val="auto"/>
        </w:rPr>
        <w:t xml:space="preserve"> as</w:t>
      </w:r>
      <w:r w:rsidRPr="006F307B">
        <w:rPr>
          <w:color w:val="auto"/>
        </w:rPr>
        <w:t xml:space="preserve"> first-line</w:t>
      </w:r>
      <w:r w:rsidR="001B72CE" w:rsidRPr="006F307B">
        <w:rPr>
          <w:color w:val="auto"/>
        </w:rPr>
        <w:t xml:space="preserve"> treatment</w:t>
      </w:r>
      <w:r w:rsidRPr="006F307B">
        <w:rPr>
          <w:color w:val="auto"/>
        </w:rPr>
        <w:t xml:space="preserve"> for this difficult to treat cancer</w:t>
      </w:r>
      <w:r w:rsidR="00077868" w:rsidRPr="006F307B">
        <w:rPr>
          <w:color w:val="auto"/>
        </w:rPr>
        <w:t xml:space="preserve"> with negligible side effects</w:t>
      </w:r>
      <w:r w:rsidR="00555D45">
        <w:rPr>
          <w:color w:val="auto"/>
        </w:rPr>
        <w:t>.</w:t>
      </w:r>
    </w:p>
    <w:p w:rsidR="0087316B" w:rsidRPr="006F307B" w:rsidRDefault="0087316B" w:rsidP="00364B9D">
      <w:pPr>
        <w:pStyle w:val="ListParagraph"/>
        <w:rPr>
          <w:color w:val="auto"/>
        </w:rPr>
      </w:pPr>
      <w:r w:rsidRPr="006F307B">
        <w:rPr>
          <w:color w:val="auto"/>
        </w:rPr>
        <w:t xml:space="preserve">The Medical Oncology Group of Australia (MOGA) also expressed its strong support for the pembrolizumab submission, categorising it as one of the therapies of “highest priority for PBS listing” on the basis of the KN048 trial. </w:t>
      </w:r>
      <w:r w:rsidR="001B72CE" w:rsidRPr="006F307B">
        <w:rPr>
          <w:color w:val="auto"/>
        </w:rPr>
        <w:t xml:space="preserve">The PBAC noted that the MOGA presented a European Society for Medical Oncology Magnitude of Clinical Benefit Scale (ESMO-MCBS) for pembrolizumab monotherapy and pembrolizumab plus chemotherapy, which was limited to 4 for CPS </w:t>
      </w:r>
      <w:r w:rsidR="001B72CE" w:rsidRPr="006F307B">
        <w:rPr>
          <w:rFonts w:cstheme="minorHAnsi"/>
          <w:color w:val="auto"/>
        </w:rPr>
        <w:t>≥</w:t>
      </w:r>
      <w:r w:rsidR="001B72CE" w:rsidRPr="006F307B">
        <w:rPr>
          <w:color w:val="auto"/>
        </w:rPr>
        <w:t>1 (out of a maximum of 5, where 5 and 4 represent the grades with substantial improvement)</w:t>
      </w:r>
      <w:r w:rsidR="001B72CE" w:rsidRPr="006F307B">
        <w:rPr>
          <w:rStyle w:val="FootnoteReference"/>
          <w:color w:val="auto"/>
        </w:rPr>
        <w:footnoteReference w:id="1"/>
      </w:r>
      <w:r w:rsidR="001B72CE" w:rsidRPr="006F307B">
        <w:rPr>
          <w:color w:val="auto"/>
        </w:rPr>
        <w:t xml:space="preserve">, based on a comparison with cetuximab plus chemotherapy. </w:t>
      </w:r>
      <w:r w:rsidR="006C1F21" w:rsidRPr="006F307B">
        <w:rPr>
          <w:color w:val="auto"/>
        </w:rPr>
        <w:t xml:space="preserve">The PBAC noted that the MOGA </w:t>
      </w:r>
      <w:r w:rsidR="006B09F4" w:rsidRPr="006F307B">
        <w:rPr>
          <w:color w:val="auto"/>
        </w:rPr>
        <w:t>comments ref</w:t>
      </w:r>
      <w:r w:rsidR="00FF7980" w:rsidRPr="006F307B">
        <w:rPr>
          <w:color w:val="auto"/>
        </w:rPr>
        <w:t xml:space="preserve">lected </w:t>
      </w:r>
      <w:r w:rsidR="00077868" w:rsidRPr="006F307B">
        <w:rPr>
          <w:color w:val="auto"/>
        </w:rPr>
        <w:t>the</w:t>
      </w:r>
      <w:r w:rsidR="00FF7980" w:rsidRPr="006F307B">
        <w:rPr>
          <w:color w:val="auto"/>
        </w:rPr>
        <w:t xml:space="preserve"> lack of clari</w:t>
      </w:r>
      <w:r w:rsidR="006B09F4" w:rsidRPr="006F307B">
        <w:rPr>
          <w:color w:val="auto"/>
        </w:rPr>
        <w:t>t</w:t>
      </w:r>
      <w:r w:rsidR="00FF7980" w:rsidRPr="00B74405">
        <w:rPr>
          <w:color w:val="auto"/>
        </w:rPr>
        <w:t>y</w:t>
      </w:r>
      <w:r w:rsidR="006B09F4" w:rsidRPr="006F307B">
        <w:rPr>
          <w:color w:val="auto"/>
        </w:rPr>
        <w:t xml:space="preserve"> with regard to </w:t>
      </w:r>
      <w:r w:rsidR="006C1F21" w:rsidRPr="006F307B">
        <w:rPr>
          <w:color w:val="auto"/>
        </w:rPr>
        <w:t xml:space="preserve">the </w:t>
      </w:r>
      <w:r w:rsidR="006B09F4" w:rsidRPr="006F307B">
        <w:rPr>
          <w:color w:val="auto"/>
        </w:rPr>
        <w:t xml:space="preserve">most appropriate </w:t>
      </w:r>
      <w:r w:rsidR="006C1F21" w:rsidRPr="006F307B">
        <w:rPr>
          <w:color w:val="auto"/>
        </w:rPr>
        <w:t xml:space="preserve">CPS cut-off for pembrolizumab monotherapy, listing </w:t>
      </w:r>
      <w:r w:rsidR="00FF7980" w:rsidRPr="006F307B">
        <w:rPr>
          <w:color w:val="auto"/>
        </w:rPr>
        <w:t xml:space="preserve">scores for </w:t>
      </w:r>
      <w:r w:rsidR="006C1F21" w:rsidRPr="006F307B">
        <w:rPr>
          <w:color w:val="auto"/>
        </w:rPr>
        <w:t xml:space="preserve">both CPS </w:t>
      </w:r>
      <w:r w:rsidR="006C1F21" w:rsidRPr="006F307B">
        <w:rPr>
          <w:rFonts w:cstheme="minorHAnsi"/>
          <w:color w:val="auto"/>
        </w:rPr>
        <w:t>≥</w:t>
      </w:r>
      <w:r w:rsidR="006C1F21" w:rsidRPr="006F307B">
        <w:rPr>
          <w:color w:val="auto"/>
        </w:rPr>
        <w:t xml:space="preserve">1 and CPS </w:t>
      </w:r>
      <w:r w:rsidR="006C1F21" w:rsidRPr="006F307B">
        <w:rPr>
          <w:rFonts w:cstheme="minorHAnsi"/>
          <w:color w:val="auto"/>
        </w:rPr>
        <w:t>≥</w:t>
      </w:r>
      <w:r w:rsidR="006C1F21" w:rsidRPr="006F307B">
        <w:rPr>
          <w:color w:val="auto"/>
        </w:rPr>
        <w:t>20, with the latter having a higher</w:t>
      </w:r>
      <w:r w:rsidR="00555D45">
        <w:rPr>
          <w:color w:val="auto"/>
        </w:rPr>
        <w:t xml:space="preserve"> ESMO-MCBS score of 5.</w:t>
      </w:r>
    </w:p>
    <w:p w:rsidR="00214438" w:rsidRPr="006F307B" w:rsidRDefault="00214438" w:rsidP="00140F3F">
      <w:pPr>
        <w:pStyle w:val="PBACESHeading2"/>
        <w:spacing w:before="240"/>
        <w:rPr>
          <w:rFonts w:asciiTheme="minorHAnsi" w:hAnsiTheme="minorHAnsi" w:cstheme="minorHAnsi"/>
        </w:rPr>
      </w:pPr>
      <w:r w:rsidRPr="006F307B">
        <w:rPr>
          <w:rFonts w:asciiTheme="minorHAnsi" w:hAnsiTheme="minorHAnsi" w:cstheme="minorHAnsi"/>
        </w:rPr>
        <w:t>Overview of the evidence base</w:t>
      </w:r>
      <w:bookmarkEnd w:id="19"/>
    </w:p>
    <w:p w:rsidR="005A19AA" w:rsidRPr="0031644D" w:rsidRDefault="007A6A0A" w:rsidP="0031644D">
      <w:pPr>
        <w:pStyle w:val="ListParagraph"/>
        <w:rPr>
          <w:color w:val="auto"/>
        </w:rPr>
      </w:pPr>
      <w:r w:rsidRPr="006F307B">
        <w:rPr>
          <w:color w:val="auto"/>
        </w:rPr>
        <w:t xml:space="preserve">The approach taken in the submission </w:t>
      </w:r>
      <w:r w:rsidR="00FF7980" w:rsidRPr="006F307B">
        <w:rPr>
          <w:color w:val="auto"/>
        </w:rPr>
        <w:t>wa</w:t>
      </w:r>
      <w:r w:rsidRPr="006F307B">
        <w:rPr>
          <w:color w:val="auto"/>
        </w:rPr>
        <w:t xml:space="preserve">s to present </w:t>
      </w:r>
      <w:r w:rsidR="00FF7980" w:rsidRPr="006F307B">
        <w:rPr>
          <w:color w:val="auto"/>
        </w:rPr>
        <w:t xml:space="preserve">linked </w:t>
      </w:r>
      <w:r w:rsidRPr="006F307B">
        <w:rPr>
          <w:color w:val="auto"/>
        </w:rPr>
        <w:t xml:space="preserve">evidence to support the contention that targeting of CPS ≥1 with pembrolizumab will identify patients with </w:t>
      </w:r>
      <w:r w:rsidRPr="006F307B">
        <w:rPr>
          <w:color w:val="auto"/>
        </w:rPr>
        <w:lastRenderedPageBreak/>
        <w:t>R/M HNSCC</w:t>
      </w:r>
      <w:r w:rsidR="006A0FA4" w:rsidRPr="006F307B">
        <w:rPr>
          <w:color w:val="auto"/>
        </w:rPr>
        <w:t xml:space="preserve"> of the oral cavity, pharynx and larynx,</w:t>
      </w:r>
      <w:r w:rsidRPr="006F307B">
        <w:rPr>
          <w:color w:val="auto"/>
        </w:rPr>
        <w:t xml:space="preserve"> who may derive the most benefit from immunotherapy.</w:t>
      </w:r>
      <w:bookmarkStart w:id="20" w:name="_Ref490140772"/>
    </w:p>
    <w:p w:rsidR="00C164A4" w:rsidRPr="006F307B" w:rsidRDefault="00C164A4" w:rsidP="0031644D">
      <w:pPr>
        <w:pStyle w:val="Caption"/>
        <w:ind w:left="0" w:firstLine="0"/>
      </w:pPr>
      <w:r w:rsidRPr="006F307B">
        <w:t>Table</w:t>
      </w:r>
      <w:bookmarkEnd w:id="20"/>
      <w:r w:rsidR="006562DA" w:rsidRPr="006F307B">
        <w:t xml:space="preserve"> </w:t>
      </w:r>
      <w:r w:rsidR="007A6A0A" w:rsidRPr="007278E9">
        <w:t>2</w:t>
      </w:r>
      <w:r w:rsidR="006562DA" w:rsidRPr="007278E9">
        <w:t>:</w:t>
      </w:r>
      <w:r w:rsidR="006562DA" w:rsidRPr="006F307B">
        <w:t xml:space="preserve"> </w:t>
      </w:r>
      <w:r w:rsidRPr="006F307B">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01"/>
        <w:gridCol w:w="1699"/>
        <w:gridCol w:w="2499"/>
      </w:tblGrid>
      <w:tr w:rsidR="007A6A0A" w:rsidRPr="006F307B" w:rsidTr="008E5D18">
        <w:tc>
          <w:tcPr>
            <w:tcW w:w="785" w:type="pct"/>
            <w:tcBorders>
              <w:top w:val="single" w:sz="4" w:space="0" w:color="auto"/>
              <w:left w:val="single" w:sz="4" w:space="0" w:color="auto"/>
              <w:bottom w:val="single" w:sz="4" w:space="0" w:color="auto"/>
              <w:right w:val="single" w:sz="4" w:space="0" w:color="auto"/>
            </w:tcBorders>
            <w:vAlign w:val="bottom"/>
          </w:tcPr>
          <w:p w:rsidR="007A6A0A" w:rsidRPr="006F307B" w:rsidRDefault="007A6A0A" w:rsidP="00001421">
            <w:pPr>
              <w:pStyle w:val="TableText"/>
              <w:keepNext/>
              <w:spacing w:before="0" w:after="0" w:line="240" w:lineRule="auto"/>
              <w:rPr>
                <w:b/>
              </w:rPr>
            </w:pPr>
          </w:p>
        </w:tc>
        <w:tc>
          <w:tcPr>
            <w:tcW w:w="1886" w:type="pct"/>
            <w:tcBorders>
              <w:top w:val="single" w:sz="4" w:space="0" w:color="auto"/>
              <w:left w:val="single" w:sz="4" w:space="0" w:color="auto"/>
              <w:bottom w:val="single" w:sz="4" w:space="0" w:color="auto"/>
              <w:right w:val="single" w:sz="4" w:space="0" w:color="auto"/>
            </w:tcBorders>
            <w:vAlign w:val="bottom"/>
            <w:hideMark/>
          </w:tcPr>
          <w:p w:rsidR="007A6A0A" w:rsidRPr="006F307B" w:rsidRDefault="007A6A0A" w:rsidP="00001421">
            <w:pPr>
              <w:pStyle w:val="TableText"/>
              <w:keepNext/>
              <w:spacing w:before="0" w:after="0" w:line="240" w:lineRule="auto"/>
              <w:rPr>
                <w:b/>
              </w:rPr>
            </w:pPr>
            <w:r w:rsidRPr="006F307B">
              <w:rPr>
                <w:b/>
              </w:rPr>
              <w:t>Type of evidence supplied</w:t>
            </w:r>
          </w:p>
        </w:tc>
        <w:tc>
          <w:tcPr>
            <w:tcW w:w="942" w:type="pct"/>
            <w:tcBorders>
              <w:top w:val="single" w:sz="4" w:space="0" w:color="auto"/>
              <w:left w:val="single" w:sz="4" w:space="0" w:color="auto"/>
              <w:bottom w:val="single" w:sz="4" w:space="0" w:color="auto"/>
              <w:right w:val="single" w:sz="4" w:space="0" w:color="auto"/>
            </w:tcBorders>
            <w:vAlign w:val="bottom"/>
            <w:hideMark/>
          </w:tcPr>
          <w:p w:rsidR="007A6A0A" w:rsidRPr="006F307B" w:rsidRDefault="007A6A0A" w:rsidP="00001421">
            <w:pPr>
              <w:pStyle w:val="TableText"/>
              <w:keepNext/>
              <w:spacing w:before="0" w:after="0" w:line="240" w:lineRule="auto"/>
              <w:rPr>
                <w:b/>
              </w:rPr>
            </w:pPr>
            <w:r w:rsidRPr="006F307B">
              <w:rPr>
                <w:b/>
              </w:rPr>
              <w:t>Extent of evidence supplied</w:t>
            </w:r>
          </w:p>
        </w:tc>
        <w:tc>
          <w:tcPr>
            <w:tcW w:w="1386" w:type="pct"/>
            <w:tcBorders>
              <w:top w:val="single" w:sz="4" w:space="0" w:color="auto"/>
              <w:left w:val="single" w:sz="4" w:space="0" w:color="auto"/>
              <w:bottom w:val="single" w:sz="4" w:space="0" w:color="auto"/>
              <w:right w:val="single" w:sz="4" w:space="0" w:color="auto"/>
            </w:tcBorders>
            <w:vAlign w:val="bottom"/>
            <w:hideMark/>
          </w:tcPr>
          <w:p w:rsidR="007A6A0A" w:rsidRPr="006F307B" w:rsidRDefault="007A6A0A" w:rsidP="00001421">
            <w:pPr>
              <w:pStyle w:val="TableText"/>
              <w:keepNext/>
              <w:spacing w:before="0" w:after="0" w:line="240" w:lineRule="auto"/>
              <w:rPr>
                <w:b/>
              </w:rPr>
            </w:pPr>
            <w:r w:rsidRPr="006F307B">
              <w:rPr>
                <w:b/>
              </w:rPr>
              <w:t>Overall risk of bias in clinical trials</w:t>
            </w:r>
          </w:p>
        </w:tc>
      </w:tr>
      <w:tr w:rsidR="007A6A0A" w:rsidRPr="006F307B" w:rsidTr="008E5D18">
        <w:tc>
          <w:tcPr>
            <w:tcW w:w="785" w:type="pct"/>
            <w:tcBorders>
              <w:top w:val="single" w:sz="4" w:space="0" w:color="auto"/>
              <w:left w:val="single" w:sz="4" w:space="0" w:color="auto"/>
              <w:bottom w:val="single" w:sz="4" w:space="0" w:color="auto"/>
              <w:right w:val="single" w:sz="4" w:space="0" w:color="auto"/>
            </w:tcBorders>
            <w:hideMark/>
          </w:tcPr>
          <w:p w:rsidR="007A6A0A" w:rsidRPr="006F307B" w:rsidRDefault="007A6A0A" w:rsidP="00001421">
            <w:pPr>
              <w:pStyle w:val="TableText"/>
              <w:keepNext/>
              <w:spacing w:before="0" w:after="0" w:line="240" w:lineRule="auto"/>
            </w:pPr>
            <w:r w:rsidRPr="006F307B">
              <w:t>Accuracy and performance of the test (analytical validity)</w:t>
            </w:r>
          </w:p>
        </w:tc>
        <w:tc>
          <w:tcPr>
            <w:tcW w:w="1886" w:type="pct"/>
            <w:tcBorders>
              <w:top w:val="single" w:sz="4" w:space="0" w:color="auto"/>
              <w:left w:val="single" w:sz="4" w:space="0" w:color="auto"/>
              <w:bottom w:val="single" w:sz="4" w:space="0" w:color="auto"/>
              <w:right w:val="single" w:sz="4" w:space="0" w:color="auto"/>
            </w:tcBorders>
            <w:hideMark/>
          </w:tcPr>
          <w:p w:rsidR="007A6A0A" w:rsidRPr="006F307B" w:rsidRDefault="007A6A0A" w:rsidP="00001421">
            <w:pPr>
              <w:pStyle w:val="TableText"/>
              <w:keepNext/>
              <w:spacing w:before="0" w:after="0" w:line="240" w:lineRule="auto"/>
            </w:pPr>
            <w:r w:rsidRPr="006F307B">
              <w:t xml:space="preserve">No reference </w:t>
            </w:r>
            <w:r w:rsidR="005C6664" w:rsidRPr="006F307B">
              <w:t xml:space="preserve">standard </w:t>
            </w:r>
            <w:r w:rsidRPr="006F307B">
              <w:t>was identified. Emancipator 2020 included a portion of patients enrolled in KN012 and KN055 (n=252) and aimed to determine whether CPS or TPS is the preferred PD-L1 scoring method in advanced HNSCC, and Cohen 2019 (n=475) did a similar st</w:t>
            </w:r>
            <w:r w:rsidR="00B25C17">
              <w:t>udy with the patients in KN040.</w:t>
            </w:r>
          </w:p>
        </w:tc>
        <w:tc>
          <w:tcPr>
            <w:tcW w:w="942" w:type="pct"/>
            <w:tcBorders>
              <w:top w:val="single" w:sz="4" w:space="0" w:color="auto"/>
              <w:left w:val="single" w:sz="4" w:space="0" w:color="auto"/>
              <w:bottom w:val="single" w:sz="4" w:space="0" w:color="auto"/>
              <w:right w:val="single" w:sz="4" w:space="0" w:color="auto"/>
            </w:tcBorders>
            <w:hideMark/>
          </w:tcPr>
          <w:p w:rsidR="007A6A0A" w:rsidRPr="006F307B" w:rsidRDefault="005C339B" w:rsidP="00001421">
            <w:pPr>
              <w:pStyle w:val="TableText"/>
              <w:keepNext/>
              <w:spacing w:before="0" w:after="0" w:line="240" w:lineRule="auto"/>
            </w:pPr>
            <w:sdt>
              <w:sdtPr>
                <w:id w:val="799577751"/>
                <w14:checkbox>
                  <w14:checked w14:val="0"/>
                  <w14:checkedState w14:val="2612" w14:font="MS Gothic"/>
                  <w14:uncheckedState w14:val="2610" w14:font="MS Gothic"/>
                </w14:checkbox>
              </w:sdtPr>
              <w:sdtContent>
                <w:r w:rsidR="005A19AA">
                  <w:rPr>
                    <w:rFonts w:ascii="MS Gothic" w:eastAsia="MS Gothic" w:hAnsi="MS Gothic" w:hint="eastAsia"/>
                  </w:rPr>
                  <w:t>☐</w:t>
                </w:r>
              </w:sdtContent>
            </w:sdt>
            <w:r w:rsidR="00FF7980" w:rsidRPr="006F307B">
              <w:t xml:space="preserve"> </w:t>
            </w:r>
            <w:r w:rsidR="007A6A0A" w:rsidRPr="006F307B">
              <w:t>k=2 n=727</w:t>
            </w:r>
          </w:p>
        </w:tc>
        <w:tc>
          <w:tcPr>
            <w:tcW w:w="1386" w:type="pct"/>
            <w:tcBorders>
              <w:top w:val="single" w:sz="4" w:space="0" w:color="auto"/>
              <w:left w:val="single" w:sz="4" w:space="0" w:color="auto"/>
              <w:bottom w:val="single" w:sz="4" w:space="0" w:color="auto"/>
              <w:right w:val="single" w:sz="4" w:space="0" w:color="auto"/>
            </w:tcBorders>
            <w:hideMark/>
          </w:tcPr>
          <w:p w:rsidR="007A6A0A" w:rsidRPr="006F307B" w:rsidRDefault="007A6A0A" w:rsidP="00001421">
            <w:pPr>
              <w:pStyle w:val="TableText"/>
              <w:keepNext/>
              <w:spacing w:before="0" w:after="0" w:line="240" w:lineRule="auto"/>
            </w:pPr>
            <w:r w:rsidRPr="006F307B">
              <w:t>Full QUADAS-2 assessment in table 2.10-2, p115-116 of the submission. Overall risk of bias was moderate, as there were issues with patient population being different from the requested population, with no information about blinding of assessment and the use of response rate</w:t>
            </w:r>
            <w:r w:rsidR="005C6664" w:rsidRPr="00B74405">
              <w:t>s</w:t>
            </w:r>
            <w:r w:rsidRPr="006F307B">
              <w:t xml:space="preserve"> for reference standard. However response rate</w:t>
            </w:r>
            <w:r w:rsidR="005C6664" w:rsidRPr="006F307B">
              <w:t>s were</w:t>
            </w:r>
            <w:r w:rsidRPr="006F307B">
              <w:t xml:space="preserve"> a poor proxy for </w:t>
            </w:r>
            <w:r w:rsidR="005C6664" w:rsidRPr="006F307B">
              <w:t xml:space="preserve">a </w:t>
            </w:r>
            <w:r w:rsidRPr="006F307B">
              <w:t>reference standard</w:t>
            </w:r>
            <w:r w:rsidR="00B20557" w:rsidRPr="006F307B">
              <w:t>.</w:t>
            </w:r>
          </w:p>
        </w:tc>
      </w:tr>
      <w:tr w:rsidR="007A6A0A" w:rsidRPr="006F307B" w:rsidTr="008E5D18">
        <w:tc>
          <w:tcPr>
            <w:tcW w:w="785" w:type="pct"/>
            <w:tcBorders>
              <w:top w:val="single" w:sz="4" w:space="0" w:color="auto"/>
              <w:left w:val="single" w:sz="4" w:space="0" w:color="auto"/>
              <w:bottom w:val="single" w:sz="4" w:space="0" w:color="auto"/>
              <w:right w:val="single" w:sz="4" w:space="0" w:color="auto"/>
            </w:tcBorders>
            <w:hideMark/>
          </w:tcPr>
          <w:p w:rsidR="007A6A0A" w:rsidRPr="006F307B" w:rsidRDefault="007A6A0A" w:rsidP="00B26AC1">
            <w:pPr>
              <w:pStyle w:val="TableText"/>
              <w:spacing w:before="0" w:after="0" w:line="240" w:lineRule="auto"/>
            </w:pPr>
            <w:r w:rsidRPr="006F307B">
              <w:t>Prognostic evidence</w:t>
            </w:r>
          </w:p>
        </w:tc>
        <w:tc>
          <w:tcPr>
            <w:tcW w:w="1886" w:type="pct"/>
            <w:tcBorders>
              <w:top w:val="single" w:sz="4" w:space="0" w:color="auto"/>
              <w:left w:val="single" w:sz="4" w:space="0" w:color="auto"/>
              <w:bottom w:val="single" w:sz="4" w:space="0" w:color="auto"/>
              <w:right w:val="single" w:sz="4" w:space="0" w:color="auto"/>
            </w:tcBorders>
            <w:hideMark/>
          </w:tcPr>
          <w:p w:rsidR="007A6A0A" w:rsidRPr="006F307B" w:rsidRDefault="007A6A0A" w:rsidP="005666B7">
            <w:pPr>
              <w:pStyle w:val="TableText"/>
              <w:spacing w:before="0" w:after="0" w:line="240" w:lineRule="auto"/>
            </w:pPr>
            <w:r w:rsidRPr="006F307B">
              <w:t>Four systematic reviews – Tang 2020 (n=1729), Troiano 2019 (n=1060), Yang 2018 (n=3105) and Peng 2017 (n=1777) – which examined the relationship between PD-L1 and survival in HNSCC were identified by the submission.</w:t>
            </w:r>
          </w:p>
        </w:tc>
        <w:tc>
          <w:tcPr>
            <w:tcW w:w="942" w:type="pct"/>
            <w:tcBorders>
              <w:top w:val="single" w:sz="4" w:space="0" w:color="auto"/>
              <w:left w:val="single" w:sz="4" w:space="0" w:color="auto"/>
              <w:bottom w:val="single" w:sz="4" w:space="0" w:color="auto"/>
              <w:right w:val="single" w:sz="4" w:space="0" w:color="auto"/>
            </w:tcBorders>
            <w:hideMark/>
          </w:tcPr>
          <w:p w:rsidR="007A6A0A" w:rsidRPr="006F307B" w:rsidRDefault="005C339B" w:rsidP="00B26AC1">
            <w:pPr>
              <w:pStyle w:val="TableText"/>
              <w:spacing w:before="0" w:after="0" w:line="240" w:lineRule="auto"/>
            </w:pPr>
            <w:sdt>
              <w:sdtPr>
                <w:id w:val="2072002943"/>
                <w14:checkbox>
                  <w14:checked w14:val="0"/>
                  <w14:checkedState w14:val="2612" w14:font="MS Gothic"/>
                  <w14:uncheckedState w14:val="2610" w14:font="MS Gothic"/>
                </w14:checkbox>
              </w:sdtPr>
              <w:sdtContent>
                <w:r w:rsidR="007A6A0A" w:rsidRPr="006F307B">
                  <w:rPr>
                    <w:rFonts w:ascii="Segoe UI Symbol" w:hAnsi="Segoe UI Symbol" w:cs="Segoe UI Symbol"/>
                  </w:rPr>
                  <w:t>☐</w:t>
                </w:r>
              </w:sdtContent>
            </w:sdt>
            <w:r w:rsidR="00FF7980" w:rsidRPr="006F307B">
              <w:t xml:space="preserve"> </w:t>
            </w:r>
            <w:r w:rsidR="007A6A0A" w:rsidRPr="006F307B">
              <w:t>k=3 n=5,894</w:t>
            </w:r>
          </w:p>
        </w:tc>
        <w:tc>
          <w:tcPr>
            <w:tcW w:w="1386" w:type="pct"/>
            <w:tcBorders>
              <w:top w:val="single" w:sz="4" w:space="0" w:color="auto"/>
              <w:left w:val="single" w:sz="4" w:space="0" w:color="auto"/>
              <w:bottom w:val="single" w:sz="4" w:space="0" w:color="auto"/>
              <w:right w:val="single" w:sz="4" w:space="0" w:color="auto"/>
            </w:tcBorders>
            <w:hideMark/>
          </w:tcPr>
          <w:p w:rsidR="007A6A0A" w:rsidRPr="00B74405" w:rsidRDefault="007A6A0A" w:rsidP="005666B7">
            <w:pPr>
              <w:pStyle w:val="TableText"/>
              <w:spacing w:before="0" w:after="0" w:line="240" w:lineRule="auto"/>
            </w:pPr>
            <w:r w:rsidRPr="006F307B">
              <w:t>Risk of bias not assessed by submission. Significant overlap in the included systematic revie</w:t>
            </w:r>
            <w:r w:rsidR="00B25C17">
              <w:t>ws.</w:t>
            </w:r>
          </w:p>
        </w:tc>
      </w:tr>
      <w:tr w:rsidR="007A6A0A" w:rsidRPr="006F307B" w:rsidTr="008E5D18">
        <w:tc>
          <w:tcPr>
            <w:tcW w:w="785" w:type="pct"/>
            <w:tcBorders>
              <w:top w:val="single" w:sz="4" w:space="0" w:color="auto"/>
              <w:left w:val="single" w:sz="4" w:space="0" w:color="auto"/>
              <w:bottom w:val="single" w:sz="4" w:space="0" w:color="auto"/>
              <w:right w:val="single" w:sz="4" w:space="0" w:color="auto"/>
            </w:tcBorders>
            <w:hideMark/>
          </w:tcPr>
          <w:p w:rsidR="007A6A0A" w:rsidRPr="006F307B" w:rsidRDefault="00B25C17" w:rsidP="00B26AC1">
            <w:pPr>
              <w:pStyle w:val="TableText"/>
              <w:spacing w:before="0" w:after="0" w:line="240" w:lineRule="auto"/>
            </w:pPr>
            <w:r>
              <w:t>Change in patient management</w:t>
            </w:r>
          </w:p>
        </w:tc>
        <w:tc>
          <w:tcPr>
            <w:tcW w:w="1886" w:type="pct"/>
            <w:tcBorders>
              <w:top w:val="single" w:sz="4" w:space="0" w:color="auto"/>
              <w:left w:val="single" w:sz="4" w:space="0" w:color="auto"/>
              <w:bottom w:val="single" w:sz="4" w:space="0" w:color="auto"/>
              <w:right w:val="single" w:sz="4" w:space="0" w:color="auto"/>
            </w:tcBorders>
            <w:hideMark/>
          </w:tcPr>
          <w:p w:rsidR="007A6A0A" w:rsidRPr="006F307B" w:rsidRDefault="00B25C17" w:rsidP="00B26AC1">
            <w:pPr>
              <w:pStyle w:val="TableText"/>
              <w:spacing w:before="0" w:after="0" w:line="240" w:lineRule="auto"/>
            </w:pPr>
            <w:r>
              <w:t>Not explicitly assessed</w:t>
            </w:r>
            <w:r w:rsidR="007A6A0A" w:rsidRPr="006F307B">
              <w:t>, but CPS thresholds based on KN048 results</w:t>
            </w:r>
            <w:r>
              <w:t>.</w:t>
            </w:r>
          </w:p>
        </w:tc>
        <w:tc>
          <w:tcPr>
            <w:tcW w:w="942" w:type="pct"/>
            <w:tcBorders>
              <w:top w:val="single" w:sz="4" w:space="0" w:color="auto"/>
              <w:left w:val="single" w:sz="4" w:space="0" w:color="auto"/>
              <w:bottom w:val="single" w:sz="4" w:space="0" w:color="auto"/>
              <w:right w:val="single" w:sz="4" w:space="0" w:color="auto"/>
            </w:tcBorders>
            <w:hideMark/>
          </w:tcPr>
          <w:p w:rsidR="007A6A0A" w:rsidRPr="006F307B" w:rsidRDefault="005C339B" w:rsidP="00B26AC1">
            <w:pPr>
              <w:pStyle w:val="TableText"/>
              <w:spacing w:before="0" w:after="0" w:line="240" w:lineRule="auto"/>
            </w:pPr>
            <w:sdt>
              <w:sdtPr>
                <w:id w:val="36550714"/>
                <w14:checkbox>
                  <w14:checked w14:val="0"/>
                  <w14:checkedState w14:val="2612" w14:font="MS Gothic"/>
                  <w14:uncheckedState w14:val="2610" w14:font="MS Gothic"/>
                </w14:checkbox>
              </w:sdtPr>
              <w:sdtContent>
                <w:r w:rsidR="007A6A0A" w:rsidRPr="006F307B">
                  <w:rPr>
                    <w:rFonts w:ascii="Segoe UI Symbol" w:hAnsi="Segoe UI Symbol" w:cs="Segoe UI Symbol"/>
                  </w:rPr>
                  <w:t>☐</w:t>
                </w:r>
              </w:sdtContent>
            </w:sdt>
            <w:r w:rsidR="00FF7980" w:rsidRPr="006F307B">
              <w:t xml:space="preserve"> </w:t>
            </w:r>
            <w:r w:rsidR="007A6A0A" w:rsidRPr="006F307B">
              <w:t>k=0 n=0</w:t>
            </w:r>
          </w:p>
        </w:tc>
        <w:tc>
          <w:tcPr>
            <w:tcW w:w="1386" w:type="pct"/>
            <w:tcBorders>
              <w:top w:val="single" w:sz="4" w:space="0" w:color="auto"/>
              <w:left w:val="single" w:sz="4" w:space="0" w:color="auto"/>
              <w:bottom w:val="single" w:sz="4" w:space="0" w:color="auto"/>
              <w:right w:val="single" w:sz="4" w:space="0" w:color="auto"/>
            </w:tcBorders>
            <w:hideMark/>
          </w:tcPr>
          <w:p w:rsidR="007A6A0A" w:rsidRPr="006F307B" w:rsidRDefault="007A6A0A" w:rsidP="00B26AC1">
            <w:pPr>
              <w:pStyle w:val="TableText"/>
              <w:spacing w:before="0" w:after="0" w:line="240" w:lineRule="auto"/>
            </w:pPr>
            <w:r w:rsidRPr="006F307B">
              <w:t>NA</w:t>
            </w:r>
          </w:p>
        </w:tc>
      </w:tr>
      <w:tr w:rsidR="007A6A0A" w:rsidRPr="006F307B" w:rsidTr="008E5D18">
        <w:tc>
          <w:tcPr>
            <w:tcW w:w="785" w:type="pct"/>
            <w:tcBorders>
              <w:top w:val="single" w:sz="4" w:space="0" w:color="auto"/>
              <w:left w:val="single" w:sz="4" w:space="0" w:color="auto"/>
              <w:bottom w:val="nil"/>
              <w:right w:val="single" w:sz="4" w:space="0" w:color="auto"/>
            </w:tcBorders>
          </w:tcPr>
          <w:p w:rsidR="007A6A0A" w:rsidRPr="006F307B" w:rsidRDefault="007A6A0A" w:rsidP="00B26AC1">
            <w:pPr>
              <w:pStyle w:val="TableText"/>
              <w:spacing w:before="0" w:after="0" w:line="240" w:lineRule="auto"/>
            </w:pPr>
            <w:r w:rsidRPr="006F307B">
              <w:t xml:space="preserve">Treatment effectiveness </w:t>
            </w:r>
          </w:p>
        </w:tc>
        <w:tc>
          <w:tcPr>
            <w:tcW w:w="1886" w:type="pct"/>
            <w:tcBorders>
              <w:top w:val="single" w:sz="4" w:space="0" w:color="auto"/>
              <w:left w:val="single" w:sz="4" w:space="0" w:color="auto"/>
              <w:bottom w:val="nil"/>
              <w:right w:val="single" w:sz="4" w:space="0" w:color="auto"/>
            </w:tcBorders>
          </w:tcPr>
          <w:p w:rsidR="007A6A0A" w:rsidRPr="006F307B" w:rsidRDefault="007A6A0A" w:rsidP="00B26AC1">
            <w:pPr>
              <w:pStyle w:val="TableText"/>
              <w:spacing w:before="0" w:after="0" w:line="240" w:lineRule="auto"/>
            </w:pPr>
          </w:p>
        </w:tc>
        <w:tc>
          <w:tcPr>
            <w:tcW w:w="942" w:type="pct"/>
            <w:tcBorders>
              <w:top w:val="single" w:sz="4" w:space="0" w:color="auto"/>
              <w:left w:val="single" w:sz="4" w:space="0" w:color="auto"/>
              <w:bottom w:val="nil"/>
              <w:right w:val="single" w:sz="4" w:space="0" w:color="auto"/>
            </w:tcBorders>
          </w:tcPr>
          <w:p w:rsidR="007A6A0A" w:rsidRPr="006F307B" w:rsidRDefault="007A6A0A" w:rsidP="00B26AC1">
            <w:pPr>
              <w:pStyle w:val="TableText"/>
              <w:spacing w:before="0" w:after="0" w:line="240" w:lineRule="auto"/>
            </w:pPr>
          </w:p>
        </w:tc>
        <w:tc>
          <w:tcPr>
            <w:tcW w:w="1386" w:type="pct"/>
            <w:tcBorders>
              <w:top w:val="single" w:sz="4" w:space="0" w:color="auto"/>
              <w:left w:val="single" w:sz="4" w:space="0" w:color="auto"/>
              <w:bottom w:val="nil"/>
              <w:right w:val="single" w:sz="4" w:space="0" w:color="auto"/>
            </w:tcBorders>
          </w:tcPr>
          <w:p w:rsidR="007A6A0A" w:rsidRPr="006F307B" w:rsidRDefault="007A6A0A" w:rsidP="00B26AC1">
            <w:pPr>
              <w:pStyle w:val="TableText"/>
              <w:spacing w:before="0" w:after="0" w:line="240" w:lineRule="auto"/>
              <w:rPr>
                <w:highlight w:val="yellow"/>
              </w:rPr>
            </w:pPr>
          </w:p>
        </w:tc>
      </w:tr>
      <w:tr w:rsidR="007A6A0A" w:rsidRPr="006F307B" w:rsidTr="008E5D18">
        <w:tc>
          <w:tcPr>
            <w:tcW w:w="785" w:type="pct"/>
            <w:tcBorders>
              <w:top w:val="nil"/>
              <w:left w:val="single" w:sz="4" w:space="0" w:color="auto"/>
              <w:bottom w:val="nil"/>
              <w:right w:val="single" w:sz="4" w:space="0" w:color="auto"/>
            </w:tcBorders>
          </w:tcPr>
          <w:p w:rsidR="007A6A0A" w:rsidRPr="006F307B" w:rsidRDefault="007A6A0A" w:rsidP="00B26AC1">
            <w:pPr>
              <w:pStyle w:val="TableText"/>
              <w:spacing w:before="0" w:after="0" w:line="240" w:lineRule="auto"/>
            </w:pPr>
            <w:r w:rsidRPr="006F307B">
              <w:t>Predictive effect</w:t>
            </w:r>
          </w:p>
          <w:p w:rsidR="007A6A0A" w:rsidRPr="006F307B" w:rsidRDefault="007A6A0A" w:rsidP="00B26AC1">
            <w:pPr>
              <w:pStyle w:val="TableText"/>
              <w:spacing w:before="0" w:after="0" w:line="240" w:lineRule="auto"/>
            </w:pPr>
            <w:r w:rsidRPr="006F307B">
              <w:t>(treatment effect variation)</w:t>
            </w:r>
          </w:p>
        </w:tc>
        <w:tc>
          <w:tcPr>
            <w:tcW w:w="1886" w:type="pct"/>
            <w:tcBorders>
              <w:top w:val="nil"/>
              <w:left w:val="single" w:sz="4" w:space="0" w:color="auto"/>
              <w:bottom w:val="nil"/>
              <w:right w:val="single" w:sz="4" w:space="0" w:color="auto"/>
            </w:tcBorders>
          </w:tcPr>
          <w:p w:rsidR="007A6A0A" w:rsidRPr="006F307B" w:rsidRDefault="00B25C17">
            <w:pPr>
              <w:pStyle w:val="TableText"/>
              <w:spacing w:before="0" w:after="0" w:line="240" w:lineRule="auto"/>
            </w:pPr>
            <w:r>
              <w:t>Based on KN048 subgroups by CPS.</w:t>
            </w:r>
          </w:p>
        </w:tc>
        <w:tc>
          <w:tcPr>
            <w:tcW w:w="942" w:type="pct"/>
            <w:tcBorders>
              <w:top w:val="nil"/>
              <w:left w:val="single" w:sz="4" w:space="0" w:color="auto"/>
              <w:bottom w:val="nil"/>
              <w:right w:val="single" w:sz="4" w:space="0" w:color="auto"/>
            </w:tcBorders>
          </w:tcPr>
          <w:p w:rsidR="007A6A0A" w:rsidRPr="006F307B" w:rsidRDefault="005C339B" w:rsidP="00B25C17">
            <w:pPr>
              <w:pStyle w:val="TableText"/>
              <w:spacing w:before="0" w:after="0" w:line="240" w:lineRule="auto"/>
            </w:pPr>
            <w:sdt>
              <w:sdtPr>
                <w:id w:val="-563488848"/>
                <w14:checkbox>
                  <w14:checked w14:val="0"/>
                  <w14:checkedState w14:val="2612" w14:font="MS Gothic"/>
                  <w14:uncheckedState w14:val="2610" w14:font="MS Gothic"/>
                </w14:checkbox>
              </w:sdtPr>
              <w:sdtContent>
                <w:r w:rsidR="007A6A0A" w:rsidRPr="006F307B">
                  <w:rPr>
                    <w:rFonts w:ascii="Segoe UI Symbol" w:hAnsi="Segoe UI Symbol" w:cs="Segoe UI Symbol"/>
                  </w:rPr>
                  <w:t>☐</w:t>
                </w:r>
              </w:sdtContent>
            </w:sdt>
            <w:r w:rsidR="00FF7980" w:rsidRPr="006F307B">
              <w:t xml:space="preserve"> </w:t>
            </w:r>
            <w:r w:rsidR="007A6A0A" w:rsidRPr="006F307B">
              <w:t>k=1 n=477</w:t>
            </w:r>
          </w:p>
        </w:tc>
        <w:tc>
          <w:tcPr>
            <w:tcW w:w="1386" w:type="pct"/>
            <w:tcBorders>
              <w:top w:val="nil"/>
              <w:left w:val="single" w:sz="4" w:space="0" w:color="auto"/>
              <w:bottom w:val="nil"/>
              <w:right w:val="single" w:sz="4" w:space="0" w:color="auto"/>
            </w:tcBorders>
            <w:shd w:val="clear" w:color="auto" w:fill="auto"/>
          </w:tcPr>
          <w:p w:rsidR="007A6A0A" w:rsidRPr="00B74405" w:rsidRDefault="007A6A0A" w:rsidP="00B26AC1">
            <w:pPr>
              <w:pStyle w:val="TableText"/>
              <w:spacing w:before="0" w:after="0" w:line="240" w:lineRule="auto"/>
            </w:pPr>
            <w:r w:rsidRPr="00B74405">
              <w:t>Risk of bias possibly high as the protocol was changed from</w:t>
            </w:r>
            <w:r w:rsidR="00B25C17">
              <w:t xml:space="preserve"> measuring PD-L1 via TPS to CPS.</w:t>
            </w:r>
          </w:p>
        </w:tc>
      </w:tr>
      <w:tr w:rsidR="007A6A0A" w:rsidRPr="006F307B" w:rsidTr="008E5D18">
        <w:tc>
          <w:tcPr>
            <w:tcW w:w="785" w:type="pct"/>
            <w:tcBorders>
              <w:top w:val="nil"/>
              <w:left w:val="single" w:sz="4" w:space="0" w:color="auto"/>
              <w:bottom w:val="single" w:sz="4" w:space="0" w:color="auto"/>
              <w:right w:val="single" w:sz="4" w:space="0" w:color="auto"/>
            </w:tcBorders>
          </w:tcPr>
          <w:p w:rsidR="007A6A0A" w:rsidRPr="006F307B" w:rsidRDefault="007A6A0A" w:rsidP="00B26AC1">
            <w:pPr>
              <w:pStyle w:val="TableText"/>
              <w:spacing w:before="0" w:after="0" w:line="240" w:lineRule="auto"/>
            </w:pPr>
            <w:r w:rsidRPr="006F307B">
              <w:t>Treatment effect (enriched)</w:t>
            </w:r>
          </w:p>
        </w:tc>
        <w:tc>
          <w:tcPr>
            <w:tcW w:w="1886" w:type="pct"/>
            <w:tcBorders>
              <w:top w:val="nil"/>
              <w:left w:val="single" w:sz="4" w:space="0" w:color="auto"/>
              <w:bottom w:val="single" w:sz="4" w:space="0" w:color="auto"/>
              <w:right w:val="single" w:sz="4" w:space="0" w:color="auto"/>
            </w:tcBorders>
          </w:tcPr>
          <w:p w:rsidR="007A6A0A" w:rsidRPr="006F307B" w:rsidRDefault="007A6A0A" w:rsidP="00B26AC1">
            <w:pPr>
              <w:pStyle w:val="TableText"/>
              <w:spacing w:before="0" w:after="0" w:line="240" w:lineRule="auto"/>
            </w:pPr>
            <w:r w:rsidRPr="006F307B">
              <w:t>Based on indirect comparison of KN048 subgroups by CPS and ITT population in EXTREME</w:t>
            </w:r>
            <w:r w:rsidR="00B25C17">
              <w:t>.</w:t>
            </w:r>
          </w:p>
        </w:tc>
        <w:tc>
          <w:tcPr>
            <w:tcW w:w="942" w:type="pct"/>
            <w:tcBorders>
              <w:top w:val="nil"/>
              <w:left w:val="single" w:sz="4" w:space="0" w:color="auto"/>
              <w:bottom w:val="single" w:sz="4" w:space="0" w:color="auto"/>
              <w:right w:val="single" w:sz="4" w:space="0" w:color="auto"/>
            </w:tcBorders>
          </w:tcPr>
          <w:p w:rsidR="007A6A0A" w:rsidRPr="006F307B" w:rsidRDefault="005C339B" w:rsidP="00B26AC1">
            <w:pPr>
              <w:pStyle w:val="TableText"/>
              <w:spacing w:before="0" w:after="0" w:line="240" w:lineRule="auto"/>
            </w:pPr>
            <w:sdt>
              <w:sdtPr>
                <w:id w:val="-728537240"/>
                <w14:checkbox>
                  <w14:checked w14:val="0"/>
                  <w14:checkedState w14:val="2612" w14:font="MS Gothic"/>
                  <w14:uncheckedState w14:val="2610" w14:font="MS Gothic"/>
                </w14:checkbox>
              </w:sdtPr>
              <w:sdtContent>
                <w:r w:rsidR="007A6A0A" w:rsidRPr="006F307B">
                  <w:rPr>
                    <w:rFonts w:ascii="Segoe UI Symbol" w:hAnsi="Segoe UI Symbol" w:cs="Segoe UI Symbol"/>
                  </w:rPr>
                  <w:t>☐</w:t>
                </w:r>
              </w:sdtContent>
            </w:sdt>
            <w:r w:rsidR="00FF7980" w:rsidRPr="006F307B">
              <w:t xml:space="preserve"> </w:t>
            </w:r>
            <w:r w:rsidR="007A6A0A" w:rsidRPr="006F307B">
              <w:t>k=2 n=919</w:t>
            </w:r>
          </w:p>
        </w:tc>
        <w:tc>
          <w:tcPr>
            <w:tcW w:w="1386" w:type="pct"/>
            <w:tcBorders>
              <w:top w:val="nil"/>
              <w:left w:val="single" w:sz="4" w:space="0" w:color="auto"/>
              <w:bottom w:val="single" w:sz="4" w:space="0" w:color="auto"/>
              <w:right w:val="single" w:sz="4" w:space="0" w:color="auto"/>
            </w:tcBorders>
            <w:shd w:val="clear" w:color="auto" w:fill="auto"/>
          </w:tcPr>
          <w:p w:rsidR="007A6A0A" w:rsidRPr="006F307B" w:rsidRDefault="007A6A0A" w:rsidP="000E2320">
            <w:pPr>
              <w:pStyle w:val="TableText"/>
              <w:spacing w:before="0" w:after="0" w:line="240" w:lineRule="auto"/>
            </w:pPr>
            <w:r w:rsidRPr="006F307B">
              <w:t>Risk of bias possibly high due to indirect comparison</w:t>
            </w:r>
            <w:r w:rsidR="000E2320" w:rsidRPr="006F307B">
              <w:t>.</w:t>
            </w:r>
          </w:p>
        </w:tc>
      </w:tr>
    </w:tbl>
    <w:p w:rsidR="007A6A0A" w:rsidRPr="006F307B" w:rsidRDefault="00ED436C" w:rsidP="007A6A0A">
      <w:pPr>
        <w:pStyle w:val="TableFooter"/>
      </w:pPr>
      <w:r>
        <w:t xml:space="preserve">Abbreviations: </w:t>
      </w:r>
      <w:r w:rsidR="007A6A0A" w:rsidRPr="006F307B">
        <w:t>k</w:t>
      </w:r>
      <w:r>
        <w:t xml:space="preserve"> </w:t>
      </w:r>
      <w:r w:rsidR="007A6A0A" w:rsidRPr="006F307B">
        <w:t>=number of studies, n</w:t>
      </w:r>
      <w:r>
        <w:t xml:space="preserve"> </w:t>
      </w:r>
      <w:r w:rsidR="007A6A0A" w:rsidRPr="006F307B">
        <w:t>=</w:t>
      </w:r>
      <w:r>
        <w:t xml:space="preserve"> </w:t>
      </w:r>
      <w:r w:rsidR="007A6A0A" w:rsidRPr="006F307B">
        <w:t>number of patients.</w:t>
      </w:r>
    </w:p>
    <w:p w:rsidR="00C8369D" w:rsidRPr="006F307B" w:rsidRDefault="007A6A0A" w:rsidP="007A6A0A">
      <w:pPr>
        <w:pStyle w:val="TableFooter"/>
      </w:pPr>
      <w:r w:rsidRPr="006F307B">
        <w:t xml:space="preserve">Source: </w:t>
      </w:r>
      <w:r w:rsidR="004C46AE" w:rsidRPr="006F307B">
        <w:t>Constructed</w:t>
      </w:r>
      <w:r w:rsidRPr="006F307B">
        <w:t xml:space="preserve"> during evaluation</w:t>
      </w:r>
    </w:p>
    <w:p w:rsidR="007A6A0A" w:rsidRPr="006F307B" w:rsidRDefault="007A6A0A" w:rsidP="007A6A0A">
      <w:pPr>
        <w:pStyle w:val="ListParagraph"/>
      </w:pPr>
      <w:r w:rsidRPr="006F307B">
        <w:t xml:space="preserve">The data available to inform the comparison are summarised in Table 3, which was primarily based </w:t>
      </w:r>
      <w:r w:rsidR="007B7E8E" w:rsidRPr="006F307B">
        <w:t xml:space="preserve">on </w:t>
      </w:r>
      <w:r w:rsidRPr="006F307B">
        <w:t>KN048.</w:t>
      </w:r>
      <w:r w:rsidR="00E37F73" w:rsidRPr="006F307B">
        <w:t xml:space="preserve"> The PBAC noted that a total of 14 hypotheses, based on a combination of</w:t>
      </w:r>
      <w:r w:rsidR="00964FD7" w:rsidRPr="006F307B">
        <w:t xml:space="preserve"> </w:t>
      </w:r>
      <w:r w:rsidR="00593978">
        <w:t>overall survival or progression-</w:t>
      </w:r>
      <w:r w:rsidR="00964FD7" w:rsidRPr="006F307B">
        <w:t>free survival</w:t>
      </w:r>
      <w:r w:rsidR="00E37F73" w:rsidRPr="006F307B">
        <w:t xml:space="preserve"> outcomes in</w:t>
      </w:r>
      <w:r w:rsidR="00964FD7" w:rsidRPr="006F307B">
        <w:t xml:space="preserve"> the</w:t>
      </w:r>
      <w:r w:rsidR="00E37F73" w:rsidRPr="006F307B">
        <w:t xml:space="preserve"> ITT </w:t>
      </w:r>
      <w:r w:rsidR="006562DA" w:rsidRPr="006F307B">
        <w:t xml:space="preserve">population </w:t>
      </w:r>
      <w:r w:rsidR="00E37F73" w:rsidRPr="006F307B">
        <w:t>or s</w:t>
      </w:r>
      <w:r w:rsidR="00555D45">
        <w:t>ubgroups, were tested in KN048.</w:t>
      </w:r>
    </w:p>
    <w:p w:rsidR="0031644D" w:rsidRDefault="0031644D">
      <w:pPr>
        <w:spacing w:before="0" w:line="259" w:lineRule="auto"/>
        <w:jc w:val="left"/>
        <w:rPr>
          <w:rFonts w:ascii="Arial Narrow" w:hAnsi="Arial Narrow"/>
          <w:b/>
          <w:iCs/>
          <w:sz w:val="20"/>
          <w:szCs w:val="18"/>
        </w:rPr>
      </w:pPr>
      <w:r>
        <w:br w:type="page"/>
      </w:r>
    </w:p>
    <w:p w:rsidR="007A6A0A" w:rsidRPr="006F307B" w:rsidRDefault="007A6A0A" w:rsidP="00F86BC8">
      <w:pPr>
        <w:pStyle w:val="Caption"/>
      </w:pPr>
      <w:r w:rsidRPr="006F307B">
        <w:lastRenderedPageBreak/>
        <w:t>Table 3</w:t>
      </w:r>
      <w:r w:rsidR="006562DA" w:rsidRPr="006F307B">
        <w:t xml:space="preserve">: </w:t>
      </w:r>
      <w:r w:rsidRPr="006F307B">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497"/>
        <w:gridCol w:w="3689"/>
      </w:tblGrid>
      <w:tr w:rsidR="007A6A0A" w:rsidRPr="006F307B" w:rsidTr="00B26AC1">
        <w:tc>
          <w:tcPr>
            <w:tcW w:w="1569"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pPr>
            <w:r w:rsidRPr="006F307B">
              <w:t>Proposed test vs no test</w:t>
            </w:r>
          </w:p>
        </w:tc>
        <w:tc>
          <w:tcPr>
            <w:tcW w:w="3431" w:type="pct"/>
            <w:gridSpan w:val="2"/>
            <w:tcBorders>
              <w:top w:val="single" w:sz="4" w:space="0" w:color="000000"/>
              <w:left w:val="single" w:sz="4" w:space="0" w:color="000000"/>
              <w:bottom w:val="single" w:sz="4" w:space="0" w:color="000000"/>
              <w:right w:val="single" w:sz="4" w:space="0" w:color="000000"/>
            </w:tcBorders>
            <w:hideMark/>
          </w:tcPr>
          <w:p w:rsidR="007A6A0A" w:rsidRPr="006F307B" w:rsidRDefault="00ED436C" w:rsidP="00B26AC1">
            <w:pPr>
              <w:pStyle w:val="TableText"/>
              <w:rPr>
                <w:b/>
              </w:rPr>
            </w:pPr>
            <w:r>
              <w:t>Subgroup analysis of KN048</w:t>
            </w:r>
          </w:p>
        </w:tc>
      </w:tr>
      <w:tr w:rsidR="007A6A0A" w:rsidRPr="006F307B" w:rsidTr="00B26AC1">
        <w:tc>
          <w:tcPr>
            <w:tcW w:w="1569"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pPr>
            <w:r w:rsidRPr="006F307B">
              <w:t>Proposed test vs alternative test</w:t>
            </w:r>
          </w:p>
        </w:tc>
        <w:tc>
          <w:tcPr>
            <w:tcW w:w="3431" w:type="pct"/>
            <w:gridSpan w:val="2"/>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rPr>
                <w:b/>
              </w:rPr>
            </w:pPr>
            <w:r w:rsidRPr="006F307B">
              <w:t>NA</w:t>
            </w:r>
          </w:p>
        </w:tc>
      </w:tr>
      <w:tr w:rsidR="007A6A0A" w:rsidRPr="006F307B" w:rsidTr="00B26AC1">
        <w:tc>
          <w:tcPr>
            <w:tcW w:w="1569" w:type="pct"/>
            <w:tcBorders>
              <w:top w:val="single" w:sz="4" w:space="0" w:color="000000"/>
              <w:left w:val="single" w:sz="4" w:space="0" w:color="000000"/>
              <w:bottom w:val="single" w:sz="4" w:space="0" w:color="000000"/>
              <w:right w:val="single" w:sz="4" w:space="0" w:color="000000"/>
            </w:tcBorders>
          </w:tcPr>
          <w:p w:rsidR="007A6A0A" w:rsidRPr="006F307B" w:rsidRDefault="007A6A0A" w:rsidP="00B26AC1">
            <w:pPr>
              <w:pStyle w:val="TableText"/>
            </w:pPr>
          </w:p>
        </w:tc>
        <w:tc>
          <w:tcPr>
            <w:tcW w:w="1385"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rPr>
                <w:b/>
              </w:rPr>
            </w:pPr>
            <w:r w:rsidRPr="006F307B">
              <w:rPr>
                <w:b/>
              </w:rPr>
              <w:t>Pembrolizumab</w:t>
            </w:r>
          </w:p>
        </w:tc>
        <w:tc>
          <w:tcPr>
            <w:tcW w:w="2046"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rPr>
                <w:b/>
              </w:rPr>
            </w:pPr>
            <w:r w:rsidRPr="006F307B">
              <w:rPr>
                <w:b/>
              </w:rPr>
              <w:t>Chemotherapy alone</w:t>
            </w:r>
          </w:p>
        </w:tc>
      </w:tr>
      <w:tr w:rsidR="007A6A0A" w:rsidRPr="006F307B" w:rsidTr="00B26AC1">
        <w:tc>
          <w:tcPr>
            <w:tcW w:w="1569"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pPr>
            <w:r w:rsidRPr="006F307B">
              <w:t>Biomarker test positive</w:t>
            </w:r>
          </w:p>
        </w:tc>
        <w:tc>
          <w:tcPr>
            <w:tcW w:w="1385"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pPr>
            <w:r w:rsidRPr="006F307B">
              <w:t>KN048</w:t>
            </w:r>
          </w:p>
        </w:tc>
        <w:tc>
          <w:tcPr>
            <w:tcW w:w="2046"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pPr>
            <w:r w:rsidRPr="006F307B">
              <w:t>Unknown*</w:t>
            </w:r>
          </w:p>
        </w:tc>
      </w:tr>
      <w:tr w:rsidR="007A6A0A" w:rsidRPr="006F307B" w:rsidTr="00B26AC1">
        <w:tc>
          <w:tcPr>
            <w:tcW w:w="1569"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pPr>
            <w:r w:rsidRPr="006F307B">
              <w:t>Biomarker test negative</w:t>
            </w:r>
            <w:r w:rsidRPr="006F307B">
              <w:rPr>
                <w:b/>
              </w:rPr>
              <w:t xml:space="preserve"> </w:t>
            </w:r>
          </w:p>
        </w:tc>
        <w:tc>
          <w:tcPr>
            <w:tcW w:w="1385"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pPr>
            <w:r w:rsidRPr="006F307B">
              <w:t>KN048</w:t>
            </w:r>
          </w:p>
        </w:tc>
        <w:tc>
          <w:tcPr>
            <w:tcW w:w="2046" w:type="pct"/>
            <w:tcBorders>
              <w:top w:val="single" w:sz="4" w:space="0" w:color="000000"/>
              <w:left w:val="single" w:sz="4" w:space="0" w:color="000000"/>
              <w:bottom w:val="single" w:sz="4" w:space="0" w:color="000000"/>
              <w:right w:val="single" w:sz="4" w:space="0" w:color="000000"/>
            </w:tcBorders>
            <w:hideMark/>
          </w:tcPr>
          <w:p w:rsidR="007A6A0A" w:rsidRPr="006F307B" w:rsidRDefault="007A6A0A" w:rsidP="00B26AC1">
            <w:pPr>
              <w:pStyle w:val="TableText"/>
            </w:pPr>
            <w:r w:rsidRPr="006F307B">
              <w:t>Unknown*</w:t>
            </w:r>
          </w:p>
        </w:tc>
      </w:tr>
    </w:tbl>
    <w:p w:rsidR="007A6A0A" w:rsidRPr="006F307B" w:rsidRDefault="007A6A0A" w:rsidP="007A6A0A">
      <w:pPr>
        <w:pStyle w:val="TableFooter"/>
        <w:spacing w:after="0"/>
      </w:pPr>
      <w:r w:rsidRPr="006F307B">
        <w:t>Source: constructed during evaluation</w:t>
      </w:r>
    </w:p>
    <w:p w:rsidR="007A6A0A" w:rsidRPr="006F307B" w:rsidRDefault="007A6A0A" w:rsidP="007A6A0A">
      <w:pPr>
        <w:tabs>
          <w:tab w:val="left" w:pos="284"/>
        </w:tabs>
        <w:spacing w:before="0" w:after="240"/>
        <w:ind w:left="720" w:hanging="720"/>
      </w:pPr>
      <w:r w:rsidRPr="006F307B">
        <w:t>*</w:t>
      </w:r>
      <w:r w:rsidRPr="006F307B">
        <w:rPr>
          <w:rFonts w:ascii="Arial Narrow" w:eastAsia="Times New Roman" w:hAnsi="Arial Narrow" w:cs="Arial"/>
          <w:snapToGrid w:val="0"/>
          <w:sz w:val="18"/>
          <w:szCs w:val="20"/>
        </w:rPr>
        <w:tab/>
        <w:t>The CPS status for patients enrolled in EXTREME, which was used in the indirect comparison with KN048, were unknown.</w:t>
      </w:r>
    </w:p>
    <w:p w:rsidR="0099312E" w:rsidRPr="006F307B" w:rsidRDefault="0099312E" w:rsidP="0099312E">
      <w:pPr>
        <w:pStyle w:val="ListParagraph"/>
      </w:pPr>
      <w:r w:rsidRPr="006F307B">
        <w:t>Details of the trials presented in the submission a</w:t>
      </w:r>
      <w:r w:rsidR="00555D45">
        <w:t>re provided in the Table below.</w:t>
      </w:r>
    </w:p>
    <w:p w:rsidR="0099312E" w:rsidRPr="006F307B" w:rsidRDefault="0099312E" w:rsidP="0099312E">
      <w:pPr>
        <w:pStyle w:val="Caption"/>
      </w:pPr>
      <w:r w:rsidRPr="006F307B">
        <w:t>Table</w:t>
      </w:r>
      <w:r w:rsidR="006F307B">
        <w:t xml:space="preserve"> </w:t>
      </w:r>
      <w:r w:rsidRPr="007278E9">
        <w:t>4:</w:t>
      </w:r>
      <w:r w:rsidRPr="006F307B">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0"/>
        <w:gridCol w:w="3538"/>
        <w:gridCol w:w="3758"/>
      </w:tblGrid>
      <w:tr w:rsidR="0099312E" w:rsidRPr="006F307B" w:rsidTr="00C30487">
        <w:tc>
          <w:tcPr>
            <w:tcW w:w="954" w:type="pct"/>
            <w:vAlign w:val="bottom"/>
          </w:tcPr>
          <w:p w:rsidR="0099312E" w:rsidRPr="006F307B" w:rsidRDefault="0099312E" w:rsidP="00C30487">
            <w:pPr>
              <w:pStyle w:val="TableText"/>
              <w:keepNext/>
              <w:rPr>
                <w:b/>
              </w:rPr>
            </w:pPr>
            <w:r w:rsidRPr="006F307B">
              <w:rPr>
                <w:b/>
              </w:rPr>
              <w:t>Trial ID</w:t>
            </w:r>
          </w:p>
        </w:tc>
        <w:tc>
          <w:tcPr>
            <w:tcW w:w="1962" w:type="pct"/>
            <w:vAlign w:val="bottom"/>
          </w:tcPr>
          <w:p w:rsidR="0099312E" w:rsidRPr="006F307B" w:rsidRDefault="0099312E" w:rsidP="00C30487">
            <w:pPr>
              <w:pStyle w:val="TableText"/>
              <w:keepNext/>
              <w:jc w:val="center"/>
              <w:rPr>
                <w:b/>
              </w:rPr>
            </w:pPr>
            <w:r w:rsidRPr="006F307B">
              <w:rPr>
                <w:b/>
              </w:rPr>
              <w:t>Protocol title/ Publication title</w:t>
            </w:r>
          </w:p>
        </w:tc>
        <w:tc>
          <w:tcPr>
            <w:tcW w:w="2084" w:type="pct"/>
            <w:vAlign w:val="bottom"/>
          </w:tcPr>
          <w:p w:rsidR="0099312E" w:rsidRPr="006F307B" w:rsidRDefault="0099312E" w:rsidP="00C30487">
            <w:pPr>
              <w:pStyle w:val="TableText"/>
              <w:keepNext/>
              <w:jc w:val="center"/>
              <w:rPr>
                <w:b/>
              </w:rPr>
            </w:pPr>
            <w:r w:rsidRPr="006F307B">
              <w:rPr>
                <w:b/>
              </w:rPr>
              <w:t>Publication citation</w:t>
            </w:r>
          </w:p>
        </w:tc>
      </w:tr>
      <w:tr w:rsidR="0099312E" w:rsidRPr="006F307B" w:rsidTr="00C30487">
        <w:tc>
          <w:tcPr>
            <w:tcW w:w="5000" w:type="pct"/>
            <w:gridSpan w:val="3"/>
            <w:tcBorders>
              <w:bottom w:val="single" w:sz="4" w:space="0" w:color="auto"/>
            </w:tcBorders>
          </w:tcPr>
          <w:p w:rsidR="0099312E" w:rsidRPr="006F307B" w:rsidRDefault="0099312E" w:rsidP="00C30487">
            <w:pPr>
              <w:pStyle w:val="TableText"/>
              <w:keepNext/>
              <w:rPr>
                <w:b/>
                <w:bCs/>
              </w:rPr>
            </w:pPr>
            <w:r w:rsidRPr="006F307B">
              <w:rPr>
                <w:b/>
                <w:bCs/>
              </w:rPr>
              <w:t>Pembrolizumab (± chemotherapy) versus cetuximab plus chemotherapy</w:t>
            </w:r>
          </w:p>
        </w:tc>
      </w:tr>
      <w:tr w:rsidR="0099312E" w:rsidRPr="006F307B" w:rsidTr="00C30487">
        <w:tc>
          <w:tcPr>
            <w:tcW w:w="954" w:type="pct"/>
            <w:tcBorders>
              <w:bottom w:val="nil"/>
            </w:tcBorders>
          </w:tcPr>
          <w:p w:rsidR="0099312E" w:rsidRPr="006F307B" w:rsidRDefault="0099312E" w:rsidP="00C30487">
            <w:pPr>
              <w:pStyle w:val="TableText"/>
              <w:keepNext/>
            </w:pPr>
            <w:r w:rsidRPr="006F307B">
              <w:t>KN048</w:t>
            </w:r>
          </w:p>
        </w:tc>
        <w:tc>
          <w:tcPr>
            <w:tcW w:w="1962" w:type="pct"/>
            <w:tcBorders>
              <w:bottom w:val="nil"/>
            </w:tcBorders>
          </w:tcPr>
          <w:p w:rsidR="0099312E" w:rsidRPr="006F307B" w:rsidRDefault="0099312E" w:rsidP="00C30487">
            <w:pPr>
              <w:pStyle w:val="TableText"/>
              <w:keepNext/>
            </w:pPr>
            <w:r w:rsidRPr="006F307B">
              <w:t>A Study of Pembrolizumab (MK-3475) for First Line Treatment of Recurrent or Metastatic Squamous Cell Cancer of the Head and Neck (MK-3475-048/KEYNOTE-048)</w:t>
            </w:r>
          </w:p>
        </w:tc>
        <w:tc>
          <w:tcPr>
            <w:tcW w:w="2084" w:type="pct"/>
            <w:tcBorders>
              <w:bottom w:val="nil"/>
            </w:tcBorders>
          </w:tcPr>
          <w:p w:rsidR="0099312E" w:rsidRPr="006F307B" w:rsidRDefault="0099312E" w:rsidP="00C30487">
            <w:pPr>
              <w:pStyle w:val="TableText"/>
              <w:keepNext/>
            </w:pPr>
            <w:r w:rsidRPr="006F307B">
              <w:t>22 July 2019</w:t>
            </w:r>
          </w:p>
        </w:tc>
      </w:tr>
      <w:tr w:rsidR="0099312E" w:rsidRPr="006F307B" w:rsidTr="00C30487">
        <w:tc>
          <w:tcPr>
            <w:tcW w:w="954" w:type="pct"/>
            <w:tcBorders>
              <w:top w:val="nil"/>
            </w:tcBorders>
          </w:tcPr>
          <w:p w:rsidR="0099312E" w:rsidRPr="006F307B" w:rsidRDefault="0099312E" w:rsidP="00C30487">
            <w:pPr>
              <w:pStyle w:val="TableText"/>
              <w:keepNext/>
            </w:pPr>
          </w:p>
        </w:tc>
        <w:tc>
          <w:tcPr>
            <w:tcW w:w="1962" w:type="pct"/>
            <w:tcBorders>
              <w:top w:val="nil"/>
            </w:tcBorders>
          </w:tcPr>
          <w:p w:rsidR="0099312E" w:rsidRPr="006F307B" w:rsidRDefault="0099312E" w:rsidP="00C30487">
            <w:pPr>
              <w:pStyle w:val="TableText"/>
              <w:keepNext/>
            </w:pPr>
            <w:r w:rsidRPr="006F307B">
              <w:t>Pembrolizumab alone or with chemotherapy versus cetuximab with chemotherapy for recurrent or metastatic squamous cell carcinoma of the head and neck (KEYNOTE-048): a randomised, open-label, phase 3 study</w:t>
            </w:r>
          </w:p>
        </w:tc>
        <w:tc>
          <w:tcPr>
            <w:tcW w:w="2084" w:type="pct"/>
            <w:tcBorders>
              <w:top w:val="nil"/>
            </w:tcBorders>
          </w:tcPr>
          <w:p w:rsidR="0099312E" w:rsidRPr="006F307B" w:rsidRDefault="0099312E" w:rsidP="00C30487">
            <w:pPr>
              <w:pStyle w:val="TableText"/>
              <w:keepNext/>
            </w:pPr>
            <w:r w:rsidRPr="006F307B">
              <w:t>Lancet. 2019;394(10212):1915-1928.</w:t>
            </w:r>
          </w:p>
        </w:tc>
      </w:tr>
      <w:tr w:rsidR="0099312E" w:rsidRPr="006F307B" w:rsidTr="00C30487">
        <w:trPr>
          <w:trHeight w:val="217"/>
        </w:trPr>
        <w:tc>
          <w:tcPr>
            <w:tcW w:w="5000" w:type="pct"/>
            <w:gridSpan w:val="3"/>
          </w:tcPr>
          <w:p w:rsidR="0099312E" w:rsidRPr="006F307B" w:rsidRDefault="0099312E" w:rsidP="00C30487">
            <w:pPr>
              <w:pStyle w:val="TableText"/>
              <w:keepNext/>
              <w:rPr>
                <w:b/>
                <w:bCs/>
              </w:rPr>
            </w:pPr>
            <w:r w:rsidRPr="006F307B">
              <w:rPr>
                <w:b/>
                <w:bCs/>
              </w:rPr>
              <w:t xml:space="preserve">Cetuximab plus chemotherapy versus chemotherapy alone </w:t>
            </w:r>
          </w:p>
        </w:tc>
      </w:tr>
      <w:tr w:rsidR="0099312E" w:rsidRPr="006F307B" w:rsidTr="00C30487">
        <w:tc>
          <w:tcPr>
            <w:tcW w:w="954" w:type="pct"/>
          </w:tcPr>
          <w:p w:rsidR="0099312E" w:rsidRPr="006F307B" w:rsidRDefault="0099312E" w:rsidP="00C30487">
            <w:pPr>
              <w:pStyle w:val="TableText"/>
              <w:keepNext/>
            </w:pPr>
            <w:r w:rsidRPr="006F307B">
              <w:t>EXTREME</w:t>
            </w:r>
          </w:p>
        </w:tc>
        <w:tc>
          <w:tcPr>
            <w:tcW w:w="1962" w:type="pct"/>
          </w:tcPr>
          <w:p w:rsidR="0099312E" w:rsidRPr="006F307B" w:rsidRDefault="0099312E" w:rsidP="00C30487">
            <w:pPr>
              <w:pStyle w:val="TableText"/>
              <w:keepNext/>
            </w:pPr>
            <w:r w:rsidRPr="006F307B">
              <w:t>Vermorken JB, Mesia R, Rivera F et al. Platinum-Based Chemotherapy plus Cetuximab in Head and Neck Cancer</w:t>
            </w:r>
          </w:p>
        </w:tc>
        <w:tc>
          <w:tcPr>
            <w:tcW w:w="2084" w:type="pct"/>
          </w:tcPr>
          <w:p w:rsidR="0099312E" w:rsidRPr="006F307B" w:rsidRDefault="0099312E" w:rsidP="00C30487">
            <w:pPr>
              <w:pStyle w:val="TableText"/>
              <w:keepNext/>
            </w:pPr>
            <w:r w:rsidRPr="006F307B">
              <w:t>New England Journal of Medicine (2008) 359:11 (1116-1127).</w:t>
            </w:r>
          </w:p>
        </w:tc>
      </w:tr>
    </w:tbl>
    <w:p w:rsidR="0099312E" w:rsidRPr="006F307B" w:rsidRDefault="0099312E" w:rsidP="0099312E">
      <w:pPr>
        <w:pStyle w:val="TableFooter"/>
      </w:pPr>
      <w:r w:rsidRPr="006F307B">
        <w:t>Source: Tab</w:t>
      </w:r>
      <w:r w:rsidR="00555D45">
        <w:t>le 2.2-1, p37 of the submission</w:t>
      </w:r>
    </w:p>
    <w:p w:rsidR="0099312E" w:rsidRPr="00555D45" w:rsidRDefault="0099312E" w:rsidP="008E5D18">
      <w:pPr>
        <w:pStyle w:val="ListParagraph"/>
        <w:rPr>
          <w:color w:val="auto"/>
        </w:rPr>
      </w:pPr>
      <w:r w:rsidRPr="006F307B">
        <w:t>The key features of the included trials are summarised in the table below.</w:t>
      </w:r>
    </w:p>
    <w:p w:rsidR="0099312E" w:rsidRPr="006F307B" w:rsidRDefault="0099312E" w:rsidP="0099312E">
      <w:pPr>
        <w:pStyle w:val="Caption"/>
      </w:pPr>
      <w:r w:rsidRPr="006F307B">
        <w:lastRenderedPageBreak/>
        <w:t xml:space="preserve">Table </w:t>
      </w:r>
      <w:r w:rsidRPr="007278E9">
        <w:t>5</w:t>
      </w:r>
      <w:r w:rsidRPr="006F307B">
        <w:t xml:space="preserve">: Key features of the included evidence – indirect comparison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5"/>
        <w:gridCol w:w="748"/>
        <w:gridCol w:w="1911"/>
        <w:gridCol w:w="2622"/>
        <w:gridCol w:w="1205"/>
        <w:gridCol w:w="1325"/>
      </w:tblGrid>
      <w:tr w:rsidR="0099312E" w:rsidRPr="006F307B" w:rsidTr="00C30487">
        <w:tc>
          <w:tcPr>
            <w:tcW w:w="668" w:type="pct"/>
            <w:tcBorders>
              <w:top w:val="single" w:sz="4" w:space="0" w:color="auto"/>
              <w:left w:val="single" w:sz="4" w:space="0" w:color="auto"/>
              <w:bottom w:val="single" w:sz="4" w:space="0" w:color="auto"/>
              <w:right w:val="single" w:sz="4" w:space="0" w:color="auto"/>
            </w:tcBorders>
            <w:vAlign w:val="bottom"/>
            <w:hideMark/>
          </w:tcPr>
          <w:p w:rsidR="0099312E" w:rsidRPr="006F307B" w:rsidRDefault="0099312E" w:rsidP="00C30487">
            <w:pPr>
              <w:pStyle w:val="TableText"/>
              <w:keepNext/>
              <w:keepLines/>
              <w:rPr>
                <w:b/>
              </w:rPr>
            </w:pPr>
            <w:r w:rsidRPr="006F307B">
              <w:rPr>
                <w:b/>
              </w:rPr>
              <w:t>Trial</w:t>
            </w:r>
          </w:p>
        </w:tc>
        <w:tc>
          <w:tcPr>
            <w:tcW w:w="415" w:type="pct"/>
            <w:tcBorders>
              <w:top w:val="single" w:sz="4" w:space="0" w:color="auto"/>
              <w:left w:val="single" w:sz="4" w:space="0" w:color="auto"/>
              <w:bottom w:val="single" w:sz="4" w:space="0" w:color="auto"/>
              <w:right w:val="single" w:sz="4" w:space="0" w:color="auto"/>
            </w:tcBorders>
            <w:vAlign w:val="bottom"/>
            <w:hideMark/>
          </w:tcPr>
          <w:p w:rsidR="0099312E" w:rsidRPr="006F307B" w:rsidRDefault="0099312E" w:rsidP="00C30487">
            <w:pPr>
              <w:pStyle w:val="TableText"/>
              <w:keepNext/>
              <w:keepLines/>
              <w:rPr>
                <w:b/>
              </w:rPr>
            </w:pPr>
            <w:r w:rsidRPr="006F307B">
              <w:rPr>
                <w:b/>
              </w:rPr>
              <w:t>N</w:t>
            </w:r>
          </w:p>
        </w:tc>
        <w:tc>
          <w:tcPr>
            <w:tcW w:w="1060" w:type="pct"/>
            <w:tcBorders>
              <w:top w:val="single" w:sz="4" w:space="0" w:color="auto"/>
              <w:left w:val="single" w:sz="4" w:space="0" w:color="auto"/>
              <w:bottom w:val="single" w:sz="4" w:space="0" w:color="auto"/>
              <w:right w:val="single" w:sz="4" w:space="0" w:color="auto"/>
            </w:tcBorders>
            <w:vAlign w:val="bottom"/>
            <w:hideMark/>
          </w:tcPr>
          <w:p w:rsidR="0099312E" w:rsidRPr="006F307B" w:rsidRDefault="0099312E" w:rsidP="00C30487">
            <w:pPr>
              <w:pStyle w:val="TableText"/>
              <w:keepNext/>
              <w:keepLines/>
              <w:rPr>
                <w:b/>
              </w:rPr>
            </w:pPr>
            <w:r w:rsidRPr="006F307B">
              <w:rPr>
                <w:b/>
              </w:rPr>
              <w:t>Design, median follow up</w:t>
            </w:r>
          </w:p>
        </w:tc>
        <w:tc>
          <w:tcPr>
            <w:tcW w:w="1454" w:type="pct"/>
            <w:tcBorders>
              <w:top w:val="single" w:sz="4" w:space="0" w:color="auto"/>
              <w:left w:val="single" w:sz="4" w:space="0" w:color="auto"/>
              <w:bottom w:val="single" w:sz="4" w:space="0" w:color="auto"/>
              <w:right w:val="single" w:sz="4" w:space="0" w:color="auto"/>
            </w:tcBorders>
            <w:vAlign w:val="bottom"/>
            <w:hideMark/>
          </w:tcPr>
          <w:p w:rsidR="0099312E" w:rsidRPr="006F307B" w:rsidRDefault="0099312E" w:rsidP="00C30487">
            <w:pPr>
              <w:pStyle w:val="TableText"/>
              <w:keepNext/>
              <w:keepLines/>
              <w:rPr>
                <w:b/>
              </w:rPr>
            </w:pPr>
            <w:r w:rsidRPr="006F307B">
              <w:rPr>
                <w:b/>
              </w:rPr>
              <w:t>Patient population</w:t>
            </w:r>
          </w:p>
        </w:tc>
        <w:tc>
          <w:tcPr>
            <w:tcW w:w="668" w:type="pct"/>
            <w:tcBorders>
              <w:top w:val="single" w:sz="4" w:space="0" w:color="auto"/>
              <w:left w:val="single" w:sz="4" w:space="0" w:color="auto"/>
              <w:bottom w:val="single" w:sz="4" w:space="0" w:color="auto"/>
              <w:right w:val="single" w:sz="4" w:space="0" w:color="auto"/>
            </w:tcBorders>
            <w:vAlign w:val="bottom"/>
            <w:hideMark/>
          </w:tcPr>
          <w:p w:rsidR="0099312E" w:rsidRPr="006F307B" w:rsidRDefault="0099312E" w:rsidP="00C30487">
            <w:pPr>
              <w:pStyle w:val="TableText"/>
              <w:keepNext/>
              <w:keepLines/>
              <w:rPr>
                <w:b/>
              </w:rPr>
            </w:pPr>
            <w:r w:rsidRPr="006F307B">
              <w:rPr>
                <w:b/>
              </w:rPr>
              <w:t>Outcome(s)</w:t>
            </w:r>
          </w:p>
        </w:tc>
        <w:tc>
          <w:tcPr>
            <w:tcW w:w="735" w:type="pct"/>
            <w:tcBorders>
              <w:top w:val="single" w:sz="4" w:space="0" w:color="auto"/>
              <w:left w:val="single" w:sz="4" w:space="0" w:color="auto"/>
              <w:bottom w:val="single" w:sz="4" w:space="0" w:color="auto"/>
              <w:right w:val="single" w:sz="4" w:space="0" w:color="auto"/>
            </w:tcBorders>
            <w:vAlign w:val="bottom"/>
            <w:hideMark/>
          </w:tcPr>
          <w:p w:rsidR="0099312E" w:rsidRPr="006F307B" w:rsidRDefault="0099312E" w:rsidP="00C30487">
            <w:pPr>
              <w:pStyle w:val="TableText"/>
              <w:keepNext/>
              <w:keepLines/>
              <w:rPr>
                <w:b/>
              </w:rPr>
            </w:pPr>
            <w:r w:rsidRPr="006F307B">
              <w:rPr>
                <w:b/>
              </w:rPr>
              <w:t>Use in modelled evaluation</w:t>
            </w:r>
          </w:p>
        </w:tc>
      </w:tr>
      <w:tr w:rsidR="0099312E" w:rsidRPr="006F307B" w:rsidTr="00C30487">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9312E" w:rsidRPr="006F307B" w:rsidRDefault="0099312E" w:rsidP="00C30487">
            <w:pPr>
              <w:pStyle w:val="TableText"/>
              <w:keepNext/>
              <w:keepLines/>
              <w:rPr>
                <w:highlight w:val="cyan"/>
              </w:rPr>
            </w:pPr>
            <w:r w:rsidRPr="006F307B">
              <w:t xml:space="preserve">Pembrolizumab ± chemotherapy vs cetuximab plus chemotherapy </w:t>
            </w:r>
          </w:p>
        </w:tc>
      </w:tr>
      <w:tr w:rsidR="0099312E" w:rsidRPr="006F307B" w:rsidTr="00C30487">
        <w:tc>
          <w:tcPr>
            <w:tcW w:w="668" w:type="pct"/>
            <w:tcBorders>
              <w:top w:val="single" w:sz="4" w:space="0" w:color="auto"/>
              <w:left w:val="single" w:sz="4" w:space="0" w:color="auto"/>
              <w:bottom w:val="single" w:sz="4" w:space="0" w:color="auto"/>
              <w:right w:val="single" w:sz="4" w:space="0" w:color="auto"/>
            </w:tcBorders>
            <w:vAlign w:val="center"/>
            <w:hideMark/>
          </w:tcPr>
          <w:p w:rsidR="0099312E" w:rsidRPr="006F307B" w:rsidRDefault="0099312E" w:rsidP="00C30487">
            <w:pPr>
              <w:pStyle w:val="TableText"/>
              <w:keepNext/>
              <w:keepLines/>
            </w:pPr>
            <w:r w:rsidRPr="006F307B">
              <w:t>KN048</w:t>
            </w:r>
          </w:p>
        </w:tc>
        <w:tc>
          <w:tcPr>
            <w:tcW w:w="415" w:type="pct"/>
            <w:tcBorders>
              <w:top w:val="single" w:sz="4" w:space="0" w:color="auto"/>
              <w:left w:val="single" w:sz="4" w:space="0" w:color="auto"/>
              <w:bottom w:val="single" w:sz="4" w:space="0" w:color="auto"/>
              <w:right w:val="single" w:sz="4" w:space="0" w:color="auto"/>
            </w:tcBorders>
            <w:vAlign w:val="center"/>
            <w:hideMark/>
          </w:tcPr>
          <w:p w:rsidR="0099312E" w:rsidRPr="006F307B" w:rsidRDefault="0099312E" w:rsidP="00C30487">
            <w:pPr>
              <w:pStyle w:val="TableText"/>
              <w:keepNext/>
              <w:keepLines/>
            </w:pPr>
            <w:r w:rsidRPr="006F307B">
              <w:t>882</w:t>
            </w:r>
          </w:p>
        </w:tc>
        <w:tc>
          <w:tcPr>
            <w:tcW w:w="1060" w:type="pct"/>
            <w:tcBorders>
              <w:top w:val="single" w:sz="4" w:space="0" w:color="auto"/>
              <w:left w:val="single" w:sz="4" w:space="0" w:color="auto"/>
              <w:bottom w:val="single" w:sz="4" w:space="0" w:color="auto"/>
              <w:right w:val="single" w:sz="4" w:space="0" w:color="auto"/>
            </w:tcBorders>
            <w:vAlign w:val="center"/>
            <w:hideMark/>
          </w:tcPr>
          <w:p w:rsidR="0099312E" w:rsidRPr="006F307B" w:rsidRDefault="0099312E" w:rsidP="00C30487">
            <w:pPr>
              <w:pStyle w:val="TableText"/>
              <w:keepNext/>
              <w:keepLines/>
            </w:pPr>
            <w:r w:rsidRPr="006F307B">
              <w:t>R, OL, 10.7-13.0 months</w:t>
            </w:r>
          </w:p>
        </w:tc>
        <w:tc>
          <w:tcPr>
            <w:tcW w:w="1454" w:type="pct"/>
            <w:tcBorders>
              <w:top w:val="single" w:sz="4" w:space="0" w:color="auto"/>
              <w:left w:val="single" w:sz="4" w:space="0" w:color="auto"/>
              <w:bottom w:val="single" w:sz="4" w:space="0" w:color="auto"/>
              <w:right w:val="single" w:sz="4" w:space="0" w:color="auto"/>
            </w:tcBorders>
            <w:vAlign w:val="center"/>
            <w:hideMark/>
          </w:tcPr>
          <w:p w:rsidR="0099312E" w:rsidRPr="006F307B" w:rsidRDefault="0099312E" w:rsidP="00C30487">
            <w:pPr>
              <w:pStyle w:val="TableText"/>
              <w:keepNext/>
              <w:keepLines/>
            </w:pPr>
            <w:r w:rsidRPr="006F307B">
              <w:t xml:space="preserve">Previously untreated R/M HNSCC of the oral cavity, pharynx and larynx, disease unsuitable for local therapy with curative intent and ECOG PS 0-1, all PD-L1 status </w:t>
            </w:r>
          </w:p>
        </w:tc>
        <w:tc>
          <w:tcPr>
            <w:tcW w:w="668" w:type="pct"/>
            <w:tcBorders>
              <w:top w:val="single" w:sz="4" w:space="0" w:color="auto"/>
              <w:left w:val="single" w:sz="4" w:space="0" w:color="auto"/>
              <w:bottom w:val="single" w:sz="4" w:space="0" w:color="auto"/>
              <w:right w:val="single" w:sz="4" w:space="0" w:color="auto"/>
            </w:tcBorders>
            <w:vAlign w:val="center"/>
            <w:hideMark/>
          </w:tcPr>
          <w:p w:rsidR="0099312E" w:rsidRPr="006F307B" w:rsidRDefault="0099312E" w:rsidP="00C30487">
            <w:pPr>
              <w:pStyle w:val="TableText"/>
              <w:keepNext/>
              <w:keepLines/>
            </w:pPr>
            <w:r w:rsidRPr="006F307B">
              <w:t>OS, PFS</w:t>
            </w:r>
          </w:p>
        </w:tc>
        <w:tc>
          <w:tcPr>
            <w:tcW w:w="735" w:type="pct"/>
            <w:tcBorders>
              <w:top w:val="single" w:sz="4" w:space="0" w:color="auto"/>
              <w:left w:val="single" w:sz="4" w:space="0" w:color="auto"/>
              <w:bottom w:val="single" w:sz="4" w:space="0" w:color="auto"/>
              <w:right w:val="single" w:sz="4" w:space="0" w:color="auto"/>
            </w:tcBorders>
            <w:vAlign w:val="center"/>
            <w:hideMark/>
          </w:tcPr>
          <w:p w:rsidR="0099312E" w:rsidRPr="006F307B" w:rsidRDefault="0099312E" w:rsidP="00C30487">
            <w:pPr>
              <w:pStyle w:val="TableText"/>
              <w:keepNext/>
              <w:keepLines/>
            </w:pPr>
            <w:r w:rsidRPr="006F307B">
              <w:t>Informs OS, PFS, ToT, AE resource use and utilities</w:t>
            </w:r>
          </w:p>
        </w:tc>
      </w:tr>
      <w:tr w:rsidR="0099312E" w:rsidRPr="006F307B" w:rsidTr="00C30487">
        <w:tc>
          <w:tcPr>
            <w:tcW w:w="5000" w:type="pct"/>
            <w:gridSpan w:val="6"/>
            <w:tcBorders>
              <w:top w:val="single" w:sz="4" w:space="0" w:color="auto"/>
              <w:left w:val="single" w:sz="4" w:space="0" w:color="auto"/>
              <w:bottom w:val="single" w:sz="4" w:space="0" w:color="auto"/>
              <w:right w:val="single" w:sz="4" w:space="0" w:color="auto"/>
            </w:tcBorders>
            <w:vAlign w:val="center"/>
          </w:tcPr>
          <w:p w:rsidR="0099312E" w:rsidRPr="006F307B" w:rsidRDefault="0099312E" w:rsidP="00C30487">
            <w:pPr>
              <w:pStyle w:val="TableText"/>
              <w:keepNext/>
              <w:keepLines/>
            </w:pPr>
            <w:r w:rsidRPr="006F307B">
              <w:t>Cetuximab plus chemotherapy vs chemotherapy alone</w:t>
            </w:r>
          </w:p>
        </w:tc>
      </w:tr>
      <w:tr w:rsidR="0099312E" w:rsidRPr="006F307B" w:rsidTr="00C30487">
        <w:tc>
          <w:tcPr>
            <w:tcW w:w="668" w:type="pct"/>
            <w:tcBorders>
              <w:top w:val="single" w:sz="4" w:space="0" w:color="auto"/>
              <w:left w:val="single" w:sz="4" w:space="0" w:color="auto"/>
              <w:bottom w:val="single" w:sz="4" w:space="0" w:color="auto"/>
              <w:right w:val="single" w:sz="4" w:space="0" w:color="auto"/>
            </w:tcBorders>
            <w:vAlign w:val="center"/>
          </w:tcPr>
          <w:p w:rsidR="0099312E" w:rsidRPr="006F307B" w:rsidRDefault="0099312E" w:rsidP="00C30487">
            <w:pPr>
              <w:pStyle w:val="TableText"/>
              <w:keepNext/>
              <w:keepLines/>
            </w:pPr>
            <w:r w:rsidRPr="006F307B">
              <w:t>EXTREME</w:t>
            </w:r>
          </w:p>
        </w:tc>
        <w:tc>
          <w:tcPr>
            <w:tcW w:w="415" w:type="pct"/>
            <w:tcBorders>
              <w:top w:val="single" w:sz="4" w:space="0" w:color="auto"/>
              <w:left w:val="single" w:sz="4" w:space="0" w:color="auto"/>
              <w:bottom w:val="single" w:sz="4" w:space="0" w:color="auto"/>
              <w:right w:val="single" w:sz="4" w:space="0" w:color="auto"/>
            </w:tcBorders>
            <w:vAlign w:val="center"/>
          </w:tcPr>
          <w:p w:rsidR="0099312E" w:rsidRPr="006F307B" w:rsidRDefault="0099312E" w:rsidP="00C30487">
            <w:pPr>
              <w:pStyle w:val="TableText"/>
              <w:keepNext/>
              <w:keepLines/>
            </w:pPr>
            <w:r w:rsidRPr="006F307B">
              <w:t>442</w:t>
            </w:r>
          </w:p>
        </w:tc>
        <w:tc>
          <w:tcPr>
            <w:tcW w:w="1060" w:type="pct"/>
            <w:tcBorders>
              <w:top w:val="single" w:sz="4" w:space="0" w:color="auto"/>
              <w:left w:val="single" w:sz="4" w:space="0" w:color="auto"/>
              <w:bottom w:val="single" w:sz="4" w:space="0" w:color="auto"/>
              <w:right w:val="single" w:sz="4" w:space="0" w:color="auto"/>
            </w:tcBorders>
            <w:vAlign w:val="center"/>
          </w:tcPr>
          <w:p w:rsidR="0099312E" w:rsidRPr="006F307B" w:rsidRDefault="0099312E" w:rsidP="00C30487">
            <w:pPr>
              <w:pStyle w:val="TableText"/>
              <w:keepNext/>
              <w:keepLines/>
            </w:pPr>
            <w:r w:rsidRPr="006F307B">
              <w:t xml:space="preserve">R, OL, 19.1 months </w:t>
            </w:r>
          </w:p>
        </w:tc>
        <w:tc>
          <w:tcPr>
            <w:tcW w:w="1454" w:type="pct"/>
            <w:tcBorders>
              <w:top w:val="single" w:sz="4" w:space="0" w:color="auto"/>
              <w:left w:val="single" w:sz="4" w:space="0" w:color="auto"/>
              <w:bottom w:val="single" w:sz="4" w:space="0" w:color="auto"/>
              <w:right w:val="single" w:sz="4" w:space="0" w:color="auto"/>
            </w:tcBorders>
            <w:vAlign w:val="center"/>
          </w:tcPr>
          <w:p w:rsidR="0099312E" w:rsidRPr="006F307B" w:rsidRDefault="0099312E" w:rsidP="00C30487">
            <w:pPr>
              <w:pStyle w:val="TableText"/>
              <w:keepNext/>
              <w:keepLines/>
            </w:pPr>
            <w:r w:rsidRPr="006F307B">
              <w:t>Previously untreated R/M HNSCC of the oral cavity, pharynx and larynx, disease unsuitable for local therapy with curative intent and ECOG PS 0-2</w:t>
            </w:r>
          </w:p>
        </w:tc>
        <w:tc>
          <w:tcPr>
            <w:tcW w:w="668" w:type="pct"/>
            <w:tcBorders>
              <w:top w:val="single" w:sz="4" w:space="0" w:color="auto"/>
              <w:left w:val="single" w:sz="4" w:space="0" w:color="auto"/>
              <w:bottom w:val="single" w:sz="4" w:space="0" w:color="auto"/>
              <w:right w:val="single" w:sz="4" w:space="0" w:color="auto"/>
            </w:tcBorders>
            <w:vAlign w:val="center"/>
          </w:tcPr>
          <w:p w:rsidR="0099312E" w:rsidRPr="006F307B" w:rsidRDefault="0099312E" w:rsidP="00C30487">
            <w:pPr>
              <w:pStyle w:val="TableText"/>
              <w:keepNext/>
              <w:keepLines/>
            </w:pPr>
            <w:r w:rsidRPr="006F307B">
              <w:t>OS, PFS</w:t>
            </w:r>
          </w:p>
        </w:tc>
        <w:tc>
          <w:tcPr>
            <w:tcW w:w="735" w:type="pct"/>
            <w:tcBorders>
              <w:top w:val="single" w:sz="4" w:space="0" w:color="auto"/>
              <w:left w:val="single" w:sz="4" w:space="0" w:color="auto"/>
              <w:bottom w:val="single" w:sz="4" w:space="0" w:color="auto"/>
              <w:right w:val="single" w:sz="4" w:space="0" w:color="auto"/>
            </w:tcBorders>
            <w:vAlign w:val="center"/>
          </w:tcPr>
          <w:p w:rsidR="0099312E" w:rsidRPr="006F307B" w:rsidRDefault="0099312E" w:rsidP="00C30487">
            <w:pPr>
              <w:pStyle w:val="TableText"/>
              <w:keepNext/>
              <w:keepLines/>
            </w:pPr>
            <w:r w:rsidRPr="006F307B">
              <w:t>Informs AE, and OS, PFS by inclusion in NMA</w:t>
            </w:r>
          </w:p>
        </w:tc>
      </w:tr>
    </w:tbl>
    <w:p w:rsidR="0099312E" w:rsidRPr="006F307B" w:rsidRDefault="00ED436C" w:rsidP="0099312E">
      <w:pPr>
        <w:pStyle w:val="TableFooter"/>
        <w:keepNext/>
        <w:keepLines/>
        <w:rPr>
          <w:i/>
        </w:rPr>
      </w:pPr>
      <w:r>
        <w:t xml:space="preserve">Abbreviations: </w:t>
      </w:r>
      <w:r w:rsidR="0099312E" w:rsidRPr="006F307B">
        <w:t>R = randomised, OL= open</w:t>
      </w:r>
      <w:r w:rsidR="00593978">
        <w:t xml:space="preserve"> </w:t>
      </w:r>
      <w:r w:rsidR="0099312E" w:rsidRPr="006F307B">
        <w:t xml:space="preserve">label, R/M = recurrent or metastatic, HNSCC = head and neck squamous cell carcinoma, ECOG = </w:t>
      </w:r>
      <w:r>
        <w:t>E</w:t>
      </w:r>
      <w:r w:rsidR="0099312E" w:rsidRPr="006F307B">
        <w:t xml:space="preserve">astern </w:t>
      </w:r>
      <w:r>
        <w:t>C</w:t>
      </w:r>
      <w:r w:rsidR="0099312E" w:rsidRPr="006F307B">
        <w:t xml:space="preserve">ooperative </w:t>
      </w:r>
      <w:r>
        <w:t>O</w:t>
      </w:r>
      <w:r w:rsidR="0099312E" w:rsidRPr="006F307B">
        <w:t xml:space="preserve">ncology </w:t>
      </w:r>
      <w:r>
        <w:t>G</w:t>
      </w:r>
      <w:r w:rsidR="0099312E" w:rsidRPr="006F307B">
        <w:t>roup, PD-L1 = programmed death ligand 1, OS = over</w:t>
      </w:r>
      <w:r w:rsidR="00593978">
        <w:t>all survival, PFS = progression-</w:t>
      </w:r>
      <w:r w:rsidR="0099312E" w:rsidRPr="006F307B">
        <w:t>free survival, ToT = time on treatment, AE = adverse eve</w:t>
      </w:r>
      <w:r w:rsidR="00555D45">
        <w:t>nt, NMA = network meta-analysis</w:t>
      </w:r>
    </w:p>
    <w:p w:rsidR="0099312E" w:rsidRPr="006F307B" w:rsidRDefault="0099312E" w:rsidP="0099312E">
      <w:pPr>
        <w:pStyle w:val="TableFooter"/>
        <w:keepNext/>
        <w:keepLines/>
      </w:pPr>
      <w:r w:rsidRPr="006F307B">
        <w:t>Source: constructed during evaluation</w:t>
      </w:r>
    </w:p>
    <w:p w:rsidR="0099312E" w:rsidRPr="006F307B" w:rsidRDefault="0099312E" w:rsidP="0099312E">
      <w:pPr>
        <w:pStyle w:val="ListParagraph"/>
        <w:rPr>
          <w:color w:val="auto"/>
        </w:rPr>
      </w:pPr>
      <w:r w:rsidRPr="006F307B">
        <w:t xml:space="preserve">The ESCs noted the comparative efficacy data between pembrolizumab </w:t>
      </w:r>
      <w:r w:rsidRPr="006F307B">
        <w:rPr>
          <w:rFonts w:cs="Times New Roman"/>
        </w:rPr>
        <w:t>±</w:t>
      </w:r>
      <w:r w:rsidRPr="006F307B">
        <w:t xml:space="preserve"> chemotherapy with chemotherapy alone (but not 2L nivolumab) was based on an indirect comparison of KN048 to EXTREME. The ESCs agreed with the commentary that the omission of 2L nivolumab from the efficacy evaluation was inappropriate and significantly biased the results in favour of pembrolizumab. The ESCs noted that the PSCR argued that current evidence suggests that the overall survival benefit of 1L chemotherapy followed by 2L nivolumab is similar to 1L chemotherapy. The PBAC considered that this claim was not supported by the evidence, noting it had previously considered there was a meaningful clinical benefit for 2L nivolumab in this setting (paragraph 6.1, nivolumab </w:t>
      </w:r>
      <w:r w:rsidR="00B379DC">
        <w:t>Public Summary Document (</w:t>
      </w:r>
      <w:r w:rsidRPr="006F307B">
        <w:t>PSD</w:t>
      </w:r>
      <w:r w:rsidR="00B379DC">
        <w:t>)</w:t>
      </w:r>
      <w:r w:rsidRPr="006F307B">
        <w:t>, March 2018 PBAC meeting). The PSCR also noted that approximately half of the patients who are treated in the 1L setting are not going to get to nivolumab in the 2L setting. The PBAC agreed with the ESCs that it was not reasonable to assume that the clinical data presented reflects a comparison with current SoC, which should include 2L nivolumab for a proportion of patients, and that this omission makes the compar</w:t>
      </w:r>
      <w:r w:rsidR="00555D45">
        <w:t xml:space="preserve">ative </w:t>
      </w:r>
      <w:r w:rsidR="00A77857">
        <w:t>effectiveness</w:t>
      </w:r>
      <w:r w:rsidR="00555D45">
        <w:t xml:space="preserve"> data incomplete.</w:t>
      </w:r>
    </w:p>
    <w:p w:rsidR="00981467" w:rsidRPr="006F307B" w:rsidRDefault="007A6A0A" w:rsidP="007A6A0A">
      <w:pPr>
        <w:pStyle w:val="ListParagraph"/>
        <w:rPr>
          <w:color w:val="auto"/>
        </w:rPr>
      </w:pPr>
      <w:r w:rsidRPr="006F307B">
        <w:rPr>
          <w:color w:val="auto"/>
        </w:rPr>
        <w:t xml:space="preserve">The CPS status of patients who were treated with chemotherapy alone in EXTREME, which compared cetuximab plus chemotherapy and chemotherapy alone in patients with previously untreated R/M </w:t>
      </w:r>
      <w:r w:rsidR="006A0FA4" w:rsidRPr="006F307B">
        <w:rPr>
          <w:color w:val="auto"/>
        </w:rPr>
        <w:t>HN</w:t>
      </w:r>
      <w:r w:rsidRPr="006F307B">
        <w:rPr>
          <w:color w:val="auto"/>
        </w:rPr>
        <w:t xml:space="preserve">SCC of the oral cavity, larynx and pharynx, was unknown. </w:t>
      </w:r>
      <w:r w:rsidR="00B6397B" w:rsidRPr="006F307B">
        <w:rPr>
          <w:color w:val="auto"/>
        </w:rPr>
        <w:t>While</w:t>
      </w:r>
      <w:r w:rsidR="00636E6E" w:rsidRPr="006F307B">
        <w:rPr>
          <w:color w:val="auto"/>
        </w:rPr>
        <w:t xml:space="preserve"> </w:t>
      </w:r>
      <w:r w:rsidRPr="006F307B">
        <w:rPr>
          <w:color w:val="auto"/>
        </w:rPr>
        <w:t xml:space="preserve">it is unlikely that </w:t>
      </w:r>
      <w:r w:rsidR="009F04FA" w:rsidRPr="006F307B">
        <w:rPr>
          <w:color w:val="auto"/>
        </w:rPr>
        <w:t xml:space="preserve">the efficacy of </w:t>
      </w:r>
      <w:r w:rsidRPr="006F307B">
        <w:rPr>
          <w:color w:val="auto"/>
        </w:rPr>
        <w:t xml:space="preserve">chemotherapy alone will vary based on PD-L1 expression as the mechanism of action of chemotherapy </w:t>
      </w:r>
      <w:r w:rsidR="009C7801" w:rsidRPr="006F307B">
        <w:rPr>
          <w:color w:val="auto"/>
        </w:rPr>
        <w:t>i</w:t>
      </w:r>
      <w:r w:rsidRPr="006F307B">
        <w:rPr>
          <w:color w:val="auto"/>
        </w:rPr>
        <w:t>s unrelated to PD-L1</w:t>
      </w:r>
      <w:r w:rsidR="00B6397B" w:rsidRPr="006F307B">
        <w:rPr>
          <w:color w:val="auto"/>
        </w:rPr>
        <w:t>, the ESC</w:t>
      </w:r>
      <w:r w:rsidR="0021591C" w:rsidRPr="006F307B">
        <w:rPr>
          <w:color w:val="auto"/>
        </w:rPr>
        <w:t>s</w:t>
      </w:r>
      <w:r w:rsidR="00B6397B" w:rsidRPr="006F307B">
        <w:rPr>
          <w:color w:val="auto"/>
        </w:rPr>
        <w:t xml:space="preserve"> considered that not being able to compare the subgroups across the two trials was </w:t>
      </w:r>
      <w:r w:rsidR="0000669D" w:rsidRPr="006F307B">
        <w:rPr>
          <w:color w:val="auto"/>
        </w:rPr>
        <w:t>problematic</w:t>
      </w:r>
      <w:r w:rsidRPr="006F307B">
        <w:rPr>
          <w:color w:val="auto"/>
        </w:rPr>
        <w:t xml:space="preserve">. </w:t>
      </w:r>
      <w:r w:rsidR="0000669D" w:rsidRPr="006F307B">
        <w:rPr>
          <w:color w:val="auto"/>
        </w:rPr>
        <w:t>I</w:t>
      </w:r>
      <w:r w:rsidRPr="006F307B">
        <w:rPr>
          <w:color w:val="auto"/>
        </w:rPr>
        <w:t xml:space="preserve">t is </w:t>
      </w:r>
      <w:r w:rsidR="00CE197B" w:rsidRPr="006F307B">
        <w:rPr>
          <w:color w:val="auto"/>
        </w:rPr>
        <w:t xml:space="preserve">also </w:t>
      </w:r>
      <w:r w:rsidRPr="006F307B">
        <w:rPr>
          <w:color w:val="auto"/>
        </w:rPr>
        <w:t>possible that 2L nivolumab may be affected by PD-L1 status. Evidence from Checkmate141, an open</w:t>
      </w:r>
      <w:r w:rsidR="00593978">
        <w:rPr>
          <w:color w:val="auto"/>
        </w:rPr>
        <w:t>-</w:t>
      </w:r>
      <w:r w:rsidRPr="006F307B">
        <w:rPr>
          <w:color w:val="auto"/>
        </w:rPr>
        <w:t>label randomised study of nivolumab and chemotherapy in patients with R/M HNSCC</w:t>
      </w:r>
      <w:r w:rsidR="006A0FA4" w:rsidRPr="006F307B">
        <w:rPr>
          <w:color w:val="auto"/>
        </w:rPr>
        <w:t xml:space="preserve"> of the oral cavity, pharynx and </w:t>
      </w:r>
      <w:r w:rsidR="004C46AE" w:rsidRPr="006F307B">
        <w:rPr>
          <w:color w:val="auto"/>
        </w:rPr>
        <w:t xml:space="preserve">larynx </w:t>
      </w:r>
      <w:r w:rsidR="004C46AE" w:rsidRPr="006F307B">
        <w:rPr>
          <w:color w:val="auto"/>
        </w:rPr>
        <w:lastRenderedPageBreak/>
        <w:t>who</w:t>
      </w:r>
      <w:r w:rsidRPr="006F307B">
        <w:rPr>
          <w:color w:val="auto"/>
        </w:rPr>
        <w:t xml:space="preserve"> have previously failed platinum based chemotherapy, suggests that among patients who had evaluable PD-L1 (n=260), there may be a difference between patients with PD-L1 expression ≥1% (as measured with the clone 28-8 antibody) (OS HR=0.55; 95% CI: 0.36, 0.83, n=149) compared to patients with PD-L1 &lt;1% (OS HR=0.89; 95% CI: 0.54, 1.45, n=111).</w:t>
      </w:r>
    </w:p>
    <w:p w:rsidR="007A6A0A" w:rsidRPr="006F307B" w:rsidRDefault="005A2284" w:rsidP="007A6A0A">
      <w:pPr>
        <w:pStyle w:val="ListParagraph"/>
        <w:numPr>
          <w:ilvl w:val="4"/>
          <w:numId w:val="1"/>
        </w:numPr>
        <w:rPr>
          <w:color w:val="auto"/>
        </w:rPr>
      </w:pPr>
      <w:r w:rsidRPr="006F307B">
        <w:t>The ESC</w:t>
      </w:r>
      <w:r w:rsidR="0021591C" w:rsidRPr="006F307B">
        <w:t>s</w:t>
      </w:r>
      <w:r w:rsidRPr="006F307B">
        <w:t xml:space="preserve"> noted t</w:t>
      </w:r>
      <w:r w:rsidR="007A6A0A" w:rsidRPr="006F307B">
        <w:t>here were several sources of potential bias in the indirect comparison</w:t>
      </w:r>
      <w:r w:rsidR="00C7533B" w:rsidRPr="006F307B">
        <w:t>, including</w:t>
      </w:r>
      <w:r w:rsidR="007A6A0A" w:rsidRPr="006F307B">
        <w:t>:</w:t>
      </w:r>
    </w:p>
    <w:p w:rsidR="007A6A0A" w:rsidRPr="006F307B" w:rsidRDefault="007A6A0A" w:rsidP="007278E9">
      <w:pPr>
        <w:pStyle w:val="MSACESParagraph"/>
        <w:numPr>
          <w:ilvl w:val="0"/>
          <w:numId w:val="20"/>
        </w:numPr>
        <w:spacing w:after="120"/>
        <w:ind w:left="1134" w:hanging="425"/>
        <w:jc w:val="both"/>
        <w:rPr>
          <w:rFonts w:asciiTheme="minorHAnsi" w:hAnsiTheme="minorHAnsi" w:cstheme="minorHAnsi"/>
        </w:rPr>
      </w:pPr>
      <w:r w:rsidRPr="006F307B">
        <w:rPr>
          <w:rFonts w:asciiTheme="minorHAnsi" w:hAnsiTheme="minorHAnsi" w:cstheme="minorHAnsi"/>
        </w:rPr>
        <w:t xml:space="preserve">The definition of PD-L1 expression in KN048 was changed from </w:t>
      </w:r>
      <w:r w:rsidR="00B25C17" w:rsidRPr="00B25C17">
        <w:rPr>
          <w:rFonts w:asciiTheme="minorHAnsi" w:hAnsiTheme="minorHAnsi" w:cstheme="minorHAnsi"/>
        </w:rPr>
        <w:t>tumour proportion score (</w:t>
      </w:r>
      <w:r w:rsidRPr="006F307B">
        <w:rPr>
          <w:rFonts w:asciiTheme="minorHAnsi" w:hAnsiTheme="minorHAnsi" w:cstheme="minorHAnsi"/>
        </w:rPr>
        <w:t>TPS</w:t>
      </w:r>
      <w:r w:rsidR="00B25C17">
        <w:rPr>
          <w:rFonts w:asciiTheme="minorHAnsi" w:hAnsiTheme="minorHAnsi" w:cstheme="minorHAnsi"/>
        </w:rPr>
        <w:t>)</w:t>
      </w:r>
      <w:r w:rsidRPr="006F307B">
        <w:rPr>
          <w:rFonts w:asciiTheme="minorHAnsi" w:hAnsiTheme="minorHAnsi" w:cstheme="minorHAnsi"/>
        </w:rPr>
        <w:t xml:space="preserve"> &gt;50% to CPS ≥1 after the trial started recruitment. The TGA evaluators noted that the randomised stratification by TPS status in KN048 no longer holds and so the comparisons on the basis of CPS are effectively non-randomised (TGA CER p38);</w:t>
      </w:r>
    </w:p>
    <w:p w:rsidR="007A6A0A" w:rsidRPr="006F307B" w:rsidRDefault="007A6A0A" w:rsidP="007278E9">
      <w:pPr>
        <w:pStyle w:val="MSACESParagraph"/>
        <w:numPr>
          <w:ilvl w:val="0"/>
          <w:numId w:val="20"/>
        </w:numPr>
        <w:spacing w:after="120"/>
        <w:ind w:left="1134" w:hanging="425"/>
        <w:jc w:val="both"/>
        <w:rPr>
          <w:rFonts w:asciiTheme="minorHAnsi" w:hAnsiTheme="minorHAnsi" w:cstheme="minorHAnsi"/>
        </w:rPr>
      </w:pPr>
      <w:r w:rsidRPr="006F307B">
        <w:rPr>
          <w:rFonts w:asciiTheme="minorHAnsi" w:hAnsiTheme="minorHAnsi" w:cstheme="minorHAnsi"/>
        </w:rPr>
        <w:t xml:space="preserve">An alpha spending function to address multiplicity was used for the outcomes in KN048. </w:t>
      </w:r>
      <w:r w:rsidR="00D02112" w:rsidRPr="006F307B">
        <w:rPr>
          <w:rFonts w:asciiTheme="minorHAnsi" w:hAnsiTheme="minorHAnsi" w:cstheme="minorHAnsi"/>
        </w:rPr>
        <w:t>The ESC</w:t>
      </w:r>
      <w:r w:rsidR="0021591C" w:rsidRPr="006F307B">
        <w:rPr>
          <w:rFonts w:asciiTheme="minorHAnsi" w:hAnsiTheme="minorHAnsi" w:cstheme="minorHAnsi"/>
        </w:rPr>
        <w:t>s</w:t>
      </w:r>
      <w:r w:rsidR="00D02112" w:rsidRPr="006F307B">
        <w:rPr>
          <w:rFonts w:asciiTheme="minorHAnsi" w:hAnsiTheme="minorHAnsi" w:cstheme="minorHAnsi"/>
        </w:rPr>
        <w:t xml:space="preserve"> considered i</w:t>
      </w:r>
      <w:r w:rsidRPr="006F307B">
        <w:rPr>
          <w:rFonts w:asciiTheme="minorHAnsi" w:hAnsiTheme="minorHAnsi" w:cstheme="minorHAnsi"/>
        </w:rPr>
        <w:t xml:space="preserve">t </w:t>
      </w:r>
      <w:r w:rsidR="00C7533B" w:rsidRPr="006F307B">
        <w:rPr>
          <w:rFonts w:asciiTheme="minorHAnsi" w:hAnsiTheme="minorHAnsi" w:cstheme="minorHAnsi"/>
        </w:rPr>
        <w:t>wa</w:t>
      </w:r>
      <w:r w:rsidRPr="006F307B">
        <w:rPr>
          <w:rFonts w:asciiTheme="minorHAnsi" w:hAnsiTheme="minorHAnsi" w:cstheme="minorHAnsi"/>
        </w:rPr>
        <w:t>s unclear how these functions would apply</w:t>
      </w:r>
      <w:r w:rsidR="00C7533B" w:rsidRPr="006F307B">
        <w:rPr>
          <w:rFonts w:asciiTheme="minorHAnsi" w:hAnsiTheme="minorHAnsi" w:cstheme="minorHAnsi"/>
        </w:rPr>
        <w:t xml:space="preserve"> in</w:t>
      </w:r>
      <w:r w:rsidRPr="006F307B">
        <w:rPr>
          <w:rFonts w:asciiTheme="minorHAnsi" w:hAnsiTheme="minorHAnsi" w:cstheme="minorHAnsi"/>
        </w:rPr>
        <w:t xml:space="preserve"> the interpretation of the indirect comparison;</w:t>
      </w:r>
    </w:p>
    <w:p w:rsidR="007A6A0A" w:rsidRPr="006F307B" w:rsidRDefault="005A2284" w:rsidP="007278E9">
      <w:pPr>
        <w:pStyle w:val="MSACESParagraph"/>
        <w:numPr>
          <w:ilvl w:val="0"/>
          <w:numId w:val="20"/>
        </w:numPr>
        <w:spacing w:after="120"/>
        <w:ind w:left="1134" w:hanging="425"/>
        <w:jc w:val="both"/>
        <w:rPr>
          <w:rFonts w:asciiTheme="minorHAnsi" w:hAnsiTheme="minorHAnsi" w:cstheme="minorHAnsi"/>
        </w:rPr>
      </w:pPr>
      <w:r w:rsidRPr="006F307B">
        <w:rPr>
          <w:rFonts w:asciiTheme="minorHAnsi" w:hAnsiTheme="minorHAnsi" w:cstheme="minorHAnsi"/>
        </w:rPr>
        <w:t>P</w:t>
      </w:r>
      <w:r w:rsidR="007A6A0A" w:rsidRPr="006F307B">
        <w:rPr>
          <w:rFonts w:asciiTheme="minorHAnsi" w:hAnsiTheme="minorHAnsi" w:cstheme="minorHAnsi"/>
        </w:rPr>
        <w:t xml:space="preserve">atients enrolled in KN048 appear to be healthier than patients enrolled in EXTREME based on Eastern cooperative Oncology (ECOG) performance status (PS), with KN048 enrolling only patients with ECOG 0-1 and ≥3 months life expectancy compared to EXTREME which enrolled the equivalent of ECOG PS 0-2 and no explicit requirement for life expectancy. </w:t>
      </w:r>
      <w:r w:rsidR="00B46FB9" w:rsidRPr="006F307B">
        <w:rPr>
          <w:rFonts w:asciiTheme="minorHAnsi" w:hAnsiTheme="minorHAnsi" w:cstheme="minorHAnsi"/>
        </w:rPr>
        <w:t>T</w:t>
      </w:r>
      <w:r w:rsidR="007A6A0A" w:rsidRPr="006F307B">
        <w:rPr>
          <w:rFonts w:asciiTheme="minorHAnsi" w:hAnsiTheme="minorHAnsi" w:cstheme="minorHAnsi"/>
        </w:rPr>
        <w:t>his di</w:t>
      </w:r>
      <w:r w:rsidR="00555D45">
        <w:rPr>
          <w:rFonts w:asciiTheme="minorHAnsi" w:hAnsiTheme="minorHAnsi" w:cstheme="minorHAnsi"/>
        </w:rPr>
        <w:t>fference favours pembrolizumab;</w:t>
      </w:r>
    </w:p>
    <w:p w:rsidR="007A6A0A" w:rsidRPr="006F307B" w:rsidRDefault="005A2284" w:rsidP="007278E9">
      <w:pPr>
        <w:pStyle w:val="MSACESParagraph"/>
        <w:numPr>
          <w:ilvl w:val="0"/>
          <w:numId w:val="20"/>
        </w:numPr>
        <w:spacing w:after="120"/>
        <w:ind w:left="1134" w:hanging="425"/>
        <w:jc w:val="both"/>
        <w:rPr>
          <w:rFonts w:asciiTheme="minorHAnsi" w:hAnsiTheme="minorHAnsi" w:cstheme="minorHAnsi"/>
        </w:rPr>
      </w:pPr>
      <w:r w:rsidRPr="006F307B">
        <w:rPr>
          <w:rFonts w:asciiTheme="minorHAnsi" w:hAnsiTheme="minorHAnsi" w:cstheme="minorHAnsi"/>
        </w:rPr>
        <w:t>T</w:t>
      </w:r>
      <w:r w:rsidR="007A6A0A" w:rsidRPr="006F307B">
        <w:rPr>
          <w:rFonts w:asciiTheme="minorHAnsi" w:hAnsiTheme="minorHAnsi" w:cstheme="minorHAnsi"/>
        </w:rPr>
        <w:t>here was a higher proportion of patients with metastatic disease in KN048 ITT (67.3-71.8%) and KN048 CPS ≥1 (65.5-71.5%) compared to EXTREME (53-54%) and this may bias the</w:t>
      </w:r>
      <w:r w:rsidR="00555D45">
        <w:rPr>
          <w:rFonts w:asciiTheme="minorHAnsi" w:hAnsiTheme="minorHAnsi" w:cstheme="minorHAnsi"/>
        </w:rPr>
        <w:t xml:space="preserve"> results against pembrolizumab;</w:t>
      </w:r>
    </w:p>
    <w:p w:rsidR="007A6A0A" w:rsidRPr="006F307B" w:rsidRDefault="007A6A0A" w:rsidP="007278E9">
      <w:pPr>
        <w:pStyle w:val="ListParagraph"/>
        <w:numPr>
          <w:ilvl w:val="0"/>
          <w:numId w:val="20"/>
        </w:numPr>
        <w:spacing w:after="120"/>
        <w:ind w:left="1134" w:hanging="425"/>
        <w:rPr>
          <w:rFonts w:cstheme="minorHAnsi"/>
          <w:color w:val="auto"/>
        </w:rPr>
      </w:pPr>
      <w:r w:rsidRPr="006F307B">
        <w:rPr>
          <w:rFonts w:cstheme="minorHAnsi"/>
          <w:color w:val="auto"/>
        </w:rPr>
        <w:t>EXTREME had a higher proportion of patients with laryngeal cancer (24.0-27.0%) relative to oral cavity cancer (19.0-21.0%), whereas KN048 had a higher proportion of oral cavity cancer (ITT: 27.2-30.3%, CPS ≥1: 29.2-31.8%) relative to laryngeal cancer (ITT:16.4-24.6%, CPS ≥1:15.3-22.2%). According to SEER data in the US, five year survival for regional and distant metastasis laryngeal cancer (45.4% and 33.8% respectively) was lower than regional and distant metastasis oral cavity cancer (66.8% and 40.1% respectively), indicating that the life expectancy in patients enrolled in KN048 was likely longer than patients enrolled in EXTREME;</w:t>
      </w:r>
    </w:p>
    <w:p w:rsidR="00873511" w:rsidRPr="006F307B" w:rsidRDefault="00873511" w:rsidP="007278E9">
      <w:pPr>
        <w:pStyle w:val="ListParagraph"/>
        <w:numPr>
          <w:ilvl w:val="0"/>
          <w:numId w:val="20"/>
        </w:numPr>
        <w:spacing w:after="120"/>
        <w:ind w:left="1134"/>
        <w:rPr>
          <w:rFonts w:cstheme="minorHAnsi"/>
          <w:color w:val="auto"/>
        </w:rPr>
      </w:pPr>
      <w:r w:rsidRPr="006F307B">
        <w:rPr>
          <w:rFonts w:cstheme="minorHAnsi"/>
          <w:color w:val="auto"/>
        </w:rPr>
        <w:t xml:space="preserve">There were differences in the subsequent therapies used in KN048 and in EXTREME. For example, a proportion of patients in </w:t>
      </w:r>
      <w:r w:rsidR="00AC0B0B" w:rsidRPr="006F307B">
        <w:rPr>
          <w:rFonts w:cstheme="minorHAnsi"/>
          <w:color w:val="auto"/>
        </w:rPr>
        <w:t xml:space="preserve">KN048 </w:t>
      </w:r>
      <w:r w:rsidRPr="006F307B">
        <w:rPr>
          <w:rFonts w:cstheme="minorHAnsi"/>
          <w:color w:val="auto"/>
        </w:rPr>
        <w:t xml:space="preserve">were treated with subsequent anti PD-1 or PD-L1 therapies (~6% in pembrolizumab ± chemotherapy arms and ~25% in cetuximab plus chemotherapy arm). However, the EXTREME trial was conducted in 2004-2007, prior to PD-L1 inhibitors being available, therefore none of the patients in EXTREME would have received subsequent PD-L1 inhibitors. </w:t>
      </w:r>
      <w:r w:rsidR="007243BA" w:rsidRPr="006F307B">
        <w:rPr>
          <w:rFonts w:cstheme="minorHAnsi"/>
          <w:color w:val="auto"/>
        </w:rPr>
        <w:t xml:space="preserve">Additionally, 18-24% of all patients treated with pembrolizumab ± </w:t>
      </w:r>
      <w:r w:rsidR="007243BA" w:rsidRPr="006F307B">
        <w:rPr>
          <w:rFonts w:cstheme="minorHAnsi"/>
          <w:color w:val="auto"/>
        </w:rPr>
        <w:lastRenderedPageBreak/>
        <w:t xml:space="preserve">chemotherapy in KN048 were treated with subsequent </w:t>
      </w:r>
      <w:r w:rsidR="00AB64DF" w:rsidRPr="006F307B">
        <w:rPr>
          <w:bCs/>
        </w:rPr>
        <w:t>epidermal growth factor receptor (</w:t>
      </w:r>
      <w:r w:rsidR="007243BA" w:rsidRPr="006F307B">
        <w:rPr>
          <w:rFonts w:cstheme="minorHAnsi"/>
          <w:color w:val="auto"/>
        </w:rPr>
        <w:t>EGFR</w:t>
      </w:r>
      <w:r w:rsidR="00AB64DF" w:rsidRPr="006F307B">
        <w:rPr>
          <w:rFonts w:cstheme="minorHAnsi"/>
          <w:color w:val="auto"/>
        </w:rPr>
        <w:t>)</w:t>
      </w:r>
      <w:r w:rsidR="007243BA" w:rsidRPr="006F307B">
        <w:rPr>
          <w:rFonts w:cstheme="minorHAnsi"/>
          <w:color w:val="auto"/>
        </w:rPr>
        <w:t xml:space="preserve"> inhibitors (e.g. cetuximab). However</w:t>
      </w:r>
      <w:r w:rsidR="00AB64DF" w:rsidRPr="006F307B">
        <w:rPr>
          <w:rFonts w:cstheme="minorHAnsi"/>
          <w:color w:val="auto"/>
        </w:rPr>
        <w:t>,</w:t>
      </w:r>
      <w:r w:rsidR="007243BA" w:rsidRPr="006F307B">
        <w:rPr>
          <w:rFonts w:cstheme="minorHAnsi"/>
          <w:color w:val="auto"/>
        </w:rPr>
        <w:t xml:space="preserve"> </w:t>
      </w:r>
      <w:r w:rsidR="005C4637" w:rsidRPr="006F307B">
        <w:rPr>
          <w:rFonts w:cstheme="minorHAnsi"/>
          <w:color w:val="auto"/>
        </w:rPr>
        <w:t>the ESC</w:t>
      </w:r>
      <w:r w:rsidR="0021591C" w:rsidRPr="006F307B">
        <w:rPr>
          <w:rFonts w:cstheme="minorHAnsi"/>
          <w:color w:val="auto"/>
        </w:rPr>
        <w:t>s</w:t>
      </w:r>
      <w:r w:rsidR="005C4637" w:rsidRPr="006F307B">
        <w:rPr>
          <w:rFonts w:cstheme="minorHAnsi"/>
          <w:color w:val="auto"/>
        </w:rPr>
        <w:t xml:space="preserve"> noted </w:t>
      </w:r>
      <w:r w:rsidR="007243BA" w:rsidRPr="006F307B">
        <w:rPr>
          <w:rFonts w:cstheme="minorHAnsi"/>
          <w:color w:val="auto"/>
        </w:rPr>
        <w:t>cetuximab is not currently PBS listed for R/M HNSCC of oral cavity, pharynx or larynx</w:t>
      </w:r>
      <w:r w:rsidR="00AB64DF" w:rsidRPr="006F307B">
        <w:rPr>
          <w:rFonts w:cstheme="minorHAnsi"/>
          <w:color w:val="auto"/>
        </w:rPr>
        <w:t>;</w:t>
      </w:r>
      <w:r w:rsidR="007243BA" w:rsidRPr="006F307B">
        <w:rPr>
          <w:rFonts w:cstheme="minorHAnsi"/>
          <w:color w:val="auto"/>
        </w:rPr>
        <w:t xml:space="preserve"> therefore using unadjusted results from KN048 would overestimate </w:t>
      </w:r>
      <w:r w:rsidR="00452AC3" w:rsidRPr="006F307B">
        <w:rPr>
          <w:rFonts w:cstheme="minorHAnsi"/>
          <w:color w:val="auto"/>
        </w:rPr>
        <w:t xml:space="preserve">the </w:t>
      </w:r>
      <w:r w:rsidR="007243BA" w:rsidRPr="006F307B">
        <w:rPr>
          <w:rFonts w:cstheme="minorHAnsi"/>
          <w:color w:val="auto"/>
        </w:rPr>
        <w:t xml:space="preserve">survival </w:t>
      </w:r>
      <w:r w:rsidR="00452AC3" w:rsidRPr="006F307B">
        <w:rPr>
          <w:rFonts w:cstheme="minorHAnsi"/>
          <w:color w:val="auto"/>
        </w:rPr>
        <w:t>benefit for</w:t>
      </w:r>
      <w:r w:rsidR="007243BA" w:rsidRPr="006F307B">
        <w:rPr>
          <w:rFonts w:cstheme="minorHAnsi"/>
          <w:color w:val="auto"/>
        </w:rPr>
        <w:t xml:space="preserve"> pembrolizumab in the Australian population</w:t>
      </w:r>
      <w:r w:rsidR="00AB64DF" w:rsidRPr="006F307B">
        <w:rPr>
          <w:rFonts w:cstheme="minorHAnsi"/>
          <w:color w:val="auto"/>
        </w:rPr>
        <w:t>;</w:t>
      </w:r>
    </w:p>
    <w:p w:rsidR="007A6A0A" w:rsidRPr="006F307B" w:rsidRDefault="005A2284" w:rsidP="007278E9">
      <w:pPr>
        <w:pStyle w:val="ListParagraph"/>
        <w:numPr>
          <w:ilvl w:val="0"/>
          <w:numId w:val="20"/>
        </w:numPr>
        <w:spacing w:after="120"/>
        <w:ind w:left="1134" w:hanging="425"/>
        <w:rPr>
          <w:rFonts w:cstheme="minorHAnsi"/>
          <w:color w:val="auto"/>
        </w:rPr>
      </w:pPr>
      <w:r w:rsidRPr="006F307B">
        <w:rPr>
          <w:rFonts w:cstheme="minorHAnsi"/>
        </w:rPr>
        <w:t>Because b</w:t>
      </w:r>
      <w:r w:rsidR="007A6A0A" w:rsidRPr="006F307B">
        <w:rPr>
          <w:rFonts w:cstheme="minorHAnsi"/>
        </w:rPr>
        <w:t>oth KN048 and E</w:t>
      </w:r>
      <w:r w:rsidR="00593978">
        <w:rPr>
          <w:rFonts w:cstheme="minorHAnsi"/>
        </w:rPr>
        <w:t>XTREME were open-</w:t>
      </w:r>
      <w:r w:rsidRPr="006F307B">
        <w:rPr>
          <w:rFonts w:cstheme="minorHAnsi"/>
        </w:rPr>
        <w:t>label studies, the ESC</w:t>
      </w:r>
      <w:r w:rsidR="0021591C" w:rsidRPr="006F307B">
        <w:rPr>
          <w:rFonts w:cstheme="minorHAnsi"/>
        </w:rPr>
        <w:t>s</w:t>
      </w:r>
      <w:r w:rsidRPr="006F307B">
        <w:rPr>
          <w:rFonts w:cstheme="minorHAnsi"/>
        </w:rPr>
        <w:t xml:space="preserve"> considered </w:t>
      </w:r>
      <w:r w:rsidR="007A6A0A" w:rsidRPr="006F307B">
        <w:rPr>
          <w:rFonts w:cstheme="minorHAnsi"/>
        </w:rPr>
        <w:t>there</w:t>
      </w:r>
      <w:r w:rsidR="00914717" w:rsidRPr="006F307B">
        <w:rPr>
          <w:rFonts w:cstheme="minorHAnsi"/>
        </w:rPr>
        <w:t xml:space="preserve"> </w:t>
      </w:r>
      <w:r w:rsidRPr="006F307B">
        <w:rPr>
          <w:rFonts w:cstheme="minorHAnsi"/>
        </w:rPr>
        <w:t>was likely</w:t>
      </w:r>
      <w:r w:rsidR="007A6A0A" w:rsidRPr="006F307B">
        <w:rPr>
          <w:rFonts w:cstheme="minorHAnsi"/>
        </w:rPr>
        <w:t xml:space="preserve"> bias with regards to </w:t>
      </w:r>
      <w:r w:rsidR="00F4531C" w:rsidRPr="006F307B">
        <w:rPr>
          <w:rFonts w:cstheme="minorHAnsi"/>
        </w:rPr>
        <w:t xml:space="preserve">reporting of </w:t>
      </w:r>
      <w:r w:rsidR="007A6A0A" w:rsidRPr="006F307B">
        <w:rPr>
          <w:rFonts w:cstheme="minorHAnsi"/>
        </w:rPr>
        <w:t>adverse events. However, the risk of bias in efficacy was likely low as the primary outcome of interest, overall survival, was an objective outcome; and</w:t>
      </w:r>
    </w:p>
    <w:p w:rsidR="007A6A0A" w:rsidRPr="006F307B" w:rsidRDefault="007A6A0A" w:rsidP="007278E9">
      <w:pPr>
        <w:pStyle w:val="ListParagraph"/>
        <w:numPr>
          <w:ilvl w:val="0"/>
          <w:numId w:val="20"/>
        </w:numPr>
        <w:spacing w:after="120"/>
        <w:ind w:left="1134" w:hanging="425"/>
        <w:rPr>
          <w:color w:val="auto"/>
        </w:rPr>
      </w:pPr>
      <w:r w:rsidRPr="006F307B">
        <w:rPr>
          <w:rFonts w:cstheme="minorHAnsi"/>
          <w:color w:val="auto"/>
        </w:rPr>
        <w:t>EXTREME was conduc</w:t>
      </w:r>
      <w:r w:rsidR="005A2284" w:rsidRPr="006F307B">
        <w:rPr>
          <w:rFonts w:cstheme="minorHAnsi"/>
          <w:color w:val="auto"/>
        </w:rPr>
        <w:t>ted 10 years prior to KN048, and tre</w:t>
      </w:r>
      <w:r w:rsidRPr="006F307B">
        <w:rPr>
          <w:rFonts w:cstheme="minorHAnsi"/>
          <w:color w:val="auto"/>
        </w:rPr>
        <w:t xml:space="preserve">atments </w:t>
      </w:r>
      <w:r w:rsidR="005A2284" w:rsidRPr="006F307B">
        <w:rPr>
          <w:rFonts w:cstheme="minorHAnsi"/>
          <w:color w:val="auto"/>
        </w:rPr>
        <w:t>likely</w:t>
      </w:r>
      <w:r w:rsidRPr="006F307B">
        <w:rPr>
          <w:rFonts w:cstheme="minorHAnsi"/>
          <w:color w:val="auto"/>
        </w:rPr>
        <w:t xml:space="preserve"> improved over time</w:t>
      </w:r>
      <w:r w:rsidR="005A2284" w:rsidRPr="006F307B">
        <w:rPr>
          <w:rFonts w:cstheme="minorHAnsi"/>
          <w:color w:val="auto"/>
        </w:rPr>
        <w:t>, thereby</w:t>
      </w:r>
      <w:r w:rsidRPr="006F307B">
        <w:rPr>
          <w:rFonts w:cstheme="minorHAnsi"/>
          <w:color w:val="auto"/>
        </w:rPr>
        <w:t xml:space="preserve"> impact</w:t>
      </w:r>
      <w:r w:rsidR="005A2284" w:rsidRPr="006F307B">
        <w:rPr>
          <w:rFonts w:cstheme="minorHAnsi"/>
          <w:color w:val="auto"/>
        </w:rPr>
        <w:t>ing</w:t>
      </w:r>
      <w:r w:rsidRPr="006F307B">
        <w:rPr>
          <w:rFonts w:cstheme="minorHAnsi"/>
          <w:color w:val="auto"/>
        </w:rPr>
        <w:t xml:space="preserve"> the transitivity of the indirect comparison.</w:t>
      </w:r>
      <w:r w:rsidR="008861C6">
        <w:rPr>
          <w:rFonts w:cstheme="minorHAnsi"/>
          <w:color w:val="auto"/>
        </w:rPr>
        <w:t xml:space="preserve"> </w:t>
      </w:r>
      <w:r w:rsidR="008861C6" w:rsidRPr="006F307B">
        <w:rPr>
          <w:color w:val="auto"/>
        </w:rPr>
        <w:t>In response to the</w:t>
      </w:r>
      <w:r w:rsidR="008861C6">
        <w:rPr>
          <w:color w:val="auto"/>
        </w:rPr>
        <w:t>se</w:t>
      </w:r>
      <w:r w:rsidR="008861C6" w:rsidRPr="006F307B">
        <w:rPr>
          <w:color w:val="auto"/>
        </w:rPr>
        <w:t xml:space="preserve"> concerns with the indirect comparison, the pre-PBAC response argued that the common reference arm in both trials had similar median OS and PFS rates.</w:t>
      </w:r>
    </w:p>
    <w:p w:rsidR="00CE7A3F" w:rsidRPr="006F307B" w:rsidRDefault="00E60005" w:rsidP="00140F3F">
      <w:pPr>
        <w:pStyle w:val="PBACESHeading2"/>
        <w:numPr>
          <w:ilvl w:val="0"/>
          <w:numId w:val="0"/>
        </w:numPr>
        <w:spacing w:before="240"/>
        <w:rPr>
          <w:rFonts w:asciiTheme="minorHAnsi" w:hAnsiTheme="minorHAnsi" w:cstheme="minorHAnsi"/>
        </w:rPr>
      </w:pPr>
      <w:bookmarkStart w:id="21" w:name="_Toc51080586"/>
      <w:r w:rsidRPr="006F307B">
        <w:rPr>
          <w:rFonts w:asciiTheme="minorHAnsi" w:hAnsiTheme="minorHAnsi" w:cstheme="minorHAnsi"/>
        </w:rPr>
        <w:t xml:space="preserve">Comparative </w:t>
      </w:r>
      <w:r w:rsidR="00623454" w:rsidRPr="006F307B">
        <w:rPr>
          <w:rFonts w:asciiTheme="minorHAnsi" w:hAnsiTheme="minorHAnsi" w:cstheme="minorHAnsi"/>
        </w:rPr>
        <w:t>e</w:t>
      </w:r>
      <w:r w:rsidR="00CE7A3F" w:rsidRPr="006F307B">
        <w:rPr>
          <w:rFonts w:asciiTheme="minorHAnsi" w:hAnsiTheme="minorHAnsi" w:cstheme="minorHAnsi"/>
        </w:rPr>
        <w:t>ffectiveness</w:t>
      </w:r>
      <w:bookmarkEnd w:id="21"/>
    </w:p>
    <w:p w:rsidR="00B6397B" w:rsidRPr="006F307B" w:rsidRDefault="007A6A0A" w:rsidP="00D4088E">
      <w:pPr>
        <w:pStyle w:val="ListParagraph"/>
      </w:pPr>
      <w:r w:rsidRPr="006F307B">
        <w:t>The overal</w:t>
      </w:r>
      <w:r w:rsidR="00593978">
        <w:t>l survival (OS) and progression-</w:t>
      </w:r>
      <w:r w:rsidRPr="006F307B">
        <w:t xml:space="preserve">free survival (PFS) results of cetuximab </w:t>
      </w:r>
      <w:r w:rsidR="000D2B81" w:rsidRPr="006F307B">
        <w:t xml:space="preserve">+ </w:t>
      </w:r>
      <w:r w:rsidRPr="006F307B">
        <w:t xml:space="preserve">chemotherapy versus chemotherapy alone from EXTREME </w:t>
      </w:r>
      <w:r w:rsidR="001B1DA8" w:rsidRPr="006F307B">
        <w:t xml:space="preserve">used in the indirect comparison </w:t>
      </w:r>
      <w:r w:rsidRPr="006F307B">
        <w:t>are summarised in Table</w:t>
      </w:r>
      <w:r w:rsidR="002418B4" w:rsidRPr="006F307B">
        <w:t xml:space="preserve"> </w:t>
      </w:r>
      <w:r w:rsidRPr="006F307B">
        <w:t>6.</w:t>
      </w:r>
    </w:p>
    <w:p w:rsidR="007A6A0A" w:rsidRPr="006F307B" w:rsidRDefault="007A6A0A" w:rsidP="00001421">
      <w:pPr>
        <w:keepNext/>
        <w:spacing w:before="0" w:after="0"/>
        <w:rPr>
          <w:rFonts w:ascii="Arial Narrow" w:hAnsi="Arial Narrow"/>
          <w:b/>
          <w:sz w:val="20"/>
          <w:szCs w:val="20"/>
        </w:rPr>
      </w:pPr>
      <w:r w:rsidRPr="006F307B">
        <w:rPr>
          <w:rFonts w:ascii="Arial Narrow" w:hAnsi="Arial Narrow"/>
          <w:b/>
          <w:sz w:val="20"/>
          <w:szCs w:val="20"/>
        </w:rPr>
        <w:t>Table 6</w:t>
      </w:r>
      <w:r w:rsidR="00D7534B" w:rsidRPr="006F307B">
        <w:rPr>
          <w:rFonts w:ascii="Arial Narrow" w:hAnsi="Arial Narrow"/>
          <w:b/>
          <w:sz w:val="20"/>
          <w:szCs w:val="20"/>
        </w:rPr>
        <w:t xml:space="preserve">: </w:t>
      </w:r>
      <w:r w:rsidRPr="006F307B">
        <w:rPr>
          <w:rFonts w:ascii="Arial Narrow" w:hAnsi="Arial Narrow"/>
          <w:b/>
          <w:sz w:val="20"/>
          <w:szCs w:val="20"/>
        </w:rPr>
        <w:t xml:space="preserve">Overall survival </w:t>
      </w:r>
      <w:r w:rsidR="00CE197B" w:rsidRPr="006F307B">
        <w:rPr>
          <w:rFonts w:ascii="Arial Narrow" w:hAnsi="Arial Narrow"/>
          <w:b/>
          <w:sz w:val="20"/>
          <w:szCs w:val="20"/>
        </w:rPr>
        <w:t xml:space="preserve">and PFS </w:t>
      </w:r>
      <w:r w:rsidRPr="006F307B">
        <w:rPr>
          <w:rFonts w:ascii="Arial Narrow" w:hAnsi="Arial Narrow"/>
          <w:b/>
          <w:sz w:val="20"/>
          <w:szCs w:val="20"/>
        </w:rPr>
        <w:t xml:space="preserve">results in </w:t>
      </w:r>
      <w:r w:rsidR="009218FD" w:rsidRPr="006F307B">
        <w:rPr>
          <w:rFonts w:ascii="Arial Narrow" w:hAnsi="Arial Narrow"/>
          <w:b/>
          <w:sz w:val="20"/>
          <w:szCs w:val="20"/>
        </w:rPr>
        <w:t>EXTREME ITT</w:t>
      </w:r>
      <w:r w:rsidRPr="006F307B">
        <w:rPr>
          <w:rFonts w:ascii="Arial Narrow" w:hAnsi="Arial Narrow"/>
          <w:b/>
          <w:sz w:val="20"/>
          <w:szCs w:val="20"/>
        </w:rPr>
        <w:t xml:space="preserve"> population</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6: Overall survival and PFS results in EXTREME ITT population"/>
      </w:tblPr>
      <w:tblGrid>
        <w:gridCol w:w="2689"/>
        <w:gridCol w:w="1275"/>
        <w:gridCol w:w="1418"/>
        <w:gridCol w:w="1559"/>
        <w:gridCol w:w="1276"/>
        <w:gridCol w:w="850"/>
      </w:tblGrid>
      <w:tr w:rsidR="007A6A0A" w:rsidRPr="006F307B" w:rsidTr="006F0C01">
        <w:trPr>
          <w:cnfStyle w:val="100000000000" w:firstRow="1" w:lastRow="0" w:firstColumn="0" w:lastColumn="0" w:oddVBand="0" w:evenVBand="0" w:oddHBand="0" w:evenHBand="0" w:firstRowFirstColumn="0" w:firstRowLastColumn="0" w:lastRowFirstColumn="0" w:lastRowLastColumn="0"/>
          <w:tblHeader/>
        </w:trPr>
        <w:tc>
          <w:tcPr>
            <w:tcW w:w="2689" w:type="dxa"/>
            <w:shd w:val="clear" w:color="auto" w:fill="auto"/>
            <w:vAlign w:val="center"/>
          </w:tcPr>
          <w:p w:rsidR="007A6A0A" w:rsidRPr="007278E9" w:rsidRDefault="007A6A0A" w:rsidP="00001421">
            <w:pPr>
              <w:keepNext/>
              <w:spacing w:before="40" w:after="40"/>
              <w:jc w:val="left"/>
              <w:rPr>
                <w:rFonts w:ascii="Arial Narrow" w:hAnsi="Arial Narrow" w:cs="Times New Roman"/>
                <w:sz w:val="20"/>
                <w:szCs w:val="20"/>
                <w:lang w:val="en-AU"/>
              </w:rPr>
            </w:pPr>
            <w:r w:rsidRPr="006F307B">
              <w:rPr>
                <w:rFonts w:ascii="Arial Narrow" w:hAnsi="Arial Narrow" w:cs="Times New Roman"/>
                <w:sz w:val="20"/>
                <w:szCs w:val="20"/>
              </w:rPr>
              <w:t>Treatment</w:t>
            </w:r>
          </w:p>
        </w:tc>
        <w:tc>
          <w:tcPr>
            <w:tcW w:w="1275"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 xml:space="preserve">Deaths, </w:t>
            </w:r>
            <w:r w:rsidR="00555D45">
              <w:rPr>
                <w:rFonts w:ascii="Arial Narrow" w:hAnsi="Arial Narrow" w:cs="Times New Roman"/>
                <w:sz w:val="20"/>
                <w:szCs w:val="20"/>
              </w:rPr>
              <w:br/>
            </w:r>
            <w:r w:rsidRPr="006F307B">
              <w:rPr>
                <w:rFonts w:ascii="Arial Narrow" w:hAnsi="Arial Narrow" w:cs="Times New Roman"/>
                <w:sz w:val="20"/>
                <w:szCs w:val="20"/>
              </w:rPr>
              <w:t>n/N (%)</w:t>
            </w:r>
          </w:p>
        </w:tc>
        <w:tc>
          <w:tcPr>
            <w:tcW w:w="1418"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Median OS, months (95%CI0</w:t>
            </w:r>
          </w:p>
        </w:tc>
        <w:tc>
          <w:tcPr>
            <w:tcW w:w="1559"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OS rate at 12 months (95% CI)</w:t>
            </w:r>
          </w:p>
        </w:tc>
        <w:tc>
          <w:tcPr>
            <w:tcW w:w="1276"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Hazard ratio (95%CI)</w:t>
            </w:r>
          </w:p>
        </w:tc>
        <w:tc>
          <w:tcPr>
            <w:tcW w:w="850"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p-value</w:t>
            </w:r>
          </w:p>
        </w:tc>
      </w:tr>
      <w:tr w:rsidR="007A6A0A" w:rsidRPr="006F307B" w:rsidTr="00B26AC1">
        <w:tc>
          <w:tcPr>
            <w:tcW w:w="2689" w:type="dxa"/>
            <w:shd w:val="clear" w:color="auto" w:fill="auto"/>
          </w:tcPr>
          <w:p w:rsidR="007A6A0A" w:rsidRPr="007278E9" w:rsidRDefault="007A6A0A" w:rsidP="00001421">
            <w:pPr>
              <w:keepNext/>
              <w:spacing w:before="40" w:after="40"/>
              <w:rPr>
                <w:rFonts w:ascii="Arial Narrow" w:hAnsi="Arial Narrow" w:cs="Times New Roman"/>
                <w:sz w:val="20"/>
                <w:szCs w:val="20"/>
                <w:lang w:val="en-AU"/>
              </w:rPr>
            </w:pPr>
            <w:r w:rsidRPr="006F307B">
              <w:rPr>
                <w:rFonts w:ascii="Arial Narrow" w:hAnsi="Arial Narrow" w:cs="Times New Roman"/>
                <w:sz w:val="20"/>
                <w:szCs w:val="20"/>
              </w:rPr>
              <w:t>Cetuximab + chemotherapy</w:t>
            </w:r>
          </w:p>
        </w:tc>
        <w:tc>
          <w:tcPr>
            <w:tcW w:w="1275"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167/222 (75.2)</w:t>
            </w:r>
          </w:p>
        </w:tc>
        <w:tc>
          <w:tcPr>
            <w:tcW w:w="1418"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10.1 (8.6, 11.2)</w:t>
            </w:r>
          </w:p>
        </w:tc>
        <w:tc>
          <w:tcPr>
            <w:tcW w:w="1559"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NR</w:t>
            </w:r>
          </w:p>
        </w:tc>
        <w:tc>
          <w:tcPr>
            <w:tcW w:w="1276" w:type="dxa"/>
            <w:vMerge w:val="restart"/>
            <w:shd w:val="clear" w:color="auto" w:fill="auto"/>
            <w:vAlign w:val="center"/>
          </w:tcPr>
          <w:p w:rsidR="007A6A0A" w:rsidRPr="007278E9" w:rsidRDefault="007A6A0A" w:rsidP="00001421">
            <w:pPr>
              <w:keepNext/>
              <w:spacing w:before="40" w:after="40"/>
              <w:jc w:val="center"/>
              <w:rPr>
                <w:rFonts w:ascii="Arial Narrow" w:hAnsi="Arial Narrow" w:cs="Times New Roman"/>
                <w:b/>
                <w:sz w:val="20"/>
                <w:szCs w:val="20"/>
                <w:lang w:val="en-AU"/>
              </w:rPr>
            </w:pPr>
            <w:r w:rsidRPr="006F307B">
              <w:rPr>
                <w:rFonts w:ascii="Arial Narrow" w:hAnsi="Arial Narrow" w:cs="Times New Roman"/>
                <w:b/>
                <w:sz w:val="20"/>
                <w:szCs w:val="20"/>
              </w:rPr>
              <w:t xml:space="preserve">0.80 </w:t>
            </w:r>
            <w:r w:rsidRPr="006F307B">
              <w:rPr>
                <w:rFonts w:ascii="Arial Narrow" w:hAnsi="Arial Narrow" w:cs="Times New Roman"/>
                <w:b/>
                <w:sz w:val="20"/>
                <w:szCs w:val="20"/>
              </w:rPr>
              <w:br/>
              <w:t>(0.64, 0.99)</w:t>
            </w:r>
          </w:p>
        </w:tc>
        <w:tc>
          <w:tcPr>
            <w:tcW w:w="850" w:type="dxa"/>
            <w:vMerge w:val="restart"/>
            <w:shd w:val="clear" w:color="auto" w:fill="auto"/>
            <w:vAlign w:val="center"/>
          </w:tcPr>
          <w:p w:rsidR="007A6A0A" w:rsidRPr="007278E9" w:rsidRDefault="007A6A0A" w:rsidP="00001421">
            <w:pPr>
              <w:keepNext/>
              <w:spacing w:before="40" w:after="40"/>
              <w:jc w:val="center"/>
              <w:rPr>
                <w:rFonts w:ascii="Arial Narrow" w:hAnsi="Arial Narrow" w:cs="Times New Roman"/>
                <w:b/>
                <w:sz w:val="20"/>
                <w:szCs w:val="20"/>
                <w:lang w:val="en-AU"/>
              </w:rPr>
            </w:pPr>
            <w:r w:rsidRPr="006F307B">
              <w:rPr>
                <w:rFonts w:ascii="Arial Narrow" w:hAnsi="Arial Narrow" w:cs="Times New Roman"/>
                <w:b/>
                <w:sz w:val="20"/>
                <w:szCs w:val="20"/>
              </w:rPr>
              <w:t>0.04</w:t>
            </w:r>
          </w:p>
        </w:tc>
      </w:tr>
      <w:tr w:rsidR="007A6A0A" w:rsidRPr="006F307B" w:rsidTr="00B26AC1">
        <w:tc>
          <w:tcPr>
            <w:tcW w:w="2689" w:type="dxa"/>
            <w:shd w:val="clear" w:color="auto" w:fill="auto"/>
          </w:tcPr>
          <w:p w:rsidR="007A6A0A" w:rsidRPr="007278E9" w:rsidRDefault="007A6A0A" w:rsidP="00001421">
            <w:pPr>
              <w:keepNext/>
              <w:spacing w:before="40" w:after="40"/>
              <w:rPr>
                <w:rFonts w:ascii="Arial Narrow" w:hAnsi="Arial Narrow" w:cs="Times New Roman"/>
                <w:sz w:val="20"/>
                <w:szCs w:val="20"/>
                <w:lang w:val="en-AU"/>
              </w:rPr>
            </w:pPr>
            <w:r w:rsidRPr="006F307B">
              <w:rPr>
                <w:rFonts w:ascii="Arial Narrow" w:hAnsi="Arial Narrow" w:cs="Times New Roman"/>
                <w:sz w:val="20"/>
                <w:szCs w:val="20"/>
              </w:rPr>
              <w:t>Chemotherapy alone</w:t>
            </w:r>
          </w:p>
        </w:tc>
        <w:tc>
          <w:tcPr>
            <w:tcW w:w="1275"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176/220 (80.0)</w:t>
            </w:r>
          </w:p>
        </w:tc>
        <w:tc>
          <w:tcPr>
            <w:tcW w:w="1418"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7.4 (6.4, 8.3)</w:t>
            </w:r>
          </w:p>
        </w:tc>
        <w:tc>
          <w:tcPr>
            <w:tcW w:w="1559"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NR</w:t>
            </w:r>
          </w:p>
        </w:tc>
        <w:tc>
          <w:tcPr>
            <w:tcW w:w="1276" w:type="dxa"/>
            <w:vMerge/>
            <w:shd w:val="clear" w:color="auto" w:fill="auto"/>
          </w:tcPr>
          <w:p w:rsidR="007A6A0A" w:rsidRPr="007278E9" w:rsidRDefault="007A6A0A" w:rsidP="00001421">
            <w:pPr>
              <w:keepNext/>
              <w:spacing w:before="40" w:after="40"/>
              <w:rPr>
                <w:rFonts w:ascii="Arial Narrow" w:hAnsi="Arial Narrow" w:cs="Times New Roman"/>
                <w:sz w:val="20"/>
                <w:szCs w:val="20"/>
                <w:lang w:val="en-AU"/>
              </w:rPr>
            </w:pPr>
          </w:p>
        </w:tc>
        <w:tc>
          <w:tcPr>
            <w:tcW w:w="850" w:type="dxa"/>
            <w:vMerge/>
            <w:shd w:val="clear" w:color="auto" w:fill="auto"/>
          </w:tcPr>
          <w:p w:rsidR="007A6A0A" w:rsidRPr="007278E9" w:rsidRDefault="007A6A0A" w:rsidP="00001421">
            <w:pPr>
              <w:keepNext/>
              <w:spacing w:before="40" w:after="40"/>
              <w:rPr>
                <w:rFonts w:ascii="Arial Narrow" w:hAnsi="Arial Narrow" w:cs="Times New Roman"/>
                <w:sz w:val="20"/>
                <w:szCs w:val="20"/>
                <w:lang w:val="en-AU"/>
              </w:rPr>
            </w:pPr>
          </w:p>
        </w:tc>
      </w:tr>
      <w:tr w:rsidR="007A6A0A" w:rsidRPr="006F307B" w:rsidTr="00B26AC1">
        <w:tc>
          <w:tcPr>
            <w:tcW w:w="2689" w:type="dxa"/>
            <w:shd w:val="clear" w:color="auto" w:fill="auto"/>
          </w:tcPr>
          <w:p w:rsidR="007A6A0A" w:rsidRPr="007278E9" w:rsidRDefault="007A6A0A" w:rsidP="00001421">
            <w:pPr>
              <w:keepNext/>
              <w:spacing w:before="40" w:after="40"/>
              <w:rPr>
                <w:rFonts w:ascii="Arial Narrow" w:hAnsi="Arial Narrow" w:cs="Times New Roman"/>
                <w:sz w:val="20"/>
                <w:szCs w:val="20"/>
                <w:lang w:val="en-AU"/>
              </w:rPr>
            </w:pPr>
          </w:p>
        </w:tc>
        <w:tc>
          <w:tcPr>
            <w:tcW w:w="1275" w:type="dxa"/>
            <w:shd w:val="clear" w:color="auto" w:fill="auto"/>
            <w:vAlign w:val="center"/>
          </w:tcPr>
          <w:p w:rsidR="007A6A0A" w:rsidRPr="007278E9" w:rsidRDefault="007A6A0A" w:rsidP="00001421">
            <w:pPr>
              <w:keepNext/>
              <w:spacing w:before="40" w:after="40"/>
              <w:jc w:val="center"/>
              <w:rPr>
                <w:rFonts w:ascii="Arial Narrow" w:hAnsi="Arial Narrow" w:cs="Times New Roman"/>
                <w:b/>
                <w:sz w:val="20"/>
                <w:szCs w:val="20"/>
                <w:lang w:val="en-AU"/>
              </w:rPr>
            </w:pPr>
            <w:r w:rsidRPr="006F307B">
              <w:rPr>
                <w:rFonts w:ascii="Arial Narrow" w:hAnsi="Arial Narrow" w:cs="Times New Roman"/>
                <w:b/>
                <w:sz w:val="20"/>
                <w:szCs w:val="20"/>
              </w:rPr>
              <w:t>Progressed or death, n/N (%)</w:t>
            </w:r>
          </w:p>
        </w:tc>
        <w:tc>
          <w:tcPr>
            <w:tcW w:w="1418" w:type="dxa"/>
            <w:shd w:val="clear" w:color="auto" w:fill="auto"/>
            <w:vAlign w:val="center"/>
          </w:tcPr>
          <w:p w:rsidR="007A6A0A" w:rsidRPr="007278E9" w:rsidRDefault="007A6A0A" w:rsidP="00001421">
            <w:pPr>
              <w:keepNext/>
              <w:spacing w:before="40" w:after="40"/>
              <w:jc w:val="center"/>
              <w:rPr>
                <w:rFonts w:ascii="Arial Narrow" w:hAnsi="Arial Narrow" w:cs="Times New Roman"/>
                <w:b/>
                <w:sz w:val="20"/>
                <w:szCs w:val="20"/>
                <w:lang w:val="en-AU"/>
              </w:rPr>
            </w:pPr>
            <w:r w:rsidRPr="006F307B">
              <w:rPr>
                <w:rFonts w:ascii="Arial Narrow" w:hAnsi="Arial Narrow" w:cs="Times New Roman"/>
                <w:b/>
                <w:sz w:val="20"/>
                <w:szCs w:val="20"/>
              </w:rPr>
              <w:t>Median PFS, months (95%CI0</w:t>
            </w:r>
          </w:p>
        </w:tc>
        <w:tc>
          <w:tcPr>
            <w:tcW w:w="1559" w:type="dxa"/>
            <w:shd w:val="clear" w:color="auto" w:fill="auto"/>
            <w:vAlign w:val="center"/>
          </w:tcPr>
          <w:p w:rsidR="007A6A0A" w:rsidRPr="007278E9" w:rsidRDefault="007A6A0A" w:rsidP="00001421">
            <w:pPr>
              <w:keepNext/>
              <w:spacing w:before="40" w:after="40"/>
              <w:jc w:val="center"/>
              <w:rPr>
                <w:rFonts w:ascii="Arial Narrow" w:hAnsi="Arial Narrow" w:cs="Times New Roman"/>
                <w:b/>
                <w:sz w:val="20"/>
                <w:szCs w:val="20"/>
                <w:lang w:val="en-AU"/>
              </w:rPr>
            </w:pPr>
            <w:r w:rsidRPr="006F307B">
              <w:rPr>
                <w:rFonts w:ascii="Arial Narrow" w:hAnsi="Arial Narrow" w:cs="Times New Roman"/>
                <w:b/>
                <w:sz w:val="20"/>
                <w:szCs w:val="20"/>
              </w:rPr>
              <w:t>PFS rate at 12 months (95% CI)</w:t>
            </w:r>
          </w:p>
        </w:tc>
        <w:tc>
          <w:tcPr>
            <w:tcW w:w="1276" w:type="dxa"/>
            <w:shd w:val="clear" w:color="auto" w:fill="auto"/>
          </w:tcPr>
          <w:p w:rsidR="007A6A0A" w:rsidRPr="007278E9" w:rsidRDefault="007A6A0A" w:rsidP="00001421">
            <w:pPr>
              <w:keepNext/>
              <w:spacing w:before="40" w:after="40"/>
              <w:rPr>
                <w:rFonts w:ascii="Arial Narrow" w:hAnsi="Arial Narrow" w:cs="Times New Roman"/>
                <w:sz w:val="20"/>
                <w:szCs w:val="20"/>
                <w:lang w:val="en-AU"/>
              </w:rPr>
            </w:pPr>
          </w:p>
        </w:tc>
        <w:tc>
          <w:tcPr>
            <w:tcW w:w="850" w:type="dxa"/>
            <w:shd w:val="clear" w:color="auto" w:fill="auto"/>
          </w:tcPr>
          <w:p w:rsidR="007A6A0A" w:rsidRPr="007278E9" w:rsidRDefault="007A6A0A" w:rsidP="00001421">
            <w:pPr>
              <w:keepNext/>
              <w:spacing w:before="40" w:after="40"/>
              <w:rPr>
                <w:rFonts w:ascii="Arial Narrow" w:hAnsi="Arial Narrow" w:cs="Times New Roman"/>
                <w:sz w:val="20"/>
                <w:szCs w:val="20"/>
                <w:lang w:val="en-AU"/>
              </w:rPr>
            </w:pPr>
          </w:p>
        </w:tc>
      </w:tr>
      <w:tr w:rsidR="007A6A0A" w:rsidRPr="006F307B" w:rsidTr="00B26AC1">
        <w:tc>
          <w:tcPr>
            <w:tcW w:w="2689" w:type="dxa"/>
            <w:shd w:val="clear" w:color="auto" w:fill="auto"/>
          </w:tcPr>
          <w:p w:rsidR="007A6A0A" w:rsidRPr="007278E9" w:rsidRDefault="007A6A0A" w:rsidP="00001421">
            <w:pPr>
              <w:keepNext/>
              <w:spacing w:before="40" w:after="40"/>
              <w:rPr>
                <w:rFonts w:ascii="Arial Narrow" w:hAnsi="Arial Narrow" w:cs="Times New Roman"/>
                <w:sz w:val="20"/>
                <w:szCs w:val="20"/>
                <w:lang w:val="en-AU"/>
              </w:rPr>
            </w:pPr>
            <w:r w:rsidRPr="006F307B">
              <w:rPr>
                <w:rFonts w:ascii="Arial Narrow" w:hAnsi="Arial Narrow" w:cs="Times New Roman"/>
                <w:sz w:val="20"/>
                <w:szCs w:val="20"/>
              </w:rPr>
              <w:t>Cetuximab + chemotherapy</w:t>
            </w:r>
          </w:p>
        </w:tc>
        <w:tc>
          <w:tcPr>
            <w:tcW w:w="1275"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168/222 (75.7)</w:t>
            </w:r>
          </w:p>
        </w:tc>
        <w:tc>
          <w:tcPr>
            <w:tcW w:w="1418"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5.6 (5.0, 6.0)</w:t>
            </w:r>
          </w:p>
        </w:tc>
        <w:tc>
          <w:tcPr>
            <w:tcW w:w="1559"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NR</w:t>
            </w:r>
          </w:p>
        </w:tc>
        <w:tc>
          <w:tcPr>
            <w:tcW w:w="1276" w:type="dxa"/>
            <w:vMerge w:val="restart"/>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b/>
                <w:sz w:val="20"/>
                <w:szCs w:val="20"/>
              </w:rPr>
              <w:t xml:space="preserve">0.54 </w:t>
            </w:r>
            <w:r w:rsidRPr="006F307B">
              <w:rPr>
                <w:rFonts w:ascii="Arial Narrow" w:hAnsi="Arial Narrow" w:cs="Times New Roman"/>
                <w:b/>
                <w:sz w:val="20"/>
                <w:szCs w:val="20"/>
              </w:rPr>
              <w:br/>
              <w:t>(0.43, 0.67)</w:t>
            </w:r>
          </w:p>
        </w:tc>
        <w:tc>
          <w:tcPr>
            <w:tcW w:w="850" w:type="dxa"/>
            <w:vMerge w:val="restart"/>
            <w:shd w:val="clear" w:color="auto" w:fill="auto"/>
            <w:vAlign w:val="center"/>
          </w:tcPr>
          <w:p w:rsidR="007A6A0A" w:rsidRPr="007278E9" w:rsidRDefault="007A6A0A" w:rsidP="00001421">
            <w:pPr>
              <w:keepNext/>
              <w:spacing w:before="40" w:after="40"/>
              <w:jc w:val="center"/>
              <w:rPr>
                <w:rFonts w:ascii="Arial Narrow" w:hAnsi="Arial Narrow" w:cs="Times New Roman"/>
                <w:b/>
                <w:sz w:val="20"/>
                <w:szCs w:val="20"/>
                <w:lang w:val="en-AU"/>
              </w:rPr>
            </w:pPr>
            <w:r w:rsidRPr="006F307B">
              <w:rPr>
                <w:rFonts w:ascii="Arial Narrow" w:hAnsi="Arial Narrow" w:cs="Times New Roman"/>
                <w:b/>
                <w:sz w:val="20"/>
                <w:szCs w:val="20"/>
              </w:rPr>
              <w:t>&lt;0.001</w:t>
            </w:r>
          </w:p>
        </w:tc>
      </w:tr>
      <w:tr w:rsidR="007A6A0A" w:rsidRPr="006F307B" w:rsidTr="00B26AC1">
        <w:tc>
          <w:tcPr>
            <w:tcW w:w="2689" w:type="dxa"/>
            <w:shd w:val="clear" w:color="auto" w:fill="auto"/>
          </w:tcPr>
          <w:p w:rsidR="007A6A0A" w:rsidRPr="007278E9" w:rsidRDefault="00555D45" w:rsidP="00001421">
            <w:pPr>
              <w:keepNext/>
              <w:spacing w:before="40" w:after="40"/>
              <w:rPr>
                <w:rFonts w:ascii="Arial Narrow" w:hAnsi="Arial Narrow" w:cs="Times New Roman"/>
                <w:sz w:val="20"/>
                <w:szCs w:val="20"/>
                <w:lang w:val="en-AU"/>
              </w:rPr>
            </w:pPr>
            <w:r>
              <w:rPr>
                <w:rFonts w:ascii="Arial Narrow" w:hAnsi="Arial Narrow" w:cs="Times New Roman"/>
                <w:sz w:val="20"/>
                <w:szCs w:val="20"/>
              </w:rPr>
              <w:t>Chemotherapy</w:t>
            </w:r>
          </w:p>
        </w:tc>
        <w:tc>
          <w:tcPr>
            <w:tcW w:w="1275"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173/220 (78.6)</w:t>
            </w:r>
          </w:p>
        </w:tc>
        <w:tc>
          <w:tcPr>
            <w:tcW w:w="1418"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3.3 (2.9, 4.3)</w:t>
            </w:r>
          </w:p>
        </w:tc>
        <w:tc>
          <w:tcPr>
            <w:tcW w:w="1559" w:type="dxa"/>
            <w:shd w:val="clear" w:color="auto" w:fill="auto"/>
            <w:vAlign w:val="center"/>
          </w:tcPr>
          <w:p w:rsidR="007A6A0A" w:rsidRPr="007278E9" w:rsidRDefault="007A6A0A" w:rsidP="00001421">
            <w:pPr>
              <w:keepNext/>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NR</w:t>
            </w:r>
          </w:p>
        </w:tc>
        <w:tc>
          <w:tcPr>
            <w:tcW w:w="1276" w:type="dxa"/>
            <w:vMerge/>
            <w:shd w:val="clear" w:color="auto" w:fill="auto"/>
          </w:tcPr>
          <w:p w:rsidR="007A6A0A" w:rsidRPr="007278E9" w:rsidRDefault="007A6A0A" w:rsidP="00001421">
            <w:pPr>
              <w:keepNext/>
              <w:spacing w:before="40" w:after="40"/>
              <w:rPr>
                <w:rFonts w:ascii="Arial Narrow" w:hAnsi="Arial Narrow" w:cs="Times New Roman"/>
                <w:sz w:val="20"/>
                <w:szCs w:val="20"/>
                <w:lang w:val="en-AU"/>
              </w:rPr>
            </w:pPr>
          </w:p>
        </w:tc>
        <w:tc>
          <w:tcPr>
            <w:tcW w:w="850" w:type="dxa"/>
            <w:vMerge/>
            <w:shd w:val="clear" w:color="auto" w:fill="auto"/>
          </w:tcPr>
          <w:p w:rsidR="007A6A0A" w:rsidRPr="007278E9" w:rsidRDefault="007A6A0A" w:rsidP="00001421">
            <w:pPr>
              <w:keepNext/>
              <w:spacing w:before="40" w:after="40"/>
              <w:rPr>
                <w:rFonts w:ascii="Arial Narrow" w:hAnsi="Arial Narrow" w:cs="Times New Roman"/>
                <w:sz w:val="20"/>
                <w:szCs w:val="20"/>
                <w:lang w:val="en-AU"/>
              </w:rPr>
            </w:pPr>
          </w:p>
        </w:tc>
      </w:tr>
    </w:tbl>
    <w:p w:rsidR="007A6A0A" w:rsidRPr="006F307B" w:rsidRDefault="007A6A0A" w:rsidP="007A6A0A">
      <w:pPr>
        <w:spacing w:before="0" w:after="0"/>
        <w:rPr>
          <w:rFonts w:ascii="Arial Narrow" w:hAnsi="Arial Narrow"/>
          <w:sz w:val="18"/>
          <w:szCs w:val="18"/>
        </w:rPr>
      </w:pPr>
      <w:r w:rsidRPr="006F307B">
        <w:rPr>
          <w:rFonts w:ascii="Arial Narrow" w:hAnsi="Arial Narrow"/>
          <w:sz w:val="18"/>
          <w:szCs w:val="18"/>
        </w:rPr>
        <w:t>Text in bold indicates statistically significant results</w:t>
      </w:r>
    </w:p>
    <w:p w:rsidR="007A6A0A" w:rsidRPr="006F307B" w:rsidRDefault="00ED436C" w:rsidP="007A6A0A">
      <w:pPr>
        <w:spacing w:before="0" w:after="0"/>
        <w:rPr>
          <w:rFonts w:ascii="Arial Narrow" w:hAnsi="Arial Narrow"/>
          <w:sz w:val="18"/>
          <w:szCs w:val="18"/>
        </w:rPr>
      </w:pPr>
      <w:r w:rsidRPr="00ED436C">
        <w:rPr>
          <w:rFonts w:ascii="Arial Narrow" w:hAnsi="Arial Narrow"/>
          <w:sz w:val="18"/>
          <w:szCs w:val="18"/>
        </w:rPr>
        <w:t xml:space="preserve">Abbreviations: </w:t>
      </w:r>
      <w:r w:rsidR="007A6A0A" w:rsidRPr="006F307B">
        <w:rPr>
          <w:rFonts w:ascii="Arial Narrow" w:hAnsi="Arial Narrow"/>
          <w:sz w:val="18"/>
          <w:szCs w:val="18"/>
        </w:rPr>
        <w:t>OS</w:t>
      </w:r>
      <w:r w:rsidR="00914717" w:rsidRPr="006F307B">
        <w:rPr>
          <w:rFonts w:ascii="Arial Narrow" w:hAnsi="Arial Narrow"/>
          <w:sz w:val="18"/>
          <w:szCs w:val="18"/>
        </w:rPr>
        <w:t xml:space="preserve"> </w:t>
      </w:r>
      <w:r w:rsidR="007A6A0A" w:rsidRPr="006F307B">
        <w:rPr>
          <w:rFonts w:ascii="Arial Narrow" w:hAnsi="Arial Narrow"/>
          <w:sz w:val="18"/>
          <w:szCs w:val="18"/>
        </w:rPr>
        <w:t>= overall survival, ITT = intention to treat, NR = not reported</w:t>
      </w:r>
    </w:p>
    <w:p w:rsidR="007A6A0A" w:rsidRPr="006F307B" w:rsidRDefault="007A6A0A" w:rsidP="007A6A0A">
      <w:pPr>
        <w:spacing w:before="0" w:after="0"/>
        <w:rPr>
          <w:rFonts w:ascii="Arial Narrow" w:hAnsi="Arial Narrow"/>
          <w:sz w:val="18"/>
          <w:szCs w:val="18"/>
        </w:rPr>
      </w:pPr>
      <w:r w:rsidRPr="006F307B">
        <w:rPr>
          <w:rFonts w:ascii="Arial Narrow" w:hAnsi="Arial Narrow"/>
          <w:sz w:val="18"/>
          <w:szCs w:val="18"/>
        </w:rPr>
        <w:t>Source: Table 2.5-2, p61 of the submission and ta</w:t>
      </w:r>
      <w:r w:rsidR="00ED436C">
        <w:rPr>
          <w:rFonts w:ascii="Arial Narrow" w:hAnsi="Arial Narrow"/>
          <w:sz w:val="18"/>
          <w:szCs w:val="18"/>
        </w:rPr>
        <w:t>ble 6, Cetuximab PSD March 2018</w:t>
      </w:r>
    </w:p>
    <w:p w:rsidR="000D2B81" w:rsidRPr="006F307B" w:rsidRDefault="00B26AC1" w:rsidP="008E5D18">
      <w:pPr>
        <w:pStyle w:val="ListParagraph"/>
      </w:pPr>
      <w:bookmarkStart w:id="22" w:name="_Toc487029168"/>
      <w:bookmarkStart w:id="23" w:name="_Toc433202796"/>
      <w:r w:rsidRPr="006F307B">
        <w:t xml:space="preserve">The OS results of pembrolizumab monotherapy versus cetuximab </w:t>
      </w:r>
      <w:r w:rsidR="000D2B81" w:rsidRPr="006F307B">
        <w:t xml:space="preserve">+ </w:t>
      </w:r>
      <w:r w:rsidRPr="006F307B">
        <w:t xml:space="preserve">chemotherapy from KN048 </w:t>
      </w:r>
      <w:r w:rsidR="00B46FB9" w:rsidRPr="006F307B">
        <w:t>are</w:t>
      </w:r>
      <w:r w:rsidRPr="006F307B">
        <w:t xml:space="preserve"> presented in Table</w:t>
      </w:r>
      <w:r w:rsidR="00D7534B" w:rsidRPr="006F307B">
        <w:t xml:space="preserve"> </w:t>
      </w:r>
      <w:r w:rsidRPr="006F307B">
        <w:t>7 and the OS Kaplan Meier curves from KN048 for ITT and CPS ≥1 populations are presented in Figures</w:t>
      </w:r>
      <w:r w:rsidR="005A0E2A" w:rsidRPr="006F307B">
        <w:t xml:space="preserve"> </w:t>
      </w:r>
      <w:r w:rsidRPr="006F307B">
        <w:t>1 and 2.</w:t>
      </w:r>
    </w:p>
    <w:p w:rsidR="00B26AC1" w:rsidRPr="006F307B" w:rsidRDefault="00B26AC1" w:rsidP="008E5D18">
      <w:pPr>
        <w:pStyle w:val="Caption"/>
      </w:pPr>
      <w:r w:rsidRPr="006F307B">
        <w:lastRenderedPageBreak/>
        <w:t>Table</w:t>
      </w:r>
      <w:r w:rsidR="002418B4" w:rsidRPr="006F307B">
        <w:t xml:space="preserve"> </w:t>
      </w:r>
      <w:r w:rsidRPr="006F307B">
        <w:t>7</w:t>
      </w:r>
      <w:r w:rsidR="00D7534B" w:rsidRPr="006F307B">
        <w:t>:</w:t>
      </w:r>
      <w:r w:rsidRPr="006F307B">
        <w:t xml:space="preserve"> Summary of OS results for pembrolizumab monotherapy vs cetuximab </w:t>
      </w:r>
      <w:r w:rsidR="00F4531C" w:rsidRPr="006F307B">
        <w:t xml:space="preserve">+ </w:t>
      </w:r>
      <w:r w:rsidRPr="006F307B">
        <w:t>chemotherapy in KN048</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7: Summary of OS results for pembrolizumab monotherapy vs cetuximab + chemotherapy in KN048"/>
      </w:tblPr>
      <w:tblGrid>
        <w:gridCol w:w="1129"/>
        <w:gridCol w:w="993"/>
        <w:gridCol w:w="1559"/>
        <w:gridCol w:w="992"/>
        <w:gridCol w:w="1276"/>
        <w:gridCol w:w="1276"/>
        <w:gridCol w:w="838"/>
        <w:gridCol w:w="953"/>
      </w:tblGrid>
      <w:tr w:rsidR="00FC2B92" w:rsidRPr="006F307B" w:rsidTr="006F0C01">
        <w:trPr>
          <w:cnfStyle w:val="100000000000" w:firstRow="1" w:lastRow="0" w:firstColumn="0" w:lastColumn="0" w:oddVBand="0" w:evenVBand="0" w:oddHBand="0" w:evenHBand="0" w:firstRowFirstColumn="0" w:firstRowLastColumn="0" w:lastRowFirstColumn="0" w:lastRowLastColumn="0"/>
          <w:tblHeader/>
        </w:trPr>
        <w:tc>
          <w:tcPr>
            <w:tcW w:w="1129" w:type="dxa"/>
            <w:vMerge w:val="restart"/>
            <w:shd w:val="clear" w:color="auto" w:fill="auto"/>
            <w:vAlign w:val="center"/>
          </w:tcPr>
          <w:p w:rsidR="00B26AC1" w:rsidRPr="007278E9" w:rsidRDefault="00B26AC1" w:rsidP="00B26AC1">
            <w:pPr>
              <w:pStyle w:val="InstructionalText"/>
              <w:keepN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Subgroup</w:t>
            </w:r>
          </w:p>
        </w:tc>
        <w:tc>
          <w:tcPr>
            <w:tcW w:w="2552" w:type="dxa"/>
            <w:gridSpan w:val="2"/>
            <w:shd w:val="clear" w:color="auto" w:fill="auto"/>
            <w:vAlign w:val="center"/>
          </w:tcPr>
          <w:p w:rsidR="00B26AC1" w:rsidRPr="007278E9" w:rsidRDefault="00B26AC1"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Pembrolizumab monotherapy</w:t>
            </w:r>
          </w:p>
        </w:tc>
        <w:tc>
          <w:tcPr>
            <w:tcW w:w="2268" w:type="dxa"/>
            <w:gridSpan w:val="2"/>
            <w:shd w:val="clear" w:color="auto" w:fill="auto"/>
            <w:vAlign w:val="center"/>
          </w:tcPr>
          <w:p w:rsidR="00B26AC1" w:rsidRPr="007278E9" w:rsidRDefault="00B26AC1"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Cetuximab + chemotherapy</w:t>
            </w:r>
          </w:p>
        </w:tc>
        <w:tc>
          <w:tcPr>
            <w:tcW w:w="1276" w:type="dxa"/>
            <w:vMerge w:val="restart"/>
            <w:shd w:val="clear" w:color="auto" w:fill="auto"/>
            <w:vAlign w:val="center"/>
          </w:tcPr>
          <w:p w:rsidR="00B26AC1" w:rsidRPr="007278E9" w:rsidRDefault="00B26AC1"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Hazard ratio (95%CI)</w:t>
            </w:r>
          </w:p>
        </w:tc>
        <w:tc>
          <w:tcPr>
            <w:tcW w:w="838" w:type="dxa"/>
            <w:vMerge w:val="restart"/>
            <w:shd w:val="clear" w:color="auto" w:fill="auto"/>
            <w:vAlign w:val="center"/>
          </w:tcPr>
          <w:p w:rsidR="00B26AC1" w:rsidRPr="007278E9" w:rsidRDefault="00B26AC1"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P-value</w:t>
            </w:r>
          </w:p>
        </w:tc>
        <w:tc>
          <w:tcPr>
            <w:tcW w:w="953" w:type="dxa"/>
            <w:vMerge w:val="restart"/>
            <w:shd w:val="clear" w:color="auto" w:fill="auto"/>
            <w:vAlign w:val="center"/>
          </w:tcPr>
          <w:p w:rsidR="00B26AC1" w:rsidRPr="007278E9" w:rsidRDefault="00B26AC1"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Test for interaction p-value (I</w:t>
            </w:r>
            <w:r w:rsidRPr="006F307B">
              <w:rPr>
                <w:rFonts w:ascii="Arial Narrow" w:hAnsi="Arial Narrow"/>
                <w:color w:val="auto"/>
                <w:sz w:val="20"/>
                <w:szCs w:val="20"/>
                <w:vertAlign w:val="superscript"/>
              </w:rPr>
              <w:t>2</w:t>
            </w:r>
            <w:r w:rsidRPr="006F307B">
              <w:rPr>
                <w:rFonts w:ascii="Arial Narrow" w:hAnsi="Arial Narrow"/>
                <w:color w:val="auto"/>
                <w:sz w:val="20"/>
                <w:szCs w:val="20"/>
              </w:rPr>
              <w:t>)</w:t>
            </w:r>
          </w:p>
        </w:tc>
      </w:tr>
      <w:tr w:rsidR="00FC2B92" w:rsidRPr="006F307B" w:rsidTr="006F0C01">
        <w:trPr>
          <w:cnfStyle w:val="100000000000" w:firstRow="1" w:lastRow="0" w:firstColumn="0" w:lastColumn="0" w:oddVBand="0" w:evenVBand="0" w:oddHBand="0" w:evenHBand="0" w:firstRowFirstColumn="0" w:firstRowLastColumn="0" w:lastRowFirstColumn="0" w:lastRowLastColumn="0"/>
          <w:tblHeader/>
        </w:trPr>
        <w:tc>
          <w:tcPr>
            <w:tcW w:w="1129" w:type="dxa"/>
            <w:vMerge/>
            <w:shd w:val="clear" w:color="auto" w:fill="auto"/>
            <w:vAlign w:val="center"/>
          </w:tcPr>
          <w:p w:rsidR="00B26AC1" w:rsidRPr="007278E9" w:rsidRDefault="00B26AC1" w:rsidP="00B26AC1">
            <w:pPr>
              <w:pStyle w:val="InstructionalText"/>
              <w:keepNext/>
              <w:keepLines/>
              <w:spacing w:before="0"/>
              <w:jc w:val="left"/>
              <w:rPr>
                <w:rFonts w:ascii="Arial Narrow" w:hAnsi="Arial Narrow"/>
                <w:color w:val="auto"/>
                <w:sz w:val="20"/>
                <w:szCs w:val="20"/>
                <w:lang w:val="en-AU"/>
              </w:rPr>
            </w:pPr>
          </w:p>
        </w:tc>
        <w:tc>
          <w:tcPr>
            <w:tcW w:w="993" w:type="dxa"/>
            <w:shd w:val="clear" w:color="auto" w:fill="auto"/>
            <w:vAlign w:val="center"/>
          </w:tcPr>
          <w:p w:rsidR="00B26AC1" w:rsidRPr="007278E9" w:rsidRDefault="00B26AC1" w:rsidP="00B26AC1">
            <w:pPr>
              <w:pStyle w:val="InstructionalText"/>
              <w:keepNext/>
              <w:keepLines/>
              <w:spacing w:before="0"/>
              <w:jc w:val="center"/>
              <w:rPr>
                <w:rFonts w:ascii="Arial Narrow" w:hAnsi="Arial Narrow"/>
                <w:b w:val="0"/>
                <w:bCs/>
                <w:color w:val="auto"/>
                <w:sz w:val="20"/>
                <w:szCs w:val="20"/>
                <w:lang w:val="en-AU"/>
              </w:rPr>
            </w:pPr>
            <w:r w:rsidRPr="006F307B">
              <w:rPr>
                <w:rFonts w:ascii="Arial Narrow" w:hAnsi="Arial Narrow"/>
                <w:b w:val="0"/>
                <w:bCs/>
                <w:color w:val="auto"/>
                <w:sz w:val="20"/>
                <w:szCs w:val="20"/>
              </w:rPr>
              <w:t>Deaths, n/N</w:t>
            </w:r>
            <w:r w:rsidR="00555D45">
              <w:rPr>
                <w:rFonts w:ascii="Arial Narrow" w:hAnsi="Arial Narrow"/>
                <w:b w:val="0"/>
                <w:bCs/>
                <w:color w:val="auto"/>
                <w:sz w:val="20"/>
                <w:szCs w:val="20"/>
              </w:rPr>
              <w:t xml:space="preserve"> </w:t>
            </w:r>
            <w:r w:rsidRPr="006F307B">
              <w:rPr>
                <w:rFonts w:ascii="Arial Narrow" w:hAnsi="Arial Narrow"/>
                <w:b w:val="0"/>
                <w:bCs/>
                <w:color w:val="auto"/>
                <w:sz w:val="20"/>
                <w:szCs w:val="20"/>
              </w:rPr>
              <w:t>(%)</w:t>
            </w:r>
          </w:p>
        </w:tc>
        <w:tc>
          <w:tcPr>
            <w:tcW w:w="1559" w:type="dxa"/>
            <w:shd w:val="clear" w:color="auto" w:fill="auto"/>
            <w:vAlign w:val="center"/>
          </w:tcPr>
          <w:p w:rsidR="00B26AC1" w:rsidRPr="007278E9" w:rsidRDefault="00B26AC1" w:rsidP="00ED436C">
            <w:pPr>
              <w:pStyle w:val="InstructionalText"/>
              <w:keepNext/>
              <w:keepLines/>
              <w:spacing w:before="0"/>
              <w:jc w:val="center"/>
              <w:rPr>
                <w:rFonts w:ascii="Arial Narrow" w:hAnsi="Arial Narrow"/>
                <w:b w:val="0"/>
                <w:bCs/>
                <w:color w:val="auto"/>
                <w:sz w:val="20"/>
                <w:szCs w:val="20"/>
                <w:lang w:val="en-AU"/>
              </w:rPr>
            </w:pPr>
            <w:r w:rsidRPr="006F307B">
              <w:rPr>
                <w:rFonts w:ascii="Arial Narrow" w:hAnsi="Arial Narrow"/>
                <w:b w:val="0"/>
                <w:bCs/>
                <w:color w:val="auto"/>
                <w:sz w:val="20"/>
                <w:szCs w:val="20"/>
              </w:rPr>
              <w:t>Median OS</w:t>
            </w:r>
            <w:r w:rsidR="00ED436C">
              <w:rPr>
                <w:rFonts w:ascii="Arial Narrow" w:hAnsi="Arial Narrow"/>
                <w:b w:val="0"/>
                <w:bCs/>
                <w:color w:val="auto"/>
                <w:sz w:val="20"/>
                <w:szCs w:val="20"/>
              </w:rPr>
              <w:br/>
            </w:r>
            <w:r w:rsidRPr="006F307B">
              <w:rPr>
                <w:rFonts w:ascii="Arial Narrow" w:hAnsi="Arial Narrow"/>
                <w:b w:val="0"/>
                <w:bCs/>
                <w:color w:val="auto"/>
                <w:sz w:val="20"/>
                <w:szCs w:val="20"/>
              </w:rPr>
              <w:t>(95% CI)</w:t>
            </w:r>
          </w:p>
        </w:tc>
        <w:tc>
          <w:tcPr>
            <w:tcW w:w="992" w:type="dxa"/>
            <w:shd w:val="clear" w:color="auto" w:fill="auto"/>
            <w:vAlign w:val="center"/>
          </w:tcPr>
          <w:p w:rsidR="00B26AC1" w:rsidRPr="007278E9" w:rsidRDefault="00B26AC1" w:rsidP="00B26AC1">
            <w:pPr>
              <w:pStyle w:val="InstructionalText"/>
              <w:keepNext/>
              <w:keepLines/>
              <w:spacing w:before="0"/>
              <w:jc w:val="center"/>
              <w:rPr>
                <w:rFonts w:ascii="Arial Narrow" w:hAnsi="Arial Narrow"/>
                <w:b w:val="0"/>
                <w:bCs/>
                <w:color w:val="auto"/>
                <w:sz w:val="20"/>
                <w:szCs w:val="20"/>
                <w:lang w:val="en-AU"/>
              </w:rPr>
            </w:pPr>
            <w:r w:rsidRPr="006F307B">
              <w:rPr>
                <w:rFonts w:ascii="Arial Narrow" w:hAnsi="Arial Narrow"/>
                <w:b w:val="0"/>
                <w:bCs/>
                <w:color w:val="auto"/>
                <w:sz w:val="20"/>
                <w:szCs w:val="20"/>
              </w:rPr>
              <w:t>Deaths, n/N</w:t>
            </w:r>
            <w:r w:rsidR="00555D45">
              <w:rPr>
                <w:rFonts w:ascii="Arial Narrow" w:hAnsi="Arial Narrow"/>
                <w:b w:val="0"/>
                <w:bCs/>
                <w:color w:val="auto"/>
                <w:sz w:val="20"/>
                <w:szCs w:val="20"/>
              </w:rPr>
              <w:t xml:space="preserve"> </w:t>
            </w:r>
            <w:r w:rsidRPr="006F307B">
              <w:rPr>
                <w:rFonts w:ascii="Arial Narrow" w:hAnsi="Arial Narrow"/>
                <w:b w:val="0"/>
                <w:bCs/>
                <w:color w:val="auto"/>
                <w:sz w:val="20"/>
                <w:szCs w:val="20"/>
              </w:rPr>
              <w:t>(%)</w:t>
            </w:r>
          </w:p>
        </w:tc>
        <w:tc>
          <w:tcPr>
            <w:tcW w:w="1276" w:type="dxa"/>
            <w:shd w:val="clear" w:color="auto" w:fill="auto"/>
            <w:vAlign w:val="center"/>
          </w:tcPr>
          <w:p w:rsidR="00B26AC1" w:rsidRPr="007278E9" w:rsidRDefault="00B26AC1" w:rsidP="00B26AC1">
            <w:pPr>
              <w:pStyle w:val="InstructionalText"/>
              <w:keepNext/>
              <w:keepLines/>
              <w:spacing w:before="0"/>
              <w:jc w:val="center"/>
              <w:rPr>
                <w:rFonts w:ascii="Arial Narrow" w:hAnsi="Arial Narrow"/>
                <w:b w:val="0"/>
                <w:bCs/>
                <w:color w:val="auto"/>
                <w:sz w:val="20"/>
                <w:szCs w:val="20"/>
                <w:lang w:val="en-AU"/>
              </w:rPr>
            </w:pPr>
            <w:r w:rsidRPr="006F307B">
              <w:rPr>
                <w:rFonts w:ascii="Arial Narrow" w:hAnsi="Arial Narrow"/>
                <w:b w:val="0"/>
                <w:bCs/>
                <w:color w:val="auto"/>
                <w:sz w:val="20"/>
                <w:szCs w:val="20"/>
              </w:rPr>
              <w:t>Median OS (95% CI)</w:t>
            </w:r>
          </w:p>
        </w:tc>
        <w:tc>
          <w:tcPr>
            <w:tcW w:w="1276" w:type="dxa"/>
            <w:vMerge/>
            <w:shd w:val="clear" w:color="auto" w:fill="auto"/>
            <w:vAlign w:val="center"/>
          </w:tcPr>
          <w:p w:rsidR="00B26AC1" w:rsidRPr="007278E9" w:rsidRDefault="00B26AC1" w:rsidP="00B26AC1">
            <w:pPr>
              <w:pStyle w:val="InstructionalText"/>
              <w:keepNext/>
              <w:keepLines/>
              <w:spacing w:before="0"/>
              <w:jc w:val="center"/>
              <w:rPr>
                <w:rFonts w:ascii="Arial Narrow" w:hAnsi="Arial Narrow"/>
                <w:color w:val="auto"/>
                <w:sz w:val="20"/>
                <w:szCs w:val="20"/>
                <w:lang w:val="en-AU"/>
              </w:rPr>
            </w:pPr>
          </w:p>
        </w:tc>
        <w:tc>
          <w:tcPr>
            <w:tcW w:w="838" w:type="dxa"/>
            <w:vMerge/>
            <w:shd w:val="clear" w:color="auto" w:fill="auto"/>
            <w:vAlign w:val="center"/>
          </w:tcPr>
          <w:p w:rsidR="00B26AC1" w:rsidRPr="007278E9" w:rsidRDefault="00B26AC1" w:rsidP="00B26AC1">
            <w:pPr>
              <w:pStyle w:val="InstructionalText"/>
              <w:keepNext/>
              <w:keepLines/>
              <w:spacing w:before="0"/>
              <w:jc w:val="center"/>
              <w:rPr>
                <w:rFonts w:ascii="Arial Narrow" w:hAnsi="Arial Narrow"/>
                <w:color w:val="auto"/>
                <w:sz w:val="20"/>
                <w:szCs w:val="20"/>
                <w:lang w:val="en-AU"/>
              </w:rPr>
            </w:pPr>
          </w:p>
        </w:tc>
        <w:tc>
          <w:tcPr>
            <w:tcW w:w="953" w:type="dxa"/>
            <w:vMerge/>
            <w:shd w:val="clear" w:color="auto" w:fill="auto"/>
            <w:vAlign w:val="center"/>
          </w:tcPr>
          <w:p w:rsidR="00B26AC1" w:rsidRPr="007278E9" w:rsidRDefault="00B26AC1" w:rsidP="00B26AC1">
            <w:pPr>
              <w:pStyle w:val="InstructionalText"/>
              <w:keepNext/>
              <w:keepLines/>
              <w:spacing w:before="0"/>
              <w:jc w:val="center"/>
              <w:rPr>
                <w:rFonts w:ascii="Arial Narrow" w:hAnsi="Arial Narrow"/>
                <w:color w:val="auto"/>
                <w:sz w:val="20"/>
                <w:szCs w:val="20"/>
                <w:lang w:val="en-AU"/>
              </w:rPr>
            </w:pPr>
          </w:p>
        </w:tc>
      </w:tr>
      <w:tr w:rsidR="00FC2B92" w:rsidRPr="006F307B" w:rsidTr="00E9137E">
        <w:tc>
          <w:tcPr>
            <w:tcW w:w="1129" w:type="dxa"/>
            <w:shd w:val="clear" w:color="auto" w:fill="auto"/>
            <w:vAlign w:val="center"/>
          </w:tcPr>
          <w:p w:rsidR="00B26AC1" w:rsidRPr="007278E9" w:rsidRDefault="00B26AC1" w:rsidP="00B26AC1">
            <w:pPr>
              <w:pStyle w:val="InstructionalText"/>
              <w:keepN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All CPS</w:t>
            </w:r>
            <w:r w:rsidR="00CE7F4C" w:rsidRPr="006F307B">
              <w:rPr>
                <w:rFonts w:ascii="Arial Narrow" w:hAnsi="Arial Narrow"/>
                <w:color w:val="auto"/>
                <w:sz w:val="20"/>
                <w:szCs w:val="20"/>
              </w:rPr>
              <w:t xml:space="preserve"> (ITT)</w:t>
            </w:r>
          </w:p>
        </w:tc>
        <w:tc>
          <w:tcPr>
            <w:tcW w:w="993" w:type="dxa"/>
            <w:shd w:val="clear" w:color="auto" w:fill="auto"/>
            <w:vAlign w:val="center"/>
          </w:tcPr>
          <w:p w:rsidR="00B26AC1" w:rsidRPr="007278E9" w:rsidRDefault="00B26AC1" w:rsidP="00B26AC1">
            <w:pPr>
              <w:keepNext/>
              <w:keepLines/>
              <w:spacing w:before="0"/>
              <w:jc w:val="center"/>
              <w:rPr>
                <w:rFonts w:ascii="Arial Narrow" w:hAnsi="Arial Narrow" w:cs="Times New Roman"/>
                <w:sz w:val="20"/>
                <w:szCs w:val="20"/>
                <w:lang w:val="en-AU"/>
              </w:rPr>
            </w:pPr>
            <w:r w:rsidRPr="006F307B">
              <w:rPr>
                <w:rFonts w:ascii="Arial Narrow" w:hAnsi="Arial Narrow" w:cs="Times New Roman"/>
                <w:sz w:val="20"/>
                <w:szCs w:val="20"/>
              </w:rPr>
              <w:t>237/301 (78.7)</w:t>
            </w:r>
          </w:p>
        </w:tc>
        <w:tc>
          <w:tcPr>
            <w:tcW w:w="1559" w:type="dxa"/>
            <w:shd w:val="clear" w:color="auto" w:fill="auto"/>
            <w:vAlign w:val="center"/>
          </w:tcPr>
          <w:p w:rsidR="00B26AC1" w:rsidRPr="007278E9" w:rsidRDefault="00B26AC1" w:rsidP="00B26AC1">
            <w:pPr>
              <w:keepNext/>
              <w:keepLines/>
              <w:spacing w:before="0"/>
              <w:jc w:val="center"/>
              <w:rPr>
                <w:rFonts w:ascii="Arial Narrow" w:hAnsi="Arial Narrow" w:cs="Times New Roman"/>
                <w:sz w:val="20"/>
                <w:szCs w:val="20"/>
                <w:lang w:val="en-AU"/>
              </w:rPr>
            </w:pPr>
            <w:r w:rsidRPr="006F307B">
              <w:rPr>
                <w:rFonts w:ascii="Arial Narrow" w:hAnsi="Arial Narrow" w:cs="Times New Roman"/>
                <w:sz w:val="20"/>
                <w:szCs w:val="20"/>
              </w:rPr>
              <w:t>11.5 (10.3, 13.4)</w:t>
            </w:r>
          </w:p>
        </w:tc>
        <w:tc>
          <w:tcPr>
            <w:tcW w:w="992" w:type="dxa"/>
            <w:shd w:val="clear" w:color="auto" w:fill="auto"/>
            <w:vAlign w:val="center"/>
          </w:tcPr>
          <w:p w:rsidR="00B26AC1" w:rsidRPr="007278E9" w:rsidRDefault="00B26AC1" w:rsidP="00B26AC1">
            <w:pPr>
              <w:keepNext/>
              <w:keepLines/>
              <w:spacing w:before="0"/>
              <w:jc w:val="center"/>
              <w:rPr>
                <w:rFonts w:ascii="Arial Narrow" w:hAnsi="Arial Narrow" w:cs="Times New Roman"/>
                <w:sz w:val="20"/>
                <w:szCs w:val="20"/>
                <w:lang w:val="en-AU"/>
              </w:rPr>
            </w:pPr>
            <w:r w:rsidRPr="006F307B">
              <w:rPr>
                <w:rFonts w:ascii="Arial Narrow" w:hAnsi="Arial Narrow" w:cs="Times New Roman"/>
                <w:sz w:val="20"/>
                <w:szCs w:val="20"/>
              </w:rPr>
              <w:t>264/300 (88.0)</w:t>
            </w:r>
          </w:p>
        </w:tc>
        <w:tc>
          <w:tcPr>
            <w:tcW w:w="1276" w:type="dxa"/>
            <w:shd w:val="clear" w:color="auto" w:fill="auto"/>
            <w:vAlign w:val="center"/>
          </w:tcPr>
          <w:p w:rsidR="00B26AC1" w:rsidRPr="007278E9" w:rsidRDefault="00B26AC1" w:rsidP="00B26AC1">
            <w:pPr>
              <w:keepNext/>
              <w:keepLines/>
              <w:spacing w:before="0"/>
              <w:jc w:val="center"/>
              <w:rPr>
                <w:rFonts w:ascii="Arial Narrow" w:hAnsi="Arial Narrow" w:cs="Times New Roman"/>
                <w:sz w:val="20"/>
                <w:szCs w:val="20"/>
                <w:lang w:val="en-AU"/>
              </w:rPr>
            </w:pPr>
            <w:r w:rsidRPr="006F307B">
              <w:rPr>
                <w:rFonts w:ascii="Arial Narrow" w:hAnsi="Arial Narrow" w:cs="Times New Roman"/>
                <w:sz w:val="20"/>
                <w:szCs w:val="20"/>
              </w:rPr>
              <w:t>10.7 (9.3, 11.7)</w:t>
            </w:r>
          </w:p>
        </w:tc>
        <w:tc>
          <w:tcPr>
            <w:tcW w:w="1276" w:type="dxa"/>
            <w:shd w:val="clear" w:color="auto" w:fill="auto"/>
            <w:vAlign w:val="center"/>
          </w:tcPr>
          <w:p w:rsidR="00B26AC1" w:rsidRPr="007278E9" w:rsidRDefault="00B26AC1" w:rsidP="00E9137E">
            <w:pPr>
              <w:pStyle w:val="InstructionalText"/>
              <w:keepNext/>
              <w:keepLines/>
              <w:spacing w:before="0"/>
              <w:ind w:left="-60" w:right="-60"/>
              <w:jc w:val="center"/>
              <w:rPr>
                <w:rFonts w:ascii="Arial Narrow" w:hAnsi="Arial Narrow"/>
                <w:color w:val="auto"/>
                <w:sz w:val="20"/>
                <w:szCs w:val="20"/>
                <w:vertAlign w:val="superscript"/>
                <w:lang w:val="en-AU"/>
              </w:rPr>
            </w:pPr>
            <w:r w:rsidRPr="006F307B">
              <w:rPr>
                <w:rFonts w:ascii="Arial Narrow" w:hAnsi="Arial Narrow"/>
                <w:color w:val="auto"/>
                <w:sz w:val="20"/>
                <w:szCs w:val="20"/>
              </w:rPr>
              <w:t>0.83</w:t>
            </w:r>
            <w:r w:rsidR="00E9137E">
              <w:rPr>
                <w:rFonts w:ascii="Arial Narrow" w:hAnsi="Arial Narrow"/>
                <w:color w:val="auto"/>
                <w:sz w:val="20"/>
                <w:szCs w:val="20"/>
              </w:rPr>
              <w:br/>
            </w:r>
            <w:r w:rsidRPr="006F307B">
              <w:rPr>
                <w:rFonts w:ascii="Arial Narrow" w:hAnsi="Arial Narrow"/>
                <w:color w:val="auto"/>
                <w:sz w:val="20"/>
                <w:szCs w:val="20"/>
              </w:rPr>
              <w:t>(0.70, 0.99)</w:t>
            </w:r>
            <w:r w:rsidRPr="006F307B">
              <w:rPr>
                <w:rFonts w:ascii="Arial Narrow" w:hAnsi="Arial Narrow"/>
                <w:color w:val="auto"/>
                <w:sz w:val="20"/>
                <w:szCs w:val="20"/>
                <w:vertAlign w:val="superscript"/>
              </w:rPr>
              <w:t>a</w:t>
            </w:r>
          </w:p>
        </w:tc>
        <w:tc>
          <w:tcPr>
            <w:tcW w:w="838" w:type="dxa"/>
            <w:shd w:val="clear" w:color="auto" w:fill="auto"/>
            <w:vAlign w:val="center"/>
          </w:tcPr>
          <w:p w:rsidR="00B26AC1" w:rsidRPr="007278E9" w:rsidRDefault="00B26AC1"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0.01985</w:t>
            </w:r>
            <w:r w:rsidR="00491690" w:rsidRPr="006F307B">
              <w:rPr>
                <w:rFonts w:ascii="Arial Narrow" w:hAnsi="Arial Narrow"/>
                <w:color w:val="auto"/>
                <w:sz w:val="20"/>
                <w:szCs w:val="20"/>
                <w:vertAlign w:val="superscript"/>
              </w:rPr>
              <w:t>b</w:t>
            </w:r>
          </w:p>
        </w:tc>
        <w:tc>
          <w:tcPr>
            <w:tcW w:w="953" w:type="dxa"/>
            <w:shd w:val="clear" w:color="auto" w:fill="auto"/>
            <w:vAlign w:val="center"/>
          </w:tcPr>
          <w:p w:rsidR="00B26AC1" w:rsidRPr="007278E9" w:rsidRDefault="00B26AC1"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NA</w:t>
            </w:r>
          </w:p>
        </w:tc>
      </w:tr>
      <w:tr w:rsidR="00FC2B92" w:rsidRPr="006F307B" w:rsidTr="00E9137E">
        <w:tc>
          <w:tcPr>
            <w:tcW w:w="1129"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&lt;1</w:t>
            </w:r>
          </w:p>
        </w:tc>
        <w:tc>
          <w:tcPr>
            <w:tcW w:w="993"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40/44 (90.9)</w:t>
            </w:r>
          </w:p>
        </w:tc>
        <w:tc>
          <w:tcPr>
            <w:tcW w:w="1559"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7.9 (4.7,13.6)</w:t>
            </w:r>
          </w:p>
        </w:tc>
        <w:tc>
          <w:tcPr>
            <w:tcW w:w="992"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35/45 (77.8)</w:t>
            </w:r>
          </w:p>
        </w:tc>
        <w:tc>
          <w:tcPr>
            <w:tcW w:w="1276"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11.3 (9.1,15.9)</w:t>
            </w:r>
          </w:p>
        </w:tc>
        <w:tc>
          <w:tcPr>
            <w:tcW w:w="1276"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1.72 (1.06,2.79)</w:t>
            </w:r>
          </w:p>
        </w:tc>
        <w:tc>
          <w:tcPr>
            <w:tcW w:w="838"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0.029</w:t>
            </w:r>
          </w:p>
        </w:tc>
        <w:tc>
          <w:tcPr>
            <w:tcW w:w="953" w:type="dxa"/>
            <w:vMerge w:val="restart"/>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0.002 (89.80%)</w:t>
            </w:r>
          </w:p>
        </w:tc>
      </w:tr>
      <w:tr w:rsidR="00FC2B92" w:rsidRPr="006F307B" w:rsidTr="00CD5DE4">
        <w:tc>
          <w:tcPr>
            <w:tcW w:w="1129" w:type="dxa"/>
            <w:shd w:val="clear" w:color="auto" w:fill="auto"/>
            <w:vAlign w:val="center"/>
          </w:tcPr>
          <w:p w:rsidR="00584CAE" w:rsidRPr="007278E9" w:rsidRDefault="00584CAE" w:rsidP="00B26AC1">
            <w:pPr>
              <w:pStyle w:val="InstructionalText"/>
              <w:keepN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≥1</w:t>
            </w:r>
          </w:p>
        </w:tc>
        <w:tc>
          <w:tcPr>
            <w:tcW w:w="993" w:type="dxa"/>
            <w:tcBorders>
              <w:bottom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197/257 (76.7)</w:t>
            </w:r>
          </w:p>
        </w:tc>
        <w:tc>
          <w:tcPr>
            <w:tcW w:w="1559"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12.3 (10.8, 14.3)</w:t>
            </w:r>
          </w:p>
        </w:tc>
        <w:tc>
          <w:tcPr>
            <w:tcW w:w="992"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229/255 (89.8)</w:t>
            </w:r>
          </w:p>
        </w:tc>
        <w:tc>
          <w:tcPr>
            <w:tcW w:w="1276"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10.3 (9.0,11.5)</w:t>
            </w:r>
          </w:p>
        </w:tc>
        <w:tc>
          <w:tcPr>
            <w:tcW w:w="1276"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0.74 (0.61,0.90)</w:t>
            </w:r>
          </w:p>
        </w:tc>
        <w:tc>
          <w:tcPr>
            <w:tcW w:w="838"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0.003</w:t>
            </w:r>
            <w:r w:rsidR="00B76353" w:rsidRPr="006F307B">
              <w:rPr>
                <w:rFonts w:ascii="Arial Narrow" w:hAnsi="Arial Narrow"/>
                <w:b/>
                <w:color w:val="auto"/>
                <w:sz w:val="20"/>
                <w:szCs w:val="20"/>
                <w:vertAlign w:val="superscript"/>
              </w:rPr>
              <w:t>c</w:t>
            </w:r>
          </w:p>
        </w:tc>
        <w:tc>
          <w:tcPr>
            <w:tcW w:w="953" w:type="dxa"/>
            <w:vMerge/>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p>
        </w:tc>
      </w:tr>
      <w:tr w:rsidR="00FC2B92" w:rsidRPr="006F307B" w:rsidTr="00CD5DE4">
        <w:tc>
          <w:tcPr>
            <w:tcW w:w="1129"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&lt;20</w:t>
            </w:r>
          </w:p>
        </w:tc>
        <w:tc>
          <w:tcPr>
            <w:tcW w:w="993"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142/167 (85.0)</w:t>
            </w:r>
          </w:p>
        </w:tc>
        <w:tc>
          <w:tcPr>
            <w:tcW w:w="1559"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10.3 (8.4,12.1)</w:t>
            </w:r>
          </w:p>
        </w:tc>
        <w:tc>
          <w:tcPr>
            <w:tcW w:w="992"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153/175 (87.4)</w:t>
            </w:r>
          </w:p>
        </w:tc>
        <w:tc>
          <w:tcPr>
            <w:tcW w:w="1276"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10.3 (9.1,12.2)</w:t>
            </w:r>
          </w:p>
        </w:tc>
        <w:tc>
          <w:tcPr>
            <w:tcW w:w="1276"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1.05 (0.84,1.32)</w:t>
            </w:r>
          </w:p>
        </w:tc>
        <w:tc>
          <w:tcPr>
            <w:tcW w:w="838"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0.667</w:t>
            </w:r>
          </w:p>
        </w:tc>
        <w:tc>
          <w:tcPr>
            <w:tcW w:w="953" w:type="dxa"/>
            <w:vMerge w:val="restart"/>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0.002 (89.86%)</w:t>
            </w:r>
          </w:p>
        </w:tc>
      </w:tr>
      <w:tr w:rsidR="00FC2B92" w:rsidRPr="006F307B" w:rsidTr="00CD5DE4">
        <w:tc>
          <w:tcPr>
            <w:tcW w:w="1129" w:type="dxa"/>
            <w:shd w:val="clear" w:color="auto" w:fill="auto"/>
            <w:vAlign w:val="center"/>
          </w:tcPr>
          <w:p w:rsidR="00584CAE" w:rsidRPr="007278E9" w:rsidRDefault="00584CAE" w:rsidP="00B26AC1">
            <w:pPr>
              <w:pStyle w:val="InstructionalText"/>
              <w:keepN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≥20</w:t>
            </w:r>
          </w:p>
        </w:tc>
        <w:tc>
          <w:tcPr>
            <w:tcW w:w="993" w:type="dxa"/>
            <w:tcBorders>
              <w:bottom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94/133 (70.7)</w:t>
            </w:r>
          </w:p>
        </w:tc>
        <w:tc>
          <w:tcPr>
            <w:tcW w:w="1559"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14.8 (11.5, 20.6)</w:t>
            </w:r>
          </w:p>
        </w:tc>
        <w:tc>
          <w:tcPr>
            <w:tcW w:w="992"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108/122 (88.5)</w:t>
            </w:r>
          </w:p>
        </w:tc>
        <w:tc>
          <w:tcPr>
            <w:tcW w:w="1276"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10.7 (8.8,12.8)</w:t>
            </w:r>
          </w:p>
        </w:tc>
        <w:tc>
          <w:tcPr>
            <w:tcW w:w="1276"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0.58 (0.44,0.78)</w:t>
            </w:r>
          </w:p>
        </w:tc>
        <w:tc>
          <w:tcPr>
            <w:tcW w:w="838"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&lt;0.001</w:t>
            </w:r>
          </w:p>
        </w:tc>
        <w:tc>
          <w:tcPr>
            <w:tcW w:w="953" w:type="dxa"/>
            <w:vMerge/>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p>
        </w:tc>
      </w:tr>
      <w:tr w:rsidR="00FC2B92" w:rsidRPr="006F307B" w:rsidTr="00CD5DE4">
        <w:tc>
          <w:tcPr>
            <w:tcW w:w="1129"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&lt;1</w:t>
            </w:r>
          </w:p>
        </w:tc>
        <w:tc>
          <w:tcPr>
            <w:tcW w:w="993"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40/44 (90.9)</w:t>
            </w:r>
          </w:p>
        </w:tc>
        <w:tc>
          <w:tcPr>
            <w:tcW w:w="1559"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7.9 (4.7,13.6)</w:t>
            </w:r>
          </w:p>
        </w:tc>
        <w:tc>
          <w:tcPr>
            <w:tcW w:w="992"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35/45 (77.8)</w:t>
            </w:r>
          </w:p>
        </w:tc>
        <w:tc>
          <w:tcPr>
            <w:tcW w:w="1276"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11.3 (9.1,15.9)</w:t>
            </w:r>
          </w:p>
        </w:tc>
        <w:tc>
          <w:tcPr>
            <w:tcW w:w="1276"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1.72 (1.06,2.79)</w:t>
            </w:r>
          </w:p>
        </w:tc>
        <w:tc>
          <w:tcPr>
            <w:tcW w:w="838" w:type="dxa"/>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0.029</w:t>
            </w:r>
          </w:p>
        </w:tc>
        <w:tc>
          <w:tcPr>
            <w:tcW w:w="953" w:type="dxa"/>
            <w:vMerge w:val="restart"/>
            <w:tcBorders>
              <w:top w:val="double" w:sz="4" w:space="0" w:color="auto"/>
            </w:tcBorders>
            <w:shd w:val="clear" w:color="auto" w:fill="auto"/>
            <w:vAlign w:val="center"/>
          </w:tcPr>
          <w:p w:rsidR="00584CAE" w:rsidRPr="007278E9" w:rsidRDefault="00584CAE"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&lt;0.001 (86.81%)</w:t>
            </w:r>
          </w:p>
        </w:tc>
      </w:tr>
      <w:tr w:rsidR="00FC2B92" w:rsidRPr="006F307B" w:rsidTr="00E9137E">
        <w:tc>
          <w:tcPr>
            <w:tcW w:w="1129" w:type="dxa"/>
            <w:shd w:val="clear" w:color="auto" w:fill="auto"/>
            <w:vAlign w:val="center"/>
          </w:tcPr>
          <w:p w:rsidR="00584CAE" w:rsidRPr="007278E9" w:rsidRDefault="00584CAE" w:rsidP="00B26AC1">
            <w:pPr>
              <w:pStyle w:val="InstructionalText"/>
              <w:keepN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1≤ CPS &lt;20</w:t>
            </w:r>
          </w:p>
        </w:tc>
        <w:tc>
          <w:tcPr>
            <w:tcW w:w="993"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103/124 (83.1)</w:t>
            </w:r>
          </w:p>
        </w:tc>
        <w:tc>
          <w:tcPr>
            <w:tcW w:w="1559"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10.8 (9.0,12.6)</w:t>
            </w:r>
          </w:p>
        </w:tc>
        <w:tc>
          <w:tcPr>
            <w:tcW w:w="992"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121/133 (91.0)</w:t>
            </w:r>
          </w:p>
        </w:tc>
        <w:tc>
          <w:tcPr>
            <w:tcW w:w="1276"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10.1 (8.7,12.1)</w:t>
            </w:r>
          </w:p>
        </w:tc>
        <w:tc>
          <w:tcPr>
            <w:tcW w:w="1276"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0.92 (0.70,1.20)</w:t>
            </w:r>
          </w:p>
        </w:tc>
        <w:tc>
          <w:tcPr>
            <w:tcW w:w="838"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0.534</w:t>
            </w:r>
          </w:p>
        </w:tc>
        <w:tc>
          <w:tcPr>
            <w:tcW w:w="953" w:type="dxa"/>
            <w:vMerge/>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p>
        </w:tc>
      </w:tr>
      <w:tr w:rsidR="00FC2B92" w:rsidRPr="006F307B" w:rsidTr="00E9137E">
        <w:tc>
          <w:tcPr>
            <w:tcW w:w="1129" w:type="dxa"/>
            <w:shd w:val="clear" w:color="auto" w:fill="auto"/>
            <w:vAlign w:val="center"/>
          </w:tcPr>
          <w:p w:rsidR="00584CAE" w:rsidRPr="007278E9" w:rsidRDefault="00584CAE" w:rsidP="00B26AC1">
            <w:pPr>
              <w:pStyle w:val="InstructionalText"/>
              <w:keepN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≥20</w:t>
            </w:r>
          </w:p>
        </w:tc>
        <w:tc>
          <w:tcPr>
            <w:tcW w:w="993"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94/133 (70.7)</w:t>
            </w:r>
          </w:p>
        </w:tc>
        <w:tc>
          <w:tcPr>
            <w:tcW w:w="1559"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14.8 (11.5, 20.6)</w:t>
            </w:r>
          </w:p>
        </w:tc>
        <w:tc>
          <w:tcPr>
            <w:tcW w:w="992"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108/122 (88.5)</w:t>
            </w:r>
          </w:p>
        </w:tc>
        <w:tc>
          <w:tcPr>
            <w:tcW w:w="1276"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10.7 (8.8,12.8)</w:t>
            </w:r>
          </w:p>
        </w:tc>
        <w:tc>
          <w:tcPr>
            <w:tcW w:w="1276"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0.58 (0.44,0.78)</w:t>
            </w:r>
          </w:p>
        </w:tc>
        <w:tc>
          <w:tcPr>
            <w:tcW w:w="838" w:type="dxa"/>
            <w:shd w:val="clear" w:color="auto" w:fill="auto"/>
            <w:vAlign w:val="center"/>
          </w:tcPr>
          <w:p w:rsidR="00584CAE" w:rsidRPr="007278E9" w:rsidRDefault="00584CAE" w:rsidP="00B26AC1">
            <w:pPr>
              <w:pStyle w:val="InstructionalText"/>
              <w:keepN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&lt;0.001</w:t>
            </w:r>
          </w:p>
        </w:tc>
        <w:tc>
          <w:tcPr>
            <w:tcW w:w="953" w:type="dxa"/>
            <w:vMerge/>
            <w:shd w:val="clear" w:color="auto" w:fill="auto"/>
            <w:vAlign w:val="center"/>
          </w:tcPr>
          <w:p w:rsidR="00584CAE" w:rsidRPr="007278E9" w:rsidRDefault="00584CAE" w:rsidP="00B26AC1">
            <w:pPr>
              <w:pStyle w:val="InstructionalText"/>
              <w:keepNext/>
              <w:keepLines/>
              <w:spacing w:before="0"/>
              <w:jc w:val="center"/>
              <w:rPr>
                <w:rFonts w:ascii="Arial Narrow" w:hAnsi="Arial Narrow"/>
                <w:color w:val="auto"/>
                <w:sz w:val="20"/>
                <w:szCs w:val="20"/>
                <w:lang w:val="en-AU"/>
              </w:rPr>
            </w:pPr>
          </w:p>
        </w:tc>
      </w:tr>
    </w:tbl>
    <w:p w:rsidR="00B26AC1" w:rsidRPr="006F307B" w:rsidRDefault="00B26AC1" w:rsidP="00B26AC1">
      <w:pPr>
        <w:keepNext/>
        <w:keepLines/>
        <w:spacing w:before="0" w:after="0"/>
        <w:rPr>
          <w:rFonts w:ascii="Arial Narrow" w:hAnsi="Arial Narrow"/>
          <w:sz w:val="18"/>
          <w:szCs w:val="18"/>
        </w:rPr>
      </w:pPr>
      <w:r w:rsidRPr="006F307B">
        <w:rPr>
          <w:rFonts w:ascii="Arial Narrow" w:hAnsi="Arial Narrow"/>
          <w:sz w:val="18"/>
          <w:szCs w:val="18"/>
          <w:vertAlign w:val="superscript"/>
        </w:rPr>
        <w:t>a</w:t>
      </w:r>
      <w:r w:rsidRPr="006F307B">
        <w:rPr>
          <w:rFonts w:ascii="Arial Narrow" w:hAnsi="Arial Narrow"/>
          <w:sz w:val="18"/>
          <w:szCs w:val="18"/>
        </w:rPr>
        <w:t xml:space="preserve"> Not statistically significant due to alpha spending function in KN048</w:t>
      </w:r>
    </w:p>
    <w:p w:rsidR="00E741B9" w:rsidRPr="006F307B" w:rsidRDefault="00E741B9" w:rsidP="00E741B9">
      <w:pPr>
        <w:tabs>
          <w:tab w:val="left" w:pos="284"/>
        </w:tabs>
        <w:spacing w:before="0" w:after="0"/>
        <w:ind w:left="284" w:hanging="284"/>
        <w:rPr>
          <w:rFonts w:ascii="Arial Narrow" w:hAnsi="Arial Narrow"/>
          <w:sz w:val="18"/>
          <w:szCs w:val="18"/>
        </w:rPr>
      </w:pPr>
      <w:r w:rsidRPr="006F307B">
        <w:rPr>
          <w:rFonts w:ascii="Arial Narrow" w:hAnsi="Arial Narrow"/>
          <w:sz w:val="18"/>
          <w:szCs w:val="18"/>
          <w:vertAlign w:val="superscript"/>
        </w:rPr>
        <w:t>b</w:t>
      </w:r>
      <w:r w:rsidRPr="006F307B">
        <w:rPr>
          <w:rFonts w:ascii="Arial Narrow" w:hAnsi="Arial Narrow"/>
          <w:sz w:val="18"/>
          <w:szCs w:val="18"/>
        </w:rPr>
        <w:t xml:space="preserve"> p-value boundary for statistical significance was 0.0059</w:t>
      </w:r>
    </w:p>
    <w:p w:rsidR="00B76353" w:rsidRPr="006F307B" w:rsidRDefault="00B76353" w:rsidP="00E741B9">
      <w:pPr>
        <w:tabs>
          <w:tab w:val="left" w:pos="284"/>
        </w:tabs>
        <w:spacing w:before="0" w:after="0"/>
        <w:ind w:left="284" w:hanging="284"/>
        <w:rPr>
          <w:rFonts w:ascii="Arial Narrow" w:hAnsi="Arial Narrow"/>
          <w:sz w:val="18"/>
          <w:szCs w:val="18"/>
          <w:highlight w:val="yellow"/>
        </w:rPr>
      </w:pPr>
      <w:r w:rsidRPr="006F307B">
        <w:rPr>
          <w:rFonts w:ascii="Arial Narrow" w:hAnsi="Arial Narrow"/>
          <w:sz w:val="18"/>
          <w:szCs w:val="18"/>
          <w:vertAlign w:val="superscript"/>
        </w:rPr>
        <w:t>c</w:t>
      </w:r>
      <w:r w:rsidRPr="006F307B">
        <w:rPr>
          <w:rFonts w:ascii="Arial Narrow" w:hAnsi="Arial Narrow"/>
          <w:sz w:val="18"/>
          <w:szCs w:val="18"/>
        </w:rPr>
        <w:t xml:space="preserve"> p-value boundary for statistical significance was not reported in the submission</w:t>
      </w:r>
    </w:p>
    <w:p w:rsidR="00B26AC1" w:rsidRPr="006F307B" w:rsidRDefault="00ED436C" w:rsidP="00B26AC1">
      <w:pPr>
        <w:keepNext/>
        <w:keepLines/>
        <w:spacing w:before="0" w:after="0"/>
        <w:rPr>
          <w:rFonts w:ascii="Arial Narrow" w:hAnsi="Arial Narrow"/>
          <w:sz w:val="18"/>
          <w:szCs w:val="18"/>
        </w:rPr>
      </w:pPr>
      <w:r w:rsidRPr="00ED436C">
        <w:rPr>
          <w:rFonts w:ascii="Arial Narrow" w:hAnsi="Arial Narrow"/>
          <w:sz w:val="18"/>
          <w:szCs w:val="18"/>
        </w:rPr>
        <w:t xml:space="preserve">Abbreviations: </w:t>
      </w:r>
      <w:r w:rsidR="00B26AC1" w:rsidRPr="006F307B">
        <w:rPr>
          <w:rFonts w:ascii="Arial Narrow" w:hAnsi="Arial Narrow"/>
          <w:sz w:val="18"/>
          <w:szCs w:val="18"/>
        </w:rPr>
        <w:t>OS= overall survival, ITT = intention to treat, N</w:t>
      </w:r>
      <w:r w:rsidR="00584CAE" w:rsidRPr="006F307B">
        <w:rPr>
          <w:rFonts w:ascii="Arial Narrow" w:hAnsi="Arial Narrow"/>
          <w:sz w:val="18"/>
          <w:szCs w:val="18"/>
        </w:rPr>
        <w:t>A</w:t>
      </w:r>
      <w:r w:rsidR="00B26AC1" w:rsidRPr="006F307B">
        <w:rPr>
          <w:rFonts w:ascii="Arial Narrow" w:hAnsi="Arial Narrow"/>
          <w:sz w:val="18"/>
          <w:szCs w:val="18"/>
        </w:rPr>
        <w:t xml:space="preserve"> = not </w:t>
      </w:r>
      <w:r w:rsidR="00584CAE" w:rsidRPr="006F307B">
        <w:rPr>
          <w:rFonts w:ascii="Arial Narrow" w:hAnsi="Arial Narrow"/>
          <w:sz w:val="18"/>
          <w:szCs w:val="18"/>
        </w:rPr>
        <w:t>applicable</w:t>
      </w:r>
      <w:r>
        <w:rPr>
          <w:rFonts w:ascii="Arial Narrow" w:hAnsi="Arial Narrow"/>
          <w:sz w:val="18"/>
          <w:szCs w:val="18"/>
        </w:rPr>
        <w:t>, CPS = combined positive score</w:t>
      </w:r>
    </w:p>
    <w:p w:rsidR="00B26AC1" w:rsidRPr="006F307B" w:rsidRDefault="00B26AC1" w:rsidP="00B26AC1">
      <w:pPr>
        <w:pStyle w:val="InstructionalText"/>
        <w:keepNext/>
        <w:keepLines/>
        <w:spacing w:before="0" w:after="0"/>
        <w:rPr>
          <w:rFonts w:ascii="Arial Narrow" w:hAnsi="Arial Narrow"/>
          <w:color w:val="auto"/>
          <w:sz w:val="18"/>
          <w:szCs w:val="18"/>
        </w:rPr>
      </w:pPr>
      <w:r w:rsidRPr="006F307B">
        <w:rPr>
          <w:rFonts w:ascii="Arial Narrow" w:hAnsi="Arial Narrow"/>
          <w:color w:val="auto"/>
          <w:sz w:val="18"/>
          <w:szCs w:val="18"/>
        </w:rPr>
        <w:t>Text in bold indicates statis</w:t>
      </w:r>
      <w:r w:rsidR="00555D45">
        <w:rPr>
          <w:rFonts w:ascii="Arial Narrow" w:hAnsi="Arial Narrow"/>
          <w:color w:val="auto"/>
          <w:sz w:val="18"/>
          <w:szCs w:val="18"/>
        </w:rPr>
        <w:t>tically significant differences</w:t>
      </w:r>
    </w:p>
    <w:p w:rsidR="00B26AC1" w:rsidRPr="006F307B" w:rsidRDefault="00B26AC1" w:rsidP="00914717">
      <w:pPr>
        <w:pStyle w:val="InstructionalText"/>
        <w:spacing w:before="0" w:after="0"/>
        <w:rPr>
          <w:rFonts w:ascii="Arial Narrow" w:hAnsi="Arial Narrow"/>
          <w:color w:val="auto"/>
          <w:sz w:val="18"/>
          <w:szCs w:val="18"/>
        </w:rPr>
      </w:pPr>
      <w:r w:rsidRPr="006F307B">
        <w:rPr>
          <w:rFonts w:ascii="Arial Narrow" w:hAnsi="Arial Narrow"/>
          <w:color w:val="auto"/>
          <w:sz w:val="18"/>
          <w:szCs w:val="18"/>
        </w:rPr>
        <w:t>Table 2.5-2, p61 and T</w:t>
      </w:r>
      <w:r w:rsidR="00555D45">
        <w:rPr>
          <w:rFonts w:ascii="Arial Narrow" w:hAnsi="Arial Narrow"/>
          <w:color w:val="auto"/>
          <w:sz w:val="18"/>
          <w:szCs w:val="18"/>
        </w:rPr>
        <w:t>able 2.6-1, p96 of the submissio</w:t>
      </w:r>
      <w:r w:rsidRPr="006F307B">
        <w:rPr>
          <w:rFonts w:ascii="Arial Narrow" w:hAnsi="Arial Narrow"/>
          <w:color w:val="auto"/>
          <w:sz w:val="18"/>
          <w:szCs w:val="18"/>
        </w:rPr>
        <w:t>n</w:t>
      </w:r>
    </w:p>
    <w:p w:rsidR="00B26AC1" w:rsidRPr="006F307B" w:rsidRDefault="00B26AC1" w:rsidP="00914717">
      <w:pPr>
        <w:pStyle w:val="InstructionalText"/>
        <w:keepNext/>
        <w:keepLines/>
        <w:spacing w:before="240" w:after="0"/>
        <w:rPr>
          <w:rFonts w:ascii="Arial Narrow" w:hAnsi="Arial Narrow"/>
          <w:b/>
          <w:color w:val="auto"/>
          <w:sz w:val="20"/>
          <w:szCs w:val="20"/>
        </w:rPr>
      </w:pPr>
      <w:r w:rsidRPr="006F307B">
        <w:rPr>
          <w:rFonts w:ascii="Arial Narrow" w:hAnsi="Arial Narrow"/>
          <w:b/>
          <w:color w:val="auto"/>
          <w:sz w:val="20"/>
          <w:szCs w:val="20"/>
        </w:rPr>
        <w:t>Figure</w:t>
      </w:r>
      <w:r w:rsidR="002418B4" w:rsidRPr="006F307B">
        <w:rPr>
          <w:rFonts w:ascii="Arial Narrow" w:hAnsi="Arial Narrow"/>
          <w:b/>
          <w:color w:val="auto"/>
          <w:sz w:val="20"/>
          <w:szCs w:val="20"/>
        </w:rPr>
        <w:t xml:space="preserve"> </w:t>
      </w:r>
      <w:r w:rsidRPr="006F307B">
        <w:rPr>
          <w:rFonts w:ascii="Arial Narrow" w:hAnsi="Arial Narrow"/>
          <w:b/>
          <w:color w:val="auto"/>
          <w:sz w:val="20"/>
          <w:szCs w:val="20"/>
        </w:rPr>
        <w:t>1</w:t>
      </w:r>
      <w:r w:rsidR="00D7534B" w:rsidRPr="006F307B">
        <w:rPr>
          <w:rFonts w:ascii="Arial Narrow" w:hAnsi="Arial Narrow"/>
          <w:b/>
          <w:color w:val="auto"/>
          <w:sz w:val="20"/>
          <w:szCs w:val="20"/>
        </w:rPr>
        <w:t>:</w:t>
      </w:r>
      <w:r w:rsidRPr="006F307B">
        <w:rPr>
          <w:rFonts w:ascii="Arial Narrow" w:hAnsi="Arial Narrow"/>
          <w:b/>
          <w:color w:val="auto"/>
          <w:sz w:val="20"/>
          <w:szCs w:val="20"/>
        </w:rPr>
        <w:t xml:space="preserve"> OS Kaplan-Meier curve in KN048 ITT, pembrolizumab monotherapy vs cetuximab </w:t>
      </w:r>
      <w:r w:rsidR="00F4531C" w:rsidRPr="006F307B">
        <w:rPr>
          <w:rFonts w:ascii="Arial Narrow" w:hAnsi="Arial Narrow"/>
          <w:b/>
          <w:color w:val="auto"/>
          <w:sz w:val="20"/>
          <w:szCs w:val="20"/>
        </w:rPr>
        <w:t xml:space="preserve">+ </w:t>
      </w:r>
      <w:r w:rsidRPr="006F307B">
        <w:rPr>
          <w:rFonts w:ascii="Arial Narrow" w:hAnsi="Arial Narrow"/>
          <w:b/>
          <w:color w:val="auto"/>
          <w:sz w:val="20"/>
          <w:szCs w:val="20"/>
        </w:rPr>
        <w:t>chemotherapy</w:t>
      </w:r>
    </w:p>
    <w:p w:rsidR="00B26AC1" w:rsidRPr="006F307B" w:rsidRDefault="00B26AC1" w:rsidP="00B26AC1">
      <w:pPr>
        <w:keepNext/>
        <w:keepLines/>
        <w:ind w:left="720" w:hanging="720"/>
      </w:pPr>
      <w:r w:rsidRPr="00AF3270">
        <w:rPr>
          <w:rFonts w:ascii="Arial Narrow" w:hAnsi="Arial Narrow"/>
          <w:noProof/>
          <w:sz w:val="20"/>
          <w:szCs w:val="20"/>
          <w:lang w:eastAsia="en-AU"/>
        </w:rPr>
        <w:drawing>
          <wp:inline distT="0" distB="0" distL="0" distR="0" wp14:anchorId="2E1F7443" wp14:editId="07BBF7D9">
            <wp:extent cx="5029200" cy="3598263"/>
            <wp:effectExtent l="0" t="0" r="0" b="2540"/>
            <wp:docPr id="67994762" name="Picture 67994762" title="Figure 1: OS Kaplan-Meier curve in KN048 ITT, pembrolizumab monotherapy vs cetuximab +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7235" cy="3611166"/>
                    </a:xfrm>
                    <a:prstGeom prst="rect">
                      <a:avLst/>
                    </a:prstGeom>
                    <a:noFill/>
                    <a:ln>
                      <a:noFill/>
                    </a:ln>
                  </pic:spPr>
                </pic:pic>
              </a:graphicData>
            </a:graphic>
          </wp:inline>
        </w:drawing>
      </w:r>
    </w:p>
    <w:p w:rsidR="00B26AC1" w:rsidRPr="006F307B" w:rsidRDefault="00B26AC1" w:rsidP="00914717">
      <w:pPr>
        <w:pStyle w:val="InstructionalText"/>
        <w:spacing w:before="0" w:after="0"/>
        <w:rPr>
          <w:rFonts w:ascii="Arial Narrow" w:hAnsi="Arial Narrow"/>
          <w:color w:val="auto"/>
          <w:sz w:val="18"/>
          <w:szCs w:val="18"/>
        </w:rPr>
      </w:pPr>
      <w:r w:rsidRPr="006F307B">
        <w:rPr>
          <w:rFonts w:ascii="Arial Narrow" w:hAnsi="Arial Narrow"/>
          <w:color w:val="auto"/>
          <w:sz w:val="18"/>
          <w:szCs w:val="18"/>
        </w:rPr>
        <w:t>Source: Figure 11-23, p250 KN048 CSR</w:t>
      </w:r>
    </w:p>
    <w:p w:rsidR="00B26AC1" w:rsidRPr="006F307B" w:rsidRDefault="00B26AC1" w:rsidP="00914717">
      <w:pPr>
        <w:pStyle w:val="InstructionalText"/>
        <w:keepNext/>
        <w:keepLines/>
        <w:spacing w:before="240" w:after="0"/>
        <w:rPr>
          <w:rFonts w:ascii="Arial Narrow" w:hAnsi="Arial Narrow"/>
          <w:b/>
          <w:color w:val="auto"/>
          <w:sz w:val="20"/>
          <w:szCs w:val="20"/>
        </w:rPr>
      </w:pPr>
      <w:r w:rsidRPr="006F307B">
        <w:rPr>
          <w:rFonts w:ascii="Arial Narrow" w:hAnsi="Arial Narrow"/>
          <w:b/>
          <w:color w:val="auto"/>
          <w:sz w:val="20"/>
          <w:szCs w:val="20"/>
        </w:rPr>
        <w:lastRenderedPageBreak/>
        <w:t>Figure</w:t>
      </w:r>
      <w:r w:rsidR="002418B4" w:rsidRPr="006F307B">
        <w:rPr>
          <w:rFonts w:ascii="Arial Narrow" w:hAnsi="Arial Narrow"/>
          <w:b/>
          <w:color w:val="auto"/>
          <w:sz w:val="20"/>
          <w:szCs w:val="20"/>
        </w:rPr>
        <w:t xml:space="preserve"> </w:t>
      </w:r>
      <w:r w:rsidRPr="006F307B">
        <w:rPr>
          <w:rFonts w:ascii="Arial Narrow" w:hAnsi="Arial Narrow"/>
          <w:b/>
          <w:color w:val="auto"/>
          <w:sz w:val="20"/>
          <w:szCs w:val="20"/>
        </w:rPr>
        <w:t>2</w:t>
      </w:r>
      <w:r w:rsidR="00D7534B" w:rsidRPr="00B74405">
        <w:rPr>
          <w:rFonts w:ascii="Arial Narrow" w:hAnsi="Arial Narrow"/>
          <w:b/>
          <w:color w:val="auto"/>
          <w:sz w:val="20"/>
          <w:szCs w:val="20"/>
        </w:rPr>
        <w:t xml:space="preserve">: </w:t>
      </w:r>
      <w:r w:rsidRPr="00B74405">
        <w:rPr>
          <w:rFonts w:ascii="Arial Narrow" w:hAnsi="Arial Narrow"/>
          <w:b/>
          <w:color w:val="auto"/>
          <w:sz w:val="20"/>
          <w:szCs w:val="20"/>
        </w:rPr>
        <w:t xml:space="preserve">OS Kaplan-Meier curve in KN048 CPS </w:t>
      </w:r>
      <w:r w:rsidRPr="006F307B">
        <w:rPr>
          <w:rFonts w:ascii="Arial Narrow" w:hAnsi="Arial Narrow" w:cstheme="minorHAnsi"/>
          <w:b/>
          <w:color w:val="auto"/>
          <w:sz w:val="20"/>
          <w:szCs w:val="20"/>
        </w:rPr>
        <w:t>≥</w:t>
      </w:r>
      <w:r w:rsidRPr="006F307B">
        <w:rPr>
          <w:rFonts w:ascii="Arial Narrow" w:hAnsi="Arial Narrow"/>
          <w:b/>
          <w:color w:val="auto"/>
          <w:sz w:val="20"/>
          <w:szCs w:val="20"/>
        </w:rPr>
        <w:t xml:space="preserve">1, pembrolizumab monotherapy vs cetuximab </w:t>
      </w:r>
      <w:r w:rsidR="00F4531C" w:rsidRPr="006F307B">
        <w:rPr>
          <w:rFonts w:ascii="Arial Narrow" w:hAnsi="Arial Narrow"/>
          <w:b/>
          <w:color w:val="auto"/>
          <w:sz w:val="20"/>
          <w:szCs w:val="20"/>
        </w:rPr>
        <w:t xml:space="preserve">+ </w:t>
      </w:r>
      <w:r w:rsidRPr="006F307B">
        <w:rPr>
          <w:rFonts w:ascii="Arial Narrow" w:hAnsi="Arial Narrow"/>
          <w:b/>
          <w:color w:val="auto"/>
          <w:sz w:val="20"/>
          <w:szCs w:val="20"/>
        </w:rPr>
        <w:t>chemotherapy</w:t>
      </w:r>
    </w:p>
    <w:p w:rsidR="00B26AC1" w:rsidRPr="006F307B" w:rsidRDefault="00B26AC1" w:rsidP="00B26AC1">
      <w:pPr>
        <w:pStyle w:val="InstructionalText"/>
        <w:keepNext/>
        <w:keepLines/>
        <w:spacing w:before="0" w:after="0"/>
        <w:rPr>
          <w:rFonts w:ascii="Arial Narrow" w:hAnsi="Arial Narrow"/>
          <w:color w:val="auto"/>
          <w:sz w:val="20"/>
          <w:szCs w:val="20"/>
        </w:rPr>
      </w:pPr>
      <w:r w:rsidRPr="00AF3270">
        <w:rPr>
          <w:rFonts w:ascii="Arial Narrow" w:hAnsi="Arial Narrow"/>
          <w:noProof/>
          <w:sz w:val="20"/>
          <w:szCs w:val="20"/>
          <w:lang w:eastAsia="en-AU"/>
        </w:rPr>
        <w:drawing>
          <wp:inline distT="0" distB="0" distL="0" distR="0" wp14:anchorId="511FFA93" wp14:editId="52DCC2D3">
            <wp:extent cx="4805680" cy="3399155"/>
            <wp:effectExtent l="0" t="0" r="0" b="0"/>
            <wp:docPr id="67994764" name="Picture 67994764" title="Figure 2: OS Kaplan-Meier curve in KN048 CPS ≥1, pembrolizumab monotherapy vs cetuximab + chemotherapy"/>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stretch>
                      <a:fillRect/>
                    </a:stretch>
                  </pic:blipFill>
                  <pic:spPr>
                    <a:xfrm>
                      <a:off x="0" y="0"/>
                      <a:ext cx="4805680" cy="3399155"/>
                    </a:xfrm>
                    <a:prstGeom prst="rect">
                      <a:avLst/>
                    </a:prstGeom>
                  </pic:spPr>
                </pic:pic>
              </a:graphicData>
            </a:graphic>
          </wp:inline>
        </w:drawing>
      </w:r>
    </w:p>
    <w:p w:rsidR="00B26AC1" w:rsidRPr="006F307B" w:rsidRDefault="00B26AC1" w:rsidP="00B26AC1">
      <w:pPr>
        <w:pStyle w:val="InstructionalText"/>
        <w:keepNext/>
        <w:keepLines/>
        <w:spacing w:before="0" w:after="0"/>
        <w:rPr>
          <w:rFonts w:ascii="Arial Narrow" w:hAnsi="Arial Narrow"/>
          <w:color w:val="auto"/>
          <w:sz w:val="18"/>
          <w:szCs w:val="18"/>
        </w:rPr>
      </w:pPr>
      <w:r w:rsidRPr="006F307B">
        <w:rPr>
          <w:rFonts w:ascii="Arial Narrow" w:hAnsi="Arial Narrow"/>
          <w:color w:val="auto"/>
          <w:sz w:val="18"/>
          <w:szCs w:val="18"/>
        </w:rPr>
        <w:t>Source: Figure 2.5-1, p62 of the submission</w:t>
      </w:r>
    </w:p>
    <w:p w:rsidR="00B26AC1" w:rsidRPr="006F307B" w:rsidRDefault="00B26AC1" w:rsidP="00B26AC1">
      <w:pPr>
        <w:pStyle w:val="ListParagraph"/>
        <w:numPr>
          <w:ilvl w:val="4"/>
          <w:numId w:val="1"/>
        </w:numPr>
        <w:rPr>
          <w:iCs/>
        </w:rPr>
      </w:pPr>
      <w:r w:rsidRPr="006F307B">
        <w:t xml:space="preserve">The submission stated that KN048 was not powered to show a difference in OS between pembrolizumab </w:t>
      </w:r>
      <w:r w:rsidRPr="00B74405">
        <w:rPr>
          <w:rFonts w:cstheme="minorHAnsi"/>
        </w:rPr>
        <w:t>±</w:t>
      </w:r>
      <w:r w:rsidRPr="00B74405">
        <w:t xml:space="preserve"> chemotherapy and cetuximab +</w:t>
      </w:r>
      <w:r w:rsidR="00881B34" w:rsidRPr="006F307B">
        <w:t xml:space="preserve"> </w:t>
      </w:r>
      <w:r w:rsidRPr="006F307B">
        <w:t>chemotherapy in patients with tumours expressing CPS &lt;1 and CPS 1-19. In contrast, the OS analyses for CPS ≥1 and CPS ≥20 were stratified using the trial stratification factors, since these were pre-specified analyses. There were several issues with these statements:</w:t>
      </w:r>
    </w:p>
    <w:p w:rsidR="00B26AC1" w:rsidRPr="006F307B" w:rsidRDefault="002C27E2" w:rsidP="007278E9">
      <w:pPr>
        <w:pStyle w:val="ListParagraph"/>
        <w:numPr>
          <w:ilvl w:val="4"/>
          <w:numId w:val="21"/>
        </w:numPr>
        <w:spacing w:after="120"/>
        <w:ind w:left="1134" w:hanging="425"/>
      </w:pPr>
      <w:r w:rsidRPr="006F307B">
        <w:t xml:space="preserve">The PBAC noted that </w:t>
      </w:r>
      <w:r w:rsidR="00B26AC1" w:rsidRPr="006F307B">
        <w:t xml:space="preserve">KN048 was not </w:t>
      </w:r>
      <w:r w:rsidRPr="006F307B">
        <w:t xml:space="preserve">initially </w:t>
      </w:r>
      <w:r w:rsidR="00B26AC1" w:rsidRPr="006F307B">
        <w:t xml:space="preserve">stratified by CPS ≥1 or CPS ≥20, but by TPS &gt;50%. As </w:t>
      </w:r>
      <w:r w:rsidR="00590D96" w:rsidRPr="006F307B">
        <w:t xml:space="preserve">noted </w:t>
      </w:r>
      <w:r w:rsidR="00B26AC1" w:rsidRPr="006F307B">
        <w:t xml:space="preserve">in </w:t>
      </w:r>
      <w:r w:rsidR="00D63E02" w:rsidRPr="007278E9">
        <w:t>paragraph 6.</w:t>
      </w:r>
      <w:r w:rsidR="007270BE" w:rsidRPr="007278E9">
        <w:t>11</w:t>
      </w:r>
      <w:r w:rsidR="00B26AC1" w:rsidRPr="006F307B">
        <w:t>, the comparisons on the basis of CPS are effectively non-randomised;</w:t>
      </w:r>
      <w:r w:rsidR="00CE7F4C" w:rsidRPr="006F307B">
        <w:t xml:space="preserve"> and</w:t>
      </w:r>
    </w:p>
    <w:p w:rsidR="00B26AC1" w:rsidRPr="006F307B" w:rsidRDefault="00B26AC1" w:rsidP="007278E9">
      <w:pPr>
        <w:pStyle w:val="ListParagraph"/>
        <w:numPr>
          <w:ilvl w:val="4"/>
          <w:numId w:val="21"/>
        </w:numPr>
        <w:spacing w:after="120"/>
        <w:ind w:left="1134" w:hanging="425"/>
      </w:pPr>
      <w:r w:rsidRPr="006F307B">
        <w:t>The sample size for the 1≤CPS&lt;20 in both comparisons appeared to be reasonable, being roughly the same as the sample size for CPS ≥20, therefore the lack of statistical power may not be an issue</w:t>
      </w:r>
      <w:r w:rsidR="00CE7F4C" w:rsidRPr="006F307B">
        <w:t>.</w:t>
      </w:r>
    </w:p>
    <w:p w:rsidR="00B62845" w:rsidRPr="006F307B" w:rsidRDefault="00B62845" w:rsidP="00B62845">
      <w:pPr>
        <w:pStyle w:val="ListParagraph"/>
      </w:pPr>
      <w:r w:rsidRPr="006F307B">
        <w:t xml:space="preserve">The PBAC noted there was no planned statistical analysis for the pembrolizumab monotherapy versus cetuximab </w:t>
      </w:r>
      <w:r w:rsidR="00F4531C" w:rsidRPr="006F307B">
        <w:t>+</w:t>
      </w:r>
      <w:r w:rsidRPr="006F307B">
        <w:t xml:space="preserve"> chemotherapy OS comparison in patients with CPS </w:t>
      </w:r>
      <w:r w:rsidRPr="006F307B">
        <w:rPr>
          <w:rFonts w:cstheme="minorHAnsi"/>
          <w:color w:val="auto"/>
        </w:rPr>
        <w:t>≥</w:t>
      </w:r>
      <w:r w:rsidRPr="006F307B">
        <w:rPr>
          <w:color w:val="auto"/>
        </w:rPr>
        <w:t xml:space="preserve">1 (hypothesis H8) and it was unclear whether the outcome presented in the submission was statistically significant. The PBAC considered this outcome to be of particular relevance to the current submission </w:t>
      </w:r>
      <w:r w:rsidR="001B1DA8" w:rsidRPr="00B74405">
        <w:rPr>
          <w:color w:val="auto"/>
        </w:rPr>
        <w:t xml:space="preserve">given the requested population is CPS </w:t>
      </w:r>
      <w:r w:rsidR="001B1DA8" w:rsidRPr="006F307B">
        <w:rPr>
          <w:rFonts w:cstheme="minorHAnsi"/>
          <w:color w:val="auto"/>
        </w:rPr>
        <w:t>≥</w:t>
      </w:r>
      <w:r w:rsidR="001B1DA8" w:rsidRPr="006F307B">
        <w:rPr>
          <w:color w:val="auto"/>
        </w:rPr>
        <w:t>1</w:t>
      </w:r>
      <w:r w:rsidRPr="006F307B">
        <w:rPr>
          <w:color w:val="auto"/>
        </w:rPr>
        <w:t>. The PBAC also noted that the hazard ratio of 0.83 (95% CI: 0.70, 0.99, p-value 0.029) for the ITT population was not statistically significant due to the alpha spending function in KN048.</w:t>
      </w:r>
    </w:p>
    <w:p w:rsidR="00B62845" w:rsidRPr="006F307B" w:rsidRDefault="00B62845" w:rsidP="00B62845">
      <w:pPr>
        <w:pStyle w:val="ListParagraph"/>
      </w:pPr>
      <w:r w:rsidRPr="006F307B">
        <w:t xml:space="preserve">The PBAC noted there were statistically significant HRs for the CPS ≥1 and CPS ≥20 subgroups, but not for the CPS 1-19 subgroup. As such, the PBAC considered that the </w:t>
      </w:r>
      <w:r w:rsidRPr="006F307B">
        <w:lastRenderedPageBreak/>
        <w:t>benefit of pembrolizumab monotherapy was potentially being driven by the CPS ≥20 subgroup, and that both the efficacy results and most appropriate CPS cut-off for pembrolizumab monotherapy were unclear.</w:t>
      </w:r>
    </w:p>
    <w:p w:rsidR="00B26AC1" w:rsidRPr="006F307B" w:rsidRDefault="00B26AC1" w:rsidP="00B26AC1">
      <w:pPr>
        <w:pStyle w:val="ListParagraph"/>
        <w:numPr>
          <w:ilvl w:val="4"/>
          <w:numId w:val="1"/>
        </w:numPr>
      </w:pPr>
      <w:r w:rsidRPr="006F307B">
        <w:t>The results of the indirect comparison of OS for pembrolizumab monotherapy versus chemotherapy alone using the NMA as well as using the Bucher method are presented in Table 8.</w:t>
      </w:r>
    </w:p>
    <w:p w:rsidR="00B26AC1" w:rsidRPr="006F307B" w:rsidRDefault="00B26AC1" w:rsidP="00B26AC1">
      <w:pPr>
        <w:pStyle w:val="InstructionalText"/>
        <w:keepNext/>
        <w:spacing w:before="0" w:after="0"/>
        <w:rPr>
          <w:rFonts w:ascii="Arial Narrow" w:hAnsi="Arial Narrow"/>
          <w:b/>
          <w:color w:val="auto"/>
          <w:sz w:val="20"/>
          <w:szCs w:val="20"/>
        </w:rPr>
      </w:pPr>
      <w:r w:rsidRPr="006F307B">
        <w:rPr>
          <w:rFonts w:ascii="Arial Narrow" w:hAnsi="Arial Narrow"/>
          <w:b/>
          <w:color w:val="auto"/>
          <w:sz w:val="20"/>
          <w:szCs w:val="20"/>
        </w:rPr>
        <w:t>Table</w:t>
      </w:r>
      <w:r w:rsidR="007270BE" w:rsidRPr="006F307B">
        <w:rPr>
          <w:rFonts w:ascii="Arial Narrow" w:hAnsi="Arial Narrow"/>
          <w:b/>
          <w:color w:val="auto"/>
          <w:sz w:val="20"/>
          <w:szCs w:val="20"/>
        </w:rPr>
        <w:t xml:space="preserve"> </w:t>
      </w:r>
      <w:r w:rsidRPr="006F307B">
        <w:rPr>
          <w:rFonts w:ascii="Arial Narrow" w:hAnsi="Arial Narrow"/>
          <w:b/>
          <w:color w:val="auto"/>
          <w:sz w:val="20"/>
          <w:szCs w:val="20"/>
        </w:rPr>
        <w:t>8</w:t>
      </w:r>
      <w:r w:rsidR="00555D45">
        <w:rPr>
          <w:rFonts w:ascii="Arial Narrow" w:hAnsi="Arial Narrow"/>
          <w:b/>
          <w:color w:val="auto"/>
          <w:sz w:val="20"/>
          <w:szCs w:val="20"/>
        </w:rPr>
        <w:t>:</w:t>
      </w:r>
      <w:r w:rsidRPr="006F307B">
        <w:rPr>
          <w:rFonts w:ascii="Arial Narrow" w:hAnsi="Arial Narrow"/>
          <w:b/>
          <w:color w:val="auto"/>
          <w:sz w:val="20"/>
          <w:szCs w:val="20"/>
        </w:rPr>
        <w:t xml:space="preserve"> Indirect comparison of OS for pembrolizumab monotherapy and chemotherapy by PD-L1 status</w:t>
      </w:r>
    </w:p>
    <w:tbl>
      <w:tblPr>
        <w:tblStyle w:val="TableGrid"/>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Indirect comparison of OS for pembrolizumab monotherapy and chemotherapy by PD-L1 status"/>
      </w:tblPr>
      <w:tblGrid>
        <w:gridCol w:w="1297"/>
        <w:gridCol w:w="677"/>
        <w:gridCol w:w="1844"/>
        <w:gridCol w:w="566"/>
        <w:gridCol w:w="1543"/>
        <w:gridCol w:w="1543"/>
        <w:gridCol w:w="1541"/>
      </w:tblGrid>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720" w:type="pct"/>
            <w:shd w:val="clear" w:color="auto" w:fill="auto"/>
          </w:tcPr>
          <w:p w:rsidR="00B26AC1" w:rsidRPr="007278E9" w:rsidRDefault="00B26AC1" w:rsidP="00B26AC1">
            <w:pPr>
              <w:keepNext/>
              <w:spacing w:before="40" w:after="40"/>
              <w:rPr>
                <w:rFonts w:ascii="Arial Narrow" w:hAnsi="Arial Narrow"/>
                <w:sz w:val="20"/>
                <w:szCs w:val="20"/>
                <w:lang w:val="en-AU"/>
              </w:rPr>
            </w:pPr>
          </w:p>
        </w:tc>
        <w:tc>
          <w:tcPr>
            <w:tcW w:w="1399" w:type="pct"/>
            <w:gridSpan w:val="2"/>
            <w:shd w:val="clear" w:color="auto" w:fill="auto"/>
            <w:hideMark/>
          </w:tcPr>
          <w:p w:rsidR="00B26AC1" w:rsidRPr="007278E9" w:rsidRDefault="00B26AC1" w:rsidP="00ED436C">
            <w:pPr>
              <w:keepNext/>
              <w:spacing w:before="40" w:after="40"/>
              <w:jc w:val="center"/>
              <w:rPr>
                <w:rFonts w:ascii="Arial Narrow" w:hAnsi="Arial Narrow"/>
                <w:sz w:val="20"/>
                <w:szCs w:val="20"/>
                <w:lang w:val="en-AU"/>
              </w:rPr>
            </w:pPr>
            <w:r w:rsidRPr="006F307B">
              <w:rPr>
                <w:rFonts w:ascii="Arial Narrow" w:hAnsi="Arial Narrow"/>
                <w:sz w:val="20"/>
                <w:szCs w:val="20"/>
              </w:rPr>
              <w:t>Keynote 048</w:t>
            </w:r>
            <w:r w:rsidR="00ED436C">
              <w:rPr>
                <w:rFonts w:ascii="Arial Narrow" w:hAnsi="Arial Narrow"/>
                <w:sz w:val="20"/>
                <w:szCs w:val="20"/>
              </w:rPr>
              <w:t xml:space="preserve"> –</w:t>
            </w:r>
            <w:r w:rsidRPr="006F307B">
              <w:rPr>
                <w:rFonts w:ascii="Arial Narrow" w:hAnsi="Arial Narrow"/>
                <w:sz w:val="20"/>
                <w:szCs w:val="20"/>
              </w:rPr>
              <w:t xml:space="preserve"> Pembro</w:t>
            </w:r>
            <w:r w:rsidR="00ED436C">
              <w:rPr>
                <w:rFonts w:ascii="Arial Narrow" w:hAnsi="Arial Narrow"/>
                <w:sz w:val="20"/>
                <w:szCs w:val="20"/>
              </w:rPr>
              <w:t xml:space="preserve"> </w:t>
            </w:r>
            <w:r w:rsidRPr="006F307B">
              <w:rPr>
                <w:rFonts w:ascii="Arial Narrow" w:hAnsi="Arial Narrow"/>
                <w:sz w:val="20"/>
                <w:szCs w:val="20"/>
              </w:rPr>
              <w:t>mono vs cetuximab + chemo</w:t>
            </w:r>
          </w:p>
        </w:tc>
        <w:tc>
          <w:tcPr>
            <w:tcW w:w="1170" w:type="pct"/>
            <w:gridSpan w:val="2"/>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EXTREME – chemo vs cetuximab + chemo</w:t>
            </w:r>
          </w:p>
        </w:tc>
        <w:tc>
          <w:tcPr>
            <w:tcW w:w="856" w:type="pct"/>
            <w:vMerge w:val="restart"/>
            <w:shd w:val="clear" w:color="auto" w:fill="auto"/>
            <w:vAlign w:val="center"/>
            <w:hideMark/>
          </w:tcPr>
          <w:p w:rsidR="00B26AC1" w:rsidRPr="007278E9" w:rsidRDefault="00590D96" w:rsidP="00590D96">
            <w:pPr>
              <w:keepNext/>
              <w:spacing w:before="40" w:after="40"/>
              <w:jc w:val="center"/>
              <w:rPr>
                <w:rFonts w:ascii="Arial Narrow" w:hAnsi="Arial Narrow"/>
                <w:b w:val="0"/>
                <w:sz w:val="20"/>
                <w:szCs w:val="20"/>
                <w:lang w:val="en-AU"/>
              </w:rPr>
            </w:pPr>
            <w:r w:rsidRPr="006F307B">
              <w:rPr>
                <w:rFonts w:ascii="Arial Narrow" w:hAnsi="Arial Narrow"/>
                <w:sz w:val="20"/>
                <w:szCs w:val="20"/>
              </w:rPr>
              <w:t>NMA i</w:t>
            </w:r>
            <w:r w:rsidR="00B26AC1" w:rsidRPr="006F307B">
              <w:rPr>
                <w:rFonts w:ascii="Arial Narrow" w:hAnsi="Arial Narrow"/>
                <w:sz w:val="20"/>
                <w:szCs w:val="20"/>
              </w:rPr>
              <w:t>ndirect comparison (95% CI)</w:t>
            </w:r>
          </w:p>
        </w:tc>
        <w:tc>
          <w:tcPr>
            <w:tcW w:w="855" w:type="pct"/>
            <w:vMerge w:val="restart"/>
            <w:shd w:val="clear" w:color="auto" w:fill="auto"/>
            <w:vAlign w:val="center"/>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Bucher indirect comparison (95% CI)</w:t>
            </w:r>
          </w:p>
        </w:tc>
      </w:tr>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720" w:type="pct"/>
            <w:shd w:val="clear" w:color="auto" w:fill="auto"/>
          </w:tcPr>
          <w:p w:rsidR="00B26AC1" w:rsidRPr="007278E9" w:rsidRDefault="00B26AC1" w:rsidP="00B26AC1">
            <w:pPr>
              <w:keepNext/>
              <w:spacing w:before="40" w:after="40"/>
              <w:rPr>
                <w:rFonts w:ascii="Arial Narrow" w:hAnsi="Arial Narrow"/>
                <w:b w:val="0"/>
                <w:sz w:val="20"/>
                <w:szCs w:val="20"/>
                <w:lang w:val="en-AU"/>
              </w:rPr>
            </w:pPr>
            <w:r w:rsidRPr="006F307B">
              <w:rPr>
                <w:rFonts w:ascii="Arial Narrow" w:hAnsi="Arial Narrow"/>
                <w:b w:val="0"/>
                <w:sz w:val="20"/>
                <w:szCs w:val="20"/>
              </w:rPr>
              <w:t>PD-L1 status</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b w:val="0"/>
                <w:sz w:val="20"/>
                <w:szCs w:val="20"/>
                <w:lang w:val="en-AU"/>
              </w:rPr>
            </w:pPr>
            <w:r w:rsidRPr="006F307B">
              <w:rPr>
                <w:rFonts w:ascii="Arial Narrow" w:hAnsi="Arial Narrow"/>
                <w:b w:val="0"/>
                <w:sz w:val="20"/>
                <w:szCs w:val="20"/>
              </w:rPr>
              <w:t>N</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b w:val="0"/>
                <w:sz w:val="20"/>
                <w:szCs w:val="20"/>
                <w:lang w:val="en-AU"/>
              </w:rPr>
            </w:pPr>
            <w:r w:rsidRPr="006F307B">
              <w:rPr>
                <w:rFonts w:ascii="Arial Narrow" w:hAnsi="Arial Narrow"/>
                <w:b w:val="0"/>
                <w:sz w:val="20"/>
                <w:szCs w:val="20"/>
              </w:rPr>
              <w:t>OS HR (95% CI)</w:t>
            </w:r>
          </w:p>
        </w:tc>
        <w:tc>
          <w:tcPr>
            <w:tcW w:w="314" w:type="pct"/>
            <w:shd w:val="clear" w:color="auto" w:fill="auto"/>
            <w:vAlign w:val="center"/>
            <w:hideMark/>
          </w:tcPr>
          <w:p w:rsidR="00B26AC1" w:rsidRPr="007278E9" w:rsidRDefault="00B26AC1" w:rsidP="00B26AC1">
            <w:pPr>
              <w:keepNext/>
              <w:spacing w:before="40" w:after="40"/>
              <w:jc w:val="center"/>
              <w:rPr>
                <w:rFonts w:ascii="Arial Narrow" w:hAnsi="Arial Narrow"/>
                <w:b w:val="0"/>
                <w:sz w:val="20"/>
                <w:szCs w:val="20"/>
                <w:lang w:val="en-AU"/>
              </w:rPr>
            </w:pPr>
            <w:r w:rsidRPr="006F307B">
              <w:rPr>
                <w:rFonts w:ascii="Arial Narrow" w:hAnsi="Arial Narrow"/>
                <w:b w:val="0"/>
                <w:sz w:val="20"/>
                <w:szCs w:val="20"/>
              </w:rPr>
              <w:t>N</w:t>
            </w: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b w:val="0"/>
                <w:sz w:val="20"/>
                <w:szCs w:val="20"/>
                <w:vertAlign w:val="superscript"/>
                <w:lang w:val="en-AU"/>
              </w:rPr>
            </w:pPr>
            <w:r w:rsidRPr="006F307B">
              <w:rPr>
                <w:rFonts w:ascii="Arial Narrow" w:hAnsi="Arial Narrow"/>
                <w:b w:val="0"/>
                <w:sz w:val="20"/>
                <w:szCs w:val="20"/>
              </w:rPr>
              <w:t xml:space="preserve">OS HR (95% CI) </w:t>
            </w:r>
            <w:r w:rsidRPr="006F307B">
              <w:rPr>
                <w:rFonts w:ascii="Arial Narrow" w:hAnsi="Arial Narrow"/>
                <w:b w:val="0"/>
                <w:sz w:val="20"/>
                <w:szCs w:val="20"/>
                <w:vertAlign w:val="superscript"/>
              </w:rPr>
              <w:t>a</w:t>
            </w:r>
          </w:p>
        </w:tc>
        <w:tc>
          <w:tcPr>
            <w:tcW w:w="856" w:type="pct"/>
            <w:vMerge/>
            <w:shd w:val="clear" w:color="auto" w:fill="auto"/>
            <w:vAlign w:val="center"/>
          </w:tcPr>
          <w:p w:rsidR="00B26AC1" w:rsidRPr="007278E9" w:rsidRDefault="00B26AC1" w:rsidP="00B26AC1">
            <w:pPr>
              <w:keepNext/>
              <w:spacing w:before="40" w:after="40"/>
              <w:jc w:val="center"/>
              <w:rPr>
                <w:rFonts w:ascii="Arial Narrow" w:hAnsi="Arial Narrow"/>
                <w:b w:val="0"/>
                <w:sz w:val="20"/>
                <w:szCs w:val="20"/>
                <w:lang w:val="en-AU"/>
              </w:rPr>
            </w:pPr>
          </w:p>
        </w:tc>
        <w:tc>
          <w:tcPr>
            <w:tcW w:w="855" w:type="pct"/>
            <w:vMerge/>
            <w:shd w:val="clear" w:color="auto" w:fill="auto"/>
            <w:vAlign w:val="center"/>
          </w:tcPr>
          <w:p w:rsidR="00B26AC1" w:rsidRPr="007278E9" w:rsidRDefault="00B26AC1" w:rsidP="00B26AC1">
            <w:pPr>
              <w:keepNext/>
              <w:spacing w:before="40" w:after="40"/>
              <w:jc w:val="center"/>
              <w:rPr>
                <w:rFonts w:ascii="Arial Narrow" w:hAnsi="Arial Narrow"/>
                <w:b w:val="0"/>
                <w:sz w:val="20"/>
                <w:szCs w:val="20"/>
                <w:lang w:val="en-AU"/>
              </w:rPr>
            </w:pPr>
          </w:p>
        </w:tc>
      </w:tr>
      <w:tr w:rsidR="00B26AC1" w:rsidRPr="006F307B" w:rsidTr="00ED436C">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All-comers</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601</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vertAlign w:val="superscript"/>
                <w:lang w:val="en-AU"/>
              </w:rPr>
            </w:pPr>
            <w:r w:rsidRPr="006F307B">
              <w:rPr>
                <w:rFonts w:ascii="Arial Narrow" w:hAnsi="Arial Narrow"/>
                <w:sz w:val="20"/>
                <w:szCs w:val="20"/>
              </w:rPr>
              <w:t xml:space="preserve">0.83 (0.70, 0.99) </w:t>
            </w:r>
            <w:r w:rsidRPr="006F307B">
              <w:rPr>
                <w:rFonts w:ascii="Arial Narrow" w:hAnsi="Arial Narrow"/>
                <w:sz w:val="20"/>
                <w:szCs w:val="20"/>
                <w:vertAlign w:val="superscript"/>
              </w:rPr>
              <w:t>b</w:t>
            </w:r>
          </w:p>
        </w:tc>
        <w:tc>
          <w:tcPr>
            <w:tcW w:w="314" w:type="pct"/>
            <w:vMerge w:val="restar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442</w:t>
            </w:r>
          </w:p>
        </w:tc>
        <w:tc>
          <w:tcPr>
            <w:tcW w:w="856" w:type="pct"/>
            <w:vMerge w:val="restar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1.25 (1.01, 1.56)</w:t>
            </w: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0.68 (0.52, 0.88)</w:t>
            </w:r>
          </w:p>
        </w:tc>
        <w:tc>
          <w:tcPr>
            <w:tcW w:w="855" w:type="pct"/>
            <w:vAlign w:val="center"/>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0.66 (0.50, 0.88)</w:t>
            </w:r>
          </w:p>
        </w:tc>
      </w:tr>
      <w:tr w:rsidR="00B26AC1" w:rsidRPr="006F307B" w:rsidTr="00ED436C">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CPS ≥1</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512</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0.74 (0.61, 0.90)</w:t>
            </w:r>
          </w:p>
        </w:tc>
        <w:tc>
          <w:tcPr>
            <w:tcW w:w="314"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0.61 (0.46, 0.8)</w:t>
            </w:r>
          </w:p>
        </w:tc>
        <w:tc>
          <w:tcPr>
            <w:tcW w:w="855" w:type="pct"/>
            <w:vAlign w:val="center"/>
          </w:tcPr>
          <w:p w:rsidR="00B26AC1" w:rsidRPr="007278E9" w:rsidRDefault="00B26AC1" w:rsidP="00B26AC1">
            <w:pPr>
              <w:keepNext/>
              <w:spacing w:before="40" w:after="40"/>
              <w:jc w:val="center"/>
              <w:rPr>
                <w:rFonts w:ascii="Arial Narrow" w:hAnsi="Arial Narrow"/>
                <w:b/>
                <w:sz w:val="20"/>
                <w:szCs w:val="20"/>
                <w:highlight w:val="cyan"/>
                <w:lang w:val="en-AU"/>
              </w:rPr>
            </w:pPr>
            <w:r w:rsidRPr="006F307B">
              <w:rPr>
                <w:rFonts w:ascii="Arial Narrow" w:hAnsi="Arial Narrow"/>
                <w:b/>
                <w:sz w:val="20"/>
                <w:szCs w:val="20"/>
              </w:rPr>
              <w:t>0.59 (0.44, 0.79)</w:t>
            </w:r>
          </w:p>
        </w:tc>
      </w:tr>
      <w:tr w:rsidR="00B26AC1" w:rsidRPr="006F307B" w:rsidTr="00ED436C">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CPS ≥20</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255</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0.58 (0.44, 0.78)</w:t>
            </w:r>
          </w:p>
        </w:tc>
        <w:tc>
          <w:tcPr>
            <w:tcW w:w="314"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0.48 (0.34, 0.68)</w:t>
            </w:r>
          </w:p>
        </w:tc>
        <w:tc>
          <w:tcPr>
            <w:tcW w:w="855" w:type="pct"/>
            <w:vAlign w:val="center"/>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0.46 (0.32, 0.67)</w:t>
            </w:r>
          </w:p>
        </w:tc>
      </w:tr>
      <w:tr w:rsidR="00B26AC1" w:rsidRPr="006F307B" w:rsidTr="00ED436C">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1≤ CPS &lt;20</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257</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0.92 (0.70, 1.20)</w:t>
            </w:r>
          </w:p>
        </w:tc>
        <w:tc>
          <w:tcPr>
            <w:tcW w:w="314"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0.76 (0.54, 1.06)</w:t>
            </w:r>
          </w:p>
        </w:tc>
        <w:tc>
          <w:tcPr>
            <w:tcW w:w="855" w:type="pct"/>
            <w:vAlign w:val="center"/>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0.74 (0.52, 1.04)</w:t>
            </w:r>
          </w:p>
        </w:tc>
      </w:tr>
      <w:tr w:rsidR="00B26AC1" w:rsidRPr="006F307B" w:rsidTr="00ED436C">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CPS &lt;1</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89</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1.72 (1.06, 2.79)</w:t>
            </w:r>
          </w:p>
        </w:tc>
        <w:tc>
          <w:tcPr>
            <w:tcW w:w="314" w:type="pct"/>
            <w:vMerge/>
            <w:shd w:val="clear" w:color="auto" w:fill="auto"/>
            <w:vAlign w:val="center"/>
            <w:hideMark/>
          </w:tcPr>
          <w:p w:rsidR="00B26AC1" w:rsidRPr="007278E9" w:rsidRDefault="00B26AC1" w:rsidP="00B26AC1">
            <w:pPr>
              <w:keepNext/>
              <w:spacing w:before="40" w:after="40"/>
              <w:rPr>
                <w:rFonts w:ascii="Arial Narrow" w:hAnsi="Arial Narrow"/>
                <w:sz w:val="20"/>
                <w:szCs w:val="20"/>
                <w:lang w:val="en-AU"/>
              </w:rPr>
            </w:pPr>
          </w:p>
        </w:tc>
        <w:tc>
          <w:tcPr>
            <w:tcW w:w="856" w:type="pct"/>
            <w:vMerge/>
            <w:shd w:val="clear" w:color="auto" w:fill="auto"/>
            <w:vAlign w:val="center"/>
            <w:hideMark/>
          </w:tcPr>
          <w:p w:rsidR="00B26AC1" w:rsidRPr="007278E9" w:rsidRDefault="00B26AC1" w:rsidP="00B26AC1">
            <w:pPr>
              <w:keepNext/>
              <w:spacing w:before="40" w:after="40"/>
              <w:rPr>
                <w:rFonts w:ascii="Arial Narrow" w:hAnsi="Arial Narrow"/>
                <w:sz w:val="20"/>
                <w:szCs w:val="20"/>
                <w:lang w:val="en-AU"/>
              </w:rPr>
            </w:pPr>
          </w:p>
        </w:tc>
        <w:tc>
          <w:tcPr>
            <w:tcW w:w="856"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1.4 (0.83, 2.39)</w:t>
            </w:r>
          </w:p>
        </w:tc>
        <w:tc>
          <w:tcPr>
            <w:tcW w:w="855" w:type="pct"/>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1.38 (0.81, 2.34)</w:t>
            </w:r>
          </w:p>
        </w:tc>
      </w:tr>
    </w:tbl>
    <w:p w:rsidR="00B26AC1" w:rsidRPr="006F307B" w:rsidRDefault="00ED436C" w:rsidP="00B26AC1">
      <w:pPr>
        <w:keepNext/>
        <w:spacing w:before="0" w:after="0"/>
        <w:rPr>
          <w:rFonts w:ascii="Arial Narrow" w:hAnsi="Arial Narrow"/>
          <w:sz w:val="18"/>
          <w:szCs w:val="18"/>
        </w:rPr>
      </w:pPr>
      <w:r w:rsidRPr="00ED436C">
        <w:rPr>
          <w:rFonts w:ascii="Arial Narrow" w:hAnsi="Arial Narrow"/>
          <w:sz w:val="18"/>
          <w:szCs w:val="18"/>
        </w:rPr>
        <w:t xml:space="preserve">Abbreviations: </w:t>
      </w:r>
      <w:r w:rsidR="00B26AC1" w:rsidRPr="006F307B">
        <w:rPr>
          <w:rFonts w:ascii="Arial Narrow" w:hAnsi="Arial Narrow"/>
          <w:sz w:val="18"/>
          <w:szCs w:val="18"/>
        </w:rPr>
        <w:t xml:space="preserve">Pembro mono = pembrolizumab monotherapy, </w:t>
      </w:r>
      <w:r>
        <w:rPr>
          <w:rFonts w:ascii="Arial Narrow" w:hAnsi="Arial Narrow"/>
          <w:sz w:val="18"/>
          <w:szCs w:val="18"/>
        </w:rPr>
        <w:t>c</w:t>
      </w:r>
      <w:r w:rsidR="00B26AC1" w:rsidRPr="006F307B">
        <w:rPr>
          <w:rFonts w:ascii="Arial Narrow" w:hAnsi="Arial Narrow"/>
          <w:sz w:val="18"/>
          <w:szCs w:val="18"/>
        </w:rPr>
        <w:t>hemo = chemotherapy, OS = overall survival, HR = hazard ratio</w:t>
      </w:r>
      <w:r>
        <w:rPr>
          <w:rFonts w:ascii="Arial Narrow" w:hAnsi="Arial Narrow"/>
          <w:sz w:val="18"/>
          <w:szCs w:val="18"/>
        </w:rPr>
        <w:t>, CPS = combined positive score</w:t>
      </w:r>
    </w:p>
    <w:p w:rsidR="00B26AC1" w:rsidRPr="006F307B" w:rsidRDefault="00B26AC1" w:rsidP="00B26AC1">
      <w:pPr>
        <w:keepNext/>
        <w:tabs>
          <w:tab w:val="left" w:pos="284"/>
        </w:tabs>
        <w:spacing w:before="0" w:after="0"/>
        <w:ind w:left="284" w:hanging="284"/>
        <w:rPr>
          <w:rFonts w:ascii="Arial Narrow" w:hAnsi="Arial Narrow"/>
          <w:sz w:val="18"/>
          <w:szCs w:val="18"/>
        </w:rPr>
      </w:pPr>
      <w:r w:rsidRPr="006F307B">
        <w:rPr>
          <w:rFonts w:ascii="Arial Narrow" w:hAnsi="Arial Narrow"/>
          <w:sz w:val="18"/>
          <w:szCs w:val="18"/>
          <w:vertAlign w:val="superscript"/>
        </w:rPr>
        <w:t>a</w:t>
      </w:r>
      <w:r w:rsidR="007270BE" w:rsidRPr="006F307B">
        <w:rPr>
          <w:rFonts w:ascii="Arial Narrow" w:hAnsi="Arial Narrow"/>
          <w:sz w:val="18"/>
          <w:szCs w:val="18"/>
        </w:rPr>
        <w:t xml:space="preserve"> </w:t>
      </w:r>
      <w:r w:rsidRPr="006F307B">
        <w:rPr>
          <w:rFonts w:ascii="Arial Narrow" w:hAnsi="Arial Narrow"/>
          <w:sz w:val="18"/>
          <w:szCs w:val="18"/>
        </w:rPr>
        <w:t xml:space="preserve">calculated using the inverse of OS HR reported in EXTREME (HR = 0.80, 95%CI 0.64, 0.99) to reflect treatment effect of chemotherapy relative to cetuximab plus chemotherapy </w:t>
      </w:r>
    </w:p>
    <w:p w:rsidR="00B26AC1" w:rsidRPr="006F307B" w:rsidRDefault="00B26AC1" w:rsidP="00B26AC1">
      <w:pPr>
        <w:keepNext/>
        <w:tabs>
          <w:tab w:val="left" w:pos="284"/>
        </w:tabs>
        <w:spacing w:before="0" w:after="0"/>
        <w:ind w:left="284" w:hanging="284"/>
        <w:rPr>
          <w:rFonts w:ascii="Arial Narrow" w:hAnsi="Arial Narrow"/>
          <w:sz w:val="18"/>
          <w:szCs w:val="18"/>
        </w:rPr>
      </w:pPr>
      <w:r w:rsidRPr="006F307B">
        <w:rPr>
          <w:rFonts w:ascii="Arial Narrow" w:hAnsi="Arial Narrow"/>
          <w:sz w:val="18"/>
          <w:szCs w:val="18"/>
          <w:vertAlign w:val="superscript"/>
        </w:rPr>
        <w:t>b</w:t>
      </w:r>
      <w:r w:rsidR="007270BE" w:rsidRPr="006F307B">
        <w:rPr>
          <w:rFonts w:ascii="Arial Narrow" w:hAnsi="Arial Narrow"/>
          <w:sz w:val="18"/>
          <w:szCs w:val="18"/>
        </w:rPr>
        <w:t xml:space="preserve"> </w:t>
      </w:r>
      <w:r w:rsidRPr="006F307B">
        <w:rPr>
          <w:rFonts w:ascii="Arial Narrow" w:hAnsi="Arial Narrow"/>
          <w:sz w:val="18"/>
          <w:szCs w:val="18"/>
        </w:rPr>
        <w:t>incorrectly reported as 0.72 (0.60, 0.87) in table 2.6-4 of the submission</w:t>
      </w:r>
    </w:p>
    <w:p w:rsidR="00B26AC1" w:rsidRPr="006F307B" w:rsidRDefault="00B46FB9" w:rsidP="00B26AC1">
      <w:pPr>
        <w:keepNext/>
        <w:spacing w:before="0" w:after="0"/>
        <w:rPr>
          <w:rFonts w:ascii="Arial Narrow" w:hAnsi="Arial Narrow"/>
          <w:sz w:val="18"/>
          <w:szCs w:val="18"/>
        </w:rPr>
      </w:pPr>
      <w:r w:rsidRPr="006F307B">
        <w:rPr>
          <w:rFonts w:ascii="Arial Narrow" w:hAnsi="Arial Narrow"/>
          <w:sz w:val="18"/>
          <w:szCs w:val="18"/>
        </w:rPr>
        <w:t>T</w:t>
      </w:r>
      <w:r w:rsidR="00B26AC1" w:rsidRPr="006F307B">
        <w:rPr>
          <w:rFonts w:ascii="Arial Narrow" w:hAnsi="Arial Narrow"/>
          <w:sz w:val="18"/>
          <w:szCs w:val="18"/>
        </w:rPr>
        <w:t>ext in bold indicate statis</w:t>
      </w:r>
      <w:r w:rsidR="00555D45">
        <w:rPr>
          <w:rFonts w:ascii="Arial Narrow" w:hAnsi="Arial Narrow"/>
          <w:sz w:val="18"/>
          <w:szCs w:val="18"/>
        </w:rPr>
        <w:t>tically significant differences</w:t>
      </w:r>
    </w:p>
    <w:p w:rsidR="00B26AC1" w:rsidRPr="006F307B" w:rsidRDefault="00B26AC1" w:rsidP="00B26AC1">
      <w:pPr>
        <w:keepNext/>
        <w:spacing w:before="0" w:after="0"/>
        <w:rPr>
          <w:rFonts w:ascii="Arial Narrow" w:hAnsi="Arial Narrow"/>
          <w:sz w:val="18"/>
          <w:szCs w:val="18"/>
        </w:rPr>
      </w:pPr>
      <w:r w:rsidRPr="006F307B">
        <w:rPr>
          <w:rFonts w:ascii="Arial Narrow" w:hAnsi="Arial Narrow"/>
          <w:sz w:val="18"/>
          <w:szCs w:val="18"/>
        </w:rPr>
        <w:t>Source: Table 2</w:t>
      </w:r>
      <w:r w:rsidR="00555D45">
        <w:rPr>
          <w:rFonts w:ascii="Arial Narrow" w:hAnsi="Arial Narrow"/>
          <w:sz w:val="18"/>
          <w:szCs w:val="18"/>
        </w:rPr>
        <w:t>.6-4, p99-100 of the submission</w:t>
      </w:r>
    </w:p>
    <w:p w:rsidR="005D697E" w:rsidRPr="006F307B" w:rsidRDefault="00B26AC1" w:rsidP="008E5D18">
      <w:pPr>
        <w:pStyle w:val="ListParagraph"/>
        <w:numPr>
          <w:ilvl w:val="4"/>
          <w:numId w:val="1"/>
        </w:numPr>
        <w:spacing w:before="240"/>
        <w:rPr>
          <w:color w:val="auto"/>
        </w:rPr>
      </w:pPr>
      <w:r w:rsidRPr="006F307B">
        <w:rPr>
          <w:color w:val="auto"/>
        </w:rPr>
        <w:t>The submission (p99) stated that in the CPS ≥1 subgroup, patients treated with pembrolizumab monotherapy had a 40% reduction in risk of death (OS HR=0.61; 95% CI: 0.46, 0.80) compared to patients treated with chemotherapy, and that there was no benefit for pembrolizumab monotherapy compared to chemotherapy in the CPS &lt;1 subgroup. T</w:t>
      </w:r>
      <w:r w:rsidR="007270BE" w:rsidRPr="006F307B">
        <w:rPr>
          <w:color w:val="auto"/>
        </w:rPr>
        <w:t>he evaluation considered t</w:t>
      </w:r>
      <w:r w:rsidRPr="006F307B">
        <w:rPr>
          <w:color w:val="auto"/>
        </w:rPr>
        <w:t>hese claims for efficacy benefits were reasonable, though noting that the CPS &lt;1 subgroup was underpowered so the lack of a statistically significant result may not be informative.</w:t>
      </w:r>
      <w:r w:rsidR="00D27AD2" w:rsidRPr="006F307B">
        <w:rPr>
          <w:color w:val="auto"/>
        </w:rPr>
        <w:t xml:space="preserve"> The ESC</w:t>
      </w:r>
      <w:r w:rsidR="0021591C" w:rsidRPr="006F307B">
        <w:rPr>
          <w:color w:val="auto"/>
        </w:rPr>
        <w:t>s</w:t>
      </w:r>
      <w:r w:rsidR="00D27AD2" w:rsidRPr="006F307B">
        <w:rPr>
          <w:color w:val="auto"/>
        </w:rPr>
        <w:t>, noting the wide 95% CI for the CPS &lt;1 subgroup, considered that the HR of 1.4 could indicate that these patients would be worse off in the pembrolizumab monotherapy ar</w:t>
      </w:r>
      <w:r w:rsidR="00D4088E" w:rsidRPr="006F307B">
        <w:rPr>
          <w:color w:val="auto"/>
        </w:rPr>
        <w:t>m</w:t>
      </w:r>
      <w:r w:rsidR="00D27AD2" w:rsidRPr="006F307B">
        <w:rPr>
          <w:color w:val="auto"/>
        </w:rPr>
        <w:t>.</w:t>
      </w:r>
      <w:r w:rsidR="002F66D6" w:rsidRPr="006F307B">
        <w:rPr>
          <w:color w:val="auto"/>
        </w:rPr>
        <w:t xml:space="preserve"> </w:t>
      </w:r>
    </w:p>
    <w:bookmarkEnd w:id="22"/>
    <w:bookmarkEnd w:id="23"/>
    <w:p w:rsidR="00DF539E" w:rsidRPr="006F307B" w:rsidRDefault="00B26AC1" w:rsidP="0076446C">
      <w:pPr>
        <w:pStyle w:val="ListParagraph"/>
      </w:pPr>
      <w:r w:rsidRPr="006F307B">
        <w:rPr>
          <w:color w:val="auto"/>
        </w:rPr>
        <w:t xml:space="preserve">The OS results of pembrolizumab </w:t>
      </w:r>
      <w:r w:rsidR="00F4531C" w:rsidRPr="006F307B">
        <w:rPr>
          <w:color w:val="auto"/>
        </w:rPr>
        <w:t xml:space="preserve">+ </w:t>
      </w:r>
      <w:r w:rsidRPr="006F307B">
        <w:rPr>
          <w:color w:val="auto"/>
        </w:rPr>
        <w:t xml:space="preserve">chemotherapy versus cetuximab </w:t>
      </w:r>
      <w:r w:rsidR="00F4531C" w:rsidRPr="006F307B">
        <w:rPr>
          <w:color w:val="auto"/>
        </w:rPr>
        <w:t xml:space="preserve">+ </w:t>
      </w:r>
      <w:r w:rsidRPr="006F307B">
        <w:rPr>
          <w:color w:val="auto"/>
        </w:rPr>
        <w:t xml:space="preserve">chemotherapy from KN048 </w:t>
      </w:r>
      <w:r w:rsidR="00447DC3" w:rsidRPr="006F307B">
        <w:rPr>
          <w:color w:val="auto"/>
        </w:rPr>
        <w:t>are</w:t>
      </w:r>
      <w:r w:rsidRPr="006F307B">
        <w:rPr>
          <w:color w:val="auto"/>
        </w:rPr>
        <w:t xml:space="preserve"> presented in Table 9 and the OS Kaplan Meier curves from KN048 for ITT and CPS </w:t>
      </w:r>
      <w:r w:rsidRPr="006F307B">
        <w:rPr>
          <w:rFonts w:cstheme="minorHAnsi"/>
          <w:color w:val="auto"/>
        </w:rPr>
        <w:t>≥</w:t>
      </w:r>
      <w:r w:rsidRPr="006F307B">
        <w:rPr>
          <w:color w:val="auto"/>
        </w:rPr>
        <w:t>1 populations are presented in Figures 3 and 4.</w:t>
      </w:r>
      <w:r w:rsidR="00491690" w:rsidRPr="006F307B">
        <w:rPr>
          <w:color w:val="auto"/>
        </w:rPr>
        <w:t xml:space="preserve"> </w:t>
      </w:r>
    </w:p>
    <w:p w:rsidR="00DF539E" w:rsidRPr="006F307B" w:rsidRDefault="00DF539E">
      <w:pPr>
        <w:spacing w:before="0" w:line="259" w:lineRule="auto"/>
        <w:jc w:val="left"/>
        <w:rPr>
          <w:color w:val="000000" w:themeColor="text1"/>
        </w:rPr>
      </w:pPr>
      <w:r w:rsidRPr="006F307B">
        <w:br w:type="page"/>
      </w:r>
    </w:p>
    <w:p w:rsidR="00B26AC1" w:rsidRPr="006F307B" w:rsidRDefault="00B26AC1" w:rsidP="00001421">
      <w:pPr>
        <w:pStyle w:val="InstructionalText"/>
        <w:keepLines/>
        <w:spacing w:before="0" w:after="0"/>
        <w:rPr>
          <w:rFonts w:ascii="Arial Narrow" w:hAnsi="Arial Narrow"/>
          <w:b/>
          <w:color w:val="auto"/>
          <w:sz w:val="20"/>
          <w:szCs w:val="20"/>
        </w:rPr>
      </w:pPr>
      <w:r w:rsidRPr="006F307B">
        <w:rPr>
          <w:rFonts w:ascii="Arial Narrow" w:hAnsi="Arial Narrow"/>
          <w:b/>
          <w:color w:val="auto"/>
          <w:sz w:val="20"/>
          <w:szCs w:val="20"/>
        </w:rPr>
        <w:lastRenderedPageBreak/>
        <w:t>Table 9</w:t>
      </w:r>
      <w:r w:rsidR="00CE7F4C" w:rsidRPr="006F307B">
        <w:rPr>
          <w:rFonts w:ascii="Arial Narrow" w:hAnsi="Arial Narrow"/>
          <w:b/>
          <w:color w:val="auto"/>
          <w:sz w:val="20"/>
          <w:szCs w:val="20"/>
        </w:rPr>
        <w:t>:</w:t>
      </w:r>
      <w:r w:rsidRPr="006F307B">
        <w:rPr>
          <w:rFonts w:ascii="Arial Narrow" w:hAnsi="Arial Narrow"/>
          <w:b/>
          <w:color w:val="auto"/>
          <w:sz w:val="20"/>
          <w:szCs w:val="20"/>
        </w:rPr>
        <w:t xml:space="preserve"> Summary of OS results for pembrolizumab </w:t>
      </w:r>
      <w:r w:rsidR="00F4531C" w:rsidRPr="006F307B">
        <w:rPr>
          <w:rFonts w:ascii="Arial Narrow" w:hAnsi="Arial Narrow"/>
          <w:b/>
          <w:color w:val="auto"/>
          <w:sz w:val="20"/>
          <w:szCs w:val="20"/>
        </w:rPr>
        <w:t xml:space="preserve">+ </w:t>
      </w:r>
      <w:r w:rsidRPr="006F307B">
        <w:rPr>
          <w:rFonts w:ascii="Arial Narrow" w:hAnsi="Arial Narrow"/>
          <w:b/>
          <w:color w:val="auto"/>
          <w:sz w:val="20"/>
          <w:szCs w:val="20"/>
        </w:rPr>
        <w:t xml:space="preserve">chemotherapy vs cetuximab </w:t>
      </w:r>
      <w:r w:rsidR="00F4531C" w:rsidRPr="006F307B">
        <w:rPr>
          <w:rFonts w:ascii="Arial Narrow" w:hAnsi="Arial Narrow"/>
          <w:b/>
          <w:color w:val="auto"/>
          <w:sz w:val="20"/>
          <w:szCs w:val="20"/>
        </w:rPr>
        <w:t xml:space="preserve">+ </w:t>
      </w:r>
      <w:r w:rsidRPr="006F307B">
        <w:rPr>
          <w:rFonts w:ascii="Arial Narrow" w:hAnsi="Arial Narrow"/>
          <w:b/>
          <w:color w:val="auto"/>
          <w:sz w:val="20"/>
          <w:szCs w:val="20"/>
        </w:rPr>
        <w:t>chemotherapy in KN048</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9: Summary of OS results for pembrolizumab + chemotherapy vs cetuximab + chemotherapy in KN048"/>
      </w:tblPr>
      <w:tblGrid>
        <w:gridCol w:w="1033"/>
        <w:gridCol w:w="1089"/>
        <w:gridCol w:w="1482"/>
        <w:gridCol w:w="1211"/>
        <w:gridCol w:w="1276"/>
        <w:gridCol w:w="1095"/>
        <w:gridCol w:w="726"/>
        <w:gridCol w:w="1104"/>
      </w:tblGrid>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1033" w:type="dxa"/>
            <w:vMerge w:val="restart"/>
            <w:shd w:val="clear" w:color="auto" w:fill="auto"/>
            <w:vAlign w:val="center"/>
          </w:tcPr>
          <w:p w:rsidR="00B26AC1" w:rsidRPr="007278E9" w:rsidRDefault="00B26AC1" w:rsidP="00001421">
            <w:pPr>
              <w:pStyle w:val="InstructionalT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Subgroup</w:t>
            </w:r>
          </w:p>
        </w:tc>
        <w:tc>
          <w:tcPr>
            <w:tcW w:w="2571" w:type="dxa"/>
            <w:gridSpan w:val="2"/>
            <w:shd w:val="clear" w:color="auto" w:fill="auto"/>
            <w:vAlign w:val="center"/>
          </w:tcPr>
          <w:p w:rsidR="00B26AC1" w:rsidRPr="007278E9" w:rsidRDefault="00B26AC1" w:rsidP="00001421">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Pembrolizumab + chemotherapy</w:t>
            </w:r>
          </w:p>
        </w:tc>
        <w:tc>
          <w:tcPr>
            <w:tcW w:w="2487" w:type="dxa"/>
            <w:gridSpan w:val="2"/>
            <w:shd w:val="clear" w:color="auto" w:fill="auto"/>
            <w:vAlign w:val="center"/>
          </w:tcPr>
          <w:p w:rsidR="00B26AC1" w:rsidRPr="007278E9" w:rsidRDefault="00B26AC1" w:rsidP="00001421">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Cetuximab + chemotherapy</w:t>
            </w:r>
          </w:p>
        </w:tc>
        <w:tc>
          <w:tcPr>
            <w:tcW w:w="1095" w:type="dxa"/>
            <w:vMerge w:val="restart"/>
            <w:shd w:val="clear" w:color="auto" w:fill="auto"/>
            <w:vAlign w:val="center"/>
          </w:tcPr>
          <w:p w:rsidR="00B26AC1" w:rsidRPr="007278E9" w:rsidRDefault="00B26AC1" w:rsidP="00001421">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Hazard ratio</w:t>
            </w:r>
          </w:p>
        </w:tc>
        <w:tc>
          <w:tcPr>
            <w:tcW w:w="726" w:type="dxa"/>
            <w:vMerge w:val="restart"/>
            <w:shd w:val="clear" w:color="auto" w:fill="auto"/>
            <w:vAlign w:val="center"/>
          </w:tcPr>
          <w:p w:rsidR="00B26AC1" w:rsidRPr="007278E9" w:rsidRDefault="00B26AC1" w:rsidP="00001421">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P-value</w:t>
            </w:r>
          </w:p>
        </w:tc>
        <w:tc>
          <w:tcPr>
            <w:tcW w:w="1104" w:type="dxa"/>
            <w:vMerge w:val="restart"/>
            <w:shd w:val="clear" w:color="auto" w:fill="auto"/>
            <w:vAlign w:val="center"/>
          </w:tcPr>
          <w:p w:rsidR="00B26AC1" w:rsidRPr="007278E9" w:rsidRDefault="00B26AC1" w:rsidP="00001421">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Test for interaction p-value (I</w:t>
            </w:r>
            <w:r w:rsidRPr="006F307B">
              <w:rPr>
                <w:rFonts w:ascii="Arial Narrow" w:hAnsi="Arial Narrow"/>
                <w:color w:val="auto"/>
                <w:sz w:val="20"/>
                <w:szCs w:val="20"/>
                <w:vertAlign w:val="superscript"/>
              </w:rPr>
              <w:t>2</w:t>
            </w:r>
            <w:r w:rsidRPr="006F307B">
              <w:rPr>
                <w:rFonts w:ascii="Arial Narrow" w:hAnsi="Arial Narrow"/>
                <w:color w:val="auto"/>
                <w:sz w:val="20"/>
                <w:szCs w:val="20"/>
              </w:rPr>
              <w:t>)</w:t>
            </w:r>
          </w:p>
        </w:tc>
      </w:tr>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1033" w:type="dxa"/>
            <w:vMerge/>
            <w:shd w:val="clear" w:color="auto" w:fill="auto"/>
            <w:vAlign w:val="center"/>
          </w:tcPr>
          <w:p w:rsidR="00B26AC1" w:rsidRPr="007278E9" w:rsidRDefault="00B26AC1" w:rsidP="00001421">
            <w:pPr>
              <w:pStyle w:val="InstructionalText"/>
              <w:keepLines/>
              <w:spacing w:before="0"/>
              <w:jc w:val="left"/>
              <w:rPr>
                <w:rFonts w:ascii="Arial Narrow" w:hAnsi="Arial Narrow"/>
                <w:color w:val="auto"/>
                <w:sz w:val="20"/>
                <w:szCs w:val="20"/>
                <w:lang w:val="en-AU"/>
              </w:rPr>
            </w:pPr>
          </w:p>
        </w:tc>
        <w:tc>
          <w:tcPr>
            <w:tcW w:w="1089" w:type="dxa"/>
            <w:shd w:val="clear" w:color="auto" w:fill="auto"/>
            <w:vAlign w:val="center"/>
          </w:tcPr>
          <w:p w:rsidR="00B26AC1" w:rsidRPr="007278E9" w:rsidRDefault="00B26AC1" w:rsidP="00001421">
            <w:pPr>
              <w:pStyle w:val="InstructionalText"/>
              <w:keepLines/>
              <w:spacing w:before="0"/>
              <w:jc w:val="center"/>
              <w:rPr>
                <w:rFonts w:ascii="Arial Narrow" w:hAnsi="Arial Narrow"/>
                <w:b w:val="0"/>
                <w:color w:val="auto"/>
                <w:sz w:val="20"/>
                <w:szCs w:val="20"/>
                <w:lang w:val="en-AU"/>
              </w:rPr>
            </w:pPr>
            <w:r w:rsidRPr="006F307B">
              <w:rPr>
                <w:rFonts w:ascii="Arial Narrow" w:hAnsi="Arial Narrow"/>
                <w:b w:val="0"/>
                <w:color w:val="auto"/>
                <w:sz w:val="20"/>
                <w:szCs w:val="20"/>
              </w:rPr>
              <w:t xml:space="preserve">Deaths, </w:t>
            </w:r>
            <w:r w:rsidR="00555D45">
              <w:rPr>
                <w:rFonts w:ascii="Arial Narrow" w:hAnsi="Arial Narrow"/>
                <w:b w:val="0"/>
                <w:color w:val="auto"/>
                <w:sz w:val="20"/>
                <w:szCs w:val="20"/>
              </w:rPr>
              <w:br/>
            </w:r>
            <w:r w:rsidRPr="006F307B">
              <w:rPr>
                <w:rFonts w:ascii="Arial Narrow" w:hAnsi="Arial Narrow"/>
                <w:b w:val="0"/>
                <w:color w:val="auto"/>
                <w:sz w:val="20"/>
                <w:szCs w:val="20"/>
              </w:rPr>
              <w:t>n/N (%)</w:t>
            </w:r>
          </w:p>
        </w:tc>
        <w:tc>
          <w:tcPr>
            <w:tcW w:w="1482" w:type="dxa"/>
            <w:shd w:val="clear" w:color="auto" w:fill="auto"/>
            <w:vAlign w:val="center"/>
          </w:tcPr>
          <w:p w:rsidR="00B26AC1" w:rsidRPr="007278E9" w:rsidRDefault="00B26AC1" w:rsidP="00001421">
            <w:pPr>
              <w:pStyle w:val="InstructionalText"/>
              <w:keepLines/>
              <w:spacing w:before="0"/>
              <w:jc w:val="center"/>
              <w:rPr>
                <w:rFonts w:ascii="Arial Narrow" w:hAnsi="Arial Narrow"/>
                <w:b w:val="0"/>
                <w:color w:val="auto"/>
                <w:sz w:val="20"/>
                <w:szCs w:val="20"/>
                <w:lang w:val="en-AU"/>
              </w:rPr>
            </w:pPr>
            <w:r w:rsidRPr="006F307B">
              <w:rPr>
                <w:rFonts w:ascii="Arial Narrow" w:hAnsi="Arial Narrow"/>
                <w:b w:val="0"/>
                <w:color w:val="auto"/>
                <w:sz w:val="20"/>
                <w:szCs w:val="20"/>
              </w:rPr>
              <w:t xml:space="preserve">Median OS </w:t>
            </w:r>
            <w:r w:rsidR="00555D45">
              <w:rPr>
                <w:rFonts w:ascii="Arial Narrow" w:hAnsi="Arial Narrow"/>
                <w:b w:val="0"/>
                <w:color w:val="auto"/>
                <w:sz w:val="20"/>
                <w:szCs w:val="20"/>
              </w:rPr>
              <w:br/>
            </w:r>
            <w:r w:rsidRPr="006F307B">
              <w:rPr>
                <w:rFonts w:ascii="Arial Narrow" w:hAnsi="Arial Narrow"/>
                <w:b w:val="0"/>
                <w:color w:val="auto"/>
                <w:sz w:val="20"/>
                <w:szCs w:val="20"/>
              </w:rPr>
              <w:t>(95% CI)</w:t>
            </w:r>
          </w:p>
        </w:tc>
        <w:tc>
          <w:tcPr>
            <w:tcW w:w="1211" w:type="dxa"/>
            <w:shd w:val="clear" w:color="auto" w:fill="auto"/>
            <w:vAlign w:val="center"/>
          </w:tcPr>
          <w:p w:rsidR="00B26AC1" w:rsidRPr="007278E9" w:rsidRDefault="00B26AC1" w:rsidP="00001421">
            <w:pPr>
              <w:pStyle w:val="InstructionalText"/>
              <w:keepLines/>
              <w:spacing w:before="0"/>
              <w:jc w:val="center"/>
              <w:rPr>
                <w:rFonts w:ascii="Arial Narrow" w:hAnsi="Arial Narrow"/>
                <w:b w:val="0"/>
                <w:color w:val="auto"/>
                <w:sz w:val="20"/>
                <w:szCs w:val="20"/>
                <w:lang w:val="en-AU"/>
              </w:rPr>
            </w:pPr>
            <w:r w:rsidRPr="006F307B">
              <w:rPr>
                <w:rFonts w:ascii="Arial Narrow" w:hAnsi="Arial Narrow"/>
                <w:b w:val="0"/>
                <w:color w:val="auto"/>
                <w:sz w:val="20"/>
                <w:szCs w:val="20"/>
              </w:rPr>
              <w:t xml:space="preserve">Deaths, </w:t>
            </w:r>
            <w:r w:rsidR="00555D45">
              <w:rPr>
                <w:rFonts w:ascii="Arial Narrow" w:hAnsi="Arial Narrow"/>
                <w:b w:val="0"/>
                <w:color w:val="auto"/>
                <w:sz w:val="20"/>
                <w:szCs w:val="20"/>
              </w:rPr>
              <w:br/>
            </w:r>
            <w:r w:rsidRPr="006F307B">
              <w:rPr>
                <w:rFonts w:ascii="Arial Narrow" w:hAnsi="Arial Narrow"/>
                <w:b w:val="0"/>
                <w:color w:val="auto"/>
                <w:sz w:val="20"/>
                <w:szCs w:val="20"/>
              </w:rPr>
              <w:t>n/N (%)</w:t>
            </w:r>
          </w:p>
        </w:tc>
        <w:tc>
          <w:tcPr>
            <w:tcW w:w="1276" w:type="dxa"/>
            <w:shd w:val="clear" w:color="auto" w:fill="auto"/>
            <w:vAlign w:val="center"/>
          </w:tcPr>
          <w:p w:rsidR="00B26AC1" w:rsidRPr="007278E9" w:rsidRDefault="00B26AC1" w:rsidP="00001421">
            <w:pPr>
              <w:pStyle w:val="InstructionalText"/>
              <w:keepLines/>
              <w:spacing w:before="0"/>
              <w:jc w:val="center"/>
              <w:rPr>
                <w:rFonts w:ascii="Arial Narrow" w:hAnsi="Arial Narrow"/>
                <w:b w:val="0"/>
                <w:color w:val="auto"/>
                <w:sz w:val="20"/>
                <w:szCs w:val="20"/>
                <w:lang w:val="en-AU"/>
              </w:rPr>
            </w:pPr>
            <w:r w:rsidRPr="006F307B">
              <w:rPr>
                <w:rFonts w:ascii="Arial Narrow" w:hAnsi="Arial Narrow"/>
                <w:b w:val="0"/>
                <w:color w:val="auto"/>
                <w:sz w:val="20"/>
                <w:szCs w:val="20"/>
              </w:rPr>
              <w:t>Median OS (95% CI)</w:t>
            </w:r>
          </w:p>
        </w:tc>
        <w:tc>
          <w:tcPr>
            <w:tcW w:w="1095" w:type="dxa"/>
            <w:vMerge/>
            <w:shd w:val="clear" w:color="auto" w:fill="auto"/>
          </w:tcPr>
          <w:p w:rsidR="00B26AC1" w:rsidRPr="007278E9" w:rsidRDefault="00B26AC1" w:rsidP="00001421">
            <w:pPr>
              <w:pStyle w:val="InstructionalText"/>
              <w:keepLines/>
              <w:spacing w:before="0"/>
              <w:rPr>
                <w:rFonts w:ascii="Arial Narrow" w:hAnsi="Arial Narrow"/>
                <w:color w:val="auto"/>
                <w:sz w:val="20"/>
                <w:szCs w:val="20"/>
                <w:lang w:val="en-AU"/>
              </w:rPr>
            </w:pPr>
          </w:p>
        </w:tc>
        <w:tc>
          <w:tcPr>
            <w:tcW w:w="726" w:type="dxa"/>
            <w:vMerge/>
            <w:shd w:val="clear" w:color="auto" w:fill="auto"/>
          </w:tcPr>
          <w:p w:rsidR="00B26AC1" w:rsidRPr="007278E9" w:rsidRDefault="00B26AC1" w:rsidP="00001421">
            <w:pPr>
              <w:pStyle w:val="InstructionalText"/>
              <w:keepLines/>
              <w:spacing w:before="0"/>
              <w:rPr>
                <w:rFonts w:ascii="Arial Narrow" w:hAnsi="Arial Narrow"/>
                <w:color w:val="auto"/>
                <w:sz w:val="20"/>
                <w:szCs w:val="20"/>
                <w:lang w:val="en-AU"/>
              </w:rPr>
            </w:pPr>
          </w:p>
        </w:tc>
        <w:tc>
          <w:tcPr>
            <w:tcW w:w="1104" w:type="dxa"/>
            <w:vMerge/>
            <w:shd w:val="clear" w:color="auto" w:fill="auto"/>
          </w:tcPr>
          <w:p w:rsidR="00B26AC1" w:rsidRPr="007278E9" w:rsidRDefault="00B26AC1" w:rsidP="00001421">
            <w:pPr>
              <w:pStyle w:val="InstructionalText"/>
              <w:keepLines/>
              <w:spacing w:before="0"/>
              <w:rPr>
                <w:rFonts w:ascii="Arial Narrow" w:hAnsi="Arial Narrow"/>
                <w:color w:val="auto"/>
                <w:sz w:val="20"/>
                <w:szCs w:val="20"/>
                <w:lang w:val="en-AU"/>
              </w:rPr>
            </w:pPr>
          </w:p>
        </w:tc>
      </w:tr>
      <w:tr w:rsidR="00E62217" w:rsidRPr="006F307B" w:rsidTr="008E5D18">
        <w:tc>
          <w:tcPr>
            <w:tcW w:w="1033" w:type="dxa"/>
            <w:shd w:val="clear" w:color="auto" w:fill="auto"/>
            <w:vAlign w:val="center"/>
          </w:tcPr>
          <w:p w:rsidR="00E62217" w:rsidRPr="007278E9" w:rsidRDefault="00E62217" w:rsidP="00E62217">
            <w:pPr>
              <w:pStyle w:val="InstructionalT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All CPS</w:t>
            </w:r>
            <w:r w:rsidR="00CE7F4C" w:rsidRPr="006F307B">
              <w:rPr>
                <w:rFonts w:ascii="Arial Narrow" w:hAnsi="Arial Narrow"/>
                <w:color w:val="auto"/>
                <w:sz w:val="20"/>
                <w:szCs w:val="20"/>
              </w:rPr>
              <w:t xml:space="preserve"> (ITT)</w:t>
            </w:r>
          </w:p>
        </w:tc>
        <w:tc>
          <w:tcPr>
            <w:tcW w:w="1089"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213/281 (75.8)</w:t>
            </w:r>
          </w:p>
        </w:tc>
        <w:tc>
          <w:tcPr>
            <w:tcW w:w="1482"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13.0 (10.9, 14.7)</w:t>
            </w:r>
          </w:p>
        </w:tc>
        <w:tc>
          <w:tcPr>
            <w:tcW w:w="1211"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247/278 (88.8)</w:t>
            </w:r>
          </w:p>
        </w:tc>
        <w:tc>
          <w:tcPr>
            <w:tcW w:w="1276"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10.7 (9.3, 11.7)</w:t>
            </w:r>
          </w:p>
        </w:tc>
        <w:tc>
          <w:tcPr>
            <w:tcW w:w="1095"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 xml:space="preserve">0.72 </w:t>
            </w:r>
            <w:r w:rsidR="00555D45">
              <w:rPr>
                <w:rFonts w:ascii="Arial Narrow" w:hAnsi="Arial Narrow"/>
                <w:b/>
                <w:color w:val="auto"/>
                <w:sz w:val="20"/>
                <w:szCs w:val="20"/>
              </w:rPr>
              <w:br/>
            </w:r>
            <w:r w:rsidRPr="006F307B">
              <w:rPr>
                <w:rFonts w:ascii="Arial Narrow" w:hAnsi="Arial Narrow"/>
                <w:b/>
                <w:color w:val="auto"/>
                <w:sz w:val="20"/>
                <w:szCs w:val="20"/>
              </w:rPr>
              <w:t xml:space="preserve">(0.60, 0.87) </w:t>
            </w:r>
            <w:r w:rsidRPr="006F307B">
              <w:rPr>
                <w:rFonts w:ascii="Arial Narrow" w:hAnsi="Arial Narrow"/>
                <w:b/>
                <w:color w:val="auto"/>
                <w:sz w:val="20"/>
                <w:szCs w:val="20"/>
                <w:vertAlign w:val="superscript"/>
              </w:rPr>
              <w:t>a</w:t>
            </w:r>
          </w:p>
        </w:tc>
        <w:tc>
          <w:tcPr>
            <w:tcW w:w="726" w:type="dxa"/>
            <w:shd w:val="clear" w:color="auto" w:fill="auto"/>
            <w:vAlign w:val="center"/>
          </w:tcPr>
          <w:p w:rsidR="00E62217" w:rsidRPr="007278E9" w:rsidRDefault="00E62217" w:rsidP="00E62217">
            <w:pPr>
              <w:pStyle w:val="InstructionalText"/>
              <w:keepLines/>
              <w:spacing w:before="0"/>
              <w:jc w:val="left"/>
              <w:rPr>
                <w:rFonts w:ascii="Arial Narrow" w:hAnsi="Arial Narrow"/>
                <w:b/>
                <w:color w:val="auto"/>
                <w:sz w:val="20"/>
                <w:szCs w:val="20"/>
                <w:lang w:val="en-AU"/>
              </w:rPr>
            </w:pPr>
            <w:r w:rsidRPr="006F307B">
              <w:rPr>
                <w:rFonts w:ascii="Arial Narrow" w:hAnsi="Arial Narrow"/>
                <w:b/>
                <w:color w:val="auto"/>
                <w:sz w:val="20"/>
                <w:szCs w:val="20"/>
              </w:rPr>
              <w:t>0.00025</w:t>
            </w:r>
          </w:p>
        </w:tc>
        <w:tc>
          <w:tcPr>
            <w:tcW w:w="1104"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NA</w:t>
            </w:r>
          </w:p>
        </w:tc>
      </w:tr>
      <w:tr w:rsidR="00E62217" w:rsidRPr="006F307B" w:rsidTr="008E5D18">
        <w:tc>
          <w:tcPr>
            <w:tcW w:w="1033" w:type="dxa"/>
            <w:tcBorders>
              <w:top w:val="double" w:sz="4" w:space="0" w:color="auto"/>
            </w:tcBorders>
            <w:shd w:val="clear" w:color="auto" w:fill="auto"/>
            <w:vAlign w:val="center"/>
          </w:tcPr>
          <w:p w:rsidR="00E62217" w:rsidRPr="007278E9" w:rsidRDefault="00E62217" w:rsidP="00E62217">
            <w:pPr>
              <w:pStyle w:val="InstructionalT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&lt;1</w:t>
            </w:r>
          </w:p>
        </w:tc>
        <w:tc>
          <w:tcPr>
            <w:tcW w:w="1089"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36/39 (92.3)</w:t>
            </w:r>
          </w:p>
        </w:tc>
        <w:tc>
          <w:tcPr>
            <w:tcW w:w="1482"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11.3 (9.5, 14.0)</w:t>
            </w:r>
          </w:p>
        </w:tc>
        <w:tc>
          <w:tcPr>
            <w:tcW w:w="1211"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34/43 (79.1)</w:t>
            </w:r>
          </w:p>
        </w:tc>
        <w:tc>
          <w:tcPr>
            <w:tcW w:w="1276"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10.7 (8.5, 15.9)</w:t>
            </w:r>
          </w:p>
        </w:tc>
        <w:tc>
          <w:tcPr>
            <w:tcW w:w="1095"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 xml:space="preserve">1.18 </w:t>
            </w:r>
            <w:r w:rsidRPr="006F307B">
              <w:rPr>
                <w:rFonts w:ascii="Arial Narrow" w:hAnsi="Arial Narrow"/>
                <w:color w:val="auto"/>
                <w:sz w:val="20"/>
                <w:szCs w:val="20"/>
              </w:rPr>
              <w:br/>
              <w:t>(0.73, 1.90)</w:t>
            </w:r>
          </w:p>
        </w:tc>
        <w:tc>
          <w:tcPr>
            <w:tcW w:w="726"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0.498</w:t>
            </w:r>
          </w:p>
        </w:tc>
        <w:tc>
          <w:tcPr>
            <w:tcW w:w="1104" w:type="dxa"/>
            <w:vMerge w:val="restart"/>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0.025 (80.18%)</w:t>
            </w:r>
          </w:p>
        </w:tc>
      </w:tr>
      <w:tr w:rsidR="00E62217" w:rsidRPr="006F307B" w:rsidTr="008E5D18">
        <w:tc>
          <w:tcPr>
            <w:tcW w:w="1033" w:type="dxa"/>
            <w:shd w:val="clear" w:color="auto" w:fill="auto"/>
            <w:vAlign w:val="center"/>
          </w:tcPr>
          <w:p w:rsidR="00E62217" w:rsidRPr="007278E9" w:rsidRDefault="00E62217" w:rsidP="00E62217">
            <w:pPr>
              <w:pStyle w:val="InstructionalT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≥1</w:t>
            </w:r>
          </w:p>
        </w:tc>
        <w:tc>
          <w:tcPr>
            <w:tcW w:w="1089"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177/242 (73.1)</w:t>
            </w:r>
          </w:p>
        </w:tc>
        <w:tc>
          <w:tcPr>
            <w:tcW w:w="1482" w:type="dxa"/>
            <w:shd w:val="clear" w:color="auto" w:fill="auto"/>
            <w:vAlign w:val="center"/>
          </w:tcPr>
          <w:p w:rsidR="00E62217" w:rsidRPr="007278E9" w:rsidRDefault="00E62217" w:rsidP="00E62217">
            <w:pPr>
              <w:pStyle w:val="InstructionalText"/>
              <w:keepLines/>
              <w:spacing w:before="0"/>
              <w:ind w:left="-109" w:right="-136"/>
              <w:jc w:val="center"/>
              <w:rPr>
                <w:rFonts w:ascii="Arial Narrow" w:hAnsi="Arial Narrow"/>
                <w:color w:val="auto"/>
                <w:sz w:val="20"/>
                <w:szCs w:val="20"/>
                <w:lang w:val="en-AU"/>
              </w:rPr>
            </w:pPr>
            <w:r w:rsidRPr="006F307B">
              <w:rPr>
                <w:rFonts w:ascii="Arial Narrow" w:hAnsi="Arial Narrow"/>
                <w:color w:val="auto"/>
                <w:sz w:val="20"/>
                <w:szCs w:val="20"/>
              </w:rPr>
              <w:t>13.6 (10.7, 15.5)</w:t>
            </w:r>
          </w:p>
        </w:tc>
        <w:tc>
          <w:tcPr>
            <w:tcW w:w="1211"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213/235 (90.6)</w:t>
            </w:r>
          </w:p>
        </w:tc>
        <w:tc>
          <w:tcPr>
            <w:tcW w:w="1276"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10.4 (9.1, 11.7)</w:t>
            </w:r>
          </w:p>
        </w:tc>
        <w:tc>
          <w:tcPr>
            <w:tcW w:w="1095"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 xml:space="preserve">0.65 </w:t>
            </w:r>
            <w:r w:rsidRPr="006F307B">
              <w:rPr>
                <w:rFonts w:ascii="Arial Narrow" w:hAnsi="Arial Narrow"/>
                <w:b/>
                <w:color w:val="auto"/>
                <w:sz w:val="20"/>
                <w:szCs w:val="20"/>
              </w:rPr>
              <w:br/>
              <w:t>(0.53, 0.80)</w:t>
            </w:r>
          </w:p>
        </w:tc>
        <w:tc>
          <w:tcPr>
            <w:tcW w:w="726"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&lt;0.001</w:t>
            </w:r>
          </w:p>
        </w:tc>
        <w:tc>
          <w:tcPr>
            <w:tcW w:w="1104" w:type="dxa"/>
            <w:vMerge/>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p>
        </w:tc>
      </w:tr>
      <w:tr w:rsidR="00E62217" w:rsidRPr="006F307B" w:rsidTr="008E5D18">
        <w:tc>
          <w:tcPr>
            <w:tcW w:w="1033" w:type="dxa"/>
            <w:tcBorders>
              <w:top w:val="double" w:sz="4" w:space="0" w:color="auto"/>
            </w:tcBorders>
            <w:shd w:val="clear" w:color="auto" w:fill="auto"/>
            <w:vAlign w:val="center"/>
          </w:tcPr>
          <w:p w:rsidR="00E62217" w:rsidRPr="007278E9" w:rsidRDefault="00E62217" w:rsidP="00E62217">
            <w:pPr>
              <w:pStyle w:val="InstructionalT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&lt;20</w:t>
            </w:r>
          </w:p>
        </w:tc>
        <w:tc>
          <w:tcPr>
            <w:tcW w:w="1089"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128/154 (83.1)</w:t>
            </w:r>
          </w:p>
        </w:tc>
        <w:tc>
          <w:tcPr>
            <w:tcW w:w="1482" w:type="dxa"/>
            <w:tcBorders>
              <w:top w:val="double" w:sz="4" w:space="0" w:color="auto"/>
            </w:tcBorders>
            <w:shd w:val="clear" w:color="auto" w:fill="auto"/>
            <w:vAlign w:val="center"/>
          </w:tcPr>
          <w:p w:rsidR="00E62217" w:rsidRPr="007278E9" w:rsidRDefault="00E62217" w:rsidP="00E62217">
            <w:pPr>
              <w:pStyle w:val="InstructionalText"/>
              <w:keepLines/>
              <w:spacing w:before="0"/>
              <w:ind w:left="-109" w:right="-136"/>
              <w:jc w:val="center"/>
              <w:rPr>
                <w:rFonts w:ascii="Arial Narrow" w:hAnsi="Arial Narrow"/>
                <w:color w:val="auto"/>
                <w:sz w:val="20"/>
                <w:szCs w:val="20"/>
                <w:lang w:val="en-AU"/>
              </w:rPr>
            </w:pPr>
            <w:r w:rsidRPr="006F307B">
              <w:rPr>
                <w:rFonts w:ascii="Arial Narrow" w:hAnsi="Arial Narrow"/>
                <w:color w:val="auto"/>
                <w:sz w:val="20"/>
                <w:szCs w:val="20"/>
              </w:rPr>
              <w:t>11.8 (10.4, 14.0)</w:t>
            </w:r>
          </w:p>
        </w:tc>
        <w:tc>
          <w:tcPr>
            <w:tcW w:w="1211"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146/165 (88.5)</w:t>
            </w:r>
          </w:p>
        </w:tc>
        <w:tc>
          <w:tcPr>
            <w:tcW w:w="1276"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10.2 (8.9, 12.1)</w:t>
            </w:r>
          </w:p>
        </w:tc>
        <w:tc>
          <w:tcPr>
            <w:tcW w:w="1095"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 xml:space="preserve">0.83 </w:t>
            </w:r>
            <w:r w:rsidRPr="006F307B">
              <w:rPr>
                <w:rFonts w:ascii="Arial Narrow" w:hAnsi="Arial Narrow"/>
                <w:color w:val="auto"/>
                <w:sz w:val="20"/>
                <w:szCs w:val="20"/>
              </w:rPr>
              <w:br/>
              <w:t>(0.65, 1.05)</w:t>
            </w:r>
          </w:p>
        </w:tc>
        <w:tc>
          <w:tcPr>
            <w:tcW w:w="726"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0.123</w:t>
            </w:r>
          </w:p>
        </w:tc>
        <w:tc>
          <w:tcPr>
            <w:tcW w:w="1104" w:type="dxa"/>
            <w:vMerge w:val="restart"/>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0.109 (61.18%)</w:t>
            </w:r>
          </w:p>
        </w:tc>
      </w:tr>
      <w:tr w:rsidR="00E62217" w:rsidRPr="006F307B" w:rsidTr="008E5D18">
        <w:tc>
          <w:tcPr>
            <w:tcW w:w="1033" w:type="dxa"/>
            <w:shd w:val="clear" w:color="auto" w:fill="auto"/>
            <w:vAlign w:val="center"/>
          </w:tcPr>
          <w:p w:rsidR="00E62217" w:rsidRPr="007278E9" w:rsidRDefault="00E62217" w:rsidP="00E62217">
            <w:pPr>
              <w:pStyle w:val="InstructionalT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≥20</w:t>
            </w:r>
          </w:p>
        </w:tc>
        <w:tc>
          <w:tcPr>
            <w:tcW w:w="1089"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84/126 (66.7)</w:t>
            </w:r>
          </w:p>
        </w:tc>
        <w:tc>
          <w:tcPr>
            <w:tcW w:w="1482" w:type="dxa"/>
            <w:shd w:val="clear" w:color="auto" w:fill="auto"/>
            <w:vAlign w:val="center"/>
          </w:tcPr>
          <w:p w:rsidR="00E62217" w:rsidRPr="007278E9" w:rsidRDefault="00E62217" w:rsidP="00E62217">
            <w:pPr>
              <w:pStyle w:val="InstructionalText"/>
              <w:keepLines/>
              <w:spacing w:before="0"/>
              <w:ind w:left="-109" w:right="-136"/>
              <w:jc w:val="center"/>
              <w:rPr>
                <w:rFonts w:ascii="Arial Narrow" w:hAnsi="Arial Narrow"/>
                <w:color w:val="auto"/>
                <w:sz w:val="20"/>
                <w:szCs w:val="20"/>
                <w:lang w:val="en-AU"/>
              </w:rPr>
            </w:pPr>
            <w:r w:rsidRPr="006F307B">
              <w:rPr>
                <w:rFonts w:ascii="Arial Narrow" w:hAnsi="Arial Narrow"/>
                <w:color w:val="auto"/>
                <w:sz w:val="20"/>
                <w:szCs w:val="20"/>
              </w:rPr>
              <w:t>14.7 (10.3, 19.3)</w:t>
            </w:r>
          </w:p>
        </w:tc>
        <w:tc>
          <w:tcPr>
            <w:tcW w:w="1211"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98/110 (89.1)</w:t>
            </w:r>
          </w:p>
        </w:tc>
        <w:tc>
          <w:tcPr>
            <w:tcW w:w="1276"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11.0 (9.2, 13.0)</w:t>
            </w:r>
          </w:p>
        </w:tc>
        <w:tc>
          <w:tcPr>
            <w:tcW w:w="1095"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 xml:space="preserve">0.60 </w:t>
            </w:r>
            <w:r w:rsidRPr="006F307B">
              <w:rPr>
                <w:rFonts w:ascii="Arial Narrow" w:hAnsi="Arial Narrow"/>
                <w:b/>
                <w:color w:val="auto"/>
                <w:sz w:val="20"/>
                <w:szCs w:val="20"/>
              </w:rPr>
              <w:br/>
              <w:t>(0.45, 0.82)</w:t>
            </w:r>
          </w:p>
        </w:tc>
        <w:tc>
          <w:tcPr>
            <w:tcW w:w="726"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&lt;0.001</w:t>
            </w:r>
          </w:p>
        </w:tc>
        <w:tc>
          <w:tcPr>
            <w:tcW w:w="1104" w:type="dxa"/>
            <w:vMerge/>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p>
        </w:tc>
      </w:tr>
      <w:tr w:rsidR="00E62217" w:rsidRPr="006F307B" w:rsidTr="008E5D18">
        <w:tc>
          <w:tcPr>
            <w:tcW w:w="1033" w:type="dxa"/>
            <w:tcBorders>
              <w:top w:val="double" w:sz="4" w:space="0" w:color="auto"/>
            </w:tcBorders>
            <w:shd w:val="clear" w:color="auto" w:fill="auto"/>
            <w:vAlign w:val="center"/>
          </w:tcPr>
          <w:p w:rsidR="00E62217" w:rsidRPr="007278E9" w:rsidRDefault="00E62217" w:rsidP="00E62217">
            <w:pPr>
              <w:pStyle w:val="InstructionalT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&lt;1</w:t>
            </w:r>
          </w:p>
        </w:tc>
        <w:tc>
          <w:tcPr>
            <w:tcW w:w="1089"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36/39 (92.3)</w:t>
            </w:r>
          </w:p>
        </w:tc>
        <w:tc>
          <w:tcPr>
            <w:tcW w:w="1482"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11.3 (9.5, 14.0)</w:t>
            </w:r>
          </w:p>
        </w:tc>
        <w:tc>
          <w:tcPr>
            <w:tcW w:w="1211"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34/43 (79.1)</w:t>
            </w:r>
          </w:p>
        </w:tc>
        <w:tc>
          <w:tcPr>
            <w:tcW w:w="1276"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10.7 (8.5, 15.9)</w:t>
            </w:r>
          </w:p>
        </w:tc>
        <w:tc>
          <w:tcPr>
            <w:tcW w:w="1095"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 xml:space="preserve">1.18 </w:t>
            </w:r>
            <w:r w:rsidRPr="006F307B">
              <w:rPr>
                <w:rFonts w:ascii="Arial Narrow" w:hAnsi="Arial Narrow"/>
                <w:color w:val="auto"/>
                <w:sz w:val="20"/>
                <w:szCs w:val="20"/>
              </w:rPr>
              <w:br/>
              <w:t>(0.73, 1.90)</w:t>
            </w:r>
          </w:p>
        </w:tc>
        <w:tc>
          <w:tcPr>
            <w:tcW w:w="726" w:type="dxa"/>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0.498</w:t>
            </w:r>
          </w:p>
        </w:tc>
        <w:tc>
          <w:tcPr>
            <w:tcW w:w="1104" w:type="dxa"/>
            <w:vMerge w:val="restart"/>
            <w:tcBorders>
              <w:top w:val="double" w:sz="4" w:space="0" w:color="auto"/>
            </w:tcBorders>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0.067 (63.08%)</w:t>
            </w:r>
          </w:p>
        </w:tc>
      </w:tr>
      <w:tr w:rsidR="00E62217" w:rsidRPr="006F307B" w:rsidTr="008E5D18">
        <w:tc>
          <w:tcPr>
            <w:tcW w:w="1033" w:type="dxa"/>
            <w:shd w:val="clear" w:color="auto" w:fill="auto"/>
            <w:vAlign w:val="center"/>
          </w:tcPr>
          <w:p w:rsidR="00E62217" w:rsidRPr="007278E9" w:rsidRDefault="00E62217" w:rsidP="00E62217">
            <w:pPr>
              <w:pStyle w:val="InstructionalT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1≤ CPS &lt;20</w:t>
            </w:r>
          </w:p>
        </w:tc>
        <w:tc>
          <w:tcPr>
            <w:tcW w:w="1089"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93/116 (80.2)</w:t>
            </w:r>
          </w:p>
        </w:tc>
        <w:tc>
          <w:tcPr>
            <w:tcW w:w="1482"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12.7 (9.4, 15.3)</w:t>
            </w:r>
          </w:p>
        </w:tc>
        <w:tc>
          <w:tcPr>
            <w:tcW w:w="1211"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115/125 (92.0)</w:t>
            </w:r>
          </w:p>
        </w:tc>
        <w:tc>
          <w:tcPr>
            <w:tcW w:w="1276"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9.9 (8.6, 11.5)</w:t>
            </w:r>
          </w:p>
        </w:tc>
        <w:tc>
          <w:tcPr>
            <w:tcW w:w="1095"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0.71</w:t>
            </w:r>
            <w:r w:rsidRPr="006F307B">
              <w:rPr>
                <w:rFonts w:ascii="Arial Narrow" w:hAnsi="Arial Narrow"/>
                <w:b/>
                <w:color w:val="auto"/>
                <w:sz w:val="20"/>
                <w:szCs w:val="20"/>
              </w:rPr>
              <w:br/>
              <w:t>(0.54, 0.94)</w:t>
            </w:r>
          </w:p>
        </w:tc>
        <w:tc>
          <w:tcPr>
            <w:tcW w:w="726"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0.017</w:t>
            </w:r>
          </w:p>
        </w:tc>
        <w:tc>
          <w:tcPr>
            <w:tcW w:w="1104" w:type="dxa"/>
            <w:vMerge/>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p>
        </w:tc>
      </w:tr>
      <w:tr w:rsidR="00E62217" w:rsidRPr="006F307B" w:rsidTr="008E5D18">
        <w:tc>
          <w:tcPr>
            <w:tcW w:w="1033" w:type="dxa"/>
            <w:shd w:val="clear" w:color="auto" w:fill="auto"/>
            <w:vAlign w:val="center"/>
          </w:tcPr>
          <w:p w:rsidR="00E62217" w:rsidRPr="007278E9" w:rsidRDefault="00E62217" w:rsidP="00E62217">
            <w:pPr>
              <w:pStyle w:val="InstructionalText"/>
              <w:keepLines/>
              <w:spacing w:before="0"/>
              <w:jc w:val="left"/>
              <w:rPr>
                <w:rFonts w:ascii="Arial Narrow" w:hAnsi="Arial Narrow"/>
                <w:color w:val="auto"/>
                <w:sz w:val="20"/>
                <w:szCs w:val="20"/>
                <w:lang w:val="en-AU"/>
              </w:rPr>
            </w:pPr>
            <w:r w:rsidRPr="006F307B">
              <w:rPr>
                <w:rFonts w:ascii="Arial Narrow" w:hAnsi="Arial Narrow"/>
                <w:color w:val="auto"/>
                <w:sz w:val="20"/>
                <w:szCs w:val="20"/>
              </w:rPr>
              <w:t>CPS ≥20</w:t>
            </w:r>
          </w:p>
        </w:tc>
        <w:tc>
          <w:tcPr>
            <w:tcW w:w="1089"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84/126 (66.7)</w:t>
            </w:r>
          </w:p>
        </w:tc>
        <w:tc>
          <w:tcPr>
            <w:tcW w:w="1482" w:type="dxa"/>
            <w:shd w:val="clear" w:color="auto" w:fill="auto"/>
            <w:vAlign w:val="center"/>
          </w:tcPr>
          <w:p w:rsidR="00E62217" w:rsidRPr="007278E9" w:rsidRDefault="00E62217" w:rsidP="00E62217">
            <w:pPr>
              <w:pStyle w:val="InstructionalText"/>
              <w:keepLines/>
              <w:spacing w:before="0"/>
              <w:ind w:left="-109" w:right="-136"/>
              <w:jc w:val="center"/>
              <w:rPr>
                <w:rFonts w:ascii="Arial Narrow" w:hAnsi="Arial Narrow"/>
                <w:color w:val="auto"/>
                <w:sz w:val="20"/>
                <w:szCs w:val="20"/>
                <w:lang w:val="en-AU"/>
              </w:rPr>
            </w:pPr>
            <w:r w:rsidRPr="006F307B">
              <w:rPr>
                <w:rFonts w:ascii="Arial Narrow" w:hAnsi="Arial Narrow"/>
                <w:color w:val="auto"/>
                <w:sz w:val="20"/>
                <w:szCs w:val="20"/>
              </w:rPr>
              <w:t>14.7 (10.3, 19.3)</w:t>
            </w:r>
          </w:p>
        </w:tc>
        <w:tc>
          <w:tcPr>
            <w:tcW w:w="1211"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98/110 (89.1)</w:t>
            </w:r>
          </w:p>
        </w:tc>
        <w:tc>
          <w:tcPr>
            <w:tcW w:w="1276" w:type="dxa"/>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r w:rsidRPr="006F307B">
              <w:rPr>
                <w:rFonts w:ascii="Arial Narrow" w:hAnsi="Arial Narrow"/>
                <w:color w:val="auto"/>
                <w:sz w:val="20"/>
                <w:szCs w:val="20"/>
              </w:rPr>
              <w:t>11.0 (9.2, 13.0)</w:t>
            </w:r>
          </w:p>
        </w:tc>
        <w:tc>
          <w:tcPr>
            <w:tcW w:w="1095"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 xml:space="preserve">0.60 </w:t>
            </w:r>
            <w:r w:rsidRPr="006F307B">
              <w:rPr>
                <w:rFonts w:ascii="Arial Narrow" w:hAnsi="Arial Narrow"/>
                <w:b/>
                <w:color w:val="auto"/>
                <w:sz w:val="20"/>
                <w:szCs w:val="20"/>
              </w:rPr>
              <w:br/>
              <w:t>(0.45, 0.82)</w:t>
            </w:r>
          </w:p>
        </w:tc>
        <w:tc>
          <w:tcPr>
            <w:tcW w:w="726" w:type="dxa"/>
            <w:shd w:val="clear" w:color="auto" w:fill="auto"/>
            <w:vAlign w:val="center"/>
          </w:tcPr>
          <w:p w:rsidR="00E62217" w:rsidRPr="007278E9" w:rsidRDefault="00E62217" w:rsidP="00E62217">
            <w:pPr>
              <w:pStyle w:val="InstructionalText"/>
              <w:keepLines/>
              <w:spacing w:before="0"/>
              <w:jc w:val="center"/>
              <w:rPr>
                <w:rFonts w:ascii="Arial Narrow" w:hAnsi="Arial Narrow"/>
                <w:b/>
                <w:color w:val="auto"/>
                <w:sz w:val="20"/>
                <w:szCs w:val="20"/>
                <w:lang w:val="en-AU"/>
              </w:rPr>
            </w:pPr>
            <w:r w:rsidRPr="006F307B">
              <w:rPr>
                <w:rFonts w:ascii="Arial Narrow" w:hAnsi="Arial Narrow"/>
                <w:b/>
                <w:color w:val="auto"/>
                <w:sz w:val="20"/>
                <w:szCs w:val="20"/>
              </w:rPr>
              <w:t>&lt;0.001</w:t>
            </w:r>
          </w:p>
        </w:tc>
        <w:tc>
          <w:tcPr>
            <w:tcW w:w="1104" w:type="dxa"/>
            <w:vMerge/>
            <w:shd w:val="clear" w:color="auto" w:fill="auto"/>
            <w:vAlign w:val="center"/>
          </w:tcPr>
          <w:p w:rsidR="00E62217" w:rsidRPr="007278E9" w:rsidRDefault="00E62217" w:rsidP="00E62217">
            <w:pPr>
              <w:pStyle w:val="InstructionalText"/>
              <w:keepLines/>
              <w:spacing w:before="0"/>
              <w:jc w:val="center"/>
              <w:rPr>
                <w:rFonts w:ascii="Arial Narrow" w:hAnsi="Arial Narrow"/>
                <w:color w:val="auto"/>
                <w:sz w:val="20"/>
                <w:szCs w:val="20"/>
                <w:lang w:val="en-AU"/>
              </w:rPr>
            </w:pPr>
          </w:p>
        </w:tc>
      </w:tr>
    </w:tbl>
    <w:p w:rsidR="00B26AC1" w:rsidRPr="006F307B" w:rsidRDefault="00ED436C" w:rsidP="00001421">
      <w:pPr>
        <w:keepLines/>
        <w:spacing w:before="0" w:after="0"/>
        <w:rPr>
          <w:rFonts w:ascii="Arial Narrow" w:hAnsi="Arial Narrow"/>
          <w:sz w:val="18"/>
          <w:szCs w:val="18"/>
        </w:rPr>
      </w:pPr>
      <w:r w:rsidRPr="00ED436C">
        <w:rPr>
          <w:rFonts w:ascii="Arial Narrow" w:hAnsi="Arial Narrow"/>
          <w:sz w:val="18"/>
          <w:szCs w:val="18"/>
        </w:rPr>
        <w:t xml:space="preserve">Abbreviations: </w:t>
      </w:r>
      <w:r w:rsidR="00B26AC1" w:rsidRPr="006F307B">
        <w:rPr>
          <w:rFonts w:ascii="Arial Narrow" w:hAnsi="Arial Narrow"/>
          <w:sz w:val="18"/>
          <w:szCs w:val="18"/>
        </w:rPr>
        <w:t xml:space="preserve">Pembro mono = pembrolizumab monotherapy, </w:t>
      </w:r>
      <w:r w:rsidR="00593978">
        <w:rPr>
          <w:rFonts w:ascii="Arial Narrow" w:hAnsi="Arial Narrow"/>
          <w:sz w:val="18"/>
          <w:szCs w:val="18"/>
        </w:rPr>
        <w:t>PFS = progression-</w:t>
      </w:r>
      <w:r w:rsidR="00B26AC1" w:rsidRPr="006F307B">
        <w:rPr>
          <w:rFonts w:ascii="Arial Narrow" w:hAnsi="Arial Narrow"/>
          <w:sz w:val="18"/>
          <w:szCs w:val="18"/>
        </w:rPr>
        <w:t>free survival, HR = hazard ratio</w:t>
      </w:r>
      <w:r w:rsidR="00D478B6">
        <w:rPr>
          <w:rFonts w:ascii="Arial Narrow" w:hAnsi="Arial Narrow"/>
          <w:sz w:val="18"/>
          <w:szCs w:val="18"/>
        </w:rPr>
        <w:t>, CPS = combined positive score</w:t>
      </w:r>
    </w:p>
    <w:p w:rsidR="00E62217" w:rsidRPr="006F307B" w:rsidRDefault="00E62217" w:rsidP="00E62217">
      <w:pPr>
        <w:keepLines/>
        <w:spacing w:before="0" w:after="0"/>
        <w:rPr>
          <w:rFonts w:ascii="Arial Narrow" w:hAnsi="Arial Narrow"/>
          <w:sz w:val="18"/>
          <w:szCs w:val="18"/>
        </w:rPr>
      </w:pPr>
      <w:r w:rsidRPr="006F307B">
        <w:rPr>
          <w:rFonts w:ascii="Arial Narrow" w:hAnsi="Arial Narrow"/>
          <w:sz w:val="18"/>
          <w:szCs w:val="18"/>
          <w:vertAlign w:val="superscript"/>
        </w:rPr>
        <w:t>a</w:t>
      </w:r>
      <w:r w:rsidRPr="006F307B">
        <w:rPr>
          <w:rFonts w:ascii="Arial Narrow" w:hAnsi="Arial Narrow"/>
          <w:sz w:val="18"/>
          <w:szCs w:val="18"/>
        </w:rPr>
        <w:t xml:space="preserve"> Based on Cox regression model with Efron’s method of tie handling with treatment as a covariate stratified by ECOG, HPV status and PD-L1 status. In case the event count in any stratum is &lt;5, stratification factors will be eliminated in the order of ECOG-&gt;HPV status-&gt;PD-L1 status until event count in every stratum is ≥5</w:t>
      </w:r>
    </w:p>
    <w:p w:rsidR="00B26AC1" w:rsidRPr="006F307B" w:rsidRDefault="00491690" w:rsidP="00001421">
      <w:pPr>
        <w:keepLines/>
        <w:spacing w:before="0" w:after="0"/>
        <w:rPr>
          <w:rFonts w:ascii="Arial Narrow" w:hAnsi="Arial Narrow"/>
          <w:sz w:val="18"/>
          <w:szCs w:val="18"/>
        </w:rPr>
      </w:pPr>
      <w:r w:rsidRPr="006F307B">
        <w:rPr>
          <w:rFonts w:ascii="Arial Narrow" w:hAnsi="Arial Narrow"/>
          <w:sz w:val="18"/>
          <w:szCs w:val="18"/>
        </w:rPr>
        <w:t>T</w:t>
      </w:r>
      <w:r w:rsidR="00B26AC1" w:rsidRPr="006F307B">
        <w:rPr>
          <w:rFonts w:ascii="Arial Narrow" w:hAnsi="Arial Narrow"/>
          <w:sz w:val="18"/>
          <w:szCs w:val="18"/>
        </w:rPr>
        <w:t>ext in bold indicate statis</w:t>
      </w:r>
      <w:r w:rsidR="00D478B6">
        <w:rPr>
          <w:rFonts w:ascii="Arial Narrow" w:hAnsi="Arial Narrow"/>
          <w:sz w:val="18"/>
          <w:szCs w:val="18"/>
        </w:rPr>
        <w:t>tically significant differences</w:t>
      </w:r>
    </w:p>
    <w:p w:rsidR="00CE7F4C" w:rsidRPr="006F307B" w:rsidRDefault="00B26AC1" w:rsidP="00001421">
      <w:pPr>
        <w:keepLines/>
        <w:spacing w:before="0"/>
        <w:ind w:left="720" w:hanging="720"/>
      </w:pPr>
      <w:r w:rsidRPr="006F307B">
        <w:rPr>
          <w:rFonts w:ascii="Arial Narrow" w:hAnsi="Arial Narrow"/>
          <w:sz w:val="18"/>
          <w:szCs w:val="18"/>
        </w:rPr>
        <w:t>Source: Table 2.6-6, p101 of the submission</w:t>
      </w:r>
    </w:p>
    <w:p w:rsidR="00B26AC1" w:rsidRPr="00D478B6" w:rsidRDefault="00CE7F4C" w:rsidP="008E5D18">
      <w:pPr>
        <w:pStyle w:val="ListParagraph"/>
        <w:rPr>
          <w:rFonts w:cstheme="minorHAnsi"/>
          <w:szCs w:val="24"/>
        </w:rPr>
      </w:pPr>
      <w:r w:rsidRPr="006F307B">
        <w:t>The PBAC noted that, unlike for pembrolizumab monotherapy, for pembrolizumab + chemotherapy the hazard ratio of 0.72 (95% CI: 0.60, 0.87) for the ITT population was statistically significant. The PBAC considered it was unclear whether it was reasonable to assume no benefit in patients with CPS &lt;1, given the lack of statistical power in this subgroup.</w:t>
      </w:r>
    </w:p>
    <w:p w:rsidR="00B26AC1" w:rsidRPr="006F307B" w:rsidRDefault="00B26AC1" w:rsidP="00B26AC1">
      <w:pPr>
        <w:pStyle w:val="InstructionalText"/>
        <w:keepNext/>
        <w:keepLines/>
        <w:spacing w:before="0" w:after="0"/>
        <w:rPr>
          <w:rFonts w:ascii="Arial Narrow" w:hAnsi="Arial Narrow"/>
          <w:b/>
          <w:color w:val="auto"/>
          <w:sz w:val="20"/>
          <w:szCs w:val="20"/>
        </w:rPr>
      </w:pPr>
      <w:r w:rsidRPr="006F307B">
        <w:rPr>
          <w:rFonts w:ascii="Arial Narrow" w:hAnsi="Arial Narrow"/>
          <w:b/>
          <w:color w:val="auto"/>
          <w:sz w:val="20"/>
          <w:szCs w:val="20"/>
        </w:rPr>
        <w:lastRenderedPageBreak/>
        <w:t>Figure 3</w:t>
      </w:r>
      <w:r w:rsidR="00CE7F4C" w:rsidRPr="006F307B">
        <w:rPr>
          <w:rFonts w:ascii="Arial Narrow" w:hAnsi="Arial Narrow"/>
          <w:b/>
          <w:color w:val="auto"/>
          <w:sz w:val="20"/>
          <w:szCs w:val="20"/>
        </w:rPr>
        <w:t xml:space="preserve">: </w:t>
      </w:r>
      <w:r w:rsidRPr="006F307B">
        <w:rPr>
          <w:rFonts w:ascii="Arial Narrow" w:hAnsi="Arial Narrow"/>
          <w:b/>
          <w:color w:val="auto"/>
          <w:sz w:val="20"/>
          <w:szCs w:val="20"/>
        </w:rPr>
        <w:t xml:space="preserve">OS Kaplan-Meier curve in KN048 ITT, pembrolizumab </w:t>
      </w:r>
      <w:r w:rsidR="00F4531C" w:rsidRPr="006F307B">
        <w:rPr>
          <w:rFonts w:ascii="Arial Narrow" w:hAnsi="Arial Narrow"/>
          <w:b/>
          <w:color w:val="auto"/>
          <w:sz w:val="20"/>
          <w:szCs w:val="20"/>
        </w:rPr>
        <w:t xml:space="preserve">+ </w:t>
      </w:r>
      <w:r w:rsidRPr="006F307B">
        <w:rPr>
          <w:rFonts w:ascii="Arial Narrow" w:hAnsi="Arial Narrow"/>
          <w:b/>
          <w:color w:val="auto"/>
          <w:sz w:val="20"/>
          <w:szCs w:val="20"/>
        </w:rPr>
        <w:t xml:space="preserve">chemotherapy vs cetuximab </w:t>
      </w:r>
      <w:r w:rsidR="00F4531C" w:rsidRPr="006F307B">
        <w:rPr>
          <w:rFonts w:ascii="Arial Narrow" w:hAnsi="Arial Narrow"/>
          <w:b/>
          <w:color w:val="auto"/>
          <w:sz w:val="20"/>
          <w:szCs w:val="20"/>
        </w:rPr>
        <w:t xml:space="preserve">+ </w:t>
      </w:r>
      <w:r w:rsidRPr="006F307B">
        <w:rPr>
          <w:rFonts w:ascii="Arial Narrow" w:hAnsi="Arial Narrow"/>
          <w:b/>
          <w:color w:val="auto"/>
          <w:sz w:val="20"/>
          <w:szCs w:val="20"/>
        </w:rPr>
        <w:t>chemotherapy</w:t>
      </w:r>
    </w:p>
    <w:p w:rsidR="00B26AC1" w:rsidRPr="006F307B" w:rsidRDefault="00B26AC1" w:rsidP="00B26AC1">
      <w:pPr>
        <w:keepNext/>
        <w:keepLines/>
        <w:ind w:left="720" w:hanging="720"/>
      </w:pPr>
      <w:r w:rsidRPr="00AF3270">
        <w:rPr>
          <w:noProof/>
          <w:lang w:eastAsia="en-AU"/>
        </w:rPr>
        <w:drawing>
          <wp:inline distT="0" distB="0" distL="0" distR="0" wp14:anchorId="656FB527" wp14:editId="098579C1">
            <wp:extent cx="5114262" cy="3588328"/>
            <wp:effectExtent l="0" t="0" r="0" b="0"/>
            <wp:docPr id="67994771" name="Picture 67994771" title="Figure 3: OS Kaplan-Meier curve in KN048 ITT, pembrolizumab + chemotherapy vs cetuximab +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6406" cy="3589832"/>
                    </a:xfrm>
                    <a:prstGeom prst="rect">
                      <a:avLst/>
                    </a:prstGeom>
                    <a:noFill/>
                    <a:ln>
                      <a:noFill/>
                    </a:ln>
                  </pic:spPr>
                </pic:pic>
              </a:graphicData>
            </a:graphic>
          </wp:inline>
        </w:drawing>
      </w:r>
    </w:p>
    <w:p w:rsidR="005A19AA" w:rsidRDefault="00B26AC1" w:rsidP="0031644D">
      <w:pPr>
        <w:pStyle w:val="InstructionalText"/>
        <w:keepNext/>
        <w:keepLines/>
        <w:spacing w:before="0" w:after="0"/>
        <w:rPr>
          <w:rFonts w:ascii="Arial Narrow" w:hAnsi="Arial Narrow"/>
          <w:color w:val="auto"/>
          <w:sz w:val="18"/>
          <w:szCs w:val="18"/>
        </w:rPr>
      </w:pPr>
      <w:r w:rsidRPr="006F307B">
        <w:rPr>
          <w:rFonts w:ascii="Arial Narrow" w:hAnsi="Arial Narrow"/>
          <w:color w:val="auto"/>
          <w:sz w:val="18"/>
          <w:szCs w:val="18"/>
        </w:rPr>
        <w:t>Source: Figure 11-1, p176 KN048 CSR</w:t>
      </w:r>
    </w:p>
    <w:p w:rsidR="0031644D" w:rsidRPr="0031644D" w:rsidRDefault="0031644D" w:rsidP="0031644D">
      <w:pPr>
        <w:pStyle w:val="InstructionalText"/>
        <w:keepNext/>
        <w:keepLines/>
        <w:spacing w:before="0" w:after="0"/>
        <w:rPr>
          <w:rFonts w:ascii="Arial Narrow" w:hAnsi="Arial Narrow"/>
          <w:color w:val="auto"/>
          <w:sz w:val="18"/>
          <w:szCs w:val="18"/>
        </w:rPr>
      </w:pPr>
    </w:p>
    <w:p w:rsidR="00B26AC1" w:rsidRPr="006F307B" w:rsidRDefault="00B26AC1" w:rsidP="00B26AC1">
      <w:pPr>
        <w:pStyle w:val="InstructionalText"/>
        <w:keepNext/>
        <w:keepLines/>
        <w:spacing w:before="0" w:after="0"/>
        <w:rPr>
          <w:rFonts w:ascii="Arial Narrow" w:hAnsi="Arial Narrow"/>
          <w:b/>
          <w:color w:val="auto"/>
          <w:sz w:val="20"/>
          <w:szCs w:val="20"/>
        </w:rPr>
      </w:pPr>
      <w:r w:rsidRPr="00B74405">
        <w:rPr>
          <w:rFonts w:ascii="Arial Narrow" w:hAnsi="Arial Narrow"/>
          <w:b/>
          <w:color w:val="auto"/>
          <w:sz w:val="20"/>
          <w:szCs w:val="20"/>
        </w:rPr>
        <w:t>Figure 4</w:t>
      </w:r>
      <w:r w:rsidR="00CE7F4C" w:rsidRPr="00B74405">
        <w:rPr>
          <w:rFonts w:ascii="Arial Narrow" w:hAnsi="Arial Narrow"/>
          <w:b/>
          <w:color w:val="auto"/>
          <w:sz w:val="20"/>
          <w:szCs w:val="20"/>
        </w:rPr>
        <w:t xml:space="preserve">: </w:t>
      </w:r>
      <w:r w:rsidRPr="00B74405">
        <w:rPr>
          <w:rFonts w:ascii="Arial Narrow" w:hAnsi="Arial Narrow"/>
          <w:b/>
          <w:color w:val="auto"/>
          <w:sz w:val="20"/>
          <w:szCs w:val="20"/>
        </w:rPr>
        <w:t xml:space="preserve">OS Kaplan-Meier curve in KN048 CPS </w:t>
      </w:r>
      <w:r w:rsidRPr="006F307B">
        <w:rPr>
          <w:rFonts w:ascii="Arial Narrow" w:hAnsi="Arial Narrow" w:cstheme="minorHAnsi"/>
          <w:b/>
          <w:color w:val="auto"/>
          <w:sz w:val="20"/>
          <w:szCs w:val="20"/>
        </w:rPr>
        <w:t>≥</w:t>
      </w:r>
      <w:r w:rsidRPr="006F307B">
        <w:rPr>
          <w:rFonts w:ascii="Arial Narrow" w:hAnsi="Arial Narrow"/>
          <w:b/>
          <w:color w:val="auto"/>
          <w:sz w:val="20"/>
          <w:szCs w:val="20"/>
        </w:rPr>
        <w:t xml:space="preserve">1, pembrolizumab </w:t>
      </w:r>
      <w:r w:rsidR="00F4531C" w:rsidRPr="006F307B">
        <w:rPr>
          <w:rFonts w:ascii="Arial Narrow" w:hAnsi="Arial Narrow"/>
          <w:b/>
          <w:color w:val="auto"/>
          <w:sz w:val="20"/>
          <w:szCs w:val="20"/>
        </w:rPr>
        <w:t xml:space="preserve">+ </w:t>
      </w:r>
      <w:r w:rsidRPr="006F307B">
        <w:rPr>
          <w:rFonts w:ascii="Arial Narrow" w:hAnsi="Arial Narrow"/>
          <w:b/>
          <w:color w:val="auto"/>
          <w:sz w:val="20"/>
          <w:szCs w:val="20"/>
        </w:rPr>
        <w:t xml:space="preserve">chemotherapy vs cetuximab </w:t>
      </w:r>
      <w:r w:rsidR="00F4531C" w:rsidRPr="006F307B">
        <w:rPr>
          <w:rFonts w:ascii="Arial Narrow" w:hAnsi="Arial Narrow"/>
          <w:b/>
          <w:color w:val="auto"/>
          <w:sz w:val="20"/>
          <w:szCs w:val="20"/>
        </w:rPr>
        <w:t xml:space="preserve">+ </w:t>
      </w:r>
      <w:r w:rsidRPr="006F307B">
        <w:rPr>
          <w:rFonts w:ascii="Arial Narrow" w:hAnsi="Arial Narrow"/>
          <w:b/>
          <w:color w:val="auto"/>
          <w:sz w:val="20"/>
          <w:szCs w:val="20"/>
        </w:rPr>
        <w:t>chemotherapy</w:t>
      </w:r>
    </w:p>
    <w:p w:rsidR="00B26AC1" w:rsidRPr="006F307B" w:rsidRDefault="00B26AC1" w:rsidP="00B26AC1">
      <w:pPr>
        <w:pStyle w:val="InstructionalText"/>
        <w:keepNext/>
        <w:keepLines/>
        <w:spacing w:before="0" w:after="0"/>
        <w:rPr>
          <w:rFonts w:ascii="Arial Narrow" w:hAnsi="Arial Narrow"/>
          <w:color w:val="auto"/>
          <w:sz w:val="20"/>
          <w:szCs w:val="20"/>
        </w:rPr>
      </w:pPr>
      <w:r w:rsidRPr="00AF3270">
        <w:rPr>
          <w:noProof/>
          <w:lang w:eastAsia="en-AU"/>
        </w:rPr>
        <w:drawing>
          <wp:inline distT="0" distB="0" distL="0" distR="0" wp14:anchorId="609C99C2" wp14:editId="72C38D9A">
            <wp:extent cx="5438775" cy="3643745"/>
            <wp:effectExtent l="0" t="0" r="0" b="0"/>
            <wp:docPr id="67994773" name="Picture 67994773" title="Figure 4: OS Kaplan-Meier curve in KN048 CPS ≥1, pembrolizumab + chemotherapy vs cetuximab + chemotherapy"/>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1"/>
                    <a:stretch>
                      <a:fillRect/>
                    </a:stretch>
                  </pic:blipFill>
                  <pic:spPr>
                    <a:xfrm>
                      <a:off x="0" y="0"/>
                      <a:ext cx="5440990" cy="3645229"/>
                    </a:xfrm>
                    <a:prstGeom prst="rect">
                      <a:avLst/>
                    </a:prstGeom>
                  </pic:spPr>
                </pic:pic>
              </a:graphicData>
            </a:graphic>
          </wp:inline>
        </w:drawing>
      </w:r>
    </w:p>
    <w:p w:rsidR="00B26AC1" w:rsidRPr="006F307B" w:rsidRDefault="00B26AC1" w:rsidP="00B26AC1">
      <w:pPr>
        <w:pStyle w:val="InstructionalText"/>
        <w:keepNext/>
        <w:keepLines/>
        <w:spacing w:before="0" w:after="0"/>
        <w:rPr>
          <w:rFonts w:ascii="Arial Narrow" w:hAnsi="Arial Narrow"/>
          <w:color w:val="auto"/>
          <w:sz w:val="18"/>
          <w:szCs w:val="18"/>
        </w:rPr>
      </w:pPr>
      <w:r w:rsidRPr="006F307B">
        <w:rPr>
          <w:rFonts w:ascii="Arial Narrow" w:hAnsi="Arial Narrow"/>
          <w:color w:val="auto"/>
          <w:sz w:val="18"/>
          <w:szCs w:val="18"/>
        </w:rPr>
        <w:t>Source: Figure 2.5-7, p75 of the submission</w:t>
      </w:r>
    </w:p>
    <w:p w:rsidR="00B26AC1" w:rsidRPr="006F307B" w:rsidRDefault="00B26AC1" w:rsidP="00B26AC1">
      <w:pPr>
        <w:pStyle w:val="ListParagraph"/>
        <w:numPr>
          <w:ilvl w:val="4"/>
          <w:numId w:val="1"/>
        </w:numPr>
      </w:pPr>
      <w:r w:rsidRPr="006F307B">
        <w:lastRenderedPageBreak/>
        <w:t xml:space="preserve">The results of the indirect comparison of OS for pembrolizumab </w:t>
      </w:r>
      <w:r w:rsidR="00F4531C" w:rsidRPr="006F307B">
        <w:t xml:space="preserve">+ </w:t>
      </w:r>
      <w:r w:rsidR="00C52BBB" w:rsidRPr="006F307B">
        <w:t>chemotherapy</w:t>
      </w:r>
      <w:r w:rsidRPr="00B74405">
        <w:t xml:space="preserve"> versus chemotherapy alone using the NMA as well as using the Bucher method are presented in Table</w:t>
      </w:r>
      <w:r w:rsidR="00316F58" w:rsidRPr="006F307B">
        <w:t xml:space="preserve"> </w:t>
      </w:r>
      <w:r w:rsidRPr="006F307B">
        <w:t>10.</w:t>
      </w:r>
    </w:p>
    <w:p w:rsidR="00B26AC1" w:rsidRPr="006F307B" w:rsidRDefault="00B26AC1" w:rsidP="00B26AC1">
      <w:pPr>
        <w:pStyle w:val="InstructionalText"/>
        <w:keepNext/>
        <w:spacing w:before="0" w:after="0"/>
        <w:rPr>
          <w:rFonts w:ascii="Arial Narrow" w:hAnsi="Arial Narrow"/>
          <w:b/>
          <w:color w:val="auto"/>
          <w:sz w:val="20"/>
          <w:szCs w:val="20"/>
        </w:rPr>
      </w:pPr>
      <w:r w:rsidRPr="006F307B">
        <w:rPr>
          <w:rFonts w:ascii="Arial Narrow" w:hAnsi="Arial Narrow"/>
          <w:b/>
          <w:color w:val="auto"/>
          <w:sz w:val="20"/>
          <w:szCs w:val="20"/>
        </w:rPr>
        <w:t>Table</w:t>
      </w:r>
      <w:r w:rsidR="006F307B">
        <w:rPr>
          <w:rFonts w:ascii="Arial Narrow" w:hAnsi="Arial Narrow"/>
          <w:b/>
          <w:color w:val="auto"/>
          <w:sz w:val="20"/>
          <w:szCs w:val="20"/>
        </w:rPr>
        <w:t xml:space="preserve"> </w:t>
      </w:r>
      <w:r w:rsidRPr="006F307B">
        <w:rPr>
          <w:rFonts w:ascii="Arial Narrow" w:hAnsi="Arial Narrow"/>
          <w:b/>
          <w:color w:val="auto"/>
          <w:sz w:val="20"/>
          <w:szCs w:val="20"/>
        </w:rPr>
        <w:t>10</w:t>
      </w:r>
      <w:r w:rsidR="00316F58" w:rsidRPr="006F307B">
        <w:rPr>
          <w:rFonts w:ascii="Arial Narrow" w:hAnsi="Arial Narrow"/>
          <w:b/>
          <w:color w:val="auto"/>
          <w:sz w:val="20"/>
          <w:szCs w:val="20"/>
        </w:rPr>
        <w:t xml:space="preserve">: </w:t>
      </w:r>
      <w:r w:rsidRPr="006F307B">
        <w:rPr>
          <w:rFonts w:ascii="Arial Narrow" w:hAnsi="Arial Narrow"/>
          <w:b/>
          <w:color w:val="auto"/>
          <w:sz w:val="20"/>
          <w:szCs w:val="20"/>
        </w:rPr>
        <w:t xml:space="preserve">Indirect comparison of OS for pembrolizumab </w:t>
      </w:r>
      <w:r w:rsidR="00F4531C" w:rsidRPr="006F307B">
        <w:rPr>
          <w:rFonts w:ascii="Arial Narrow" w:hAnsi="Arial Narrow"/>
          <w:b/>
          <w:color w:val="auto"/>
          <w:sz w:val="20"/>
          <w:szCs w:val="20"/>
        </w:rPr>
        <w:t xml:space="preserve">+ </w:t>
      </w:r>
      <w:r w:rsidRPr="006F307B">
        <w:rPr>
          <w:rFonts w:ascii="Arial Narrow" w:hAnsi="Arial Narrow"/>
          <w:b/>
          <w:color w:val="auto"/>
          <w:sz w:val="20"/>
          <w:szCs w:val="20"/>
        </w:rPr>
        <w:t>chemotherapy and chemotherapy by PD-L1 status</w:t>
      </w:r>
    </w:p>
    <w:tbl>
      <w:tblPr>
        <w:tblStyle w:val="TableGrid"/>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Indirect comparison of OS for pembrolizumab + chemotherapy and chemotherapy by PD-L1 status"/>
      </w:tblPr>
      <w:tblGrid>
        <w:gridCol w:w="1297"/>
        <w:gridCol w:w="677"/>
        <w:gridCol w:w="1844"/>
        <w:gridCol w:w="566"/>
        <w:gridCol w:w="1543"/>
        <w:gridCol w:w="1543"/>
        <w:gridCol w:w="1541"/>
      </w:tblGrid>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720" w:type="pct"/>
            <w:shd w:val="clear" w:color="auto" w:fill="auto"/>
          </w:tcPr>
          <w:p w:rsidR="00B26AC1" w:rsidRPr="007278E9" w:rsidRDefault="00B26AC1" w:rsidP="00B26AC1">
            <w:pPr>
              <w:keepNext/>
              <w:spacing w:before="40" w:after="40"/>
              <w:rPr>
                <w:rFonts w:ascii="Arial Narrow" w:hAnsi="Arial Narrow"/>
                <w:sz w:val="20"/>
                <w:szCs w:val="20"/>
                <w:lang w:val="en-AU"/>
              </w:rPr>
            </w:pPr>
          </w:p>
        </w:tc>
        <w:tc>
          <w:tcPr>
            <w:tcW w:w="1399" w:type="pct"/>
            <w:gridSpan w:val="2"/>
            <w:shd w:val="clear" w:color="auto" w:fill="auto"/>
            <w:hideMark/>
          </w:tcPr>
          <w:p w:rsidR="00B26AC1" w:rsidRPr="007278E9" w:rsidRDefault="00B26AC1" w:rsidP="00ED436C">
            <w:pPr>
              <w:keepNext/>
              <w:spacing w:before="40" w:after="40"/>
              <w:rPr>
                <w:rFonts w:ascii="Arial Narrow" w:hAnsi="Arial Narrow"/>
                <w:sz w:val="20"/>
                <w:szCs w:val="20"/>
                <w:lang w:val="en-AU"/>
              </w:rPr>
            </w:pPr>
            <w:r w:rsidRPr="006F307B">
              <w:rPr>
                <w:rFonts w:ascii="Arial Narrow" w:hAnsi="Arial Narrow"/>
                <w:sz w:val="20"/>
                <w:szCs w:val="20"/>
              </w:rPr>
              <w:t>Keynote 048</w:t>
            </w:r>
            <w:r w:rsidR="00ED436C">
              <w:rPr>
                <w:rFonts w:ascii="Arial Narrow" w:hAnsi="Arial Narrow"/>
                <w:sz w:val="20"/>
                <w:szCs w:val="20"/>
              </w:rPr>
              <w:t xml:space="preserve"> –</w:t>
            </w:r>
            <w:r w:rsidRPr="006F307B">
              <w:rPr>
                <w:rFonts w:ascii="Arial Narrow" w:hAnsi="Arial Narrow"/>
                <w:sz w:val="20"/>
                <w:szCs w:val="20"/>
              </w:rPr>
              <w:t xml:space="preserve"> Pembro</w:t>
            </w:r>
            <w:r w:rsidR="00ED436C">
              <w:rPr>
                <w:rFonts w:ascii="Arial Narrow" w:hAnsi="Arial Narrow"/>
                <w:sz w:val="20"/>
                <w:szCs w:val="20"/>
              </w:rPr>
              <w:t xml:space="preserve"> </w:t>
            </w:r>
            <w:r w:rsidRPr="006F307B">
              <w:rPr>
                <w:rFonts w:ascii="Arial Narrow" w:hAnsi="Arial Narrow"/>
                <w:sz w:val="20"/>
                <w:szCs w:val="20"/>
              </w:rPr>
              <w:t>+ chemo vs cetuximab + chemo</w:t>
            </w:r>
          </w:p>
        </w:tc>
        <w:tc>
          <w:tcPr>
            <w:tcW w:w="1170" w:type="pct"/>
            <w:gridSpan w:val="2"/>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EXTREME – chemo vs cetuximab + chemo</w:t>
            </w:r>
          </w:p>
        </w:tc>
        <w:tc>
          <w:tcPr>
            <w:tcW w:w="856" w:type="pct"/>
            <w:vMerge w:val="restart"/>
            <w:shd w:val="clear" w:color="auto" w:fill="auto"/>
            <w:vAlign w:val="center"/>
            <w:hideMark/>
          </w:tcPr>
          <w:p w:rsidR="00B26AC1" w:rsidRPr="007278E9" w:rsidRDefault="00590D96" w:rsidP="00590D96">
            <w:pPr>
              <w:keepNext/>
              <w:spacing w:before="40" w:after="40"/>
              <w:jc w:val="center"/>
              <w:rPr>
                <w:rFonts w:ascii="Arial Narrow" w:hAnsi="Arial Narrow"/>
                <w:b w:val="0"/>
                <w:sz w:val="20"/>
                <w:szCs w:val="20"/>
                <w:lang w:val="en-AU"/>
              </w:rPr>
            </w:pPr>
            <w:r w:rsidRPr="006F307B">
              <w:rPr>
                <w:rFonts w:ascii="Arial Narrow" w:hAnsi="Arial Narrow"/>
                <w:sz w:val="20"/>
                <w:szCs w:val="20"/>
              </w:rPr>
              <w:t>NMA i</w:t>
            </w:r>
            <w:r w:rsidR="00B26AC1" w:rsidRPr="006F307B">
              <w:rPr>
                <w:rFonts w:ascii="Arial Narrow" w:hAnsi="Arial Narrow"/>
                <w:sz w:val="20"/>
                <w:szCs w:val="20"/>
              </w:rPr>
              <w:t>ndirect comparison (95% CI)</w:t>
            </w:r>
          </w:p>
        </w:tc>
        <w:tc>
          <w:tcPr>
            <w:tcW w:w="855" w:type="pct"/>
            <w:vMerge w:val="restart"/>
            <w:shd w:val="clear" w:color="auto" w:fill="auto"/>
            <w:vAlign w:val="center"/>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Bucher indirect comparison (95% CI)</w:t>
            </w:r>
          </w:p>
        </w:tc>
      </w:tr>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720" w:type="pct"/>
            <w:shd w:val="clear" w:color="auto" w:fill="auto"/>
          </w:tcPr>
          <w:p w:rsidR="00B26AC1" w:rsidRPr="007278E9" w:rsidRDefault="00B26AC1" w:rsidP="00B26AC1">
            <w:pPr>
              <w:keepNext/>
              <w:spacing w:before="40" w:after="40"/>
              <w:rPr>
                <w:rFonts w:ascii="Arial Narrow" w:hAnsi="Arial Narrow"/>
                <w:b w:val="0"/>
                <w:sz w:val="20"/>
                <w:szCs w:val="20"/>
                <w:lang w:val="en-AU"/>
              </w:rPr>
            </w:pPr>
            <w:r w:rsidRPr="006F307B">
              <w:rPr>
                <w:rFonts w:ascii="Arial Narrow" w:hAnsi="Arial Narrow"/>
                <w:b w:val="0"/>
                <w:sz w:val="20"/>
                <w:szCs w:val="20"/>
              </w:rPr>
              <w:t>PD-L1 status</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b w:val="0"/>
                <w:sz w:val="20"/>
                <w:szCs w:val="20"/>
                <w:lang w:val="en-AU"/>
              </w:rPr>
            </w:pPr>
            <w:r w:rsidRPr="006F307B">
              <w:rPr>
                <w:rFonts w:ascii="Arial Narrow" w:hAnsi="Arial Narrow"/>
                <w:b w:val="0"/>
                <w:sz w:val="20"/>
                <w:szCs w:val="20"/>
              </w:rPr>
              <w:t>N</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b w:val="0"/>
                <w:sz w:val="20"/>
                <w:szCs w:val="20"/>
                <w:lang w:val="en-AU"/>
              </w:rPr>
            </w:pPr>
            <w:r w:rsidRPr="006F307B">
              <w:rPr>
                <w:rFonts w:ascii="Arial Narrow" w:hAnsi="Arial Narrow"/>
                <w:b w:val="0"/>
                <w:sz w:val="20"/>
                <w:szCs w:val="20"/>
              </w:rPr>
              <w:t>OS HR (95% CI)</w:t>
            </w:r>
          </w:p>
        </w:tc>
        <w:tc>
          <w:tcPr>
            <w:tcW w:w="314" w:type="pct"/>
            <w:shd w:val="clear" w:color="auto" w:fill="auto"/>
            <w:vAlign w:val="center"/>
            <w:hideMark/>
          </w:tcPr>
          <w:p w:rsidR="00B26AC1" w:rsidRPr="007278E9" w:rsidRDefault="00B26AC1" w:rsidP="00B26AC1">
            <w:pPr>
              <w:keepNext/>
              <w:spacing w:before="40" w:after="40"/>
              <w:jc w:val="center"/>
              <w:rPr>
                <w:rFonts w:ascii="Arial Narrow" w:hAnsi="Arial Narrow"/>
                <w:b w:val="0"/>
                <w:sz w:val="20"/>
                <w:szCs w:val="20"/>
                <w:lang w:val="en-AU"/>
              </w:rPr>
            </w:pPr>
            <w:r w:rsidRPr="006F307B">
              <w:rPr>
                <w:rFonts w:ascii="Arial Narrow" w:hAnsi="Arial Narrow"/>
                <w:b w:val="0"/>
                <w:sz w:val="20"/>
                <w:szCs w:val="20"/>
              </w:rPr>
              <w:t>N</w:t>
            </w: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b w:val="0"/>
                <w:sz w:val="20"/>
                <w:szCs w:val="20"/>
                <w:vertAlign w:val="superscript"/>
                <w:lang w:val="en-AU"/>
              </w:rPr>
            </w:pPr>
            <w:r w:rsidRPr="006F307B">
              <w:rPr>
                <w:rFonts w:ascii="Arial Narrow" w:hAnsi="Arial Narrow"/>
                <w:b w:val="0"/>
                <w:sz w:val="20"/>
                <w:szCs w:val="20"/>
              </w:rPr>
              <w:t xml:space="preserve">OS HR (95% CI) </w:t>
            </w:r>
            <w:r w:rsidRPr="006F307B">
              <w:rPr>
                <w:rFonts w:ascii="Arial Narrow" w:hAnsi="Arial Narrow"/>
                <w:b w:val="0"/>
                <w:sz w:val="20"/>
                <w:szCs w:val="20"/>
                <w:vertAlign w:val="superscript"/>
              </w:rPr>
              <w:t>a</w:t>
            </w:r>
          </w:p>
        </w:tc>
        <w:tc>
          <w:tcPr>
            <w:tcW w:w="856" w:type="pct"/>
            <w:vMerge/>
            <w:shd w:val="clear" w:color="auto" w:fill="auto"/>
            <w:vAlign w:val="center"/>
          </w:tcPr>
          <w:p w:rsidR="00B26AC1" w:rsidRPr="007278E9" w:rsidRDefault="00B26AC1" w:rsidP="00B26AC1">
            <w:pPr>
              <w:keepNext/>
              <w:spacing w:before="40" w:after="40"/>
              <w:jc w:val="center"/>
              <w:rPr>
                <w:rFonts w:ascii="Arial Narrow" w:hAnsi="Arial Narrow"/>
                <w:b w:val="0"/>
                <w:sz w:val="20"/>
                <w:szCs w:val="20"/>
                <w:lang w:val="en-AU"/>
              </w:rPr>
            </w:pPr>
          </w:p>
        </w:tc>
        <w:tc>
          <w:tcPr>
            <w:tcW w:w="855" w:type="pct"/>
            <w:vMerge/>
            <w:shd w:val="clear" w:color="auto" w:fill="auto"/>
            <w:vAlign w:val="center"/>
          </w:tcPr>
          <w:p w:rsidR="00B26AC1" w:rsidRPr="007278E9" w:rsidRDefault="00B26AC1" w:rsidP="00B26AC1">
            <w:pPr>
              <w:keepNext/>
              <w:spacing w:before="40" w:after="40"/>
              <w:jc w:val="center"/>
              <w:rPr>
                <w:rFonts w:ascii="Arial Narrow" w:hAnsi="Arial Narrow"/>
                <w:b w:val="0"/>
                <w:sz w:val="20"/>
                <w:szCs w:val="20"/>
                <w:lang w:val="en-AU"/>
              </w:rPr>
            </w:pPr>
          </w:p>
        </w:tc>
      </w:tr>
      <w:tr w:rsidR="00B26AC1" w:rsidRPr="006F307B" w:rsidTr="00B26AC1">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All-comers</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559</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i/>
                <w:sz w:val="20"/>
                <w:szCs w:val="20"/>
                <w:vertAlign w:val="superscript"/>
                <w:lang w:val="en-AU"/>
              </w:rPr>
            </w:pPr>
            <w:r w:rsidRPr="006F307B">
              <w:rPr>
                <w:rFonts w:ascii="Arial Narrow" w:hAnsi="Arial Narrow"/>
                <w:b/>
                <w:sz w:val="20"/>
                <w:szCs w:val="20"/>
              </w:rPr>
              <w:t>0.72 (0.60, 0.87)</w:t>
            </w:r>
          </w:p>
        </w:tc>
        <w:tc>
          <w:tcPr>
            <w:tcW w:w="314" w:type="pct"/>
            <w:vMerge w:val="restar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442</w:t>
            </w:r>
          </w:p>
        </w:tc>
        <w:tc>
          <w:tcPr>
            <w:tcW w:w="856" w:type="pct"/>
            <w:vMerge w:val="restar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1.25 (1.01, 1.56)</w:t>
            </w: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0.59 (0.45, 0.77)</w:t>
            </w:r>
          </w:p>
        </w:tc>
        <w:tc>
          <w:tcPr>
            <w:tcW w:w="855" w:type="pct"/>
            <w:vAlign w:val="center"/>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0.58 (0.43, 0.77)</w:t>
            </w:r>
          </w:p>
        </w:tc>
      </w:tr>
      <w:tr w:rsidR="00B26AC1" w:rsidRPr="006F307B" w:rsidTr="00B26AC1">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CPS ≥1</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455</w:t>
            </w:r>
            <w:r w:rsidR="007570DE" w:rsidRPr="006F307B">
              <w:rPr>
                <w:rFonts w:ascii="Arial Narrow" w:hAnsi="Arial Narrow"/>
                <w:sz w:val="20"/>
                <w:szCs w:val="20"/>
                <w:vertAlign w:val="superscript"/>
              </w:rPr>
              <w:t xml:space="preserve"> b</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0.65 (0.53, 0.80)</w:t>
            </w:r>
          </w:p>
        </w:tc>
        <w:tc>
          <w:tcPr>
            <w:tcW w:w="314"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0.53 (0.4, 0.71)</w:t>
            </w:r>
          </w:p>
        </w:tc>
        <w:tc>
          <w:tcPr>
            <w:tcW w:w="855" w:type="pct"/>
            <w:vAlign w:val="center"/>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0.52 (0.39, 0.70)</w:t>
            </w:r>
          </w:p>
        </w:tc>
      </w:tr>
      <w:tr w:rsidR="00B26AC1" w:rsidRPr="006F307B" w:rsidTr="00B26AC1">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CPS ≥20</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300</w:t>
            </w:r>
            <w:r w:rsidR="007570DE" w:rsidRPr="006F307B">
              <w:rPr>
                <w:rFonts w:ascii="Arial Narrow" w:hAnsi="Arial Narrow"/>
                <w:sz w:val="20"/>
                <w:szCs w:val="20"/>
              </w:rPr>
              <w:t xml:space="preserve"> </w:t>
            </w:r>
            <w:r w:rsidR="007570DE" w:rsidRPr="006F307B">
              <w:rPr>
                <w:rFonts w:ascii="Arial Narrow" w:hAnsi="Arial Narrow"/>
                <w:sz w:val="20"/>
                <w:szCs w:val="20"/>
                <w:vertAlign w:val="superscript"/>
              </w:rPr>
              <w:t>c</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0.60 (0.45, 0.82)</w:t>
            </w:r>
          </w:p>
        </w:tc>
        <w:tc>
          <w:tcPr>
            <w:tcW w:w="314"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0.49 (0.35, 0.7)</w:t>
            </w:r>
          </w:p>
        </w:tc>
        <w:tc>
          <w:tcPr>
            <w:tcW w:w="855" w:type="pct"/>
            <w:vAlign w:val="center"/>
          </w:tcPr>
          <w:p w:rsidR="00B26AC1" w:rsidRPr="007278E9" w:rsidRDefault="00B26AC1" w:rsidP="00B26AC1">
            <w:pPr>
              <w:keepNext/>
              <w:spacing w:before="40" w:after="40"/>
              <w:jc w:val="center"/>
              <w:rPr>
                <w:rFonts w:ascii="Arial Narrow" w:hAnsi="Arial Narrow"/>
                <w:b/>
                <w:sz w:val="20"/>
                <w:szCs w:val="20"/>
                <w:lang w:val="en-AU"/>
              </w:rPr>
            </w:pPr>
            <w:r w:rsidRPr="006F307B">
              <w:rPr>
                <w:rFonts w:ascii="Arial Narrow" w:hAnsi="Arial Narrow"/>
                <w:b/>
                <w:sz w:val="20"/>
                <w:szCs w:val="20"/>
              </w:rPr>
              <w:t>0.48 (0.33, 0.70)</w:t>
            </w:r>
          </w:p>
        </w:tc>
      </w:tr>
      <w:tr w:rsidR="00B26AC1" w:rsidRPr="006F307B" w:rsidTr="00B26AC1">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1≤ CPS &lt;20</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231</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b/>
                <w:sz w:val="20"/>
                <w:szCs w:val="20"/>
              </w:rPr>
              <w:t>0.71 (0.54, 0.94)</w:t>
            </w:r>
          </w:p>
        </w:tc>
        <w:tc>
          <w:tcPr>
            <w:tcW w:w="314"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vMerge/>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p>
        </w:tc>
        <w:tc>
          <w:tcPr>
            <w:tcW w:w="85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b/>
                <w:sz w:val="20"/>
                <w:szCs w:val="20"/>
              </w:rPr>
              <w:t>0.58 (0.41, 0.82)</w:t>
            </w:r>
          </w:p>
        </w:tc>
        <w:tc>
          <w:tcPr>
            <w:tcW w:w="855" w:type="pct"/>
            <w:vAlign w:val="center"/>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b/>
                <w:sz w:val="20"/>
                <w:szCs w:val="20"/>
              </w:rPr>
              <w:t>0.57 (0.40, 0.81)</w:t>
            </w:r>
          </w:p>
        </w:tc>
      </w:tr>
      <w:tr w:rsidR="00B26AC1" w:rsidRPr="006F307B" w:rsidTr="00B26AC1">
        <w:tc>
          <w:tcPr>
            <w:tcW w:w="720" w:type="pct"/>
            <w:shd w:val="clear" w:color="auto" w:fill="auto"/>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CPS &lt;1</w:t>
            </w:r>
          </w:p>
        </w:tc>
        <w:tc>
          <w:tcPr>
            <w:tcW w:w="376"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82</w:t>
            </w:r>
          </w:p>
        </w:tc>
        <w:tc>
          <w:tcPr>
            <w:tcW w:w="1023" w:type="pct"/>
            <w:shd w:val="clear" w:color="auto" w:fill="auto"/>
            <w:vAlign w:val="center"/>
            <w:hideMark/>
          </w:tcPr>
          <w:p w:rsidR="00B26AC1" w:rsidRPr="007278E9" w:rsidRDefault="00B26AC1" w:rsidP="00B26AC1">
            <w:pPr>
              <w:keepNext/>
              <w:spacing w:before="40" w:after="40"/>
              <w:jc w:val="center"/>
              <w:rPr>
                <w:rFonts w:ascii="Arial Narrow" w:hAnsi="Arial Narrow"/>
                <w:sz w:val="20"/>
                <w:szCs w:val="20"/>
                <w:lang w:val="en-AU"/>
              </w:rPr>
            </w:pPr>
            <w:r w:rsidRPr="006F307B">
              <w:rPr>
                <w:rFonts w:ascii="Arial Narrow" w:hAnsi="Arial Narrow"/>
                <w:sz w:val="20"/>
                <w:szCs w:val="20"/>
              </w:rPr>
              <w:t>1.18 (0.73, 1.90)</w:t>
            </w:r>
          </w:p>
        </w:tc>
        <w:tc>
          <w:tcPr>
            <w:tcW w:w="314" w:type="pct"/>
            <w:vMerge/>
            <w:shd w:val="clear" w:color="auto" w:fill="auto"/>
            <w:vAlign w:val="center"/>
            <w:hideMark/>
          </w:tcPr>
          <w:p w:rsidR="00B26AC1" w:rsidRPr="007278E9" w:rsidRDefault="00B26AC1" w:rsidP="00B26AC1">
            <w:pPr>
              <w:keepNext/>
              <w:spacing w:before="40" w:after="40"/>
              <w:rPr>
                <w:rFonts w:ascii="Arial Narrow" w:hAnsi="Arial Narrow"/>
                <w:sz w:val="20"/>
                <w:szCs w:val="20"/>
                <w:lang w:val="en-AU"/>
              </w:rPr>
            </w:pPr>
          </w:p>
        </w:tc>
        <w:tc>
          <w:tcPr>
            <w:tcW w:w="856" w:type="pct"/>
            <w:vMerge/>
            <w:shd w:val="clear" w:color="auto" w:fill="auto"/>
            <w:vAlign w:val="center"/>
            <w:hideMark/>
          </w:tcPr>
          <w:p w:rsidR="00B26AC1" w:rsidRPr="007278E9" w:rsidRDefault="00B26AC1" w:rsidP="00B26AC1">
            <w:pPr>
              <w:keepNext/>
              <w:spacing w:before="40" w:after="40"/>
              <w:rPr>
                <w:rFonts w:ascii="Arial Narrow" w:hAnsi="Arial Narrow"/>
                <w:sz w:val="20"/>
                <w:szCs w:val="20"/>
                <w:lang w:val="en-AU"/>
              </w:rPr>
            </w:pPr>
          </w:p>
        </w:tc>
        <w:tc>
          <w:tcPr>
            <w:tcW w:w="856" w:type="pct"/>
            <w:shd w:val="clear" w:color="auto" w:fill="auto"/>
            <w:vAlign w:val="center"/>
            <w:hideMark/>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0.97 (0.58, 1.62)</w:t>
            </w:r>
          </w:p>
        </w:tc>
        <w:tc>
          <w:tcPr>
            <w:tcW w:w="855" w:type="pct"/>
            <w:vAlign w:val="center"/>
          </w:tcPr>
          <w:p w:rsidR="00B26AC1" w:rsidRPr="007278E9" w:rsidRDefault="00B26AC1" w:rsidP="00B26AC1">
            <w:pPr>
              <w:keepNext/>
              <w:spacing w:before="40" w:after="40"/>
              <w:rPr>
                <w:rFonts w:ascii="Arial Narrow" w:hAnsi="Arial Narrow"/>
                <w:sz w:val="20"/>
                <w:szCs w:val="20"/>
                <w:lang w:val="en-AU"/>
              </w:rPr>
            </w:pPr>
            <w:r w:rsidRPr="006F307B">
              <w:rPr>
                <w:rFonts w:ascii="Arial Narrow" w:hAnsi="Arial Narrow"/>
                <w:sz w:val="20"/>
                <w:szCs w:val="20"/>
              </w:rPr>
              <w:t>0.94 (0.56, 1.60)</w:t>
            </w:r>
          </w:p>
        </w:tc>
      </w:tr>
    </w:tbl>
    <w:p w:rsidR="00B26AC1" w:rsidRPr="006F307B" w:rsidRDefault="00ED436C" w:rsidP="00B26AC1">
      <w:pPr>
        <w:keepNext/>
        <w:keepLines/>
        <w:spacing w:before="0" w:after="0"/>
        <w:rPr>
          <w:rFonts w:ascii="Arial Narrow" w:hAnsi="Arial Narrow"/>
          <w:sz w:val="18"/>
          <w:szCs w:val="18"/>
        </w:rPr>
      </w:pPr>
      <w:r w:rsidRPr="00ED436C">
        <w:rPr>
          <w:rFonts w:ascii="Arial Narrow" w:hAnsi="Arial Narrow"/>
          <w:sz w:val="18"/>
          <w:szCs w:val="18"/>
        </w:rPr>
        <w:t xml:space="preserve">Abbreviations: </w:t>
      </w:r>
      <w:r w:rsidR="00B26AC1" w:rsidRPr="006F307B">
        <w:rPr>
          <w:rFonts w:ascii="Arial Narrow" w:hAnsi="Arial Narrow"/>
          <w:sz w:val="18"/>
          <w:szCs w:val="18"/>
        </w:rPr>
        <w:t xml:space="preserve">Pembro = pembrolizumab, </w:t>
      </w:r>
      <w:r>
        <w:rPr>
          <w:rFonts w:ascii="Arial Narrow" w:hAnsi="Arial Narrow"/>
          <w:sz w:val="18"/>
          <w:szCs w:val="18"/>
        </w:rPr>
        <w:t>c</w:t>
      </w:r>
      <w:r w:rsidR="00B26AC1" w:rsidRPr="006F307B">
        <w:rPr>
          <w:rFonts w:ascii="Arial Narrow" w:hAnsi="Arial Narrow"/>
          <w:sz w:val="18"/>
          <w:szCs w:val="18"/>
        </w:rPr>
        <w:t>hemo = chemotherapy, OS = overall survival, HR = hazard ratio</w:t>
      </w:r>
      <w:r>
        <w:rPr>
          <w:rFonts w:ascii="Arial Narrow" w:hAnsi="Arial Narrow"/>
          <w:sz w:val="18"/>
          <w:szCs w:val="18"/>
        </w:rPr>
        <w:t>, CPS = combined positive score</w:t>
      </w:r>
    </w:p>
    <w:p w:rsidR="00B26AC1" w:rsidRPr="006F307B" w:rsidRDefault="00B26AC1" w:rsidP="00316F58">
      <w:pPr>
        <w:keepNext/>
        <w:keepLines/>
        <w:tabs>
          <w:tab w:val="left" w:pos="0"/>
        </w:tabs>
        <w:spacing w:before="0" w:after="0"/>
        <w:rPr>
          <w:rFonts w:ascii="Arial Narrow" w:hAnsi="Arial Narrow"/>
          <w:sz w:val="18"/>
          <w:szCs w:val="18"/>
        </w:rPr>
      </w:pPr>
      <w:r w:rsidRPr="006F307B">
        <w:rPr>
          <w:rFonts w:ascii="Arial Narrow" w:hAnsi="Arial Narrow"/>
          <w:sz w:val="18"/>
          <w:szCs w:val="18"/>
          <w:vertAlign w:val="superscript"/>
        </w:rPr>
        <w:t>a</w:t>
      </w:r>
      <w:r w:rsidR="00316F58" w:rsidRPr="006F307B">
        <w:rPr>
          <w:rFonts w:ascii="Arial Narrow" w:hAnsi="Arial Narrow"/>
          <w:sz w:val="18"/>
          <w:szCs w:val="18"/>
        </w:rPr>
        <w:t xml:space="preserve"> </w:t>
      </w:r>
      <w:r w:rsidRPr="006F307B">
        <w:rPr>
          <w:rFonts w:ascii="Arial Narrow" w:hAnsi="Arial Narrow"/>
          <w:sz w:val="18"/>
          <w:szCs w:val="18"/>
        </w:rPr>
        <w:t xml:space="preserve">calculated using the inverse of OS HR reported in EXTREME (HR = 0.80, 95%CI 0.64, 0.99) to reflect treatment effect of chemotherapy relative to cetuximab plus chemotherapy </w:t>
      </w:r>
    </w:p>
    <w:p w:rsidR="007570DE" w:rsidRPr="006F307B" w:rsidRDefault="007570DE" w:rsidP="00316F58">
      <w:pPr>
        <w:keepNext/>
        <w:keepLines/>
        <w:tabs>
          <w:tab w:val="left" w:pos="0"/>
        </w:tabs>
        <w:spacing w:before="0" w:after="0"/>
        <w:rPr>
          <w:rFonts w:ascii="Arial Narrow" w:hAnsi="Arial Narrow"/>
          <w:sz w:val="18"/>
          <w:szCs w:val="18"/>
        </w:rPr>
      </w:pPr>
      <w:r w:rsidRPr="006F307B">
        <w:rPr>
          <w:rFonts w:ascii="Arial Narrow" w:hAnsi="Arial Narrow"/>
          <w:sz w:val="18"/>
          <w:szCs w:val="18"/>
          <w:vertAlign w:val="superscript"/>
        </w:rPr>
        <w:t>b</w:t>
      </w:r>
      <w:r w:rsidR="00316F58" w:rsidRPr="006F307B">
        <w:rPr>
          <w:rFonts w:ascii="Arial Narrow" w:hAnsi="Arial Narrow"/>
          <w:sz w:val="18"/>
          <w:szCs w:val="18"/>
        </w:rPr>
        <w:t xml:space="preserve"> </w:t>
      </w:r>
      <w:r w:rsidRPr="006F307B">
        <w:rPr>
          <w:rFonts w:ascii="Arial Narrow" w:hAnsi="Arial Narrow"/>
          <w:sz w:val="18"/>
          <w:szCs w:val="18"/>
        </w:rPr>
        <w:t>number of patients reported as per table 2.6-8 of the submission, but this is inconsistent with the number of patients as per table 2.6-2 of the submission (n= 242 + 235 = 477)</w:t>
      </w:r>
    </w:p>
    <w:p w:rsidR="007570DE" w:rsidRPr="006F307B" w:rsidRDefault="007570DE" w:rsidP="00316F58">
      <w:pPr>
        <w:keepNext/>
        <w:keepLines/>
        <w:tabs>
          <w:tab w:val="left" w:pos="0"/>
        </w:tabs>
        <w:spacing w:before="0" w:after="0"/>
        <w:rPr>
          <w:rFonts w:ascii="Arial Narrow" w:hAnsi="Arial Narrow"/>
          <w:sz w:val="18"/>
          <w:szCs w:val="18"/>
        </w:rPr>
      </w:pPr>
      <w:r w:rsidRPr="006F307B">
        <w:rPr>
          <w:rFonts w:ascii="Arial Narrow" w:hAnsi="Arial Narrow"/>
          <w:sz w:val="18"/>
          <w:szCs w:val="18"/>
          <w:vertAlign w:val="superscript"/>
        </w:rPr>
        <w:t>c</w:t>
      </w:r>
      <w:r w:rsidR="00316F58" w:rsidRPr="006F307B">
        <w:rPr>
          <w:rFonts w:ascii="Arial Narrow" w:hAnsi="Arial Narrow"/>
          <w:sz w:val="18"/>
          <w:szCs w:val="18"/>
        </w:rPr>
        <w:t xml:space="preserve"> </w:t>
      </w:r>
      <w:r w:rsidRPr="006F307B">
        <w:rPr>
          <w:rFonts w:ascii="Arial Narrow" w:hAnsi="Arial Narrow"/>
          <w:sz w:val="18"/>
          <w:szCs w:val="18"/>
        </w:rPr>
        <w:t>number of patients reported as per table 2.6-8 of the submission, but this is inconsistent with the number of patients as per table 2.6-2 of the submission (n= 126 + 110 = 236)</w:t>
      </w:r>
    </w:p>
    <w:p w:rsidR="00B26AC1" w:rsidRPr="006F307B" w:rsidRDefault="00E4574C" w:rsidP="00B26AC1">
      <w:pPr>
        <w:keepNext/>
        <w:keepLines/>
        <w:spacing w:before="0" w:after="0"/>
        <w:rPr>
          <w:rFonts w:ascii="Arial Narrow" w:hAnsi="Arial Narrow"/>
          <w:sz w:val="18"/>
          <w:szCs w:val="18"/>
        </w:rPr>
      </w:pPr>
      <w:r w:rsidRPr="006F307B">
        <w:rPr>
          <w:rFonts w:ascii="Arial Narrow" w:hAnsi="Arial Narrow"/>
          <w:sz w:val="18"/>
          <w:szCs w:val="18"/>
        </w:rPr>
        <w:t>T</w:t>
      </w:r>
      <w:r w:rsidR="00B26AC1" w:rsidRPr="006F307B">
        <w:rPr>
          <w:rFonts w:ascii="Arial Narrow" w:hAnsi="Arial Narrow"/>
          <w:sz w:val="18"/>
          <w:szCs w:val="18"/>
        </w:rPr>
        <w:t xml:space="preserve">ext in bold indicate statistically significant differences </w:t>
      </w:r>
    </w:p>
    <w:p w:rsidR="00B26AC1" w:rsidRPr="006F307B" w:rsidRDefault="00B26AC1" w:rsidP="00B26AC1">
      <w:pPr>
        <w:pStyle w:val="InstructionalText"/>
        <w:keepNext/>
        <w:keepLines/>
        <w:spacing w:before="0" w:after="0"/>
        <w:rPr>
          <w:color w:val="auto"/>
          <w:sz w:val="22"/>
          <w:szCs w:val="20"/>
        </w:rPr>
      </w:pPr>
      <w:r w:rsidRPr="006F307B">
        <w:rPr>
          <w:rFonts w:ascii="Arial Narrow" w:hAnsi="Arial Narrow"/>
          <w:color w:val="auto"/>
          <w:sz w:val="18"/>
          <w:szCs w:val="18"/>
        </w:rPr>
        <w:t>Source: Table 2.6-8, p102 of the submission</w:t>
      </w:r>
    </w:p>
    <w:p w:rsidR="00D36D2C" w:rsidRPr="006F307B" w:rsidRDefault="00D36D2C" w:rsidP="008E5D18">
      <w:pPr>
        <w:pStyle w:val="ListParagraph"/>
        <w:rPr>
          <w:color w:val="auto"/>
        </w:rPr>
      </w:pPr>
      <w:r w:rsidRPr="006F307B">
        <w:t>T</w:t>
      </w:r>
      <w:r w:rsidR="00B26AC1" w:rsidRPr="006F307B">
        <w:t xml:space="preserve">he submission concluded that the risk of death was almost halved in patients with CPS ≥1 treated with pembrolizumab plus chemotherapy compared to patients treated with chemotherapy (OS HR=0.53; 95% CI: 0.4, 0.71). There were also statistically significant benefits to pembrolizumab </w:t>
      </w:r>
      <w:r w:rsidR="00F4531C" w:rsidRPr="006F307B">
        <w:t xml:space="preserve">+ </w:t>
      </w:r>
      <w:r w:rsidR="00B26AC1" w:rsidRPr="006F307B">
        <w:t xml:space="preserve">chemotherapy in the CPS ≥20 and 1≥ CPS &gt;20 subgroups, but not in the CPS &lt;1 subgroup. The conclusions for the CPS ≥1, CPS ≥20 and 1≥ CPS &gt;20 subgroups were reasonable, but the conclusion in the CPS &lt;1 subgroup may suffer from lack of statistical power in KN048 and therefore the lack of statistical significance in the results of the indirect comparison may not be reliable. </w:t>
      </w:r>
      <w:r w:rsidR="00E7628A" w:rsidRPr="006F307B">
        <w:t>The ESC</w:t>
      </w:r>
      <w:r w:rsidR="0021591C" w:rsidRPr="006F307B">
        <w:t>s</w:t>
      </w:r>
      <w:r w:rsidR="00E7628A" w:rsidRPr="006F307B">
        <w:t xml:space="preserve"> considered that</w:t>
      </w:r>
      <w:r w:rsidR="00140F3F" w:rsidRPr="006F307B">
        <w:t>,</w:t>
      </w:r>
      <w:r w:rsidR="00E7628A" w:rsidRPr="006F307B">
        <w:t xml:space="preserve"> </w:t>
      </w:r>
      <w:r w:rsidR="00E449D5" w:rsidRPr="006F307B">
        <w:t>although</w:t>
      </w:r>
      <w:r w:rsidR="00E7628A" w:rsidRPr="006F307B">
        <w:t xml:space="preserve"> the HR for the CPS &lt;1 subgroup of 0.94 (95% CI: 0.56, 1.60) </w:t>
      </w:r>
      <w:r w:rsidR="00E4574C" w:rsidRPr="006F307B">
        <w:t>suggested</w:t>
      </w:r>
      <w:r w:rsidR="00E7628A" w:rsidRPr="006F307B">
        <w:t xml:space="preserve"> no effect, </w:t>
      </w:r>
      <w:r w:rsidR="00704576" w:rsidRPr="006F307B">
        <w:t>the confidence intervals were wide and</w:t>
      </w:r>
      <w:r w:rsidR="00E7628A" w:rsidRPr="006F307B">
        <w:t xml:space="preserve"> these patients </w:t>
      </w:r>
      <w:r w:rsidR="00704576" w:rsidRPr="006F307B">
        <w:t>may</w:t>
      </w:r>
      <w:r w:rsidR="00D4088E" w:rsidRPr="006F307B">
        <w:t xml:space="preserve"> be</w:t>
      </w:r>
      <w:r w:rsidR="00E7628A" w:rsidRPr="006F307B">
        <w:t xml:space="preserve"> worse off </w:t>
      </w:r>
      <w:r w:rsidR="0070319E" w:rsidRPr="006F307B">
        <w:t>if treated with</w:t>
      </w:r>
      <w:r w:rsidR="00E7628A" w:rsidRPr="006F307B">
        <w:t xml:space="preserve"> p</w:t>
      </w:r>
      <w:r w:rsidR="00140F3F" w:rsidRPr="006F307B">
        <w:t xml:space="preserve">embrolizumab </w:t>
      </w:r>
      <w:r w:rsidR="008374B8" w:rsidRPr="006F307B">
        <w:t xml:space="preserve">+ </w:t>
      </w:r>
      <w:r w:rsidR="00140F3F" w:rsidRPr="006F307B">
        <w:t>chemotherapy.</w:t>
      </w:r>
    </w:p>
    <w:p w:rsidR="00B26AC1" w:rsidRPr="006F307B" w:rsidRDefault="00B26AC1" w:rsidP="00B26AC1">
      <w:pPr>
        <w:pStyle w:val="ListParagraph"/>
      </w:pPr>
      <w:r w:rsidRPr="006F307B">
        <w:t xml:space="preserve">The PFS results of pembrolizumab monotherapy versus cetuximab </w:t>
      </w:r>
      <w:r w:rsidR="008374B8" w:rsidRPr="006F307B">
        <w:t xml:space="preserve">+ </w:t>
      </w:r>
      <w:r w:rsidRPr="006F307B">
        <w:t>chemotherapy from KN048 as well as th</w:t>
      </w:r>
      <w:r w:rsidR="004C46AE" w:rsidRPr="006F307B">
        <w:t>e indirect comparison with cetux</w:t>
      </w:r>
      <w:r w:rsidRPr="006F307B">
        <w:t xml:space="preserve">imab </w:t>
      </w:r>
      <w:r w:rsidR="008374B8" w:rsidRPr="006F307B">
        <w:t xml:space="preserve">+ </w:t>
      </w:r>
      <w:r w:rsidRPr="006F307B">
        <w:t>chemotherapy versus chemotherapy alone is presented in Table</w:t>
      </w:r>
      <w:r w:rsidR="00316F58" w:rsidRPr="006F307B">
        <w:t xml:space="preserve"> </w:t>
      </w:r>
      <w:r w:rsidRPr="006F307B">
        <w:t>11. The PFS Kaplan Meier curves from KN048 for ITT and CPS</w:t>
      </w:r>
      <w:r w:rsidR="00C9622A" w:rsidRPr="006F307B">
        <w:t xml:space="preserve"> </w:t>
      </w:r>
      <w:r w:rsidRPr="006F307B">
        <w:rPr>
          <w:rFonts w:cstheme="minorHAnsi"/>
        </w:rPr>
        <w:t>≥</w:t>
      </w:r>
      <w:r w:rsidRPr="006F307B">
        <w:t>1 populations are presented in Figures</w:t>
      </w:r>
      <w:r w:rsidR="00316F58" w:rsidRPr="006F307B">
        <w:t xml:space="preserve"> </w:t>
      </w:r>
      <w:r w:rsidRPr="006F307B">
        <w:t>5 and 6.</w:t>
      </w:r>
    </w:p>
    <w:p w:rsidR="00B26AC1" w:rsidRPr="006F307B" w:rsidRDefault="00B26AC1" w:rsidP="00B26AC1">
      <w:pPr>
        <w:pStyle w:val="ListParagraph"/>
        <w:keepNext/>
        <w:keepLines/>
        <w:numPr>
          <w:ilvl w:val="0"/>
          <w:numId w:val="0"/>
        </w:numPr>
        <w:spacing w:before="0" w:after="0"/>
        <w:ind w:left="720" w:hanging="720"/>
        <w:rPr>
          <w:rFonts w:ascii="Arial Narrow" w:hAnsi="Arial Narrow"/>
          <w:b/>
          <w:color w:val="auto"/>
          <w:sz w:val="20"/>
          <w:szCs w:val="20"/>
        </w:rPr>
      </w:pPr>
      <w:r w:rsidRPr="006F307B">
        <w:rPr>
          <w:rFonts w:ascii="Arial Narrow" w:hAnsi="Arial Narrow"/>
          <w:b/>
          <w:sz w:val="20"/>
          <w:szCs w:val="20"/>
        </w:rPr>
        <w:lastRenderedPageBreak/>
        <w:t>Table 11</w:t>
      </w:r>
      <w:r w:rsidR="00316F58" w:rsidRPr="006F307B">
        <w:rPr>
          <w:rFonts w:ascii="Arial Narrow" w:hAnsi="Arial Narrow"/>
          <w:b/>
          <w:sz w:val="20"/>
          <w:szCs w:val="20"/>
        </w:rPr>
        <w:t xml:space="preserve">: </w:t>
      </w:r>
      <w:r w:rsidRPr="006F307B">
        <w:rPr>
          <w:rFonts w:ascii="Arial Narrow" w:hAnsi="Arial Narrow"/>
          <w:b/>
          <w:color w:val="auto"/>
          <w:sz w:val="20"/>
          <w:szCs w:val="20"/>
        </w:rPr>
        <w:t>Indirect comparison of PFS for pembrolizumab monotherapy and chemotherapy by PD-L1 status</w:t>
      </w:r>
    </w:p>
    <w:tbl>
      <w:tblPr>
        <w:tblStyle w:val="TableGrid"/>
        <w:tblW w:w="49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Indirect comparison of PFS for pembrolizumab monotherapy and chemotherapy by PD-L1 status"/>
      </w:tblPr>
      <w:tblGrid>
        <w:gridCol w:w="1370"/>
        <w:gridCol w:w="1315"/>
        <w:gridCol w:w="1700"/>
        <w:gridCol w:w="849"/>
        <w:gridCol w:w="1702"/>
        <w:gridCol w:w="1984"/>
      </w:tblGrid>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768" w:type="pct"/>
            <w:shd w:val="clear" w:color="auto" w:fill="auto"/>
          </w:tcPr>
          <w:p w:rsidR="00B26AC1" w:rsidRPr="007278E9" w:rsidRDefault="00B26AC1" w:rsidP="00B26AC1">
            <w:pPr>
              <w:keepNext/>
              <w:keepLines/>
              <w:spacing w:before="40" w:after="40"/>
              <w:rPr>
                <w:rFonts w:ascii="Arial Narrow" w:hAnsi="Arial Narrow"/>
                <w:sz w:val="20"/>
                <w:szCs w:val="20"/>
                <w:lang w:val="en-AU"/>
              </w:rPr>
            </w:pPr>
          </w:p>
        </w:tc>
        <w:tc>
          <w:tcPr>
            <w:tcW w:w="1690" w:type="pct"/>
            <w:gridSpan w:val="2"/>
            <w:shd w:val="clear" w:color="auto" w:fill="auto"/>
            <w:vAlign w:val="center"/>
            <w:hideMark/>
          </w:tcPr>
          <w:p w:rsidR="00B26AC1" w:rsidRPr="007278E9" w:rsidRDefault="00B26AC1" w:rsidP="005136D2">
            <w:pPr>
              <w:keepNext/>
              <w:keepLines/>
              <w:spacing w:before="40" w:after="40"/>
              <w:jc w:val="center"/>
              <w:rPr>
                <w:rFonts w:ascii="Arial Narrow" w:hAnsi="Arial Narrow"/>
                <w:sz w:val="20"/>
                <w:szCs w:val="20"/>
                <w:lang w:val="en-AU"/>
              </w:rPr>
            </w:pPr>
            <w:r w:rsidRPr="006F307B">
              <w:rPr>
                <w:rFonts w:ascii="Arial Narrow" w:hAnsi="Arial Narrow"/>
                <w:sz w:val="20"/>
                <w:szCs w:val="20"/>
              </w:rPr>
              <w:t>Keynote 048</w:t>
            </w:r>
            <w:r w:rsidR="005136D2">
              <w:rPr>
                <w:rFonts w:ascii="Arial Narrow" w:hAnsi="Arial Narrow"/>
                <w:sz w:val="20"/>
                <w:szCs w:val="20"/>
              </w:rPr>
              <w:t xml:space="preserve"> –</w:t>
            </w:r>
            <w:r w:rsidRPr="006F307B">
              <w:rPr>
                <w:rFonts w:ascii="Arial Narrow" w:hAnsi="Arial Narrow"/>
                <w:sz w:val="20"/>
                <w:szCs w:val="20"/>
              </w:rPr>
              <w:t xml:space="preserve"> Pembro</w:t>
            </w:r>
            <w:r w:rsidR="005136D2">
              <w:rPr>
                <w:rFonts w:ascii="Arial Narrow" w:hAnsi="Arial Narrow"/>
                <w:sz w:val="20"/>
                <w:szCs w:val="20"/>
              </w:rPr>
              <w:t xml:space="preserve"> </w:t>
            </w:r>
            <w:r w:rsidRPr="006F307B">
              <w:rPr>
                <w:rFonts w:ascii="Arial Narrow" w:hAnsi="Arial Narrow"/>
                <w:sz w:val="20"/>
                <w:szCs w:val="20"/>
              </w:rPr>
              <w:t>mono vs cetuximab + chemo</w:t>
            </w:r>
          </w:p>
        </w:tc>
        <w:tc>
          <w:tcPr>
            <w:tcW w:w="1430" w:type="pct"/>
            <w:gridSpan w:val="2"/>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EXTREME – chemo vs cetuximab + chemo</w:t>
            </w:r>
          </w:p>
        </w:tc>
        <w:tc>
          <w:tcPr>
            <w:tcW w:w="1112" w:type="pct"/>
            <w:vMerge w:val="restar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lang w:val="en-AU"/>
              </w:rPr>
            </w:pPr>
            <w:r w:rsidRPr="006F307B">
              <w:rPr>
                <w:rFonts w:ascii="Arial Narrow" w:hAnsi="Arial Narrow"/>
                <w:sz w:val="20"/>
                <w:szCs w:val="20"/>
              </w:rPr>
              <w:t>Indirect comparison (95% CI)</w:t>
            </w:r>
          </w:p>
        </w:tc>
      </w:tr>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768" w:type="pct"/>
            <w:shd w:val="clear" w:color="auto" w:fill="auto"/>
          </w:tcPr>
          <w:p w:rsidR="00B26AC1" w:rsidRPr="007278E9" w:rsidRDefault="00B26AC1" w:rsidP="00B26AC1">
            <w:pPr>
              <w:keepNext/>
              <w:keepLines/>
              <w:spacing w:before="40" w:after="40"/>
              <w:rPr>
                <w:rFonts w:ascii="Arial Narrow" w:hAnsi="Arial Narrow"/>
                <w:b w:val="0"/>
                <w:sz w:val="20"/>
                <w:szCs w:val="20"/>
                <w:lang w:val="en-AU"/>
              </w:rPr>
            </w:pPr>
            <w:r w:rsidRPr="006F307B">
              <w:rPr>
                <w:rFonts w:ascii="Arial Narrow" w:hAnsi="Arial Narrow"/>
                <w:b w:val="0"/>
                <w:sz w:val="20"/>
                <w:szCs w:val="20"/>
              </w:rPr>
              <w:t>PD-L1 status</w:t>
            </w:r>
          </w:p>
        </w:tc>
        <w:tc>
          <w:tcPr>
            <w:tcW w:w="737" w:type="pc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lang w:val="en-AU"/>
              </w:rPr>
            </w:pPr>
            <w:r w:rsidRPr="006F307B">
              <w:rPr>
                <w:rFonts w:ascii="Arial Narrow" w:hAnsi="Arial Narrow"/>
                <w:b w:val="0"/>
                <w:sz w:val="20"/>
                <w:szCs w:val="20"/>
              </w:rPr>
              <w:t>N</w:t>
            </w:r>
          </w:p>
        </w:tc>
        <w:tc>
          <w:tcPr>
            <w:tcW w:w="953" w:type="pc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lang w:val="en-AU"/>
              </w:rPr>
            </w:pPr>
            <w:r w:rsidRPr="006F307B">
              <w:rPr>
                <w:rFonts w:ascii="Arial Narrow" w:hAnsi="Arial Narrow"/>
                <w:b w:val="0"/>
                <w:sz w:val="20"/>
                <w:szCs w:val="20"/>
              </w:rPr>
              <w:t>PFS HR (95% CI)</w:t>
            </w:r>
          </w:p>
        </w:tc>
        <w:tc>
          <w:tcPr>
            <w:tcW w:w="476" w:type="pc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lang w:val="en-AU"/>
              </w:rPr>
            </w:pPr>
            <w:r w:rsidRPr="006F307B">
              <w:rPr>
                <w:rFonts w:ascii="Arial Narrow" w:hAnsi="Arial Narrow"/>
                <w:b w:val="0"/>
                <w:sz w:val="20"/>
                <w:szCs w:val="20"/>
              </w:rPr>
              <w:t>N</w:t>
            </w:r>
          </w:p>
        </w:tc>
        <w:tc>
          <w:tcPr>
            <w:tcW w:w="954" w:type="pc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vertAlign w:val="superscript"/>
                <w:lang w:val="en-AU"/>
              </w:rPr>
            </w:pPr>
            <w:r w:rsidRPr="006F307B">
              <w:rPr>
                <w:rFonts w:ascii="Arial Narrow" w:hAnsi="Arial Narrow"/>
                <w:b w:val="0"/>
                <w:sz w:val="20"/>
                <w:szCs w:val="20"/>
              </w:rPr>
              <w:t xml:space="preserve">PFS HR (95% CI) </w:t>
            </w:r>
            <w:r w:rsidRPr="006F307B">
              <w:rPr>
                <w:rFonts w:ascii="Arial Narrow" w:hAnsi="Arial Narrow"/>
                <w:b w:val="0"/>
                <w:sz w:val="20"/>
                <w:szCs w:val="20"/>
                <w:vertAlign w:val="superscript"/>
              </w:rPr>
              <w:t>a</w:t>
            </w:r>
          </w:p>
        </w:tc>
        <w:tc>
          <w:tcPr>
            <w:tcW w:w="1112" w:type="pct"/>
            <w:vMerge/>
            <w:shd w:val="clear" w:color="auto" w:fill="auto"/>
            <w:vAlign w:val="center"/>
          </w:tcPr>
          <w:p w:rsidR="00B26AC1" w:rsidRPr="007278E9" w:rsidRDefault="00B26AC1" w:rsidP="00B26AC1">
            <w:pPr>
              <w:keepNext/>
              <w:keepLines/>
              <w:spacing w:before="40" w:after="40"/>
              <w:jc w:val="center"/>
              <w:rPr>
                <w:rFonts w:ascii="Arial Narrow" w:hAnsi="Arial Narrow"/>
                <w:b w:val="0"/>
                <w:sz w:val="20"/>
                <w:szCs w:val="20"/>
                <w:lang w:val="en-AU"/>
              </w:rPr>
            </w:pPr>
          </w:p>
        </w:tc>
      </w:tr>
      <w:tr w:rsidR="00B26AC1" w:rsidRPr="006F307B" w:rsidTr="00555D45">
        <w:tc>
          <w:tcPr>
            <w:tcW w:w="768" w:type="pct"/>
            <w:shd w:val="clear" w:color="auto" w:fill="auto"/>
            <w:hideMark/>
          </w:tcPr>
          <w:p w:rsidR="00B26AC1" w:rsidRPr="007278E9" w:rsidRDefault="00B26AC1" w:rsidP="00B26AC1">
            <w:pPr>
              <w:keepNext/>
              <w:keepLines/>
              <w:spacing w:before="40" w:after="40"/>
              <w:rPr>
                <w:rFonts w:ascii="Arial Narrow" w:hAnsi="Arial Narrow"/>
                <w:sz w:val="20"/>
                <w:szCs w:val="20"/>
                <w:lang w:val="en-AU"/>
              </w:rPr>
            </w:pPr>
            <w:r w:rsidRPr="006F307B">
              <w:rPr>
                <w:rFonts w:ascii="Arial Narrow" w:hAnsi="Arial Narrow"/>
                <w:sz w:val="20"/>
                <w:szCs w:val="20"/>
              </w:rPr>
              <w:t>All-comers</w:t>
            </w:r>
          </w:p>
        </w:tc>
        <w:tc>
          <w:tcPr>
            <w:tcW w:w="737" w:type="pc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601</w:t>
            </w:r>
          </w:p>
        </w:tc>
        <w:tc>
          <w:tcPr>
            <w:tcW w:w="953" w:type="pct"/>
            <w:shd w:val="clear" w:color="auto" w:fill="auto"/>
            <w:vAlign w:val="center"/>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1.29 (1.09, 1.53)</w:t>
            </w:r>
          </w:p>
        </w:tc>
        <w:tc>
          <w:tcPr>
            <w:tcW w:w="476" w:type="pct"/>
            <w:vMerge w:val="restar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442</w:t>
            </w:r>
          </w:p>
        </w:tc>
        <w:tc>
          <w:tcPr>
            <w:tcW w:w="954" w:type="pct"/>
            <w:vMerge w:val="restar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1.85 (1.49, 2.33)</w:t>
            </w:r>
          </w:p>
        </w:tc>
        <w:tc>
          <w:tcPr>
            <w:tcW w:w="1112" w:type="pct"/>
            <w:shd w:val="clear" w:color="auto" w:fill="auto"/>
            <w:vAlign w:val="center"/>
          </w:tcPr>
          <w:p w:rsidR="00B26AC1" w:rsidRPr="007278E9" w:rsidRDefault="00B26AC1" w:rsidP="00B26AC1">
            <w:pPr>
              <w:keepNext/>
              <w:keepLines/>
              <w:spacing w:before="40" w:after="40"/>
              <w:jc w:val="center"/>
              <w:rPr>
                <w:rFonts w:ascii="Arial Narrow" w:hAnsi="Arial Narrow"/>
                <w:b/>
                <w:sz w:val="20"/>
                <w:szCs w:val="20"/>
                <w:lang w:val="en-AU"/>
              </w:rPr>
            </w:pPr>
            <w:r w:rsidRPr="006F307B">
              <w:rPr>
                <w:rFonts w:ascii="Arial Narrow" w:hAnsi="Arial Narrow"/>
                <w:b/>
                <w:sz w:val="20"/>
                <w:szCs w:val="20"/>
              </w:rPr>
              <w:t>0.69 (0.52, 0.91)</w:t>
            </w:r>
          </w:p>
        </w:tc>
      </w:tr>
      <w:tr w:rsidR="00B26AC1" w:rsidRPr="006F307B" w:rsidTr="00555D45">
        <w:tc>
          <w:tcPr>
            <w:tcW w:w="768" w:type="pct"/>
            <w:shd w:val="clear" w:color="auto" w:fill="auto"/>
            <w:hideMark/>
          </w:tcPr>
          <w:p w:rsidR="00B26AC1" w:rsidRPr="007278E9" w:rsidRDefault="00B26AC1" w:rsidP="00B26AC1">
            <w:pPr>
              <w:keepNext/>
              <w:keepLines/>
              <w:spacing w:before="40" w:after="40"/>
              <w:rPr>
                <w:rFonts w:ascii="Arial Narrow" w:hAnsi="Arial Narrow"/>
                <w:sz w:val="20"/>
                <w:szCs w:val="20"/>
                <w:lang w:val="en-AU"/>
              </w:rPr>
            </w:pPr>
            <w:r w:rsidRPr="006F307B">
              <w:rPr>
                <w:rFonts w:ascii="Arial Narrow" w:hAnsi="Arial Narrow"/>
                <w:sz w:val="20"/>
                <w:szCs w:val="20"/>
              </w:rPr>
              <w:t>CPS ≥1</w:t>
            </w:r>
          </w:p>
        </w:tc>
        <w:tc>
          <w:tcPr>
            <w:tcW w:w="737" w:type="pc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512</w:t>
            </w:r>
          </w:p>
        </w:tc>
        <w:tc>
          <w:tcPr>
            <w:tcW w:w="953" w:type="pct"/>
            <w:shd w:val="clear" w:color="auto" w:fill="auto"/>
            <w:vAlign w:val="center"/>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1.13 (0.94, 1.36)</w:t>
            </w:r>
          </w:p>
        </w:tc>
        <w:tc>
          <w:tcPr>
            <w:tcW w:w="476" w:type="pct"/>
            <w:vMerge/>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p>
        </w:tc>
        <w:tc>
          <w:tcPr>
            <w:tcW w:w="954" w:type="pct"/>
            <w:vMerge/>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p>
        </w:tc>
        <w:tc>
          <w:tcPr>
            <w:tcW w:w="1112" w:type="pct"/>
            <w:shd w:val="clear" w:color="auto" w:fill="auto"/>
            <w:vAlign w:val="center"/>
          </w:tcPr>
          <w:p w:rsidR="00B26AC1" w:rsidRPr="007278E9" w:rsidRDefault="00B26AC1" w:rsidP="00B26AC1">
            <w:pPr>
              <w:keepNext/>
              <w:keepLines/>
              <w:spacing w:before="40" w:after="40"/>
              <w:jc w:val="center"/>
              <w:rPr>
                <w:rFonts w:ascii="Arial Narrow" w:hAnsi="Arial Narrow"/>
                <w:b/>
                <w:sz w:val="20"/>
                <w:szCs w:val="20"/>
                <w:lang w:val="en-AU"/>
              </w:rPr>
            </w:pPr>
            <w:r w:rsidRPr="006F307B">
              <w:rPr>
                <w:rFonts w:ascii="Arial Narrow" w:hAnsi="Arial Narrow"/>
                <w:b/>
                <w:sz w:val="20"/>
                <w:szCs w:val="20"/>
              </w:rPr>
              <w:t>0.61 (0.46, 0.8)</w:t>
            </w:r>
          </w:p>
        </w:tc>
      </w:tr>
      <w:tr w:rsidR="00B26AC1" w:rsidRPr="006F307B" w:rsidTr="00555D45">
        <w:tc>
          <w:tcPr>
            <w:tcW w:w="768" w:type="pct"/>
            <w:shd w:val="clear" w:color="auto" w:fill="auto"/>
            <w:hideMark/>
          </w:tcPr>
          <w:p w:rsidR="00B26AC1" w:rsidRPr="007278E9" w:rsidRDefault="00B26AC1" w:rsidP="00B26AC1">
            <w:pPr>
              <w:keepNext/>
              <w:keepLines/>
              <w:spacing w:before="40" w:after="40"/>
              <w:rPr>
                <w:rFonts w:ascii="Arial Narrow" w:hAnsi="Arial Narrow"/>
                <w:sz w:val="20"/>
                <w:szCs w:val="20"/>
                <w:lang w:val="en-AU"/>
              </w:rPr>
            </w:pPr>
            <w:r w:rsidRPr="006F307B">
              <w:rPr>
                <w:rFonts w:ascii="Arial Narrow" w:hAnsi="Arial Narrow"/>
                <w:sz w:val="20"/>
                <w:szCs w:val="20"/>
              </w:rPr>
              <w:t>CPS ≥20</w:t>
            </w:r>
          </w:p>
        </w:tc>
        <w:tc>
          <w:tcPr>
            <w:tcW w:w="737" w:type="pc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255</w:t>
            </w:r>
          </w:p>
        </w:tc>
        <w:tc>
          <w:tcPr>
            <w:tcW w:w="953" w:type="pct"/>
            <w:shd w:val="clear" w:color="auto" w:fill="auto"/>
            <w:vAlign w:val="center"/>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0.99 (0.76, 1.29)</w:t>
            </w:r>
          </w:p>
        </w:tc>
        <w:tc>
          <w:tcPr>
            <w:tcW w:w="476" w:type="pct"/>
            <w:vMerge/>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p>
        </w:tc>
        <w:tc>
          <w:tcPr>
            <w:tcW w:w="954" w:type="pct"/>
            <w:vMerge/>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p>
        </w:tc>
        <w:tc>
          <w:tcPr>
            <w:tcW w:w="1112" w:type="pct"/>
            <w:shd w:val="clear" w:color="auto" w:fill="auto"/>
            <w:vAlign w:val="center"/>
          </w:tcPr>
          <w:p w:rsidR="00B26AC1" w:rsidRPr="007278E9" w:rsidRDefault="00B26AC1" w:rsidP="00B26AC1">
            <w:pPr>
              <w:keepNext/>
              <w:keepLines/>
              <w:spacing w:before="40" w:after="40"/>
              <w:jc w:val="center"/>
              <w:rPr>
                <w:rFonts w:ascii="Arial Narrow" w:hAnsi="Arial Narrow"/>
                <w:b/>
                <w:sz w:val="20"/>
                <w:szCs w:val="20"/>
                <w:lang w:val="en-AU"/>
              </w:rPr>
            </w:pPr>
            <w:r w:rsidRPr="006F307B">
              <w:rPr>
                <w:rFonts w:ascii="Arial Narrow" w:hAnsi="Arial Narrow"/>
                <w:b/>
                <w:sz w:val="20"/>
                <w:szCs w:val="20"/>
              </w:rPr>
              <w:t>0.53 (0.38, 0.74)</w:t>
            </w:r>
          </w:p>
        </w:tc>
      </w:tr>
    </w:tbl>
    <w:p w:rsidR="00B26AC1" w:rsidRPr="006F307B" w:rsidRDefault="00E9137E" w:rsidP="00B26AC1">
      <w:pPr>
        <w:keepNext/>
        <w:keepLines/>
        <w:spacing w:before="0" w:after="0"/>
        <w:rPr>
          <w:rFonts w:ascii="Arial Narrow" w:hAnsi="Arial Narrow"/>
          <w:sz w:val="18"/>
          <w:szCs w:val="18"/>
        </w:rPr>
      </w:pPr>
      <w:r w:rsidRPr="00ED436C">
        <w:rPr>
          <w:rFonts w:ascii="Arial Narrow" w:hAnsi="Arial Narrow"/>
          <w:sz w:val="18"/>
          <w:szCs w:val="18"/>
        </w:rPr>
        <w:t xml:space="preserve">Abbreviations: </w:t>
      </w:r>
      <w:r w:rsidR="00B26AC1" w:rsidRPr="006F307B">
        <w:rPr>
          <w:rFonts w:ascii="Arial Narrow" w:hAnsi="Arial Narrow"/>
          <w:sz w:val="18"/>
          <w:szCs w:val="18"/>
        </w:rPr>
        <w:t xml:space="preserve">Pembro mono = pembrolizumab monotherapy, Chemo = </w:t>
      </w:r>
      <w:r w:rsidR="00593978">
        <w:rPr>
          <w:rFonts w:ascii="Arial Narrow" w:hAnsi="Arial Narrow"/>
          <w:sz w:val="18"/>
          <w:szCs w:val="18"/>
        </w:rPr>
        <w:t>chemotherapy, PFS = progression-</w:t>
      </w:r>
      <w:r w:rsidR="00B26AC1" w:rsidRPr="006F307B">
        <w:rPr>
          <w:rFonts w:ascii="Arial Narrow" w:hAnsi="Arial Narrow"/>
          <w:sz w:val="18"/>
          <w:szCs w:val="18"/>
        </w:rPr>
        <w:t>free survival, HR = hazard ratio</w:t>
      </w:r>
      <w:r>
        <w:rPr>
          <w:rFonts w:ascii="Arial Narrow" w:hAnsi="Arial Narrow"/>
          <w:sz w:val="18"/>
          <w:szCs w:val="18"/>
        </w:rPr>
        <w:t>, CPS = combined positive score</w:t>
      </w:r>
    </w:p>
    <w:p w:rsidR="00B26AC1" w:rsidRPr="006F307B" w:rsidRDefault="00B26AC1" w:rsidP="00B26AC1">
      <w:pPr>
        <w:keepNext/>
        <w:keepLines/>
        <w:tabs>
          <w:tab w:val="left" w:pos="284"/>
        </w:tabs>
        <w:spacing w:before="0" w:after="0"/>
        <w:ind w:left="284" w:hanging="284"/>
        <w:rPr>
          <w:rFonts w:ascii="Arial Narrow" w:hAnsi="Arial Narrow"/>
          <w:sz w:val="18"/>
          <w:szCs w:val="18"/>
        </w:rPr>
      </w:pPr>
      <w:r w:rsidRPr="006F307B">
        <w:rPr>
          <w:rFonts w:ascii="Arial Narrow" w:hAnsi="Arial Narrow"/>
          <w:sz w:val="18"/>
          <w:szCs w:val="18"/>
          <w:vertAlign w:val="superscript"/>
        </w:rPr>
        <w:t>a</w:t>
      </w:r>
      <w:r w:rsidRPr="006F307B">
        <w:rPr>
          <w:rFonts w:ascii="Arial Narrow" w:hAnsi="Arial Narrow"/>
          <w:sz w:val="18"/>
          <w:szCs w:val="18"/>
        </w:rPr>
        <w:tab/>
        <w:t>calculated using the inverse of PFS HR reported in EXTREME (HR=0.54, 95%CI 0.43, 0.67) to reflect treatment effect of chemotherapy relative</w:t>
      </w:r>
      <w:r w:rsidR="00E9137E">
        <w:rPr>
          <w:rFonts w:ascii="Arial Narrow" w:hAnsi="Arial Narrow"/>
          <w:sz w:val="18"/>
          <w:szCs w:val="18"/>
        </w:rPr>
        <w:t xml:space="preserve"> to cetuximab plus chemotherapy</w:t>
      </w:r>
    </w:p>
    <w:p w:rsidR="00B26AC1" w:rsidRPr="006F307B" w:rsidRDefault="00E4574C" w:rsidP="00B26AC1">
      <w:pPr>
        <w:keepNext/>
        <w:keepLines/>
        <w:spacing w:before="0" w:after="0"/>
        <w:rPr>
          <w:rFonts w:ascii="Arial Narrow" w:hAnsi="Arial Narrow"/>
          <w:sz w:val="18"/>
          <w:szCs w:val="18"/>
        </w:rPr>
      </w:pPr>
      <w:r w:rsidRPr="006F307B">
        <w:rPr>
          <w:rFonts w:ascii="Arial Narrow" w:hAnsi="Arial Narrow"/>
          <w:sz w:val="18"/>
          <w:szCs w:val="18"/>
        </w:rPr>
        <w:t>T</w:t>
      </w:r>
      <w:r w:rsidR="00B26AC1" w:rsidRPr="006F307B">
        <w:rPr>
          <w:rFonts w:ascii="Arial Narrow" w:hAnsi="Arial Narrow"/>
          <w:sz w:val="18"/>
          <w:szCs w:val="18"/>
        </w:rPr>
        <w:t>ext in bold indicate statis</w:t>
      </w:r>
      <w:r w:rsidR="00E9137E">
        <w:rPr>
          <w:rFonts w:ascii="Arial Narrow" w:hAnsi="Arial Narrow"/>
          <w:sz w:val="18"/>
          <w:szCs w:val="18"/>
        </w:rPr>
        <w:t>tically significant differences</w:t>
      </w:r>
    </w:p>
    <w:p w:rsidR="00B26AC1" w:rsidRPr="006F307B" w:rsidRDefault="00B26AC1" w:rsidP="00B26AC1">
      <w:pPr>
        <w:keepNext/>
        <w:keepLines/>
        <w:spacing w:before="0" w:after="0"/>
        <w:rPr>
          <w:rFonts w:ascii="Arial Narrow" w:hAnsi="Arial Narrow"/>
          <w:sz w:val="18"/>
          <w:szCs w:val="18"/>
        </w:rPr>
      </w:pPr>
      <w:r w:rsidRPr="006F307B">
        <w:rPr>
          <w:rFonts w:ascii="Arial Narrow" w:hAnsi="Arial Narrow"/>
          <w:sz w:val="18"/>
          <w:szCs w:val="18"/>
        </w:rPr>
        <w:t>Source: Table 2.6-6, p101 of th</w:t>
      </w:r>
      <w:r w:rsidR="00E9137E">
        <w:rPr>
          <w:rFonts w:ascii="Arial Narrow" w:hAnsi="Arial Narrow"/>
          <w:sz w:val="18"/>
          <w:szCs w:val="18"/>
        </w:rPr>
        <w:t>e submission</w:t>
      </w:r>
    </w:p>
    <w:p w:rsidR="00B26AC1" w:rsidRPr="006F307B" w:rsidRDefault="00B26AC1" w:rsidP="005136D2">
      <w:pPr>
        <w:spacing w:before="0" w:after="0"/>
        <w:ind w:left="720" w:hanging="720"/>
      </w:pPr>
    </w:p>
    <w:p w:rsidR="00B26AC1" w:rsidRPr="006F307B" w:rsidRDefault="00B26AC1" w:rsidP="00B26AC1">
      <w:pPr>
        <w:pStyle w:val="InstructionalText"/>
        <w:keepNext/>
        <w:keepLines/>
        <w:spacing w:before="0" w:after="0"/>
        <w:rPr>
          <w:rFonts w:ascii="Arial Narrow" w:hAnsi="Arial Narrow"/>
          <w:b/>
          <w:color w:val="auto"/>
          <w:sz w:val="20"/>
          <w:szCs w:val="20"/>
        </w:rPr>
      </w:pPr>
      <w:r w:rsidRPr="006F307B">
        <w:rPr>
          <w:rFonts w:ascii="Arial Narrow" w:hAnsi="Arial Narrow"/>
          <w:b/>
          <w:color w:val="auto"/>
          <w:sz w:val="20"/>
          <w:szCs w:val="20"/>
        </w:rPr>
        <w:t>Figure</w:t>
      </w:r>
      <w:r w:rsidR="00316F58" w:rsidRPr="006F307B">
        <w:rPr>
          <w:rFonts w:ascii="Arial Narrow" w:hAnsi="Arial Narrow"/>
          <w:b/>
          <w:color w:val="auto"/>
          <w:sz w:val="20"/>
          <w:szCs w:val="20"/>
        </w:rPr>
        <w:t xml:space="preserve"> </w:t>
      </w:r>
      <w:r w:rsidRPr="006F307B">
        <w:rPr>
          <w:rFonts w:ascii="Arial Narrow" w:hAnsi="Arial Narrow"/>
          <w:b/>
          <w:color w:val="auto"/>
          <w:sz w:val="20"/>
          <w:szCs w:val="20"/>
        </w:rPr>
        <w:t>5</w:t>
      </w:r>
      <w:r w:rsidR="00316F58" w:rsidRPr="006F307B">
        <w:rPr>
          <w:rFonts w:ascii="Arial Narrow" w:hAnsi="Arial Narrow"/>
          <w:b/>
          <w:color w:val="auto"/>
          <w:sz w:val="20"/>
          <w:szCs w:val="20"/>
        </w:rPr>
        <w:t>:</w:t>
      </w:r>
      <w:r w:rsidRPr="006F307B">
        <w:rPr>
          <w:rFonts w:ascii="Arial Narrow" w:hAnsi="Arial Narrow"/>
          <w:b/>
          <w:color w:val="auto"/>
          <w:sz w:val="20"/>
          <w:szCs w:val="20"/>
        </w:rPr>
        <w:t xml:space="preserve"> PFS Kaplan-Meier curve in KN048 ITT, pembrolizumab monotherapy vs cetuximab plus chemotherapy</w:t>
      </w:r>
    </w:p>
    <w:p w:rsidR="00B26AC1" w:rsidRPr="006F307B" w:rsidRDefault="00B26AC1" w:rsidP="00B26AC1">
      <w:pPr>
        <w:pStyle w:val="InstructionalText"/>
        <w:keepNext/>
        <w:keepLines/>
        <w:spacing w:before="0" w:after="0"/>
        <w:rPr>
          <w:rFonts w:ascii="Arial Narrow" w:hAnsi="Arial Narrow"/>
          <w:b/>
          <w:color w:val="auto"/>
          <w:sz w:val="20"/>
          <w:szCs w:val="20"/>
        </w:rPr>
      </w:pPr>
      <w:r w:rsidRPr="00AF3270">
        <w:rPr>
          <w:rFonts w:ascii="Arial Narrow" w:hAnsi="Arial Narrow"/>
          <w:b/>
          <w:noProof/>
          <w:color w:val="auto"/>
          <w:sz w:val="20"/>
          <w:szCs w:val="20"/>
          <w:lang w:eastAsia="en-AU"/>
        </w:rPr>
        <w:drawing>
          <wp:inline distT="0" distB="0" distL="0" distR="0" wp14:anchorId="2D430801" wp14:editId="7F96D35E">
            <wp:extent cx="4981575" cy="3616193"/>
            <wp:effectExtent l="0" t="0" r="0" b="3810"/>
            <wp:docPr id="67994777" name="Picture 67994777" title="Figure 5: PFS Kaplan-Meier curve in KN048 ITT, pembrolizumab monotherapy vs cetuximab plus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9127" cy="3621675"/>
                    </a:xfrm>
                    <a:prstGeom prst="rect">
                      <a:avLst/>
                    </a:prstGeom>
                    <a:noFill/>
                    <a:ln>
                      <a:noFill/>
                    </a:ln>
                  </pic:spPr>
                </pic:pic>
              </a:graphicData>
            </a:graphic>
          </wp:inline>
        </w:drawing>
      </w:r>
    </w:p>
    <w:p w:rsidR="00B26AC1" w:rsidRPr="006F307B" w:rsidRDefault="00B26AC1" w:rsidP="00B26AC1">
      <w:pPr>
        <w:pStyle w:val="InstructionalText"/>
        <w:keepNext/>
        <w:keepLines/>
        <w:spacing w:before="0" w:after="0"/>
        <w:rPr>
          <w:rFonts w:ascii="Arial Narrow" w:hAnsi="Arial Narrow"/>
          <w:color w:val="auto"/>
          <w:sz w:val="18"/>
          <w:szCs w:val="18"/>
        </w:rPr>
      </w:pPr>
      <w:r w:rsidRPr="006F307B">
        <w:rPr>
          <w:rFonts w:ascii="Arial Narrow" w:hAnsi="Arial Narrow"/>
          <w:color w:val="auto"/>
          <w:sz w:val="18"/>
          <w:szCs w:val="18"/>
        </w:rPr>
        <w:t>Source: Figure 11-31, p271 of KN048 CSR</w:t>
      </w:r>
    </w:p>
    <w:p w:rsidR="00B26AC1" w:rsidRPr="006F307B" w:rsidRDefault="00B26AC1" w:rsidP="005136D2">
      <w:pPr>
        <w:ind w:left="720" w:hanging="720"/>
      </w:pPr>
    </w:p>
    <w:p w:rsidR="00B26AC1" w:rsidRPr="00B74405" w:rsidRDefault="00B26AC1" w:rsidP="00B26AC1">
      <w:pPr>
        <w:pStyle w:val="InstructionalText"/>
        <w:keepNext/>
        <w:keepLines/>
        <w:spacing w:before="0" w:after="0"/>
        <w:rPr>
          <w:rFonts w:ascii="Arial Narrow" w:hAnsi="Arial Narrow"/>
          <w:b/>
          <w:color w:val="auto"/>
          <w:sz w:val="20"/>
          <w:szCs w:val="20"/>
        </w:rPr>
      </w:pPr>
      <w:r w:rsidRPr="006F307B">
        <w:rPr>
          <w:rFonts w:ascii="Arial Narrow" w:hAnsi="Arial Narrow"/>
          <w:b/>
          <w:color w:val="auto"/>
          <w:sz w:val="20"/>
          <w:szCs w:val="20"/>
        </w:rPr>
        <w:lastRenderedPageBreak/>
        <w:t>Figure</w:t>
      </w:r>
      <w:r w:rsidR="00316F58" w:rsidRPr="006F307B">
        <w:rPr>
          <w:rFonts w:ascii="Arial Narrow" w:hAnsi="Arial Narrow"/>
          <w:b/>
          <w:color w:val="auto"/>
          <w:sz w:val="20"/>
          <w:szCs w:val="20"/>
        </w:rPr>
        <w:t xml:space="preserve"> </w:t>
      </w:r>
      <w:r w:rsidRPr="006F307B">
        <w:rPr>
          <w:rFonts w:ascii="Arial Narrow" w:hAnsi="Arial Narrow"/>
          <w:b/>
          <w:color w:val="auto"/>
          <w:sz w:val="20"/>
          <w:szCs w:val="20"/>
        </w:rPr>
        <w:t>6</w:t>
      </w:r>
      <w:r w:rsidR="00316F58" w:rsidRPr="00B74405">
        <w:rPr>
          <w:rFonts w:ascii="Arial Narrow" w:hAnsi="Arial Narrow"/>
          <w:b/>
          <w:color w:val="auto"/>
          <w:sz w:val="20"/>
          <w:szCs w:val="20"/>
        </w:rPr>
        <w:t>:</w:t>
      </w:r>
      <w:r w:rsidRPr="00B74405">
        <w:rPr>
          <w:rFonts w:ascii="Arial Narrow" w:hAnsi="Arial Narrow"/>
          <w:b/>
          <w:color w:val="auto"/>
          <w:sz w:val="20"/>
          <w:szCs w:val="20"/>
        </w:rPr>
        <w:tab/>
        <w:t xml:space="preserve">PFS Kaplan-Meier curve in KN048 CPS </w:t>
      </w:r>
      <w:r w:rsidRPr="00B74405">
        <w:rPr>
          <w:rFonts w:ascii="Arial Narrow" w:hAnsi="Arial Narrow" w:cstheme="minorHAnsi"/>
          <w:b/>
          <w:color w:val="auto"/>
          <w:sz w:val="20"/>
          <w:szCs w:val="20"/>
        </w:rPr>
        <w:t>≥</w:t>
      </w:r>
      <w:r w:rsidRPr="00B74405">
        <w:rPr>
          <w:rFonts w:ascii="Arial Narrow" w:hAnsi="Arial Narrow"/>
          <w:b/>
          <w:color w:val="auto"/>
          <w:sz w:val="20"/>
          <w:szCs w:val="20"/>
        </w:rPr>
        <w:t>1, pembrolizumab monotherapy vs cetuximab plus chemotherapy</w:t>
      </w:r>
    </w:p>
    <w:p w:rsidR="00B26AC1" w:rsidRPr="006F307B" w:rsidRDefault="00B26AC1" w:rsidP="00B26AC1">
      <w:pPr>
        <w:pStyle w:val="InstructionalText"/>
        <w:keepNext/>
        <w:keepLines/>
        <w:spacing w:before="0" w:after="0"/>
        <w:rPr>
          <w:rFonts w:ascii="Arial Narrow" w:hAnsi="Arial Narrow"/>
          <w:b/>
          <w:color w:val="auto"/>
          <w:sz w:val="20"/>
          <w:szCs w:val="20"/>
        </w:rPr>
      </w:pPr>
      <w:r w:rsidRPr="00AF3270">
        <w:rPr>
          <w:rFonts w:ascii="Arial Narrow" w:hAnsi="Arial Narrow"/>
          <w:noProof/>
          <w:color w:val="auto"/>
          <w:sz w:val="20"/>
          <w:szCs w:val="20"/>
          <w:lang w:eastAsia="en-AU"/>
        </w:rPr>
        <w:drawing>
          <wp:inline distT="0" distB="0" distL="0" distR="0" wp14:anchorId="5837C884" wp14:editId="6F144418">
            <wp:extent cx="4943475" cy="3561605"/>
            <wp:effectExtent l="0" t="0" r="0" b="1270"/>
            <wp:docPr id="67994780" name="Picture 67994780" title="Figure 6: PFS Kaplan-Meier curve in KN048 CPS ≥1, pembrolizumab monotherapy vs cetuximab plus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7238" cy="3564316"/>
                    </a:xfrm>
                    <a:prstGeom prst="rect">
                      <a:avLst/>
                    </a:prstGeom>
                    <a:noFill/>
                    <a:ln>
                      <a:noFill/>
                    </a:ln>
                  </pic:spPr>
                </pic:pic>
              </a:graphicData>
            </a:graphic>
          </wp:inline>
        </w:drawing>
      </w:r>
    </w:p>
    <w:p w:rsidR="00B26AC1" w:rsidRPr="006F307B" w:rsidRDefault="00B26AC1" w:rsidP="00B26AC1">
      <w:pPr>
        <w:pStyle w:val="InstructionalText"/>
        <w:keepNext/>
        <w:keepLines/>
        <w:spacing w:before="0" w:after="0"/>
        <w:rPr>
          <w:rFonts w:ascii="Arial Narrow" w:hAnsi="Arial Narrow"/>
          <w:color w:val="auto"/>
          <w:sz w:val="18"/>
          <w:szCs w:val="18"/>
        </w:rPr>
      </w:pPr>
      <w:r w:rsidRPr="006F307B">
        <w:rPr>
          <w:rFonts w:ascii="Arial Narrow" w:hAnsi="Arial Narrow"/>
          <w:color w:val="auto"/>
          <w:sz w:val="18"/>
          <w:szCs w:val="18"/>
        </w:rPr>
        <w:t>Source: Figure 2.5-3, p64 of the submission</w:t>
      </w:r>
    </w:p>
    <w:p w:rsidR="003205A6" w:rsidRPr="006F307B" w:rsidRDefault="00B26AC1" w:rsidP="00B26AC1">
      <w:pPr>
        <w:pStyle w:val="ListParagraph"/>
        <w:rPr>
          <w:color w:val="auto"/>
        </w:rPr>
      </w:pPr>
      <w:r w:rsidRPr="00B74405">
        <w:t>The submission claimed that there was a 40% reduction in the risk of progression or death in patients with CPS ≥1 using pembrolizumab monotherapy compared to chemotherapy</w:t>
      </w:r>
      <w:r w:rsidR="00E4574C" w:rsidRPr="006F307B">
        <w:t xml:space="preserve"> based on the indirect comparison</w:t>
      </w:r>
      <w:r w:rsidRPr="006F307B">
        <w:t>. Given the violations of the Cox Proportionate Hazard assumption due to a clear crossover in the PFS in KN048, it was unlikely that the PFS HR from KN048 was informative, therefore the PFS indirect comparison resul</w:t>
      </w:r>
      <w:r w:rsidR="005136D2">
        <w:t>ts are unlikely to be reliable.</w:t>
      </w:r>
    </w:p>
    <w:p w:rsidR="00B26AC1" w:rsidRPr="006F307B" w:rsidRDefault="00DA2534" w:rsidP="00B26AC1">
      <w:pPr>
        <w:pStyle w:val="ListParagraph"/>
        <w:rPr>
          <w:color w:val="auto"/>
        </w:rPr>
      </w:pPr>
      <w:r w:rsidRPr="006F307B">
        <w:t>Noting th</w:t>
      </w:r>
      <w:r w:rsidR="00113009" w:rsidRPr="006F307B">
        <w:t xml:space="preserve">e </w:t>
      </w:r>
      <w:r w:rsidRPr="006F307B">
        <w:t>hazard ratio of 1.29 (95% CI: 1.09, 1.53) for the ITT population from KN048,</w:t>
      </w:r>
      <w:r w:rsidR="003C3880" w:rsidRPr="006F307B">
        <w:t xml:space="preserve"> the PBAC </w:t>
      </w:r>
      <w:r w:rsidR="00316F58" w:rsidRPr="006F307B">
        <w:t>noted the trial did not show a</w:t>
      </w:r>
      <w:r w:rsidR="003C3880" w:rsidRPr="006F307B">
        <w:t xml:space="preserve"> PFS benefit for pembrolizumab monotherapy </w:t>
      </w:r>
      <w:r w:rsidR="008374B8" w:rsidRPr="006F307B">
        <w:t>versus</w:t>
      </w:r>
      <w:r w:rsidR="00316F58" w:rsidRPr="006F307B">
        <w:t xml:space="preserve"> cetuximab + chemotherapy</w:t>
      </w:r>
      <w:r w:rsidR="006F307B">
        <w:t>.</w:t>
      </w:r>
    </w:p>
    <w:p w:rsidR="00B26AC1" w:rsidRPr="006F307B" w:rsidRDefault="00B26AC1" w:rsidP="00B26AC1">
      <w:pPr>
        <w:pStyle w:val="ListParagraph"/>
      </w:pPr>
      <w:r w:rsidRPr="006F307B">
        <w:t xml:space="preserve">The PFS results of pembrolizumab </w:t>
      </w:r>
      <w:r w:rsidR="001063B7" w:rsidRPr="006F307B">
        <w:t xml:space="preserve">+ </w:t>
      </w:r>
      <w:r w:rsidRPr="006F307B">
        <w:t>chemotherapy versus cetu</w:t>
      </w:r>
      <w:r w:rsidRPr="00B74405">
        <w:t xml:space="preserve">ximab </w:t>
      </w:r>
      <w:r w:rsidR="001063B7" w:rsidRPr="00B74405">
        <w:t xml:space="preserve">+ </w:t>
      </w:r>
      <w:r w:rsidRPr="00B74405">
        <w:t>chemotherapy from KN048 as well as th</w:t>
      </w:r>
      <w:r w:rsidR="004C46AE" w:rsidRPr="006F307B">
        <w:t>e indirect comparison with cetux</w:t>
      </w:r>
      <w:r w:rsidRPr="006F307B">
        <w:t xml:space="preserve">imab </w:t>
      </w:r>
      <w:r w:rsidR="001063B7" w:rsidRPr="006F307B">
        <w:t xml:space="preserve">+ </w:t>
      </w:r>
      <w:r w:rsidRPr="006F307B">
        <w:t>chemotherapy versus chemotherapy alone is presented in Table 12. The PFS Kaplan Meier curves from KN048 for ITT and CPS</w:t>
      </w:r>
      <w:r w:rsidR="00C9622A" w:rsidRPr="006F307B">
        <w:t xml:space="preserve"> </w:t>
      </w:r>
      <w:r w:rsidRPr="006F307B">
        <w:rPr>
          <w:rFonts w:cstheme="minorHAnsi"/>
        </w:rPr>
        <w:t>≥</w:t>
      </w:r>
      <w:r w:rsidRPr="006F307B">
        <w:t>1 populations are presented in Figures 7 and 8.</w:t>
      </w:r>
    </w:p>
    <w:p w:rsidR="00B26AC1" w:rsidRPr="00B74405" w:rsidRDefault="00B26AC1" w:rsidP="00B26AC1">
      <w:pPr>
        <w:pStyle w:val="ListParagraph"/>
        <w:keepNext/>
        <w:keepLines/>
        <w:numPr>
          <w:ilvl w:val="0"/>
          <w:numId w:val="0"/>
        </w:numPr>
        <w:spacing w:before="0" w:after="0"/>
        <w:ind w:left="720" w:hanging="720"/>
        <w:rPr>
          <w:rFonts w:ascii="Arial Narrow" w:hAnsi="Arial Narrow"/>
          <w:b/>
          <w:color w:val="auto"/>
          <w:sz w:val="20"/>
          <w:szCs w:val="20"/>
        </w:rPr>
      </w:pPr>
      <w:r w:rsidRPr="006F307B">
        <w:rPr>
          <w:rFonts w:ascii="Arial Narrow" w:hAnsi="Arial Narrow"/>
          <w:b/>
          <w:sz w:val="20"/>
          <w:szCs w:val="20"/>
        </w:rPr>
        <w:lastRenderedPageBreak/>
        <w:t>Table</w:t>
      </w:r>
      <w:r w:rsidR="00B74405">
        <w:rPr>
          <w:rFonts w:ascii="Arial Narrow" w:hAnsi="Arial Narrow"/>
          <w:b/>
          <w:sz w:val="20"/>
          <w:szCs w:val="20"/>
        </w:rPr>
        <w:t xml:space="preserve"> </w:t>
      </w:r>
      <w:r w:rsidRPr="00B74405">
        <w:rPr>
          <w:rFonts w:ascii="Arial Narrow" w:hAnsi="Arial Narrow"/>
          <w:b/>
          <w:sz w:val="20"/>
          <w:szCs w:val="20"/>
        </w:rPr>
        <w:t>12</w:t>
      </w:r>
      <w:r w:rsidR="005136D2">
        <w:rPr>
          <w:rFonts w:ascii="Arial Narrow" w:hAnsi="Arial Narrow"/>
          <w:b/>
          <w:sz w:val="20"/>
          <w:szCs w:val="20"/>
        </w:rPr>
        <w:t xml:space="preserve">: </w:t>
      </w:r>
      <w:r w:rsidRPr="00B74405">
        <w:rPr>
          <w:rFonts w:ascii="Arial Narrow" w:hAnsi="Arial Narrow"/>
          <w:b/>
          <w:color w:val="auto"/>
          <w:sz w:val="20"/>
          <w:szCs w:val="20"/>
        </w:rPr>
        <w:t>Indirect comparison of PFS for pembrolizumab plus chemotherapy and chemotherapy by PD-L1 status</w:t>
      </w:r>
    </w:p>
    <w:tbl>
      <w:tblPr>
        <w:tblStyle w:val="TableGrid"/>
        <w:tblW w:w="49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Indirect comparison of PFS for pembrolizumab plus chemotherapy and chemotherapy by PD-L1 status"/>
      </w:tblPr>
      <w:tblGrid>
        <w:gridCol w:w="1370"/>
        <w:gridCol w:w="1170"/>
        <w:gridCol w:w="1845"/>
        <w:gridCol w:w="990"/>
        <w:gridCol w:w="1704"/>
        <w:gridCol w:w="1841"/>
      </w:tblGrid>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768" w:type="pct"/>
            <w:shd w:val="clear" w:color="auto" w:fill="auto"/>
          </w:tcPr>
          <w:p w:rsidR="00B26AC1" w:rsidRPr="007278E9" w:rsidRDefault="00B26AC1" w:rsidP="00B26AC1">
            <w:pPr>
              <w:keepNext/>
              <w:keepLines/>
              <w:spacing w:before="40" w:after="40"/>
              <w:rPr>
                <w:rFonts w:ascii="Arial Narrow" w:hAnsi="Arial Narrow"/>
                <w:sz w:val="20"/>
                <w:szCs w:val="20"/>
                <w:lang w:val="en-AU"/>
              </w:rPr>
            </w:pPr>
          </w:p>
        </w:tc>
        <w:tc>
          <w:tcPr>
            <w:tcW w:w="1690" w:type="pct"/>
            <w:gridSpan w:val="2"/>
            <w:shd w:val="clear" w:color="auto" w:fill="auto"/>
            <w:vAlign w:val="center"/>
            <w:hideMark/>
          </w:tcPr>
          <w:p w:rsidR="00B26AC1" w:rsidRPr="007278E9" w:rsidRDefault="00B26AC1" w:rsidP="005136D2">
            <w:pPr>
              <w:keepNext/>
              <w:keepLines/>
              <w:spacing w:before="40" w:after="40"/>
              <w:jc w:val="center"/>
              <w:rPr>
                <w:rFonts w:ascii="Arial Narrow" w:hAnsi="Arial Narrow"/>
                <w:sz w:val="20"/>
                <w:szCs w:val="20"/>
                <w:lang w:val="en-AU"/>
              </w:rPr>
            </w:pPr>
            <w:r w:rsidRPr="006F307B">
              <w:rPr>
                <w:rFonts w:ascii="Arial Narrow" w:hAnsi="Arial Narrow"/>
                <w:sz w:val="20"/>
                <w:szCs w:val="20"/>
              </w:rPr>
              <w:t>Keynote 048</w:t>
            </w:r>
            <w:r w:rsidR="005136D2">
              <w:rPr>
                <w:rFonts w:ascii="Arial Narrow" w:hAnsi="Arial Narrow"/>
                <w:sz w:val="20"/>
                <w:szCs w:val="20"/>
              </w:rPr>
              <w:t xml:space="preserve"> –</w:t>
            </w:r>
            <w:r w:rsidRPr="006F307B">
              <w:rPr>
                <w:rFonts w:ascii="Arial Narrow" w:hAnsi="Arial Narrow"/>
                <w:sz w:val="20"/>
                <w:szCs w:val="20"/>
              </w:rPr>
              <w:t xml:space="preserve"> Pembro</w:t>
            </w:r>
            <w:r w:rsidR="005136D2">
              <w:rPr>
                <w:rFonts w:ascii="Arial Narrow" w:hAnsi="Arial Narrow"/>
                <w:sz w:val="20"/>
                <w:szCs w:val="20"/>
              </w:rPr>
              <w:t xml:space="preserve"> </w:t>
            </w:r>
            <w:r w:rsidRPr="006F307B">
              <w:rPr>
                <w:rFonts w:ascii="Arial Narrow" w:hAnsi="Arial Narrow"/>
                <w:sz w:val="20"/>
                <w:szCs w:val="20"/>
              </w:rPr>
              <w:t>+chemo vs cetuximab + chemo</w:t>
            </w:r>
          </w:p>
        </w:tc>
        <w:tc>
          <w:tcPr>
            <w:tcW w:w="1510" w:type="pct"/>
            <w:gridSpan w:val="2"/>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EXTREME – chemo vs cetuximab + chemo</w:t>
            </w:r>
          </w:p>
        </w:tc>
        <w:tc>
          <w:tcPr>
            <w:tcW w:w="1032" w:type="pct"/>
            <w:vMerge w:val="restar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lang w:val="en-AU"/>
              </w:rPr>
            </w:pPr>
            <w:r w:rsidRPr="006F307B">
              <w:rPr>
                <w:rFonts w:ascii="Arial Narrow" w:hAnsi="Arial Narrow"/>
                <w:sz w:val="20"/>
                <w:szCs w:val="20"/>
              </w:rPr>
              <w:t>Indirect comparison (95% CI)</w:t>
            </w:r>
          </w:p>
        </w:tc>
      </w:tr>
      <w:tr w:rsidR="00B26AC1" w:rsidRPr="006F307B" w:rsidTr="006F0C01">
        <w:trPr>
          <w:cnfStyle w:val="100000000000" w:firstRow="1" w:lastRow="0" w:firstColumn="0" w:lastColumn="0" w:oddVBand="0" w:evenVBand="0" w:oddHBand="0" w:evenHBand="0" w:firstRowFirstColumn="0" w:firstRowLastColumn="0" w:lastRowFirstColumn="0" w:lastRowLastColumn="0"/>
          <w:tblHeader/>
        </w:trPr>
        <w:tc>
          <w:tcPr>
            <w:tcW w:w="768" w:type="pct"/>
            <w:shd w:val="clear" w:color="auto" w:fill="auto"/>
          </w:tcPr>
          <w:p w:rsidR="00B26AC1" w:rsidRPr="007278E9" w:rsidRDefault="00B26AC1" w:rsidP="00B26AC1">
            <w:pPr>
              <w:keepNext/>
              <w:keepLines/>
              <w:spacing w:before="40" w:after="40"/>
              <w:rPr>
                <w:rFonts w:ascii="Arial Narrow" w:hAnsi="Arial Narrow"/>
                <w:b w:val="0"/>
                <w:sz w:val="20"/>
                <w:szCs w:val="20"/>
                <w:lang w:val="en-AU"/>
              </w:rPr>
            </w:pPr>
            <w:r w:rsidRPr="006F307B">
              <w:rPr>
                <w:rFonts w:ascii="Arial Narrow" w:hAnsi="Arial Narrow"/>
                <w:b w:val="0"/>
                <w:sz w:val="20"/>
                <w:szCs w:val="20"/>
              </w:rPr>
              <w:t>PD-L1 status</w:t>
            </w:r>
          </w:p>
        </w:tc>
        <w:tc>
          <w:tcPr>
            <w:tcW w:w="656" w:type="pc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lang w:val="en-AU"/>
              </w:rPr>
            </w:pPr>
            <w:r w:rsidRPr="006F307B">
              <w:rPr>
                <w:rFonts w:ascii="Arial Narrow" w:hAnsi="Arial Narrow"/>
                <w:b w:val="0"/>
                <w:sz w:val="20"/>
                <w:szCs w:val="20"/>
              </w:rPr>
              <w:t>N</w:t>
            </w:r>
          </w:p>
        </w:tc>
        <w:tc>
          <w:tcPr>
            <w:tcW w:w="1034" w:type="pc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lang w:val="en-AU"/>
              </w:rPr>
            </w:pPr>
            <w:r w:rsidRPr="006F307B">
              <w:rPr>
                <w:rFonts w:ascii="Arial Narrow" w:hAnsi="Arial Narrow"/>
                <w:b w:val="0"/>
                <w:sz w:val="20"/>
                <w:szCs w:val="20"/>
              </w:rPr>
              <w:t>PFS HR (95% CI)</w:t>
            </w:r>
          </w:p>
        </w:tc>
        <w:tc>
          <w:tcPr>
            <w:tcW w:w="555" w:type="pc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lang w:val="en-AU"/>
              </w:rPr>
            </w:pPr>
            <w:r w:rsidRPr="006F307B">
              <w:rPr>
                <w:rFonts w:ascii="Arial Narrow" w:hAnsi="Arial Narrow"/>
                <w:b w:val="0"/>
                <w:sz w:val="20"/>
                <w:szCs w:val="20"/>
              </w:rPr>
              <w:t>N</w:t>
            </w:r>
          </w:p>
        </w:tc>
        <w:tc>
          <w:tcPr>
            <w:tcW w:w="955" w:type="pct"/>
            <w:shd w:val="clear" w:color="auto" w:fill="auto"/>
            <w:vAlign w:val="center"/>
            <w:hideMark/>
          </w:tcPr>
          <w:p w:rsidR="00B26AC1" w:rsidRPr="007278E9" w:rsidRDefault="00B26AC1" w:rsidP="00B26AC1">
            <w:pPr>
              <w:keepNext/>
              <w:keepLines/>
              <w:spacing w:before="40" w:after="40"/>
              <w:jc w:val="center"/>
              <w:rPr>
                <w:rFonts w:ascii="Arial Narrow" w:hAnsi="Arial Narrow"/>
                <w:b w:val="0"/>
                <w:sz w:val="20"/>
                <w:szCs w:val="20"/>
                <w:vertAlign w:val="superscript"/>
                <w:lang w:val="en-AU"/>
              </w:rPr>
            </w:pPr>
            <w:r w:rsidRPr="006F307B">
              <w:rPr>
                <w:rFonts w:ascii="Arial Narrow" w:hAnsi="Arial Narrow"/>
                <w:b w:val="0"/>
                <w:sz w:val="20"/>
                <w:szCs w:val="20"/>
              </w:rPr>
              <w:t xml:space="preserve">PFS HR (95% CI) </w:t>
            </w:r>
            <w:r w:rsidRPr="006F307B">
              <w:rPr>
                <w:rFonts w:ascii="Arial Narrow" w:hAnsi="Arial Narrow"/>
                <w:b w:val="0"/>
                <w:sz w:val="20"/>
                <w:szCs w:val="20"/>
                <w:vertAlign w:val="superscript"/>
              </w:rPr>
              <w:t>a</w:t>
            </w:r>
          </w:p>
        </w:tc>
        <w:tc>
          <w:tcPr>
            <w:tcW w:w="1032" w:type="pct"/>
            <w:vMerge/>
            <w:shd w:val="clear" w:color="auto" w:fill="auto"/>
            <w:vAlign w:val="center"/>
          </w:tcPr>
          <w:p w:rsidR="00B26AC1" w:rsidRPr="007278E9" w:rsidRDefault="00B26AC1" w:rsidP="00B26AC1">
            <w:pPr>
              <w:keepNext/>
              <w:keepLines/>
              <w:spacing w:before="40" w:after="40"/>
              <w:jc w:val="center"/>
              <w:rPr>
                <w:rFonts w:ascii="Arial Narrow" w:hAnsi="Arial Narrow"/>
                <w:b w:val="0"/>
                <w:sz w:val="20"/>
                <w:szCs w:val="20"/>
                <w:lang w:val="en-AU"/>
              </w:rPr>
            </w:pPr>
          </w:p>
        </w:tc>
      </w:tr>
      <w:tr w:rsidR="00B26AC1" w:rsidRPr="006F307B" w:rsidTr="00E9137E">
        <w:tc>
          <w:tcPr>
            <w:tcW w:w="768" w:type="pct"/>
            <w:shd w:val="clear" w:color="auto" w:fill="auto"/>
            <w:hideMark/>
          </w:tcPr>
          <w:p w:rsidR="00B26AC1" w:rsidRPr="007278E9" w:rsidRDefault="00B26AC1" w:rsidP="00B26AC1">
            <w:pPr>
              <w:keepNext/>
              <w:keepLines/>
              <w:spacing w:before="40" w:after="40"/>
              <w:rPr>
                <w:rFonts w:ascii="Arial Narrow" w:hAnsi="Arial Narrow"/>
                <w:sz w:val="20"/>
                <w:szCs w:val="20"/>
                <w:lang w:val="en-AU"/>
              </w:rPr>
            </w:pPr>
            <w:r w:rsidRPr="006F307B">
              <w:rPr>
                <w:rFonts w:ascii="Arial Narrow" w:hAnsi="Arial Narrow"/>
                <w:sz w:val="20"/>
                <w:szCs w:val="20"/>
              </w:rPr>
              <w:t>All-comers</w:t>
            </w:r>
          </w:p>
        </w:tc>
        <w:tc>
          <w:tcPr>
            <w:tcW w:w="656" w:type="pc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559</w:t>
            </w:r>
          </w:p>
        </w:tc>
        <w:tc>
          <w:tcPr>
            <w:tcW w:w="1034" w:type="pct"/>
            <w:shd w:val="clear" w:color="auto" w:fill="auto"/>
            <w:vAlign w:val="center"/>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0.93 (0.78, 1.11)</w:t>
            </w:r>
          </w:p>
        </w:tc>
        <w:tc>
          <w:tcPr>
            <w:tcW w:w="555" w:type="pct"/>
            <w:vMerge w:val="restar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442</w:t>
            </w:r>
          </w:p>
        </w:tc>
        <w:tc>
          <w:tcPr>
            <w:tcW w:w="955" w:type="pct"/>
            <w:vMerge w:val="restar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1.85 (1.49, 2.33)</w:t>
            </w:r>
          </w:p>
        </w:tc>
        <w:tc>
          <w:tcPr>
            <w:tcW w:w="1032" w:type="pct"/>
            <w:shd w:val="clear" w:color="auto" w:fill="auto"/>
            <w:vAlign w:val="center"/>
          </w:tcPr>
          <w:p w:rsidR="00B26AC1" w:rsidRPr="007278E9" w:rsidRDefault="00B26AC1" w:rsidP="00B26AC1">
            <w:pPr>
              <w:keepNext/>
              <w:keepLines/>
              <w:spacing w:before="40" w:after="40"/>
              <w:jc w:val="center"/>
              <w:rPr>
                <w:rFonts w:ascii="Arial Narrow" w:hAnsi="Arial Narrow"/>
                <w:b/>
                <w:sz w:val="20"/>
                <w:szCs w:val="20"/>
                <w:lang w:val="en-AU"/>
              </w:rPr>
            </w:pPr>
            <w:r w:rsidRPr="006F307B">
              <w:rPr>
                <w:rFonts w:ascii="Arial Narrow" w:hAnsi="Arial Narrow"/>
                <w:b/>
                <w:sz w:val="20"/>
                <w:szCs w:val="20"/>
              </w:rPr>
              <w:t>0.5</w:t>
            </w:r>
            <w:r w:rsidR="00BF357F" w:rsidRPr="006F307B">
              <w:rPr>
                <w:rFonts w:ascii="Arial Narrow" w:hAnsi="Arial Narrow"/>
                <w:b/>
                <w:sz w:val="20"/>
                <w:szCs w:val="20"/>
              </w:rPr>
              <w:t>0</w:t>
            </w:r>
            <w:r w:rsidRPr="006F307B">
              <w:rPr>
                <w:rFonts w:ascii="Arial Narrow" w:hAnsi="Arial Narrow"/>
                <w:b/>
                <w:sz w:val="20"/>
                <w:szCs w:val="20"/>
              </w:rPr>
              <w:t xml:space="preserve"> (0.38, 0.66)</w:t>
            </w:r>
          </w:p>
        </w:tc>
      </w:tr>
      <w:tr w:rsidR="00B26AC1" w:rsidRPr="006F307B" w:rsidTr="00E9137E">
        <w:tc>
          <w:tcPr>
            <w:tcW w:w="768" w:type="pct"/>
            <w:shd w:val="clear" w:color="auto" w:fill="auto"/>
            <w:hideMark/>
          </w:tcPr>
          <w:p w:rsidR="00B26AC1" w:rsidRPr="007278E9" w:rsidRDefault="00B26AC1" w:rsidP="00B26AC1">
            <w:pPr>
              <w:keepNext/>
              <w:keepLines/>
              <w:spacing w:before="40" w:after="40"/>
              <w:rPr>
                <w:rFonts w:ascii="Arial Narrow" w:hAnsi="Arial Narrow"/>
                <w:sz w:val="20"/>
                <w:szCs w:val="20"/>
                <w:lang w:val="en-AU"/>
              </w:rPr>
            </w:pPr>
            <w:r w:rsidRPr="006F307B">
              <w:rPr>
                <w:rFonts w:ascii="Arial Narrow" w:hAnsi="Arial Narrow"/>
                <w:sz w:val="20"/>
                <w:szCs w:val="20"/>
              </w:rPr>
              <w:t>CPS ≥1</w:t>
            </w:r>
          </w:p>
        </w:tc>
        <w:tc>
          <w:tcPr>
            <w:tcW w:w="656" w:type="pc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455</w:t>
            </w:r>
          </w:p>
        </w:tc>
        <w:tc>
          <w:tcPr>
            <w:tcW w:w="1034" w:type="pct"/>
            <w:shd w:val="clear" w:color="auto" w:fill="auto"/>
            <w:vAlign w:val="center"/>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0.84 (0.69, 1.02)</w:t>
            </w:r>
          </w:p>
        </w:tc>
        <w:tc>
          <w:tcPr>
            <w:tcW w:w="555" w:type="pct"/>
            <w:vMerge/>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p>
        </w:tc>
        <w:tc>
          <w:tcPr>
            <w:tcW w:w="955" w:type="pct"/>
            <w:vMerge/>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p>
        </w:tc>
        <w:tc>
          <w:tcPr>
            <w:tcW w:w="1032" w:type="pct"/>
            <w:shd w:val="clear" w:color="auto" w:fill="auto"/>
            <w:vAlign w:val="center"/>
          </w:tcPr>
          <w:p w:rsidR="00B26AC1" w:rsidRPr="007278E9" w:rsidRDefault="00B26AC1" w:rsidP="00B26AC1">
            <w:pPr>
              <w:keepNext/>
              <w:keepLines/>
              <w:spacing w:before="40" w:after="40"/>
              <w:jc w:val="center"/>
              <w:rPr>
                <w:rFonts w:ascii="Arial Narrow" w:hAnsi="Arial Narrow"/>
                <w:b/>
                <w:sz w:val="20"/>
                <w:szCs w:val="20"/>
                <w:lang w:val="en-AU"/>
              </w:rPr>
            </w:pPr>
            <w:r w:rsidRPr="006F307B">
              <w:rPr>
                <w:rFonts w:ascii="Arial Narrow" w:hAnsi="Arial Narrow"/>
                <w:b/>
                <w:sz w:val="20"/>
                <w:szCs w:val="20"/>
              </w:rPr>
              <w:t>0.45 (0.34, 0.61)</w:t>
            </w:r>
          </w:p>
        </w:tc>
      </w:tr>
      <w:tr w:rsidR="00B26AC1" w:rsidRPr="006F307B" w:rsidTr="00E9137E">
        <w:tc>
          <w:tcPr>
            <w:tcW w:w="768" w:type="pct"/>
            <w:shd w:val="clear" w:color="auto" w:fill="auto"/>
            <w:hideMark/>
          </w:tcPr>
          <w:p w:rsidR="00B26AC1" w:rsidRPr="007278E9" w:rsidRDefault="00B26AC1" w:rsidP="00B26AC1">
            <w:pPr>
              <w:keepNext/>
              <w:keepLines/>
              <w:spacing w:before="40" w:after="40"/>
              <w:rPr>
                <w:rFonts w:ascii="Arial Narrow" w:hAnsi="Arial Narrow"/>
                <w:sz w:val="20"/>
                <w:szCs w:val="20"/>
                <w:lang w:val="en-AU"/>
              </w:rPr>
            </w:pPr>
            <w:r w:rsidRPr="006F307B">
              <w:rPr>
                <w:rFonts w:ascii="Arial Narrow" w:hAnsi="Arial Narrow"/>
                <w:sz w:val="20"/>
                <w:szCs w:val="20"/>
              </w:rPr>
              <w:t>CPS ≥20</w:t>
            </w:r>
          </w:p>
        </w:tc>
        <w:tc>
          <w:tcPr>
            <w:tcW w:w="656" w:type="pct"/>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300</w:t>
            </w:r>
          </w:p>
        </w:tc>
        <w:tc>
          <w:tcPr>
            <w:tcW w:w="1034" w:type="pct"/>
            <w:shd w:val="clear" w:color="auto" w:fill="auto"/>
            <w:vAlign w:val="center"/>
          </w:tcPr>
          <w:p w:rsidR="00B26AC1" w:rsidRPr="007278E9" w:rsidRDefault="00B26AC1" w:rsidP="00B26AC1">
            <w:pPr>
              <w:keepNext/>
              <w:keepLines/>
              <w:spacing w:before="40" w:after="40"/>
              <w:jc w:val="center"/>
              <w:rPr>
                <w:rFonts w:ascii="Arial Narrow" w:hAnsi="Arial Narrow"/>
                <w:sz w:val="20"/>
                <w:szCs w:val="20"/>
                <w:lang w:val="en-AU"/>
              </w:rPr>
            </w:pPr>
            <w:r w:rsidRPr="006F307B">
              <w:rPr>
                <w:rFonts w:ascii="Arial Narrow" w:hAnsi="Arial Narrow"/>
                <w:sz w:val="20"/>
                <w:szCs w:val="20"/>
              </w:rPr>
              <w:t>0.76 (0.58</w:t>
            </w:r>
            <w:r w:rsidR="00140F3F" w:rsidRPr="006F307B">
              <w:rPr>
                <w:rFonts w:ascii="Arial Narrow" w:hAnsi="Arial Narrow"/>
                <w:sz w:val="20"/>
                <w:szCs w:val="20"/>
              </w:rPr>
              <w:t>,</w:t>
            </w:r>
            <w:r w:rsidRPr="006F307B">
              <w:rPr>
                <w:rFonts w:ascii="Arial Narrow" w:hAnsi="Arial Narrow"/>
                <w:sz w:val="20"/>
                <w:szCs w:val="20"/>
              </w:rPr>
              <w:t xml:space="preserve"> 1.01) </w:t>
            </w:r>
            <w:r w:rsidRPr="006F307B">
              <w:rPr>
                <w:rFonts w:ascii="Arial Narrow" w:hAnsi="Arial Narrow"/>
                <w:sz w:val="20"/>
                <w:szCs w:val="20"/>
                <w:vertAlign w:val="superscript"/>
              </w:rPr>
              <w:t>b</w:t>
            </w:r>
          </w:p>
        </w:tc>
        <w:tc>
          <w:tcPr>
            <w:tcW w:w="555" w:type="pct"/>
            <w:vMerge/>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p>
        </w:tc>
        <w:tc>
          <w:tcPr>
            <w:tcW w:w="955" w:type="pct"/>
            <w:vMerge/>
            <w:shd w:val="clear" w:color="auto" w:fill="auto"/>
            <w:vAlign w:val="center"/>
            <w:hideMark/>
          </w:tcPr>
          <w:p w:rsidR="00B26AC1" w:rsidRPr="007278E9" w:rsidRDefault="00B26AC1" w:rsidP="00B26AC1">
            <w:pPr>
              <w:keepNext/>
              <w:keepLines/>
              <w:spacing w:before="40" w:after="40"/>
              <w:jc w:val="center"/>
              <w:rPr>
                <w:rFonts w:ascii="Arial Narrow" w:hAnsi="Arial Narrow"/>
                <w:sz w:val="20"/>
                <w:szCs w:val="20"/>
                <w:lang w:val="en-AU"/>
              </w:rPr>
            </w:pPr>
          </w:p>
        </w:tc>
        <w:tc>
          <w:tcPr>
            <w:tcW w:w="1032" w:type="pct"/>
            <w:shd w:val="clear" w:color="auto" w:fill="auto"/>
            <w:vAlign w:val="center"/>
          </w:tcPr>
          <w:p w:rsidR="00B26AC1" w:rsidRPr="007278E9" w:rsidRDefault="00B26AC1" w:rsidP="00B26AC1">
            <w:pPr>
              <w:keepNext/>
              <w:keepLines/>
              <w:spacing w:before="40" w:after="40"/>
              <w:jc w:val="center"/>
              <w:rPr>
                <w:rFonts w:ascii="Arial Narrow" w:hAnsi="Arial Narrow"/>
                <w:b/>
                <w:sz w:val="20"/>
                <w:szCs w:val="20"/>
                <w:lang w:val="en-AU"/>
              </w:rPr>
            </w:pPr>
            <w:r w:rsidRPr="006F307B">
              <w:rPr>
                <w:rFonts w:ascii="Arial Narrow" w:hAnsi="Arial Narrow"/>
                <w:b/>
                <w:sz w:val="20"/>
                <w:szCs w:val="20"/>
              </w:rPr>
              <w:t>0.41 (0.29, 0.58)</w:t>
            </w:r>
          </w:p>
        </w:tc>
      </w:tr>
    </w:tbl>
    <w:p w:rsidR="00B26AC1" w:rsidRPr="006F307B" w:rsidRDefault="00E9137E" w:rsidP="00B26AC1">
      <w:pPr>
        <w:keepNext/>
        <w:keepLines/>
        <w:spacing w:before="0" w:after="0"/>
        <w:rPr>
          <w:rFonts w:ascii="Arial Narrow" w:hAnsi="Arial Narrow"/>
          <w:sz w:val="18"/>
          <w:szCs w:val="18"/>
        </w:rPr>
      </w:pPr>
      <w:r w:rsidRPr="00ED436C">
        <w:rPr>
          <w:rFonts w:ascii="Arial Narrow" w:hAnsi="Arial Narrow"/>
          <w:sz w:val="18"/>
          <w:szCs w:val="18"/>
        </w:rPr>
        <w:t xml:space="preserve">Abbreviations: </w:t>
      </w:r>
      <w:r w:rsidR="00B26AC1" w:rsidRPr="006F307B">
        <w:rPr>
          <w:rFonts w:ascii="Arial Narrow" w:hAnsi="Arial Narrow"/>
          <w:sz w:val="18"/>
          <w:szCs w:val="18"/>
        </w:rPr>
        <w:t xml:space="preserve">Pembro = pembrolizumab, </w:t>
      </w:r>
      <w:r>
        <w:rPr>
          <w:rFonts w:ascii="Arial Narrow" w:hAnsi="Arial Narrow"/>
          <w:sz w:val="18"/>
          <w:szCs w:val="18"/>
        </w:rPr>
        <w:t>c</w:t>
      </w:r>
      <w:r w:rsidR="00B26AC1" w:rsidRPr="006F307B">
        <w:rPr>
          <w:rFonts w:ascii="Arial Narrow" w:hAnsi="Arial Narrow"/>
          <w:sz w:val="18"/>
          <w:szCs w:val="18"/>
        </w:rPr>
        <w:t xml:space="preserve">hemo = </w:t>
      </w:r>
      <w:r w:rsidR="00593978">
        <w:rPr>
          <w:rFonts w:ascii="Arial Narrow" w:hAnsi="Arial Narrow"/>
          <w:sz w:val="18"/>
          <w:szCs w:val="18"/>
        </w:rPr>
        <w:t>chemotherapy, PFS = progression-</w:t>
      </w:r>
      <w:r w:rsidR="00B26AC1" w:rsidRPr="006F307B">
        <w:rPr>
          <w:rFonts w:ascii="Arial Narrow" w:hAnsi="Arial Narrow"/>
          <w:sz w:val="18"/>
          <w:szCs w:val="18"/>
        </w:rPr>
        <w:t>free survival, HR = hazard ratio</w:t>
      </w:r>
      <w:r w:rsidR="00593978">
        <w:rPr>
          <w:rFonts w:ascii="Arial Narrow" w:hAnsi="Arial Narrow"/>
          <w:sz w:val="18"/>
          <w:szCs w:val="18"/>
        </w:rPr>
        <w:t>, CPS = combined positive score</w:t>
      </w:r>
    </w:p>
    <w:p w:rsidR="00B26AC1" w:rsidRPr="006F307B" w:rsidRDefault="00B26AC1" w:rsidP="00B26AC1">
      <w:pPr>
        <w:keepNext/>
        <w:keepLines/>
        <w:tabs>
          <w:tab w:val="left" w:pos="284"/>
        </w:tabs>
        <w:spacing w:before="0" w:after="0"/>
        <w:ind w:left="284" w:hanging="284"/>
        <w:rPr>
          <w:rFonts w:ascii="Arial Narrow" w:hAnsi="Arial Narrow"/>
          <w:sz w:val="18"/>
          <w:szCs w:val="18"/>
        </w:rPr>
      </w:pPr>
      <w:r w:rsidRPr="006F307B">
        <w:rPr>
          <w:rFonts w:ascii="Arial Narrow" w:hAnsi="Arial Narrow"/>
          <w:sz w:val="18"/>
          <w:szCs w:val="18"/>
          <w:vertAlign w:val="superscript"/>
        </w:rPr>
        <w:t>a</w:t>
      </w:r>
      <w:r w:rsidRPr="006F307B">
        <w:rPr>
          <w:rFonts w:ascii="Arial Narrow" w:hAnsi="Arial Narrow"/>
          <w:sz w:val="18"/>
          <w:szCs w:val="18"/>
        </w:rPr>
        <w:tab/>
        <w:t>calculated using the inverse of PFS HR reported in EXTREME (HR=0.54, 95%CI 0.43, 0.67) to reflect treatment effect of chemotherapy relative</w:t>
      </w:r>
      <w:r w:rsidR="00593978">
        <w:rPr>
          <w:rFonts w:ascii="Arial Narrow" w:hAnsi="Arial Narrow"/>
          <w:sz w:val="18"/>
          <w:szCs w:val="18"/>
        </w:rPr>
        <w:t xml:space="preserve"> to cetuximab plus chemotherapy</w:t>
      </w:r>
    </w:p>
    <w:p w:rsidR="00B26AC1" w:rsidRPr="006F307B" w:rsidRDefault="00B26AC1" w:rsidP="00B26AC1">
      <w:pPr>
        <w:keepNext/>
        <w:keepLines/>
        <w:tabs>
          <w:tab w:val="left" w:pos="284"/>
        </w:tabs>
        <w:spacing w:before="0" w:after="0"/>
        <w:ind w:left="284" w:hanging="284"/>
        <w:rPr>
          <w:rFonts w:ascii="Arial Narrow" w:hAnsi="Arial Narrow"/>
          <w:sz w:val="18"/>
          <w:szCs w:val="18"/>
        </w:rPr>
      </w:pPr>
      <w:r w:rsidRPr="006F307B">
        <w:rPr>
          <w:rFonts w:ascii="Arial Narrow" w:hAnsi="Arial Narrow"/>
          <w:sz w:val="18"/>
          <w:szCs w:val="18"/>
          <w:vertAlign w:val="superscript"/>
        </w:rPr>
        <w:t>b</w:t>
      </w:r>
      <w:r w:rsidRPr="006F307B">
        <w:rPr>
          <w:rFonts w:ascii="Arial Narrow" w:hAnsi="Arial Narrow"/>
          <w:sz w:val="18"/>
          <w:szCs w:val="18"/>
        </w:rPr>
        <w:tab/>
        <w:t>incorrectly reported as 0.60 (0.45, 0.82) in table 2.6-10the submission</w:t>
      </w:r>
    </w:p>
    <w:p w:rsidR="00B26AC1" w:rsidRPr="006F307B" w:rsidRDefault="00733622" w:rsidP="00B26AC1">
      <w:pPr>
        <w:keepNext/>
        <w:keepLines/>
        <w:spacing w:before="0" w:after="0"/>
        <w:rPr>
          <w:rFonts w:ascii="Arial Narrow" w:hAnsi="Arial Narrow"/>
          <w:sz w:val="18"/>
          <w:szCs w:val="18"/>
        </w:rPr>
      </w:pPr>
      <w:r w:rsidRPr="006F307B">
        <w:rPr>
          <w:rFonts w:ascii="Arial Narrow" w:hAnsi="Arial Narrow"/>
          <w:sz w:val="18"/>
          <w:szCs w:val="18"/>
        </w:rPr>
        <w:t>T</w:t>
      </w:r>
      <w:r w:rsidR="00B26AC1" w:rsidRPr="006F307B">
        <w:rPr>
          <w:rFonts w:ascii="Arial Narrow" w:hAnsi="Arial Narrow"/>
          <w:sz w:val="18"/>
          <w:szCs w:val="18"/>
        </w:rPr>
        <w:t>ext in bold indicate statistically significant d</w:t>
      </w:r>
      <w:r w:rsidR="005136D2">
        <w:rPr>
          <w:rFonts w:ascii="Arial Narrow" w:hAnsi="Arial Narrow"/>
          <w:sz w:val="18"/>
          <w:szCs w:val="18"/>
        </w:rPr>
        <w:t>ifferences</w:t>
      </w:r>
    </w:p>
    <w:p w:rsidR="00B26AC1" w:rsidRPr="006F307B" w:rsidRDefault="00B26AC1" w:rsidP="00B26AC1">
      <w:pPr>
        <w:keepNext/>
        <w:keepLines/>
        <w:spacing w:before="0" w:after="0"/>
        <w:rPr>
          <w:rFonts w:ascii="Arial Narrow" w:hAnsi="Arial Narrow"/>
          <w:sz w:val="20"/>
          <w:szCs w:val="20"/>
        </w:rPr>
      </w:pPr>
      <w:r w:rsidRPr="006F307B">
        <w:rPr>
          <w:rFonts w:ascii="Arial Narrow" w:hAnsi="Arial Narrow"/>
          <w:sz w:val="18"/>
          <w:szCs w:val="18"/>
        </w:rPr>
        <w:t>Source: Table</w:t>
      </w:r>
      <w:r w:rsidR="005136D2">
        <w:rPr>
          <w:rFonts w:ascii="Arial Narrow" w:hAnsi="Arial Narrow"/>
          <w:sz w:val="18"/>
          <w:szCs w:val="18"/>
        </w:rPr>
        <w:t xml:space="preserve"> 2.6-10, p103 of the submission</w:t>
      </w:r>
    </w:p>
    <w:p w:rsidR="001063B7" w:rsidRPr="006F307B" w:rsidRDefault="001063B7" w:rsidP="00B26AC1">
      <w:pPr>
        <w:pStyle w:val="InstructionalText"/>
        <w:keepNext/>
        <w:keepLines/>
        <w:spacing w:before="0" w:after="0"/>
        <w:rPr>
          <w:rFonts w:ascii="Arial Narrow" w:hAnsi="Arial Narrow"/>
          <w:b/>
          <w:color w:val="auto"/>
          <w:sz w:val="20"/>
          <w:szCs w:val="20"/>
        </w:rPr>
      </w:pPr>
    </w:p>
    <w:p w:rsidR="00B26AC1" w:rsidRPr="006F307B" w:rsidRDefault="00B26AC1" w:rsidP="00B26AC1">
      <w:pPr>
        <w:pStyle w:val="InstructionalText"/>
        <w:keepNext/>
        <w:keepLines/>
        <w:spacing w:before="0" w:after="0"/>
        <w:rPr>
          <w:rFonts w:ascii="Arial Narrow" w:hAnsi="Arial Narrow"/>
          <w:b/>
          <w:color w:val="auto"/>
          <w:sz w:val="20"/>
          <w:szCs w:val="20"/>
        </w:rPr>
      </w:pPr>
      <w:r w:rsidRPr="006F307B">
        <w:rPr>
          <w:rFonts w:ascii="Arial Narrow" w:hAnsi="Arial Narrow"/>
          <w:b/>
          <w:color w:val="auto"/>
          <w:sz w:val="20"/>
          <w:szCs w:val="20"/>
        </w:rPr>
        <w:t>Figure 7</w:t>
      </w:r>
      <w:r w:rsidR="001063B7" w:rsidRPr="006F307B">
        <w:rPr>
          <w:rFonts w:ascii="Arial Narrow" w:hAnsi="Arial Narrow"/>
          <w:b/>
          <w:color w:val="auto"/>
          <w:sz w:val="20"/>
          <w:szCs w:val="20"/>
        </w:rPr>
        <w:t>:</w:t>
      </w:r>
      <w:r w:rsidRPr="006F307B">
        <w:rPr>
          <w:rFonts w:ascii="Arial Narrow" w:hAnsi="Arial Narrow"/>
          <w:b/>
          <w:color w:val="auto"/>
          <w:sz w:val="20"/>
          <w:szCs w:val="20"/>
        </w:rPr>
        <w:t xml:space="preserve"> PFS Kaplan-Meier curve in KN048 ITT, pembrolizumab </w:t>
      </w:r>
      <w:r w:rsidR="008374B8" w:rsidRPr="006F307B">
        <w:rPr>
          <w:rFonts w:ascii="Arial Narrow" w:hAnsi="Arial Narrow"/>
          <w:b/>
          <w:color w:val="auto"/>
          <w:sz w:val="20"/>
          <w:szCs w:val="20"/>
        </w:rPr>
        <w:t xml:space="preserve">+ </w:t>
      </w:r>
      <w:r w:rsidRPr="006F307B">
        <w:rPr>
          <w:rFonts w:ascii="Arial Narrow" w:hAnsi="Arial Narrow"/>
          <w:b/>
          <w:color w:val="auto"/>
          <w:sz w:val="20"/>
          <w:szCs w:val="20"/>
        </w:rPr>
        <w:t xml:space="preserve">chemotherapy vs cetuximab </w:t>
      </w:r>
      <w:r w:rsidR="008374B8" w:rsidRPr="006F307B">
        <w:rPr>
          <w:rFonts w:ascii="Arial Narrow" w:hAnsi="Arial Narrow"/>
          <w:b/>
          <w:color w:val="auto"/>
          <w:sz w:val="20"/>
          <w:szCs w:val="20"/>
        </w:rPr>
        <w:t xml:space="preserve">+ </w:t>
      </w:r>
      <w:r w:rsidRPr="006F307B">
        <w:rPr>
          <w:rFonts w:ascii="Arial Narrow" w:hAnsi="Arial Narrow"/>
          <w:b/>
          <w:color w:val="auto"/>
          <w:sz w:val="20"/>
          <w:szCs w:val="20"/>
        </w:rPr>
        <w:t>chemotherapy</w:t>
      </w:r>
    </w:p>
    <w:p w:rsidR="00B26AC1" w:rsidRPr="006F307B" w:rsidRDefault="00B26AC1" w:rsidP="00B26AC1">
      <w:pPr>
        <w:pStyle w:val="InstructionalText"/>
        <w:keepNext/>
        <w:keepLines/>
        <w:spacing w:before="0" w:after="0"/>
        <w:rPr>
          <w:rFonts w:ascii="Arial Narrow" w:hAnsi="Arial Narrow"/>
          <w:b/>
          <w:color w:val="auto"/>
          <w:sz w:val="20"/>
          <w:szCs w:val="20"/>
        </w:rPr>
      </w:pPr>
      <w:r w:rsidRPr="00AF3270">
        <w:rPr>
          <w:rFonts w:ascii="Arial Narrow" w:hAnsi="Arial Narrow"/>
          <w:b/>
          <w:noProof/>
          <w:color w:val="auto"/>
          <w:sz w:val="20"/>
          <w:szCs w:val="20"/>
          <w:lang w:eastAsia="en-AU"/>
        </w:rPr>
        <w:drawing>
          <wp:inline distT="0" distB="0" distL="0" distR="0" wp14:anchorId="74EA229E" wp14:editId="553F0A72">
            <wp:extent cx="5200650" cy="3893998"/>
            <wp:effectExtent l="0" t="0" r="0" b="0"/>
            <wp:docPr id="67994783" name="Picture 67994783" title="Figure 7: PFS Kaplan-Meier curve in KN048 ITT, pembrolizumab + chemotherapy vs cetuximab +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4133" cy="3896606"/>
                    </a:xfrm>
                    <a:prstGeom prst="rect">
                      <a:avLst/>
                    </a:prstGeom>
                    <a:noFill/>
                    <a:ln>
                      <a:noFill/>
                    </a:ln>
                  </pic:spPr>
                </pic:pic>
              </a:graphicData>
            </a:graphic>
          </wp:inline>
        </w:drawing>
      </w:r>
    </w:p>
    <w:p w:rsidR="00B26AC1" w:rsidRPr="006F307B" w:rsidRDefault="00B26AC1" w:rsidP="00B26AC1">
      <w:pPr>
        <w:pStyle w:val="InstructionalText"/>
        <w:keepNext/>
        <w:keepLines/>
        <w:spacing w:before="0" w:after="0"/>
        <w:rPr>
          <w:rFonts w:ascii="Arial Narrow" w:hAnsi="Arial Narrow"/>
          <w:color w:val="auto"/>
          <w:sz w:val="18"/>
          <w:szCs w:val="18"/>
        </w:rPr>
      </w:pPr>
      <w:r w:rsidRPr="006F307B">
        <w:rPr>
          <w:rFonts w:ascii="Arial Narrow" w:hAnsi="Arial Narrow"/>
          <w:color w:val="auto"/>
          <w:sz w:val="18"/>
          <w:szCs w:val="18"/>
        </w:rPr>
        <w:t>Source: Figure 11-9, p197 KN048 CSR</w:t>
      </w:r>
    </w:p>
    <w:p w:rsidR="00227137" w:rsidRDefault="00227137">
      <w:pPr>
        <w:pStyle w:val="InstructionalText"/>
        <w:keepNext/>
        <w:keepLines/>
        <w:spacing w:before="240" w:after="0"/>
        <w:rPr>
          <w:rFonts w:ascii="Arial Narrow" w:hAnsi="Arial Narrow"/>
          <w:b/>
          <w:color w:val="auto"/>
          <w:sz w:val="20"/>
          <w:szCs w:val="20"/>
        </w:rPr>
      </w:pPr>
    </w:p>
    <w:p w:rsidR="00B26AC1" w:rsidRPr="006F307B" w:rsidRDefault="00B26AC1" w:rsidP="00F75EAD">
      <w:pPr>
        <w:pStyle w:val="InstructionalText"/>
        <w:keepNext/>
        <w:keepLines/>
        <w:spacing w:before="0" w:after="0"/>
        <w:rPr>
          <w:rFonts w:ascii="Arial Narrow" w:hAnsi="Arial Narrow"/>
          <w:color w:val="auto"/>
          <w:sz w:val="20"/>
          <w:szCs w:val="20"/>
        </w:rPr>
      </w:pPr>
      <w:r w:rsidRPr="006F307B">
        <w:rPr>
          <w:rFonts w:ascii="Arial Narrow" w:hAnsi="Arial Narrow"/>
          <w:b/>
          <w:color w:val="auto"/>
          <w:sz w:val="20"/>
          <w:szCs w:val="20"/>
        </w:rPr>
        <w:lastRenderedPageBreak/>
        <w:t>Figure 8</w:t>
      </w:r>
      <w:r w:rsidR="001063B7" w:rsidRPr="006F307B">
        <w:rPr>
          <w:rFonts w:ascii="Arial Narrow" w:hAnsi="Arial Narrow"/>
          <w:b/>
          <w:color w:val="auto"/>
          <w:sz w:val="20"/>
          <w:szCs w:val="20"/>
        </w:rPr>
        <w:t xml:space="preserve">: </w:t>
      </w:r>
      <w:r w:rsidRPr="006F307B">
        <w:rPr>
          <w:rFonts w:ascii="Arial Narrow" w:hAnsi="Arial Narrow"/>
          <w:b/>
          <w:color w:val="auto"/>
          <w:sz w:val="20"/>
          <w:szCs w:val="20"/>
        </w:rPr>
        <w:t xml:space="preserve">PFS Kaplan-Meier </w:t>
      </w:r>
      <w:r w:rsidRPr="00B74405">
        <w:rPr>
          <w:rFonts w:ascii="Arial Narrow" w:hAnsi="Arial Narrow"/>
          <w:b/>
          <w:color w:val="auto"/>
          <w:sz w:val="20"/>
          <w:szCs w:val="20"/>
        </w:rPr>
        <w:t xml:space="preserve">curve in KN048 CPS </w:t>
      </w:r>
      <w:r w:rsidRPr="00B74405">
        <w:rPr>
          <w:rFonts w:ascii="Arial Narrow" w:hAnsi="Arial Narrow" w:cstheme="minorHAnsi"/>
          <w:b/>
          <w:color w:val="auto"/>
          <w:sz w:val="20"/>
          <w:szCs w:val="20"/>
        </w:rPr>
        <w:t>≥</w:t>
      </w:r>
      <w:r w:rsidRPr="00B74405">
        <w:rPr>
          <w:rFonts w:ascii="Arial Narrow" w:hAnsi="Arial Narrow"/>
          <w:b/>
          <w:color w:val="auto"/>
          <w:sz w:val="20"/>
          <w:szCs w:val="20"/>
        </w:rPr>
        <w:t xml:space="preserve">1, pembrolizumab </w:t>
      </w:r>
      <w:r w:rsidR="008374B8" w:rsidRPr="00B74405">
        <w:rPr>
          <w:rFonts w:ascii="Arial Narrow" w:hAnsi="Arial Narrow"/>
          <w:b/>
          <w:color w:val="auto"/>
          <w:sz w:val="20"/>
          <w:szCs w:val="20"/>
        </w:rPr>
        <w:t xml:space="preserve">+ </w:t>
      </w:r>
      <w:r w:rsidRPr="00B74405">
        <w:rPr>
          <w:rFonts w:ascii="Arial Narrow" w:hAnsi="Arial Narrow"/>
          <w:b/>
          <w:color w:val="auto"/>
          <w:sz w:val="20"/>
          <w:szCs w:val="20"/>
        </w:rPr>
        <w:t xml:space="preserve">chemotherapy vs cetuximab </w:t>
      </w:r>
      <w:r w:rsidR="008374B8" w:rsidRPr="00B74405">
        <w:rPr>
          <w:rFonts w:ascii="Arial Narrow" w:hAnsi="Arial Narrow"/>
          <w:b/>
          <w:color w:val="auto"/>
          <w:sz w:val="20"/>
          <w:szCs w:val="20"/>
        </w:rPr>
        <w:t xml:space="preserve">+ </w:t>
      </w:r>
      <w:r w:rsidRPr="00B74405">
        <w:rPr>
          <w:rFonts w:ascii="Arial Narrow" w:hAnsi="Arial Narrow"/>
          <w:b/>
          <w:color w:val="auto"/>
          <w:sz w:val="20"/>
          <w:szCs w:val="20"/>
        </w:rPr>
        <w:t>chemotherapy</w:t>
      </w:r>
      <w:r w:rsidRPr="00AF3270">
        <w:rPr>
          <w:noProof/>
          <w:lang w:eastAsia="en-AU"/>
        </w:rPr>
        <w:drawing>
          <wp:inline distT="0" distB="0" distL="0" distR="0" wp14:anchorId="6E80ABC6" wp14:editId="11C6364F">
            <wp:extent cx="5322498" cy="3709503"/>
            <wp:effectExtent l="0" t="0" r="0" b="5715"/>
            <wp:docPr id="7201" name="Picture 7201" title="Figure 8: PFS Kaplan-Meier curve in KN048 CPS ≥1, pembrolizumab + chemotherapy vs cetuximab +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7108" cy="3719685"/>
                    </a:xfrm>
                    <a:prstGeom prst="rect">
                      <a:avLst/>
                    </a:prstGeom>
                    <a:noFill/>
                    <a:ln>
                      <a:noFill/>
                    </a:ln>
                  </pic:spPr>
                </pic:pic>
              </a:graphicData>
            </a:graphic>
          </wp:inline>
        </w:drawing>
      </w:r>
    </w:p>
    <w:p w:rsidR="00B26AC1" w:rsidRDefault="00B26AC1" w:rsidP="00F75EAD">
      <w:pPr>
        <w:pStyle w:val="InstructionalText"/>
        <w:keepNext/>
        <w:keepLines/>
        <w:spacing w:before="0" w:after="0"/>
        <w:rPr>
          <w:rFonts w:ascii="Arial Narrow" w:hAnsi="Arial Narrow"/>
          <w:color w:val="auto"/>
          <w:sz w:val="18"/>
          <w:szCs w:val="18"/>
        </w:rPr>
      </w:pPr>
      <w:r w:rsidRPr="006F307B">
        <w:rPr>
          <w:rFonts w:ascii="Arial Narrow" w:hAnsi="Arial Narrow"/>
          <w:color w:val="auto"/>
          <w:sz w:val="18"/>
          <w:szCs w:val="18"/>
        </w:rPr>
        <w:t>Source: Figure 2.5-9, p78 of the submission</w:t>
      </w:r>
    </w:p>
    <w:p w:rsidR="00227137" w:rsidRPr="006F307B" w:rsidRDefault="00227137" w:rsidP="007278E9">
      <w:pPr>
        <w:pStyle w:val="InstructionalText"/>
        <w:keepNext/>
        <w:keepLines/>
        <w:widowControl w:val="0"/>
        <w:spacing w:before="0" w:after="0"/>
        <w:rPr>
          <w:rFonts w:ascii="Arial Narrow" w:hAnsi="Arial Narrow"/>
          <w:color w:val="auto"/>
          <w:sz w:val="18"/>
          <w:szCs w:val="18"/>
        </w:rPr>
      </w:pPr>
    </w:p>
    <w:p w:rsidR="003205A6" w:rsidRPr="006F307B" w:rsidRDefault="00B26AC1" w:rsidP="00B26AC1">
      <w:pPr>
        <w:pStyle w:val="ListParagraph"/>
      </w:pPr>
      <w:r w:rsidRPr="00B74405">
        <w:t xml:space="preserve">The submission concluded that in patients with CPS ≥1, there was a 55% reduction in the risk of progression or death using pembrolizumab </w:t>
      </w:r>
      <w:r w:rsidR="001063B7" w:rsidRPr="00B74405">
        <w:t xml:space="preserve">+ </w:t>
      </w:r>
      <w:r w:rsidRPr="00B74405">
        <w:t xml:space="preserve">chemotherapy compared to chemotherapy only. KN048 showed that pembrolizumab </w:t>
      </w:r>
      <w:r w:rsidR="008374B8" w:rsidRPr="006F307B">
        <w:t xml:space="preserve">+ </w:t>
      </w:r>
      <w:r w:rsidRPr="006F307B">
        <w:t xml:space="preserve">chemotherapy was similar to cetuximab </w:t>
      </w:r>
      <w:r w:rsidR="008374B8" w:rsidRPr="006F307B">
        <w:t xml:space="preserve">+ </w:t>
      </w:r>
      <w:r w:rsidRPr="006F307B">
        <w:t>chemotherapy in PFS outcomes, and EXTREME showed that cetuximab plus chemotherapy was superior to chemotherapy alone</w:t>
      </w:r>
      <w:r w:rsidR="004211A3" w:rsidRPr="006F307B">
        <w:t>, with a statistically significant hazard ratio of 0.54 (95% CI: 0.43, 0.67)</w:t>
      </w:r>
      <w:r w:rsidRPr="006F307B">
        <w:t>. Unlike the pembrolizumab monotherapy vs chemotherapy comparison, there was no clear crossover in PFS in KN048, therefore the results were likely more reliable.</w:t>
      </w:r>
    </w:p>
    <w:p w:rsidR="00B26AC1" w:rsidRPr="006F307B" w:rsidRDefault="001063B7" w:rsidP="00B26AC1">
      <w:pPr>
        <w:pStyle w:val="ListParagraph"/>
      </w:pPr>
      <w:r w:rsidRPr="006F307B">
        <w:t>T</w:t>
      </w:r>
      <w:r w:rsidR="00113009" w:rsidRPr="006F307B">
        <w:t xml:space="preserve">he PBAC noted </w:t>
      </w:r>
      <w:r w:rsidR="003C3880" w:rsidRPr="006F307B">
        <w:t xml:space="preserve">the hazard ratio for the ITT population </w:t>
      </w:r>
      <w:r w:rsidR="00812630" w:rsidRPr="006F307B">
        <w:t xml:space="preserve">from KN048 (HR=0.93; 95% CI: 0.78, 1.11) </w:t>
      </w:r>
      <w:r w:rsidR="00500B65" w:rsidRPr="006F307B">
        <w:t>indicated that</w:t>
      </w:r>
      <w:r w:rsidR="003C3880" w:rsidRPr="006F307B">
        <w:t xml:space="preserve"> </w:t>
      </w:r>
      <w:r w:rsidR="00113009" w:rsidRPr="006F307B">
        <w:t>no</w:t>
      </w:r>
      <w:r w:rsidR="003C3880" w:rsidRPr="006F307B">
        <w:t xml:space="preserve"> PFS benefit for pembrolizumab </w:t>
      </w:r>
      <w:r w:rsidRPr="006F307B">
        <w:t>+</w:t>
      </w:r>
      <w:r w:rsidR="003C3880" w:rsidRPr="006F307B">
        <w:t xml:space="preserve"> chemotherapy</w:t>
      </w:r>
      <w:r w:rsidRPr="006F307B">
        <w:t xml:space="preserve"> </w:t>
      </w:r>
      <w:r w:rsidR="008374B8" w:rsidRPr="006F307B">
        <w:t>versus</w:t>
      </w:r>
      <w:r w:rsidRPr="006F307B">
        <w:t xml:space="preserve"> cetuximab + chemotherapy was demonstrated</w:t>
      </w:r>
      <w:r w:rsidR="003C3880" w:rsidRPr="006F307B">
        <w:t xml:space="preserve"> in </w:t>
      </w:r>
      <w:r w:rsidRPr="006F307B">
        <w:t>the trial</w:t>
      </w:r>
      <w:r w:rsidR="005136D2">
        <w:t>.</w:t>
      </w:r>
    </w:p>
    <w:p w:rsidR="004211A3" w:rsidRPr="006F307B" w:rsidRDefault="00DA2534" w:rsidP="00B26AC1">
      <w:pPr>
        <w:pStyle w:val="ListParagraph"/>
      </w:pPr>
      <w:r w:rsidRPr="006F307B">
        <w:t xml:space="preserve">The PBAC noted </w:t>
      </w:r>
      <w:r w:rsidR="003C3880" w:rsidRPr="006F307B">
        <w:t>the objective r</w:t>
      </w:r>
      <w:r w:rsidR="00812630" w:rsidRPr="006F307B">
        <w:t xml:space="preserve">esponse rate (ORR) results </w:t>
      </w:r>
      <w:r w:rsidR="003C3880" w:rsidRPr="006F307B">
        <w:t xml:space="preserve">in the table below and considered no ORR benefit </w:t>
      </w:r>
      <w:r w:rsidR="00500B65" w:rsidRPr="006F307B">
        <w:t xml:space="preserve">was demonstrated </w:t>
      </w:r>
      <w:r w:rsidR="003C3880" w:rsidRPr="006F307B">
        <w:t xml:space="preserve">for either pembrolizumab monotherapy or pembrolizumab </w:t>
      </w:r>
      <w:r w:rsidR="00500B65" w:rsidRPr="006F307B">
        <w:t>+</w:t>
      </w:r>
      <w:r w:rsidR="003C3880" w:rsidRPr="006F307B">
        <w:t xml:space="preserve"> chemotherapy</w:t>
      </w:r>
      <w:r w:rsidR="00812630" w:rsidRPr="006F307B">
        <w:t xml:space="preserve"> in KN048</w:t>
      </w:r>
      <w:r w:rsidR="008374B8" w:rsidRPr="006F307B">
        <w:t xml:space="preserve"> versus cetuximab + chemotherapy</w:t>
      </w:r>
      <w:r w:rsidR="003C3880" w:rsidRPr="006F307B">
        <w:t xml:space="preserve">, with patients likely being worse off if treated with the </w:t>
      </w:r>
      <w:r w:rsidR="008374B8" w:rsidRPr="006F307B">
        <w:t>pembrolizumab monotherapy</w:t>
      </w:r>
      <w:r w:rsidR="005136D2">
        <w:t>.</w:t>
      </w:r>
    </w:p>
    <w:p w:rsidR="003C3880" w:rsidRPr="006F307B" w:rsidRDefault="003C3880" w:rsidP="003C3880">
      <w:pPr>
        <w:pStyle w:val="ListParagraph"/>
        <w:keepNext/>
        <w:keepLines/>
        <w:numPr>
          <w:ilvl w:val="0"/>
          <w:numId w:val="0"/>
        </w:numPr>
        <w:spacing w:before="0" w:after="0"/>
        <w:ind w:left="720" w:hanging="720"/>
        <w:rPr>
          <w:rFonts w:ascii="Arial Narrow" w:hAnsi="Arial Narrow"/>
          <w:b/>
          <w:sz w:val="20"/>
          <w:szCs w:val="20"/>
        </w:rPr>
      </w:pPr>
      <w:r w:rsidRPr="006F307B">
        <w:rPr>
          <w:rFonts w:ascii="Arial Narrow" w:hAnsi="Arial Narrow"/>
          <w:b/>
          <w:sz w:val="20"/>
          <w:szCs w:val="20"/>
        </w:rPr>
        <w:lastRenderedPageBreak/>
        <w:t>Table 13</w:t>
      </w:r>
      <w:r w:rsidR="009F1846" w:rsidRPr="006F307B">
        <w:rPr>
          <w:rFonts w:ascii="Arial Narrow" w:hAnsi="Arial Narrow"/>
          <w:b/>
          <w:sz w:val="20"/>
          <w:szCs w:val="20"/>
        </w:rPr>
        <w:t xml:space="preserve">: </w:t>
      </w:r>
      <w:r w:rsidRPr="006F307B">
        <w:rPr>
          <w:rFonts w:ascii="Arial Narrow" w:hAnsi="Arial Narrow"/>
          <w:b/>
          <w:sz w:val="20"/>
          <w:szCs w:val="20"/>
        </w:rPr>
        <w:t>Objective response rate results in whole trial populations</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3: Objective response rate results in whole trial populations"/>
      </w:tblPr>
      <w:tblGrid>
        <w:gridCol w:w="2689"/>
        <w:gridCol w:w="1134"/>
        <w:gridCol w:w="1559"/>
        <w:gridCol w:w="1559"/>
        <w:gridCol w:w="1276"/>
        <w:gridCol w:w="850"/>
      </w:tblGrid>
      <w:tr w:rsidR="003C3880" w:rsidRPr="006F307B" w:rsidTr="006F0C01">
        <w:trPr>
          <w:cnfStyle w:val="100000000000" w:firstRow="1" w:lastRow="0" w:firstColumn="0" w:lastColumn="0" w:oddVBand="0" w:evenVBand="0" w:oddHBand="0" w:evenHBand="0" w:firstRowFirstColumn="0" w:firstRowLastColumn="0" w:lastRowFirstColumn="0" w:lastRowLastColumn="0"/>
          <w:tblHeader/>
        </w:trPr>
        <w:tc>
          <w:tcPr>
            <w:tcW w:w="2689" w:type="dxa"/>
            <w:shd w:val="clear" w:color="auto" w:fill="auto"/>
            <w:vAlign w:val="center"/>
          </w:tcPr>
          <w:p w:rsidR="003C3880" w:rsidRPr="007278E9" w:rsidRDefault="003C3880" w:rsidP="00013B29">
            <w:pPr>
              <w:keepNext/>
              <w:keepLines/>
              <w:spacing w:before="40" w:after="40"/>
              <w:jc w:val="left"/>
              <w:rPr>
                <w:rFonts w:ascii="Arial Narrow" w:hAnsi="Arial Narrow" w:cs="Times New Roman"/>
                <w:sz w:val="20"/>
                <w:szCs w:val="20"/>
                <w:lang w:val="en-AU"/>
              </w:rPr>
            </w:pPr>
            <w:r w:rsidRPr="006F307B">
              <w:rPr>
                <w:rFonts w:ascii="Arial Narrow" w:hAnsi="Arial Narrow" w:cs="Times New Roman"/>
                <w:sz w:val="20"/>
                <w:szCs w:val="20"/>
              </w:rPr>
              <w:t>Treatment</w:t>
            </w:r>
          </w:p>
        </w:tc>
        <w:tc>
          <w:tcPr>
            <w:tcW w:w="1134"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Responses n/N</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Response rate, %(95%CI)</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Median duration of response (95%CI)</w:t>
            </w:r>
          </w:p>
        </w:tc>
        <w:tc>
          <w:tcPr>
            <w:tcW w:w="1276"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Difference in Response rate (95%CI)</w:t>
            </w:r>
          </w:p>
        </w:tc>
        <w:tc>
          <w:tcPr>
            <w:tcW w:w="850"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p-value</w:t>
            </w:r>
          </w:p>
        </w:tc>
      </w:tr>
      <w:tr w:rsidR="003C3880" w:rsidRPr="006F307B" w:rsidTr="00013B29">
        <w:tc>
          <w:tcPr>
            <w:tcW w:w="9067" w:type="dxa"/>
            <w:gridSpan w:val="6"/>
            <w:shd w:val="clear" w:color="auto" w:fill="auto"/>
          </w:tcPr>
          <w:p w:rsidR="003C3880" w:rsidRPr="007278E9" w:rsidRDefault="003C3880" w:rsidP="00013B29">
            <w:pPr>
              <w:keepNext/>
              <w:keepLines/>
              <w:spacing w:before="40" w:after="40"/>
              <w:rPr>
                <w:rFonts w:ascii="Arial Narrow" w:hAnsi="Arial Narrow" w:cs="Times New Roman"/>
                <w:b/>
                <w:bCs/>
                <w:sz w:val="20"/>
                <w:szCs w:val="20"/>
                <w:lang w:val="en-AU"/>
              </w:rPr>
            </w:pPr>
            <w:r w:rsidRPr="006F307B">
              <w:rPr>
                <w:rFonts w:ascii="Arial Narrow" w:hAnsi="Arial Narrow" w:cs="Times New Roman"/>
                <w:b/>
                <w:bCs/>
                <w:sz w:val="20"/>
                <w:szCs w:val="20"/>
              </w:rPr>
              <w:t xml:space="preserve">KN048 ITT population – pembrolizumab monotherapy vs cetuximab + chemotherapy </w:t>
            </w:r>
          </w:p>
        </w:tc>
      </w:tr>
      <w:tr w:rsidR="003C3880" w:rsidRPr="006F307B" w:rsidTr="00013B29">
        <w:tc>
          <w:tcPr>
            <w:tcW w:w="2689" w:type="dxa"/>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r w:rsidRPr="006F307B">
              <w:rPr>
                <w:rFonts w:ascii="Arial Narrow" w:hAnsi="Arial Narrow" w:cs="Times New Roman"/>
                <w:sz w:val="20"/>
                <w:szCs w:val="20"/>
              </w:rPr>
              <w:t>Pembrolizumab monotherapy</w:t>
            </w:r>
          </w:p>
        </w:tc>
        <w:tc>
          <w:tcPr>
            <w:tcW w:w="1134"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51/301</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16.9 (12.9, 21.7)</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22.6 (1.5, 43.0)</w:t>
            </w:r>
          </w:p>
        </w:tc>
        <w:tc>
          <w:tcPr>
            <w:tcW w:w="1276" w:type="dxa"/>
            <w:vMerge w:val="restart"/>
            <w:shd w:val="clear" w:color="auto" w:fill="auto"/>
            <w:vAlign w:val="center"/>
          </w:tcPr>
          <w:p w:rsidR="003C3880" w:rsidRPr="007278E9" w:rsidRDefault="003C3880" w:rsidP="00013B29">
            <w:pPr>
              <w:keepNext/>
              <w:keepLines/>
              <w:spacing w:before="40" w:after="40"/>
              <w:jc w:val="center"/>
              <w:rPr>
                <w:rFonts w:ascii="Arial Narrow" w:hAnsi="Arial Narrow" w:cs="Times New Roman"/>
                <w:b/>
                <w:sz w:val="20"/>
                <w:szCs w:val="20"/>
                <w:lang w:val="en-AU"/>
              </w:rPr>
            </w:pPr>
            <w:r w:rsidRPr="006F307B">
              <w:rPr>
                <w:rFonts w:ascii="Arial Narrow" w:hAnsi="Arial Narrow" w:cs="Times New Roman"/>
                <w:b/>
                <w:sz w:val="20"/>
                <w:szCs w:val="20"/>
              </w:rPr>
              <w:t xml:space="preserve">-19.0% </w:t>
            </w:r>
            <w:r w:rsidRPr="006F307B">
              <w:rPr>
                <w:rFonts w:ascii="Arial Narrow" w:hAnsi="Arial Narrow" w:cs="Times New Roman"/>
                <w:b/>
                <w:sz w:val="20"/>
                <w:szCs w:val="20"/>
              </w:rPr>
              <w:br/>
              <w:t>(-25.8, -12.1)</w:t>
            </w:r>
          </w:p>
        </w:tc>
        <w:tc>
          <w:tcPr>
            <w:tcW w:w="850" w:type="dxa"/>
            <w:vMerge w:val="restart"/>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1.000</w:t>
            </w:r>
          </w:p>
        </w:tc>
      </w:tr>
      <w:tr w:rsidR="003C3880" w:rsidRPr="006F307B" w:rsidTr="00013B29">
        <w:tc>
          <w:tcPr>
            <w:tcW w:w="2689" w:type="dxa"/>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r w:rsidRPr="006F307B">
              <w:rPr>
                <w:rFonts w:ascii="Arial Narrow" w:hAnsi="Arial Narrow" w:cs="Times New Roman"/>
                <w:sz w:val="20"/>
                <w:szCs w:val="20"/>
              </w:rPr>
              <w:t>Cetuximab + chemotherapy</w:t>
            </w:r>
          </w:p>
        </w:tc>
        <w:tc>
          <w:tcPr>
            <w:tcW w:w="1134"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108/300</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36.0 (30.6, 41.7)</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4.5 (1.2, 38.7)</w:t>
            </w:r>
          </w:p>
        </w:tc>
        <w:tc>
          <w:tcPr>
            <w:tcW w:w="1276" w:type="dxa"/>
            <w:vMerge/>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p>
        </w:tc>
        <w:tc>
          <w:tcPr>
            <w:tcW w:w="850" w:type="dxa"/>
            <w:vMerge/>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p>
        </w:tc>
      </w:tr>
      <w:tr w:rsidR="003C3880" w:rsidRPr="006F307B" w:rsidTr="00013B29">
        <w:tc>
          <w:tcPr>
            <w:tcW w:w="9067" w:type="dxa"/>
            <w:gridSpan w:val="6"/>
            <w:shd w:val="clear" w:color="auto" w:fill="auto"/>
          </w:tcPr>
          <w:p w:rsidR="003C3880" w:rsidRPr="007278E9" w:rsidRDefault="003C3880" w:rsidP="00013B29">
            <w:pPr>
              <w:keepNext/>
              <w:keepLines/>
              <w:spacing w:before="40" w:after="40"/>
              <w:rPr>
                <w:rFonts w:ascii="Arial Narrow" w:hAnsi="Arial Narrow" w:cs="Times New Roman"/>
                <w:b/>
                <w:bCs/>
                <w:sz w:val="20"/>
                <w:szCs w:val="20"/>
                <w:lang w:val="en-AU"/>
              </w:rPr>
            </w:pPr>
            <w:r w:rsidRPr="006F307B">
              <w:rPr>
                <w:rFonts w:ascii="Arial Narrow" w:hAnsi="Arial Narrow" w:cs="Times New Roman"/>
                <w:b/>
                <w:bCs/>
                <w:sz w:val="20"/>
                <w:szCs w:val="20"/>
              </w:rPr>
              <w:t>KN048 ITT population – pembrolizumab + chemotherapy vs cetuximab + chemotherapy</w:t>
            </w:r>
          </w:p>
        </w:tc>
      </w:tr>
      <w:tr w:rsidR="003C3880" w:rsidRPr="006F307B" w:rsidTr="00013B29">
        <w:tc>
          <w:tcPr>
            <w:tcW w:w="2689" w:type="dxa"/>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r w:rsidRPr="006F307B">
              <w:rPr>
                <w:rFonts w:ascii="Arial Narrow" w:hAnsi="Arial Narrow" w:cs="Times New Roman"/>
                <w:sz w:val="20"/>
                <w:szCs w:val="20"/>
              </w:rPr>
              <w:t>Pembrolizumab + chemotherapy</w:t>
            </w:r>
          </w:p>
        </w:tc>
        <w:tc>
          <w:tcPr>
            <w:tcW w:w="1134"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100/281</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35.6 (30.0, 41.5)</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6.7 (1.6, 39.0)</w:t>
            </w:r>
          </w:p>
        </w:tc>
        <w:tc>
          <w:tcPr>
            <w:tcW w:w="1276" w:type="dxa"/>
            <w:vMerge w:val="restart"/>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 xml:space="preserve">-0.8 </w:t>
            </w:r>
            <w:r w:rsidRPr="006F307B">
              <w:rPr>
                <w:rFonts w:ascii="Arial Narrow" w:hAnsi="Arial Narrow" w:cs="Times New Roman"/>
                <w:sz w:val="20"/>
                <w:szCs w:val="20"/>
              </w:rPr>
              <w:br/>
              <w:t>(-8.7, 7.2)</w:t>
            </w:r>
          </w:p>
        </w:tc>
        <w:tc>
          <w:tcPr>
            <w:tcW w:w="850" w:type="dxa"/>
            <w:vMerge w:val="restart"/>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0.5740</w:t>
            </w:r>
          </w:p>
        </w:tc>
      </w:tr>
      <w:tr w:rsidR="003C3880" w:rsidRPr="006F307B" w:rsidTr="00013B29">
        <w:tc>
          <w:tcPr>
            <w:tcW w:w="2689" w:type="dxa"/>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r w:rsidRPr="006F307B">
              <w:rPr>
                <w:rFonts w:ascii="Arial Narrow" w:hAnsi="Arial Narrow" w:cs="Times New Roman"/>
                <w:sz w:val="20"/>
                <w:szCs w:val="20"/>
              </w:rPr>
              <w:t>Cetuximab + chemotherapy</w:t>
            </w:r>
          </w:p>
        </w:tc>
        <w:tc>
          <w:tcPr>
            <w:tcW w:w="1134"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101/278</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36.3 (30.7, 42.3)</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4.3 (1.2, 31.5)</w:t>
            </w:r>
          </w:p>
        </w:tc>
        <w:tc>
          <w:tcPr>
            <w:tcW w:w="1276" w:type="dxa"/>
            <w:vMerge/>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p>
        </w:tc>
        <w:tc>
          <w:tcPr>
            <w:tcW w:w="850" w:type="dxa"/>
            <w:vMerge/>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p>
        </w:tc>
      </w:tr>
      <w:tr w:rsidR="003C3880" w:rsidRPr="006F307B" w:rsidTr="00013B29">
        <w:tc>
          <w:tcPr>
            <w:tcW w:w="9067" w:type="dxa"/>
            <w:gridSpan w:val="6"/>
            <w:shd w:val="clear" w:color="auto" w:fill="auto"/>
          </w:tcPr>
          <w:p w:rsidR="003C3880" w:rsidRPr="007278E9" w:rsidRDefault="003C3880" w:rsidP="00013B29">
            <w:pPr>
              <w:keepNext/>
              <w:keepLines/>
              <w:spacing w:before="40" w:after="40"/>
              <w:rPr>
                <w:rFonts w:ascii="Arial Narrow" w:hAnsi="Arial Narrow" w:cs="Times New Roman"/>
                <w:b/>
                <w:bCs/>
                <w:sz w:val="20"/>
                <w:szCs w:val="20"/>
                <w:lang w:val="en-AU"/>
              </w:rPr>
            </w:pPr>
            <w:r w:rsidRPr="006F307B">
              <w:rPr>
                <w:rFonts w:ascii="Arial Narrow" w:hAnsi="Arial Narrow" w:cs="Times New Roman"/>
                <w:b/>
                <w:bCs/>
                <w:sz w:val="20"/>
                <w:szCs w:val="20"/>
              </w:rPr>
              <w:t>EXTREME ITT population – cetuximab + chemotherapy vs chemotherapy</w:t>
            </w:r>
          </w:p>
        </w:tc>
      </w:tr>
      <w:tr w:rsidR="003C3880" w:rsidRPr="006F307B" w:rsidTr="00013B29">
        <w:tc>
          <w:tcPr>
            <w:tcW w:w="2689" w:type="dxa"/>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r w:rsidRPr="006F307B">
              <w:rPr>
                <w:rFonts w:ascii="Arial Narrow" w:hAnsi="Arial Narrow" w:cs="Times New Roman"/>
                <w:sz w:val="20"/>
                <w:szCs w:val="20"/>
              </w:rPr>
              <w:t>Cetuximab + chemotherapy</w:t>
            </w:r>
          </w:p>
        </w:tc>
        <w:tc>
          <w:tcPr>
            <w:tcW w:w="1134"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79/222</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36 (29, 42)</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5.6 (4.7, 6.0)</w:t>
            </w:r>
          </w:p>
        </w:tc>
        <w:tc>
          <w:tcPr>
            <w:tcW w:w="1276" w:type="dxa"/>
            <w:vMerge w:val="restart"/>
            <w:shd w:val="clear" w:color="auto" w:fill="auto"/>
            <w:vAlign w:val="center"/>
          </w:tcPr>
          <w:p w:rsidR="003C3880" w:rsidRPr="007278E9" w:rsidRDefault="003C3880" w:rsidP="00013B29">
            <w:pPr>
              <w:keepNext/>
              <w:keepLines/>
              <w:spacing w:before="40" w:after="40"/>
              <w:jc w:val="center"/>
              <w:rPr>
                <w:rFonts w:ascii="Arial Narrow" w:hAnsi="Arial Narrow" w:cs="Times New Roman"/>
                <w:b/>
                <w:sz w:val="20"/>
                <w:szCs w:val="20"/>
                <w:lang w:val="en-AU"/>
              </w:rPr>
            </w:pPr>
            <w:r w:rsidRPr="006F307B">
              <w:rPr>
                <w:rFonts w:ascii="Arial Narrow" w:hAnsi="Arial Narrow" w:cs="Times New Roman"/>
                <w:b/>
                <w:sz w:val="20"/>
                <w:szCs w:val="20"/>
              </w:rPr>
              <w:t xml:space="preserve">OR 2.33 </w:t>
            </w:r>
            <w:r w:rsidRPr="006F307B">
              <w:rPr>
                <w:rFonts w:ascii="Arial Narrow" w:hAnsi="Arial Narrow" w:cs="Times New Roman"/>
                <w:b/>
                <w:sz w:val="20"/>
                <w:szCs w:val="20"/>
              </w:rPr>
              <w:br/>
              <w:t>(1.5, 3.6)</w:t>
            </w:r>
          </w:p>
        </w:tc>
        <w:tc>
          <w:tcPr>
            <w:tcW w:w="850" w:type="dxa"/>
            <w:vMerge w:val="restart"/>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&lt;0.001</w:t>
            </w:r>
          </w:p>
        </w:tc>
      </w:tr>
      <w:tr w:rsidR="003C3880" w:rsidRPr="006F307B" w:rsidTr="00013B29">
        <w:tc>
          <w:tcPr>
            <w:tcW w:w="2689" w:type="dxa"/>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r w:rsidRPr="006F307B">
              <w:rPr>
                <w:rFonts w:ascii="Arial Narrow" w:hAnsi="Arial Narrow" w:cs="Times New Roman"/>
                <w:sz w:val="20"/>
                <w:szCs w:val="20"/>
              </w:rPr>
              <w:t xml:space="preserve">Chemotherapy </w:t>
            </w:r>
          </w:p>
        </w:tc>
        <w:tc>
          <w:tcPr>
            <w:tcW w:w="1134"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43/220</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20 (15, 25)</w:t>
            </w:r>
          </w:p>
        </w:tc>
        <w:tc>
          <w:tcPr>
            <w:tcW w:w="1559" w:type="dxa"/>
            <w:shd w:val="clear" w:color="auto" w:fill="auto"/>
            <w:vAlign w:val="center"/>
          </w:tcPr>
          <w:p w:rsidR="003C3880" w:rsidRPr="007278E9" w:rsidRDefault="003C3880" w:rsidP="00013B29">
            <w:pPr>
              <w:keepNext/>
              <w:keepLines/>
              <w:spacing w:before="40" w:after="40"/>
              <w:jc w:val="center"/>
              <w:rPr>
                <w:rFonts w:ascii="Arial Narrow" w:hAnsi="Arial Narrow" w:cs="Times New Roman"/>
                <w:sz w:val="20"/>
                <w:szCs w:val="20"/>
                <w:lang w:val="en-AU"/>
              </w:rPr>
            </w:pPr>
            <w:r w:rsidRPr="006F307B">
              <w:rPr>
                <w:rFonts w:ascii="Arial Narrow" w:hAnsi="Arial Narrow" w:cs="Times New Roman"/>
                <w:sz w:val="20"/>
                <w:szCs w:val="20"/>
              </w:rPr>
              <w:t>4.7 (3.6, 5.9)</w:t>
            </w:r>
          </w:p>
        </w:tc>
        <w:tc>
          <w:tcPr>
            <w:tcW w:w="1276" w:type="dxa"/>
            <w:vMerge/>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p>
        </w:tc>
        <w:tc>
          <w:tcPr>
            <w:tcW w:w="850" w:type="dxa"/>
            <w:vMerge/>
            <w:shd w:val="clear" w:color="auto" w:fill="auto"/>
          </w:tcPr>
          <w:p w:rsidR="003C3880" w:rsidRPr="007278E9" w:rsidRDefault="003C3880" w:rsidP="00013B29">
            <w:pPr>
              <w:keepNext/>
              <w:keepLines/>
              <w:spacing w:before="40" w:after="40"/>
              <w:rPr>
                <w:rFonts w:ascii="Arial Narrow" w:hAnsi="Arial Narrow" w:cs="Times New Roman"/>
                <w:sz w:val="20"/>
                <w:szCs w:val="20"/>
                <w:lang w:val="en-AU"/>
              </w:rPr>
            </w:pPr>
          </w:p>
        </w:tc>
      </w:tr>
    </w:tbl>
    <w:p w:rsidR="003C3880" w:rsidRPr="006F307B" w:rsidRDefault="00E9137E" w:rsidP="003C3880">
      <w:pPr>
        <w:keepNext/>
        <w:keepLines/>
        <w:spacing w:before="0" w:after="0"/>
        <w:rPr>
          <w:rFonts w:ascii="Arial Narrow" w:hAnsi="Arial Narrow"/>
          <w:sz w:val="18"/>
          <w:szCs w:val="18"/>
        </w:rPr>
      </w:pPr>
      <w:r w:rsidRPr="00ED436C">
        <w:rPr>
          <w:rFonts w:ascii="Arial Narrow" w:hAnsi="Arial Narrow"/>
          <w:sz w:val="18"/>
          <w:szCs w:val="18"/>
        </w:rPr>
        <w:t xml:space="preserve">Abbreviations: </w:t>
      </w:r>
      <w:r w:rsidR="003C3880" w:rsidRPr="006F307B">
        <w:rPr>
          <w:rFonts w:ascii="Arial Narrow" w:hAnsi="Arial Narrow"/>
          <w:sz w:val="18"/>
          <w:szCs w:val="18"/>
        </w:rPr>
        <w:t>OR</w:t>
      </w:r>
      <w:r>
        <w:rPr>
          <w:rFonts w:ascii="Arial Narrow" w:hAnsi="Arial Narrow"/>
          <w:sz w:val="18"/>
          <w:szCs w:val="18"/>
        </w:rPr>
        <w:t xml:space="preserve"> </w:t>
      </w:r>
      <w:r w:rsidR="003C3880" w:rsidRPr="006F307B">
        <w:rPr>
          <w:rFonts w:ascii="Arial Narrow" w:hAnsi="Arial Narrow"/>
          <w:sz w:val="18"/>
          <w:szCs w:val="18"/>
        </w:rPr>
        <w:t>= odds ratio, ITT = intention to treat, NR = not reported</w:t>
      </w:r>
    </w:p>
    <w:p w:rsidR="003C3880" w:rsidRPr="006F307B" w:rsidRDefault="003C3880" w:rsidP="003C3880">
      <w:pPr>
        <w:keepNext/>
        <w:keepLines/>
        <w:spacing w:before="0" w:after="0"/>
        <w:rPr>
          <w:rFonts w:ascii="Arial Narrow" w:hAnsi="Arial Narrow"/>
          <w:sz w:val="18"/>
          <w:szCs w:val="18"/>
        </w:rPr>
      </w:pPr>
      <w:r w:rsidRPr="006F307B">
        <w:rPr>
          <w:rFonts w:ascii="Arial Narrow" w:hAnsi="Arial Narrow"/>
          <w:sz w:val="18"/>
          <w:szCs w:val="18"/>
        </w:rPr>
        <w:t>Source: Table 11-17, p217, Table 11-23, p231, Table 11-45, p291 and Table 11-51, p304 of KN048 CSR, Table 6, Cetuximab PSD March 2018</w:t>
      </w:r>
    </w:p>
    <w:p w:rsidR="00B26AC1" w:rsidRPr="006F307B" w:rsidRDefault="00B26AC1" w:rsidP="00B26AC1">
      <w:pPr>
        <w:pStyle w:val="ListParagraph"/>
      </w:pPr>
      <w:r w:rsidRPr="006F307B">
        <w:t>A</w:t>
      </w:r>
      <w:r w:rsidR="00C9622A" w:rsidRPr="006F307B">
        <w:t>n</w:t>
      </w:r>
      <w:r w:rsidRPr="006F307B">
        <w:t xml:space="preserve"> FP NMA was conducted by the submission to inform the base case transition probabilities for both OS and PFS. Only tier 1 trials were included in the FP NMA presented in the submission. The submission noted that this allowed for the estimation of a ‘time varying hazard ratio’ for the base case of the economic evaluation, as the data does not support the </w:t>
      </w:r>
      <w:r w:rsidR="005136D2">
        <w:t>proportional hazard assumption.</w:t>
      </w:r>
    </w:p>
    <w:p w:rsidR="00A426FC" w:rsidRPr="006F307B" w:rsidRDefault="007D0A7A" w:rsidP="00A426FC">
      <w:pPr>
        <w:pStyle w:val="ListParagraph"/>
        <w:numPr>
          <w:ilvl w:val="4"/>
          <w:numId w:val="1"/>
        </w:numPr>
        <w:rPr>
          <w:iCs/>
        </w:rPr>
      </w:pPr>
      <w:r w:rsidRPr="006F307B">
        <w:t>The ESC</w:t>
      </w:r>
      <w:r w:rsidR="0021591C" w:rsidRPr="006F307B">
        <w:t>s</w:t>
      </w:r>
      <w:r w:rsidRPr="006F307B">
        <w:t xml:space="preserve"> considered </w:t>
      </w:r>
      <w:r w:rsidR="00A426FC" w:rsidRPr="006F307B">
        <w:t>relying on the results of the FP</w:t>
      </w:r>
      <w:r w:rsidR="00EE545D" w:rsidRPr="006F307B">
        <w:t xml:space="preserve"> </w:t>
      </w:r>
      <w:r w:rsidR="00A426FC" w:rsidRPr="006F307B">
        <w:t>NMA for the base case of the economic model</w:t>
      </w:r>
      <w:r w:rsidR="009F1846" w:rsidRPr="006F307B">
        <w:t xml:space="preserve"> was problematic</w:t>
      </w:r>
      <w:r w:rsidR="00A426FC" w:rsidRPr="006F307B">
        <w:t xml:space="preserve"> for several reasons:</w:t>
      </w:r>
    </w:p>
    <w:p w:rsidR="00A426FC" w:rsidRPr="006F307B" w:rsidRDefault="00A426FC" w:rsidP="00CA41B6">
      <w:pPr>
        <w:pStyle w:val="ListParagraph"/>
        <w:numPr>
          <w:ilvl w:val="0"/>
          <w:numId w:val="24"/>
        </w:numPr>
        <w:ind w:left="993" w:hanging="284"/>
        <w:rPr>
          <w:iCs/>
        </w:rPr>
      </w:pPr>
      <w:r w:rsidRPr="006F307B">
        <w:rPr>
          <w:iCs/>
        </w:rPr>
        <w:t xml:space="preserve">A </w:t>
      </w:r>
      <w:r w:rsidR="002A7A19" w:rsidRPr="006F307B">
        <w:rPr>
          <w:iCs/>
        </w:rPr>
        <w:t>NMA</w:t>
      </w:r>
      <w:r w:rsidRPr="006F307B">
        <w:rPr>
          <w:iCs/>
        </w:rPr>
        <w:t xml:space="preserve"> was unjustified given that there were no additional trials which provided efficacy data beyond KN048 and EXTREME, with no other trial or study being used to inform the relative efficacy. This was evident by the Bucher PFS hazard ratios being identical to the time independent fixed effects hazard ratios derived from the NMA and the OS HR estimates being almost identical;</w:t>
      </w:r>
    </w:p>
    <w:p w:rsidR="00A426FC" w:rsidRPr="006F307B" w:rsidRDefault="00A426FC" w:rsidP="00CA41B6">
      <w:pPr>
        <w:pStyle w:val="ListParagraph"/>
        <w:numPr>
          <w:ilvl w:val="0"/>
          <w:numId w:val="24"/>
        </w:numPr>
        <w:ind w:left="993" w:hanging="284"/>
        <w:rPr>
          <w:iCs/>
        </w:rPr>
      </w:pPr>
      <w:r w:rsidRPr="006F307B">
        <w:rPr>
          <w:iCs/>
        </w:rPr>
        <w:t xml:space="preserve">The approach is highly optimistic, assuming that the benefit of pembrolizumab ± chemotherapy will increase over time with no plausible </w:t>
      </w:r>
      <w:r w:rsidR="005669FA" w:rsidRPr="006F307B">
        <w:rPr>
          <w:iCs/>
        </w:rPr>
        <w:t xml:space="preserve">biological </w:t>
      </w:r>
      <w:r w:rsidRPr="006F307B">
        <w:rPr>
          <w:iCs/>
        </w:rPr>
        <w:t>explanation provided. For comparison, rather than a divergence of clinical benefit from an indirect comparison as assumed in the current submission, in the 2L nivolumab for R/M HNSCC model, convergence of health outcomes from a direct head to head randomised trial was assumed after 3 years and was considered reasonable;</w:t>
      </w:r>
    </w:p>
    <w:p w:rsidR="00A426FC" w:rsidRPr="006F307B" w:rsidRDefault="00A426FC" w:rsidP="00CA41B6">
      <w:pPr>
        <w:pStyle w:val="ListParagraph"/>
        <w:numPr>
          <w:ilvl w:val="0"/>
          <w:numId w:val="24"/>
        </w:numPr>
        <w:ind w:left="993" w:hanging="284"/>
        <w:rPr>
          <w:iCs/>
        </w:rPr>
      </w:pPr>
      <w:r w:rsidRPr="006F307B">
        <w:rPr>
          <w:iCs/>
        </w:rPr>
        <w:t xml:space="preserve">The number of patients remaining at risk </w:t>
      </w:r>
      <w:r w:rsidR="009F1846" w:rsidRPr="006F307B">
        <w:rPr>
          <w:iCs/>
        </w:rPr>
        <w:t>wa</w:t>
      </w:r>
      <w:r w:rsidRPr="006F307B">
        <w:rPr>
          <w:iCs/>
        </w:rPr>
        <w:t xml:space="preserve">s </w:t>
      </w:r>
      <w:r w:rsidR="00D630E2" w:rsidRPr="006F307B">
        <w:rPr>
          <w:iCs/>
        </w:rPr>
        <w:t xml:space="preserve">less than </w:t>
      </w:r>
      <w:r w:rsidRPr="006F307B">
        <w:rPr>
          <w:iCs/>
        </w:rPr>
        <w:t>50 after around 12 months in KN048</w:t>
      </w:r>
      <w:r w:rsidR="00D630E2" w:rsidRPr="006F307B">
        <w:rPr>
          <w:iCs/>
        </w:rPr>
        <w:t>, noting median follow up was 11.5 months for pembrolizumab monotherapy and 13.0 months for pembrolizumab + chemotherapy</w:t>
      </w:r>
      <w:r w:rsidRPr="006F307B">
        <w:rPr>
          <w:iCs/>
        </w:rPr>
        <w:t>; and</w:t>
      </w:r>
    </w:p>
    <w:p w:rsidR="00B26AC1" w:rsidRPr="006F307B" w:rsidRDefault="00A426FC" w:rsidP="00CA41B6">
      <w:pPr>
        <w:pStyle w:val="ListParagraph"/>
        <w:numPr>
          <w:ilvl w:val="0"/>
          <w:numId w:val="23"/>
        </w:numPr>
        <w:ind w:left="993" w:hanging="284"/>
      </w:pPr>
      <w:r w:rsidRPr="006F307B">
        <w:t>The time varying hazard ratio method suffers from multiplicity issues – that is, the submission is getting multiple looks at the data to derive a significant result, without any corresponding adjustments.</w:t>
      </w:r>
    </w:p>
    <w:p w:rsidR="00A426FC" w:rsidRPr="006F307B" w:rsidRDefault="00A426FC" w:rsidP="00A426FC">
      <w:pPr>
        <w:pStyle w:val="ListParagraph"/>
        <w:numPr>
          <w:ilvl w:val="4"/>
          <w:numId w:val="1"/>
        </w:numPr>
      </w:pPr>
      <w:r w:rsidRPr="006F307B">
        <w:lastRenderedPageBreak/>
        <w:t>Given the lack of plausibility of an increasing clinical benefit over time from the FP</w:t>
      </w:r>
      <w:r w:rsidR="00AC5B62" w:rsidRPr="006F307B">
        <w:t xml:space="preserve"> </w:t>
      </w:r>
      <w:r w:rsidRPr="006F307B">
        <w:t xml:space="preserve">NMA, when no additional trial data beyond what was reported in KN048 and EXTREME were inputted into the model, the results were likely to be unreliable and overly optimistic. </w:t>
      </w:r>
      <w:r w:rsidR="007D0A7A" w:rsidRPr="006F307B">
        <w:t>The ESC</w:t>
      </w:r>
      <w:r w:rsidR="0021591C" w:rsidRPr="006F307B">
        <w:t>s</w:t>
      </w:r>
      <w:r w:rsidR="007D0A7A" w:rsidRPr="006F307B">
        <w:t xml:space="preserve"> noted that f</w:t>
      </w:r>
      <w:r w:rsidRPr="006F307B">
        <w:t>rom the PBAC guidelines V5, the PBAC prefers the Bucher method for indirect comparisons, and notes that NMA may be presented as supplementary analyses. T</w:t>
      </w:r>
      <w:r w:rsidR="007D0A7A" w:rsidRPr="006F307B">
        <w:t>he ESC</w:t>
      </w:r>
      <w:r w:rsidR="0021591C" w:rsidRPr="006F307B">
        <w:t>s</w:t>
      </w:r>
      <w:r w:rsidR="007D0A7A" w:rsidRPr="006F307B">
        <w:t xml:space="preserve"> considered </w:t>
      </w:r>
      <w:r w:rsidRPr="006F307B">
        <w:t>it was likely unreasonable for the submission to use the results of the FP</w:t>
      </w:r>
      <w:r w:rsidR="00AC5B62" w:rsidRPr="006F307B">
        <w:t xml:space="preserve"> </w:t>
      </w:r>
      <w:r w:rsidRPr="006F307B">
        <w:t>NMA as the base case in the economic model.</w:t>
      </w:r>
    </w:p>
    <w:p w:rsidR="00A426FC" w:rsidRPr="006F307B" w:rsidRDefault="00A426FC" w:rsidP="00A426FC">
      <w:pPr>
        <w:pStyle w:val="ListParagraph"/>
        <w:numPr>
          <w:ilvl w:val="4"/>
          <w:numId w:val="1"/>
        </w:numPr>
      </w:pPr>
      <w:r w:rsidRPr="006F307B">
        <w:t xml:space="preserve">Patient reported outcomes from KN048 were reported in the submission. Outcomes included HRQoL as measured by the EORTC QLQ-30, EORTC QLQ-H&amp;N35, and the EQ-5D questionnaires. These have not been reported as (i) these results were not used to inform the economic evaluation and (ii) there was no difference between treatment arms except for change from baseline of EQ-5D VAS at week 15 which favoured </w:t>
      </w:r>
      <w:r w:rsidR="004C46AE" w:rsidRPr="006F307B">
        <w:t>treatment</w:t>
      </w:r>
      <w:r w:rsidRPr="006F307B">
        <w:t xml:space="preserve"> with cetuximab plus chemotherapy over pembrolizumab monotherapy (difference in LS means=-4.06 (95%CI: -7.13, -0.99, p=0.01). For the economic evaluation, the submission relied on what appears to be a post hoc analysis of the EQ-5D results in KN048 by </w:t>
      </w:r>
      <w:r w:rsidRPr="006F307B">
        <w:rPr>
          <w:color w:val="auto"/>
        </w:rPr>
        <w:t>progression status. However, these results were not reported as part of the submission.</w:t>
      </w:r>
    </w:p>
    <w:p w:rsidR="00FF7849" w:rsidRPr="006F307B" w:rsidRDefault="00FF7849" w:rsidP="00140F3F">
      <w:pPr>
        <w:pStyle w:val="PBACESHeading2"/>
        <w:numPr>
          <w:ilvl w:val="0"/>
          <w:numId w:val="0"/>
        </w:numPr>
        <w:spacing w:before="240"/>
        <w:rPr>
          <w:rFonts w:asciiTheme="minorHAnsi" w:hAnsiTheme="minorHAnsi" w:cstheme="minorHAnsi"/>
        </w:rPr>
      </w:pPr>
      <w:bookmarkStart w:id="24" w:name="_Toc51080588"/>
      <w:bookmarkStart w:id="25" w:name="_Toc413139281"/>
      <w:r w:rsidRPr="006F307B">
        <w:rPr>
          <w:rFonts w:asciiTheme="minorHAnsi" w:hAnsiTheme="minorHAnsi" w:cstheme="minorHAnsi"/>
        </w:rPr>
        <w:t>Comparative harms</w:t>
      </w:r>
    </w:p>
    <w:p w:rsidR="003459E5" w:rsidRPr="006F307B" w:rsidRDefault="003459E5" w:rsidP="00812630">
      <w:pPr>
        <w:pStyle w:val="ListParagraph"/>
      </w:pPr>
      <w:r w:rsidRPr="006F307B">
        <w:t xml:space="preserve">With respect to the safety results from KN048, the PBAC noted that </w:t>
      </w:r>
      <w:r w:rsidRPr="006F307B">
        <w:rPr>
          <w:color w:val="auto"/>
        </w:rPr>
        <w:t xml:space="preserve">a lower proportion of patients in the pembrolizumab monotherapy arm reported any grade 3 to 5 drug related adverse events compared to patients in the cetuximab </w:t>
      </w:r>
      <w:r w:rsidR="008374B8" w:rsidRPr="006F307B">
        <w:rPr>
          <w:color w:val="auto"/>
        </w:rPr>
        <w:t>+</w:t>
      </w:r>
      <w:r w:rsidRPr="006F307B">
        <w:rPr>
          <w:color w:val="auto"/>
        </w:rPr>
        <w:t xml:space="preserve"> chemotherapy arm (17.0% vs 69.3%, RD = -52.3%, 95% CI -58.8, -45.2). The PBAC also noted that compared to patients in the cetuximab </w:t>
      </w:r>
      <w:r w:rsidR="008374B8" w:rsidRPr="006F307B">
        <w:rPr>
          <w:color w:val="auto"/>
        </w:rPr>
        <w:t>+</w:t>
      </w:r>
      <w:r w:rsidRPr="006F307B">
        <w:rPr>
          <w:color w:val="auto"/>
        </w:rPr>
        <w:t xml:space="preserve"> chemotherapy arm, a similar proportion of patients in the pembrolizumab </w:t>
      </w:r>
      <w:r w:rsidR="008374B8" w:rsidRPr="006F307B">
        <w:rPr>
          <w:color w:val="auto"/>
        </w:rPr>
        <w:t>+</w:t>
      </w:r>
      <w:r w:rsidRPr="006F307B">
        <w:rPr>
          <w:color w:val="auto"/>
        </w:rPr>
        <w:t xml:space="preserve"> chemotherapy arm reported any grade 3 to 5 drug related adverse events (71.7% vs 69.3%, RD = 2.4%, 95% CI -5.1, 9.9).</w:t>
      </w:r>
    </w:p>
    <w:p w:rsidR="00812630" w:rsidRPr="006F307B" w:rsidRDefault="0064397C" w:rsidP="00812630">
      <w:pPr>
        <w:pStyle w:val="ListParagraph"/>
      </w:pPr>
      <w:r w:rsidRPr="006F307B">
        <w:t>A</w:t>
      </w:r>
      <w:r w:rsidR="00FF7849" w:rsidRPr="006F307B">
        <w:t xml:space="preserve"> naive comparison of all cause grade 3-5 adverse events in KN048 and EXTREME was conducted during the evaluatio</w:t>
      </w:r>
      <w:r w:rsidR="00812630" w:rsidRPr="006F307B">
        <w:t>n and presented in Table 14</w:t>
      </w:r>
      <w:r w:rsidR="00FF7849" w:rsidRPr="006F307B">
        <w:t>.</w:t>
      </w:r>
      <w:r w:rsidR="00D83A21" w:rsidRPr="006F307B">
        <w:t xml:space="preserve"> Treatment-related AEs were not reported in the pu</w:t>
      </w:r>
      <w:r w:rsidR="005136D2">
        <w:t>blication of the EXTREME trial.</w:t>
      </w:r>
    </w:p>
    <w:p w:rsidR="00812630" w:rsidRPr="006F307B" w:rsidRDefault="00812630" w:rsidP="00812630">
      <w:pPr>
        <w:spacing w:before="0" w:line="259" w:lineRule="auto"/>
        <w:jc w:val="left"/>
        <w:rPr>
          <w:color w:val="000000" w:themeColor="text1"/>
        </w:rPr>
      </w:pPr>
      <w:r w:rsidRPr="006F307B">
        <w:br w:type="page"/>
      </w:r>
    </w:p>
    <w:p w:rsidR="00FF7849" w:rsidRPr="006F307B" w:rsidRDefault="00231A54" w:rsidP="00FF7849">
      <w:pPr>
        <w:spacing w:before="0" w:after="0"/>
        <w:rPr>
          <w:rFonts w:ascii="Arial Narrow" w:hAnsi="Arial Narrow"/>
          <w:b/>
          <w:sz w:val="20"/>
          <w:szCs w:val="20"/>
        </w:rPr>
      </w:pPr>
      <w:r w:rsidRPr="006F307B">
        <w:rPr>
          <w:rFonts w:ascii="Arial Narrow" w:hAnsi="Arial Narrow"/>
          <w:b/>
          <w:sz w:val="20"/>
          <w:szCs w:val="20"/>
        </w:rPr>
        <w:lastRenderedPageBreak/>
        <w:t>T</w:t>
      </w:r>
      <w:r w:rsidR="00812630" w:rsidRPr="006F307B">
        <w:rPr>
          <w:rFonts w:ascii="Arial Narrow" w:hAnsi="Arial Narrow"/>
          <w:b/>
          <w:sz w:val="20"/>
          <w:szCs w:val="20"/>
        </w:rPr>
        <w:t>able 14</w:t>
      </w:r>
      <w:r w:rsidR="0064397C" w:rsidRPr="006F307B">
        <w:rPr>
          <w:rFonts w:ascii="Arial Narrow" w:hAnsi="Arial Narrow"/>
          <w:b/>
          <w:sz w:val="20"/>
          <w:szCs w:val="20"/>
        </w:rPr>
        <w:t xml:space="preserve">: </w:t>
      </w:r>
      <w:r w:rsidR="00FF7849" w:rsidRPr="006F307B">
        <w:rPr>
          <w:rFonts w:ascii="Arial Narrow" w:hAnsi="Arial Narrow"/>
          <w:b/>
          <w:sz w:val="20"/>
          <w:szCs w:val="20"/>
        </w:rPr>
        <w:t>Naïve indirect comparison of all cause grade 3-5 adverse events pembrolizumab monotherapy and pembrolizumab plus chemotherapy with chemotherapy alone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Naïve indirect comparison of all cause grade 3-5 adverse events pembrolizumab monotherapy and pembrolizumab plus chemotherapy with chemotherapy alone"/>
      </w:tblPr>
      <w:tblGrid>
        <w:gridCol w:w="1270"/>
        <w:gridCol w:w="851"/>
        <w:gridCol w:w="991"/>
        <w:gridCol w:w="1009"/>
        <w:gridCol w:w="1119"/>
        <w:gridCol w:w="1276"/>
        <w:gridCol w:w="1134"/>
        <w:gridCol w:w="1366"/>
      </w:tblGrid>
      <w:tr w:rsidR="00FF7849" w:rsidRPr="006F307B" w:rsidTr="006F0C01">
        <w:trPr>
          <w:cnfStyle w:val="100000000000" w:firstRow="1" w:lastRow="0" w:firstColumn="0" w:lastColumn="0" w:oddVBand="0" w:evenVBand="0" w:oddHBand="0" w:evenHBand="0" w:firstRowFirstColumn="0" w:firstRowLastColumn="0" w:lastRowFirstColumn="0" w:lastRowLastColumn="0"/>
          <w:tblHeader/>
        </w:trPr>
        <w:tc>
          <w:tcPr>
            <w:tcW w:w="1270" w:type="dxa"/>
            <w:vMerge w:val="restart"/>
            <w:shd w:val="clear" w:color="auto" w:fill="auto"/>
            <w:vAlign w:val="center"/>
          </w:tcPr>
          <w:p w:rsidR="00FF7849" w:rsidRPr="007278E9" w:rsidRDefault="00FF7849" w:rsidP="000D27B5">
            <w:pPr>
              <w:spacing w:before="0"/>
              <w:jc w:val="left"/>
              <w:rPr>
                <w:rFonts w:ascii="Arial Narrow" w:hAnsi="Arial Narrow"/>
                <w:sz w:val="20"/>
                <w:szCs w:val="20"/>
                <w:lang w:val="en-AU"/>
              </w:rPr>
            </w:pPr>
          </w:p>
        </w:tc>
        <w:tc>
          <w:tcPr>
            <w:tcW w:w="1842" w:type="dxa"/>
            <w:gridSpan w:val="2"/>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KN048</w:t>
            </w:r>
          </w:p>
        </w:tc>
        <w:tc>
          <w:tcPr>
            <w:tcW w:w="1009"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EXTREME</w:t>
            </w:r>
          </w:p>
        </w:tc>
        <w:tc>
          <w:tcPr>
            <w:tcW w:w="2395" w:type="dxa"/>
            <w:gridSpan w:val="2"/>
            <w:vMerge w:val="restart"/>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Pembro mono vs chemo only</w:t>
            </w:r>
          </w:p>
        </w:tc>
        <w:tc>
          <w:tcPr>
            <w:tcW w:w="2500" w:type="dxa"/>
            <w:gridSpan w:val="2"/>
            <w:vMerge w:val="restart"/>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Pembro + chemo vs chemo only</w:t>
            </w:r>
          </w:p>
        </w:tc>
      </w:tr>
      <w:tr w:rsidR="00FF7849" w:rsidRPr="006F307B" w:rsidTr="006F0C01">
        <w:trPr>
          <w:cnfStyle w:val="100000000000" w:firstRow="1" w:lastRow="0" w:firstColumn="0" w:lastColumn="0" w:oddVBand="0" w:evenVBand="0" w:oddHBand="0" w:evenHBand="0" w:firstRowFirstColumn="0" w:firstRowLastColumn="0" w:lastRowFirstColumn="0" w:lastRowLastColumn="0"/>
          <w:trHeight w:val="389"/>
          <w:tblHeader/>
        </w:trPr>
        <w:tc>
          <w:tcPr>
            <w:tcW w:w="1270" w:type="dxa"/>
            <w:vMerge/>
            <w:shd w:val="clear" w:color="auto" w:fill="auto"/>
            <w:vAlign w:val="center"/>
          </w:tcPr>
          <w:p w:rsidR="00FF7849" w:rsidRPr="007278E9" w:rsidRDefault="00FF7849" w:rsidP="000D27B5">
            <w:pPr>
              <w:spacing w:before="0"/>
              <w:jc w:val="left"/>
              <w:rPr>
                <w:rFonts w:ascii="Arial Narrow" w:hAnsi="Arial Narrow"/>
                <w:sz w:val="20"/>
                <w:szCs w:val="20"/>
                <w:lang w:val="en-AU"/>
              </w:rPr>
            </w:pPr>
          </w:p>
        </w:tc>
        <w:tc>
          <w:tcPr>
            <w:tcW w:w="851" w:type="dxa"/>
            <w:vMerge w:val="restart"/>
            <w:shd w:val="clear" w:color="auto" w:fill="auto"/>
            <w:vAlign w:val="center"/>
          </w:tcPr>
          <w:p w:rsidR="00FF7849" w:rsidRPr="007278E9" w:rsidRDefault="00FF7849" w:rsidP="000D27B5">
            <w:pPr>
              <w:spacing w:before="0"/>
              <w:jc w:val="center"/>
              <w:rPr>
                <w:rFonts w:ascii="Arial Narrow" w:hAnsi="Arial Narrow"/>
                <w:b w:val="0"/>
                <w:sz w:val="20"/>
                <w:szCs w:val="20"/>
                <w:lang w:val="en-AU"/>
              </w:rPr>
            </w:pPr>
            <w:r w:rsidRPr="006F307B">
              <w:rPr>
                <w:rFonts w:ascii="Arial Narrow" w:hAnsi="Arial Narrow"/>
                <w:b w:val="0"/>
                <w:sz w:val="20"/>
                <w:szCs w:val="20"/>
              </w:rPr>
              <w:t>Pembro mono</w:t>
            </w:r>
          </w:p>
        </w:tc>
        <w:tc>
          <w:tcPr>
            <w:tcW w:w="991" w:type="dxa"/>
            <w:vMerge w:val="restart"/>
            <w:shd w:val="clear" w:color="auto" w:fill="auto"/>
            <w:vAlign w:val="center"/>
          </w:tcPr>
          <w:p w:rsidR="00FF7849" w:rsidRPr="007278E9" w:rsidRDefault="00FF7849" w:rsidP="000D27B5">
            <w:pPr>
              <w:spacing w:before="0"/>
              <w:jc w:val="center"/>
              <w:rPr>
                <w:rFonts w:ascii="Arial Narrow" w:hAnsi="Arial Narrow"/>
                <w:b w:val="0"/>
                <w:sz w:val="20"/>
                <w:szCs w:val="20"/>
                <w:lang w:val="en-AU"/>
              </w:rPr>
            </w:pPr>
            <w:r w:rsidRPr="006F307B">
              <w:rPr>
                <w:rFonts w:ascii="Arial Narrow" w:hAnsi="Arial Narrow"/>
                <w:b w:val="0"/>
                <w:sz w:val="20"/>
                <w:szCs w:val="20"/>
              </w:rPr>
              <w:t>Pembro + chemo</w:t>
            </w:r>
          </w:p>
        </w:tc>
        <w:tc>
          <w:tcPr>
            <w:tcW w:w="1009" w:type="dxa"/>
            <w:vMerge w:val="restart"/>
            <w:shd w:val="clear" w:color="auto" w:fill="auto"/>
            <w:vAlign w:val="center"/>
          </w:tcPr>
          <w:p w:rsidR="00FF7849" w:rsidRPr="007278E9" w:rsidRDefault="00FF7849" w:rsidP="000D27B5">
            <w:pPr>
              <w:spacing w:before="0"/>
              <w:jc w:val="center"/>
              <w:rPr>
                <w:rFonts w:ascii="Arial Narrow" w:hAnsi="Arial Narrow"/>
                <w:b w:val="0"/>
                <w:sz w:val="20"/>
                <w:szCs w:val="20"/>
                <w:lang w:val="en-AU"/>
              </w:rPr>
            </w:pPr>
            <w:r w:rsidRPr="006F307B">
              <w:rPr>
                <w:rFonts w:ascii="Arial Narrow" w:hAnsi="Arial Narrow"/>
                <w:b w:val="0"/>
                <w:sz w:val="20"/>
                <w:szCs w:val="20"/>
              </w:rPr>
              <w:t>Chemo only</w:t>
            </w:r>
          </w:p>
        </w:tc>
        <w:tc>
          <w:tcPr>
            <w:tcW w:w="2395" w:type="dxa"/>
            <w:gridSpan w:val="2"/>
            <w:vMerge/>
            <w:shd w:val="clear" w:color="auto" w:fill="auto"/>
            <w:vAlign w:val="center"/>
          </w:tcPr>
          <w:p w:rsidR="00FF7849" w:rsidRPr="007278E9" w:rsidRDefault="00FF7849" w:rsidP="000D27B5">
            <w:pPr>
              <w:spacing w:before="0"/>
              <w:jc w:val="center"/>
              <w:rPr>
                <w:rFonts w:ascii="Arial Narrow" w:hAnsi="Arial Narrow"/>
                <w:sz w:val="20"/>
                <w:szCs w:val="20"/>
                <w:lang w:val="en-AU"/>
              </w:rPr>
            </w:pPr>
          </w:p>
        </w:tc>
        <w:tc>
          <w:tcPr>
            <w:tcW w:w="2500" w:type="dxa"/>
            <w:gridSpan w:val="2"/>
            <w:vMerge/>
            <w:shd w:val="clear" w:color="auto" w:fill="auto"/>
            <w:vAlign w:val="center"/>
          </w:tcPr>
          <w:p w:rsidR="00FF7849" w:rsidRPr="007278E9" w:rsidRDefault="00FF7849" w:rsidP="000D27B5">
            <w:pPr>
              <w:spacing w:before="0"/>
              <w:jc w:val="center"/>
              <w:rPr>
                <w:rFonts w:ascii="Arial Narrow" w:hAnsi="Arial Narrow"/>
                <w:sz w:val="20"/>
                <w:szCs w:val="20"/>
                <w:lang w:val="en-AU"/>
              </w:rPr>
            </w:pPr>
          </w:p>
        </w:tc>
      </w:tr>
      <w:tr w:rsidR="00FF7849" w:rsidRPr="006F307B" w:rsidTr="006F0C01">
        <w:trPr>
          <w:cnfStyle w:val="100000000000" w:firstRow="1" w:lastRow="0" w:firstColumn="0" w:lastColumn="0" w:oddVBand="0" w:evenVBand="0" w:oddHBand="0" w:evenHBand="0" w:firstRowFirstColumn="0" w:firstRowLastColumn="0" w:lastRowFirstColumn="0" w:lastRowLastColumn="0"/>
          <w:tblHeader/>
        </w:trPr>
        <w:tc>
          <w:tcPr>
            <w:tcW w:w="1270" w:type="dxa"/>
            <w:vMerge/>
            <w:shd w:val="clear" w:color="auto" w:fill="auto"/>
            <w:vAlign w:val="center"/>
          </w:tcPr>
          <w:p w:rsidR="00FF7849" w:rsidRPr="007278E9" w:rsidRDefault="00FF7849" w:rsidP="000D27B5">
            <w:pPr>
              <w:spacing w:before="0"/>
              <w:jc w:val="left"/>
              <w:rPr>
                <w:rFonts w:ascii="Arial Narrow" w:hAnsi="Arial Narrow"/>
                <w:sz w:val="20"/>
                <w:szCs w:val="20"/>
                <w:lang w:val="en-AU"/>
              </w:rPr>
            </w:pPr>
          </w:p>
        </w:tc>
        <w:tc>
          <w:tcPr>
            <w:tcW w:w="851" w:type="dxa"/>
            <w:vMerge/>
            <w:shd w:val="clear" w:color="auto" w:fill="auto"/>
            <w:vAlign w:val="center"/>
          </w:tcPr>
          <w:p w:rsidR="00FF7849" w:rsidRPr="007278E9" w:rsidRDefault="00FF7849" w:rsidP="000D27B5">
            <w:pPr>
              <w:spacing w:before="0"/>
              <w:jc w:val="center"/>
              <w:rPr>
                <w:rFonts w:ascii="Arial Narrow" w:hAnsi="Arial Narrow"/>
                <w:sz w:val="20"/>
                <w:szCs w:val="20"/>
                <w:lang w:val="en-AU"/>
              </w:rPr>
            </w:pPr>
          </w:p>
        </w:tc>
        <w:tc>
          <w:tcPr>
            <w:tcW w:w="991" w:type="dxa"/>
            <w:vMerge/>
            <w:shd w:val="clear" w:color="auto" w:fill="auto"/>
            <w:vAlign w:val="center"/>
          </w:tcPr>
          <w:p w:rsidR="00FF7849" w:rsidRPr="007278E9" w:rsidRDefault="00FF7849" w:rsidP="000D27B5">
            <w:pPr>
              <w:spacing w:before="0"/>
              <w:jc w:val="center"/>
              <w:rPr>
                <w:rFonts w:ascii="Arial Narrow" w:hAnsi="Arial Narrow"/>
                <w:sz w:val="20"/>
                <w:szCs w:val="20"/>
                <w:lang w:val="en-AU"/>
              </w:rPr>
            </w:pPr>
          </w:p>
        </w:tc>
        <w:tc>
          <w:tcPr>
            <w:tcW w:w="1009" w:type="dxa"/>
            <w:vMerge/>
            <w:shd w:val="clear" w:color="auto" w:fill="auto"/>
            <w:vAlign w:val="center"/>
          </w:tcPr>
          <w:p w:rsidR="00FF7849" w:rsidRPr="007278E9" w:rsidRDefault="00FF7849" w:rsidP="000D27B5">
            <w:pPr>
              <w:spacing w:before="0"/>
              <w:jc w:val="center"/>
              <w:rPr>
                <w:rFonts w:ascii="Arial Narrow" w:hAnsi="Arial Narrow"/>
                <w:sz w:val="20"/>
                <w:szCs w:val="20"/>
                <w:lang w:val="en-AU"/>
              </w:rPr>
            </w:pPr>
          </w:p>
        </w:tc>
        <w:tc>
          <w:tcPr>
            <w:tcW w:w="1119"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RR (95%CI)</w:t>
            </w:r>
          </w:p>
        </w:tc>
        <w:tc>
          <w:tcPr>
            <w:tcW w:w="1276" w:type="dxa"/>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RD% (95%CI)</w:t>
            </w:r>
          </w:p>
        </w:tc>
        <w:tc>
          <w:tcPr>
            <w:tcW w:w="1134"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RR (95%CI)</w:t>
            </w:r>
          </w:p>
        </w:tc>
        <w:tc>
          <w:tcPr>
            <w:tcW w:w="1366" w:type="dxa"/>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RD% (95%CI)</w:t>
            </w:r>
          </w:p>
        </w:tc>
      </w:tr>
      <w:tr w:rsidR="00FF7849" w:rsidRPr="006F307B" w:rsidTr="008E5D18">
        <w:tc>
          <w:tcPr>
            <w:tcW w:w="1270" w:type="dxa"/>
            <w:shd w:val="clear" w:color="auto" w:fill="auto"/>
            <w:vAlign w:val="center"/>
          </w:tcPr>
          <w:p w:rsidR="00FF7849" w:rsidRPr="007278E9" w:rsidRDefault="005136D2" w:rsidP="005136D2">
            <w:pPr>
              <w:spacing w:before="0"/>
              <w:jc w:val="left"/>
              <w:rPr>
                <w:rFonts w:ascii="Arial Narrow" w:hAnsi="Arial Narrow"/>
                <w:sz w:val="20"/>
                <w:szCs w:val="20"/>
                <w:lang w:val="en-AU"/>
              </w:rPr>
            </w:pPr>
            <w:r>
              <w:rPr>
                <w:rFonts w:ascii="Arial Narrow" w:hAnsi="Arial Narrow"/>
                <w:sz w:val="20"/>
                <w:szCs w:val="20"/>
              </w:rPr>
              <w:t>All grade 3-5 AE</w:t>
            </w:r>
          </w:p>
        </w:tc>
        <w:tc>
          <w:tcPr>
            <w:tcW w:w="851"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eastAsia="Calibri" w:hAnsi="Arial Narrow" w:cs="Arial"/>
                <w:sz w:val="20"/>
              </w:rPr>
              <w:t>164/300 (54.7)</w:t>
            </w:r>
          </w:p>
        </w:tc>
        <w:tc>
          <w:tcPr>
            <w:tcW w:w="991"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eastAsia="Calibri" w:hAnsi="Arial Narrow" w:cs="Arial"/>
                <w:sz w:val="20"/>
              </w:rPr>
              <w:t>235/276 (85.1)</w:t>
            </w:r>
          </w:p>
        </w:tc>
        <w:tc>
          <w:tcPr>
            <w:tcW w:w="1009"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eastAsia="Calibri" w:hAnsi="Arial Narrow" w:cs="Arial"/>
                <w:sz w:val="20"/>
              </w:rPr>
              <w:t>171/215 (79.5)</w:t>
            </w:r>
          </w:p>
        </w:tc>
        <w:tc>
          <w:tcPr>
            <w:tcW w:w="1119" w:type="dxa"/>
            <w:shd w:val="clear" w:color="auto" w:fill="auto"/>
            <w:vAlign w:val="center"/>
          </w:tcPr>
          <w:p w:rsidR="00140F3F" w:rsidRPr="007278E9" w:rsidRDefault="00FF7849" w:rsidP="000D27B5">
            <w:pPr>
              <w:spacing w:before="0"/>
              <w:jc w:val="center"/>
              <w:rPr>
                <w:rFonts w:ascii="Arial Narrow" w:eastAsia="Calibri" w:hAnsi="Arial Narrow" w:cs="Arial"/>
                <w:b/>
                <w:sz w:val="20"/>
                <w:lang w:val="en-AU"/>
              </w:rPr>
            </w:pPr>
            <w:r w:rsidRPr="006F307B">
              <w:rPr>
                <w:rFonts w:ascii="Arial Narrow" w:eastAsia="Calibri" w:hAnsi="Arial Narrow" w:cs="Arial"/>
                <w:b/>
                <w:sz w:val="20"/>
              </w:rPr>
              <w:t>0.69</w:t>
            </w:r>
          </w:p>
          <w:p w:rsidR="00FF7849" w:rsidRPr="007278E9" w:rsidRDefault="00FF7849" w:rsidP="000D27B5">
            <w:pPr>
              <w:spacing w:before="0"/>
              <w:jc w:val="center"/>
              <w:rPr>
                <w:rFonts w:ascii="Arial Narrow" w:hAnsi="Arial Narrow"/>
                <w:b/>
                <w:sz w:val="20"/>
                <w:szCs w:val="20"/>
                <w:lang w:val="en-AU"/>
              </w:rPr>
            </w:pPr>
            <w:r w:rsidRPr="006F307B">
              <w:rPr>
                <w:rFonts w:ascii="Arial Narrow" w:eastAsia="Calibri" w:hAnsi="Arial Narrow" w:cs="Arial"/>
                <w:b/>
                <w:sz w:val="20"/>
              </w:rPr>
              <w:t>(0.61, 0.78)</w:t>
            </w:r>
          </w:p>
        </w:tc>
        <w:tc>
          <w:tcPr>
            <w:tcW w:w="1276" w:type="dxa"/>
            <w:shd w:val="clear" w:color="auto" w:fill="auto"/>
            <w:vAlign w:val="center"/>
          </w:tcPr>
          <w:p w:rsidR="00FF7849" w:rsidRPr="007278E9" w:rsidRDefault="00FF7849" w:rsidP="000D27B5">
            <w:pPr>
              <w:spacing w:before="0"/>
              <w:jc w:val="center"/>
              <w:rPr>
                <w:rFonts w:ascii="Arial Narrow" w:hAnsi="Arial Narrow"/>
                <w:b/>
                <w:sz w:val="20"/>
                <w:szCs w:val="20"/>
                <w:lang w:val="en-AU"/>
              </w:rPr>
            </w:pPr>
            <w:r w:rsidRPr="006F307B">
              <w:rPr>
                <w:rFonts w:ascii="Arial Narrow" w:eastAsia="Calibri" w:hAnsi="Arial Narrow" w:cs="Arial"/>
                <w:b/>
                <w:sz w:val="20"/>
              </w:rPr>
              <w:t>-25 (-32, -17)</w:t>
            </w:r>
          </w:p>
        </w:tc>
        <w:tc>
          <w:tcPr>
            <w:tcW w:w="1134" w:type="dxa"/>
            <w:shd w:val="clear" w:color="auto" w:fill="auto"/>
            <w:vAlign w:val="center"/>
          </w:tcPr>
          <w:p w:rsidR="00140F3F" w:rsidRPr="007278E9" w:rsidRDefault="00FF7849" w:rsidP="000D27B5">
            <w:pPr>
              <w:spacing w:before="0"/>
              <w:jc w:val="center"/>
              <w:rPr>
                <w:rFonts w:ascii="Arial Narrow" w:eastAsia="Calibri" w:hAnsi="Arial Narrow" w:cs="Arial"/>
                <w:sz w:val="20"/>
                <w:lang w:val="en-AU"/>
              </w:rPr>
            </w:pPr>
            <w:r w:rsidRPr="006F307B">
              <w:rPr>
                <w:rFonts w:ascii="Arial Narrow" w:eastAsia="Calibri" w:hAnsi="Arial Narrow" w:cs="Arial"/>
                <w:sz w:val="20"/>
              </w:rPr>
              <w:t>1.07</w:t>
            </w:r>
          </w:p>
          <w:p w:rsidR="00FF7849" w:rsidRPr="007278E9" w:rsidRDefault="00FF7849" w:rsidP="00834FC2">
            <w:pPr>
              <w:spacing w:before="0"/>
              <w:jc w:val="center"/>
              <w:rPr>
                <w:rFonts w:ascii="Arial Narrow" w:hAnsi="Arial Narrow"/>
                <w:b/>
                <w:sz w:val="20"/>
                <w:szCs w:val="20"/>
                <w:lang w:val="en-AU"/>
              </w:rPr>
            </w:pPr>
            <w:r w:rsidRPr="006F307B">
              <w:rPr>
                <w:rFonts w:ascii="Arial Narrow" w:eastAsia="Calibri" w:hAnsi="Arial Narrow" w:cs="Arial"/>
                <w:sz w:val="20"/>
              </w:rPr>
              <w:t>(0.9</w:t>
            </w:r>
            <w:r w:rsidR="00834FC2" w:rsidRPr="006F307B">
              <w:rPr>
                <w:rFonts w:ascii="Arial Narrow" w:eastAsia="Calibri" w:hAnsi="Arial Narrow" w:cs="Arial"/>
                <w:sz w:val="20"/>
              </w:rPr>
              <w:t>8</w:t>
            </w:r>
            <w:r w:rsidRPr="006F307B">
              <w:rPr>
                <w:rFonts w:ascii="Arial Narrow" w:eastAsia="Calibri" w:hAnsi="Arial Narrow" w:cs="Arial"/>
                <w:sz w:val="20"/>
              </w:rPr>
              <w:t>, 1.1</w:t>
            </w:r>
            <w:r w:rsidR="00834FC2" w:rsidRPr="006F307B">
              <w:rPr>
                <w:rFonts w:ascii="Arial Narrow" w:eastAsia="Calibri" w:hAnsi="Arial Narrow" w:cs="Arial"/>
                <w:sz w:val="20"/>
              </w:rPr>
              <w:t>6</w:t>
            </w:r>
            <w:r w:rsidRPr="006F307B">
              <w:rPr>
                <w:rFonts w:ascii="Arial Narrow" w:eastAsia="Calibri" w:hAnsi="Arial Narrow" w:cs="Arial"/>
                <w:sz w:val="20"/>
              </w:rPr>
              <w:t>)</w:t>
            </w:r>
          </w:p>
        </w:tc>
        <w:tc>
          <w:tcPr>
            <w:tcW w:w="1366" w:type="dxa"/>
            <w:shd w:val="clear" w:color="auto" w:fill="auto"/>
            <w:vAlign w:val="center"/>
          </w:tcPr>
          <w:p w:rsidR="00FF7849" w:rsidRPr="007278E9" w:rsidRDefault="00FF7849" w:rsidP="000D27B5">
            <w:pPr>
              <w:spacing w:before="0"/>
              <w:jc w:val="center"/>
              <w:rPr>
                <w:rFonts w:ascii="Arial Narrow" w:hAnsi="Arial Narrow"/>
                <w:b/>
                <w:sz w:val="20"/>
                <w:szCs w:val="20"/>
                <w:lang w:val="en-AU"/>
              </w:rPr>
            </w:pPr>
            <w:r w:rsidRPr="006F307B">
              <w:rPr>
                <w:rFonts w:ascii="Arial Narrow" w:eastAsia="Calibri" w:hAnsi="Arial Narrow" w:cs="Arial"/>
                <w:sz w:val="20"/>
              </w:rPr>
              <w:t>6 (-1, 13)</w:t>
            </w:r>
          </w:p>
        </w:tc>
      </w:tr>
      <w:tr w:rsidR="00FF7849" w:rsidRPr="006F307B" w:rsidTr="008E5D18">
        <w:tc>
          <w:tcPr>
            <w:tcW w:w="1270" w:type="dxa"/>
            <w:shd w:val="clear" w:color="auto" w:fill="auto"/>
          </w:tcPr>
          <w:p w:rsidR="00FF7849" w:rsidRPr="007278E9" w:rsidRDefault="00FF7849" w:rsidP="000D27B5">
            <w:pPr>
              <w:spacing w:before="0"/>
              <w:jc w:val="left"/>
              <w:rPr>
                <w:rFonts w:ascii="Arial Narrow" w:hAnsi="Arial Narrow"/>
                <w:sz w:val="20"/>
                <w:szCs w:val="20"/>
                <w:lang w:val="en-AU"/>
              </w:rPr>
            </w:pPr>
            <w:r w:rsidRPr="006F307B">
              <w:rPr>
                <w:rFonts w:ascii="Arial Narrow" w:eastAsia="Calibri" w:hAnsi="Arial Narrow" w:cs="Arial"/>
                <w:sz w:val="20"/>
              </w:rPr>
              <w:t>Grade 5 AE (death in EXTREME)</w:t>
            </w:r>
          </w:p>
        </w:tc>
        <w:tc>
          <w:tcPr>
            <w:tcW w:w="851" w:type="dxa"/>
            <w:shd w:val="clear" w:color="auto" w:fill="auto"/>
            <w:vAlign w:val="center"/>
          </w:tcPr>
          <w:p w:rsidR="00FF7849" w:rsidRPr="007278E9" w:rsidRDefault="00FF7849" w:rsidP="000D27B5">
            <w:pPr>
              <w:spacing w:before="0"/>
              <w:jc w:val="center"/>
              <w:rPr>
                <w:rFonts w:ascii="Arial Narrow" w:eastAsia="Calibri" w:hAnsi="Arial Narrow" w:cs="Arial"/>
                <w:sz w:val="20"/>
                <w:lang w:val="en-AU"/>
              </w:rPr>
            </w:pPr>
            <w:r w:rsidRPr="006F307B">
              <w:rPr>
                <w:rFonts w:ascii="Arial Narrow" w:eastAsia="Calibri" w:hAnsi="Arial Narrow" w:cs="Arial"/>
                <w:sz w:val="20"/>
              </w:rPr>
              <w:t>25/300 (8.3)</w:t>
            </w:r>
          </w:p>
        </w:tc>
        <w:tc>
          <w:tcPr>
            <w:tcW w:w="991" w:type="dxa"/>
            <w:shd w:val="clear" w:color="auto" w:fill="auto"/>
            <w:vAlign w:val="center"/>
          </w:tcPr>
          <w:p w:rsidR="00FF7849" w:rsidRPr="007278E9" w:rsidRDefault="00FF7849" w:rsidP="000D27B5">
            <w:pPr>
              <w:spacing w:before="0"/>
              <w:jc w:val="center"/>
              <w:rPr>
                <w:rFonts w:ascii="Arial Narrow" w:eastAsia="Calibri" w:hAnsi="Arial Narrow" w:cs="Arial"/>
                <w:sz w:val="20"/>
                <w:lang w:val="en-AU"/>
              </w:rPr>
            </w:pPr>
            <w:r w:rsidRPr="006F307B">
              <w:rPr>
                <w:rFonts w:ascii="Arial Narrow" w:eastAsia="Calibri" w:hAnsi="Arial Narrow" w:cs="Arial"/>
                <w:sz w:val="20"/>
              </w:rPr>
              <w:t>32/276 (11.6)</w:t>
            </w:r>
          </w:p>
        </w:tc>
        <w:tc>
          <w:tcPr>
            <w:tcW w:w="1009" w:type="dxa"/>
            <w:shd w:val="clear" w:color="auto" w:fill="auto"/>
            <w:vAlign w:val="center"/>
          </w:tcPr>
          <w:p w:rsidR="00FF7849" w:rsidRPr="007278E9" w:rsidRDefault="00FF7849" w:rsidP="000D27B5">
            <w:pPr>
              <w:spacing w:before="0"/>
              <w:jc w:val="center"/>
              <w:rPr>
                <w:rFonts w:ascii="Arial Narrow" w:eastAsia="Calibri" w:hAnsi="Arial Narrow" w:cs="Arial"/>
                <w:sz w:val="20"/>
                <w:lang w:val="en-AU"/>
              </w:rPr>
            </w:pPr>
            <w:r w:rsidRPr="006F307B">
              <w:rPr>
                <w:rFonts w:ascii="Arial Narrow" w:eastAsia="Calibri" w:hAnsi="Arial Narrow" w:cs="Arial"/>
                <w:sz w:val="20"/>
              </w:rPr>
              <w:t>7/215 (3.2)</w:t>
            </w:r>
          </w:p>
        </w:tc>
        <w:tc>
          <w:tcPr>
            <w:tcW w:w="1119" w:type="dxa"/>
            <w:shd w:val="clear" w:color="auto" w:fill="auto"/>
            <w:vAlign w:val="center"/>
          </w:tcPr>
          <w:p w:rsidR="00140F3F" w:rsidRPr="007278E9" w:rsidRDefault="00FF7849" w:rsidP="000D27B5">
            <w:pPr>
              <w:spacing w:before="0"/>
              <w:jc w:val="center"/>
              <w:rPr>
                <w:rFonts w:ascii="Arial Narrow" w:eastAsia="Calibri" w:hAnsi="Arial Narrow" w:cs="Arial"/>
                <w:b/>
                <w:sz w:val="20"/>
                <w:lang w:val="en-AU"/>
              </w:rPr>
            </w:pPr>
            <w:r w:rsidRPr="006F307B">
              <w:rPr>
                <w:rFonts w:ascii="Arial Narrow" w:eastAsia="Calibri" w:hAnsi="Arial Narrow" w:cs="Arial"/>
                <w:b/>
                <w:sz w:val="20"/>
              </w:rPr>
              <w:t>2.56</w:t>
            </w:r>
          </w:p>
          <w:p w:rsidR="00FF7849" w:rsidRPr="007278E9" w:rsidRDefault="00FF7849" w:rsidP="000D27B5">
            <w:pPr>
              <w:spacing w:before="0"/>
              <w:jc w:val="center"/>
              <w:rPr>
                <w:rFonts w:ascii="Arial Narrow" w:eastAsia="Calibri" w:hAnsi="Arial Narrow" w:cs="Arial"/>
                <w:b/>
                <w:sz w:val="20"/>
                <w:lang w:val="en-AU"/>
              </w:rPr>
            </w:pPr>
            <w:r w:rsidRPr="006F307B">
              <w:rPr>
                <w:rFonts w:ascii="Arial Narrow" w:eastAsia="Calibri" w:hAnsi="Arial Narrow" w:cs="Arial"/>
                <w:b/>
                <w:sz w:val="20"/>
              </w:rPr>
              <w:t>(1.16, 5.71)</w:t>
            </w:r>
          </w:p>
        </w:tc>
        <w:tc>
          <w:tcPr>
            <w:tcW w:w="1276" w:type="dxa"/>
            <w:shd w:val="clear" w:color="auto" w:fill="auto"/>
            <w:vAlign w:val="center"/>
          </w:tcPr>
          <w:p w:rsidR="00FF7849" w:rsidRPr="007278E9" w:rsidRDefault="00FF7849" w:rsidP="000D27B5">
            <w:pPr>
              <w:spacing w:before="0"/>
              <w:jc w:val="center"/>
              <w:rPr>
                <w:rFonts w:ascii="Arial Narrow" w:eastAsia="Calibri" w:hAnsi="Arial Narrow" w:cs="Arial"/>
                <w:b/>
                <w:sz w:val="20"/>
                <w:lang w:val="en-AU"/>
              </w:rPr>
            </w:pPr>
            <w:r w:rsidRPr="006F307B">
              <w:rPr>
                <w:rFonts w:ascii="Arial Narrow" w:eastAsia="Calibri" w:hAnsi="Arial Narrow" w:cs="Arial"/>
                <w:b/>
                <w:sz w:val="20"/>
              </w:rPr>
              <w:t>5.1 (0.9, 9.2)</w:t>
            </w:r>
          </w:p>
        </w:tc>
        <w:tc>
          <w:tcPr>
            <w:tcW w:w="1134" w:type="dxa"/>
            <w:shd w:val="clear" w:color="auto" w:fill="auto"/>
            <w:vAlign w:val="center"/>
          </w:tcPr>
          <w:p w:rsidR="00140F3F" w:rsidRPr="007278E9" w:rsidRDefault="00FF7849" w:rsidP="000D27B5">
            <w:pPr>
              <w:spacing w:before="0"/>
              <w:jc w:val="center"/>
              <w:rPr>
                <w:rFonts w:ascii="Arial Narrow" w:eastAsia="Calibri" w:hAnsi="Arial Narrow" w:cs="Arial"/>
                <w:b/>
                <w:sz w:val="20"/>
                <w:lang w:val="en-AU"/>
              </w:rPr>
            </w:pPr>
            <w:r w:rsidRPr="006F307B">
              <w:rPr>
                <w:rFonts w:ascii="Arial Narrow" w:eastAsia="Calibri" w:hAnsi="Arial Narrow" w:cs="Arial"/>
                <w:b/>
                <w:sz w:val="20"/>
              </w:rPr>
              <w:t>3.56</w:t>
            </w:r>
          </w:p>
          <w:p w:rsidR="00FF7849" w:rsidRPr="007278E9" w:rsidRDefault="00FF7849" w:rsidP="000D27B5">
            <w:pPr>
              <w:spacing w:before="0"/>
              <w:jc w:val="center"/>
              <w:rPr>
                <w:rFonts w:ascii="Arial Narrow" w:eastAsia="Calibri" w:hAnsi="Arial Narrow" w:cs="Arial"/>
                <w:sz w:val="20"/>
                <w:lang w:val="en-AU"/>
              </w:rPr>
            </w:pPr>
            <w:r w:rsidRPr="006F307B">
              <w:rPr>
                <w:rFonts w:ascii="Arial Narrow" w:eastAsia="Calibri" w:hAnsi="Arial Narrow" w:cs="Arial"/>
                <w:b/>
                <w:sz w:val="20"/>
              </w:rPr>
              <w:t>(1.65, 7.79)</w:t>
            </w:r>
          </w:p>
        </w:tc>
        <w:tc>
          <w:tcPr>
            <w:tcW w:w="1366" w:type="dxa"/>
            <w:shd w:val="clear" w:color="auto" w:fill="auto"/>
            <w:vAlign w:val="center"/>
          </w:tcPr>
          <w:p w:rsidR="00FF7849" w:rsidRPr="007278E9" w:rsidRDefault="00FF7849" w:rsidP="000D27B5">
            <w:pPr>
              <w:spacing w:before="0"/>
              <w:jc w:val="center"/>
              <w:rPr>
                <w:rFonts w:ascii="Arial Narrow" w:eastAsia="Calibri" w:hAnsi="Arial Narrow" w:cs="Arial"/>
                <w:sz w:val="20"/>
                <w:lang w:val="en-AU"/>
              </w:rPr>
            </w:pPr>
            <w:r w:rsidRPr="006F307B">
              <w:rPr>
                <w:rFonts w:ascii="Arial Narrow" w:eastAsia="Calibri" w:hAnsi="Arial Narrow" w:cs="Arial"/>
                <w:b/>
                <w:sz w:val="20"/>
              </w:rPr>
              <w:t>8 (4, 13)</w:t>
            </w:r>
          </w:p>
        </w:tc>
      </w:tr>
      <w:tr w:rsidR="00FF7849" w:rsidRPr="006F307B" w:rsidTr="000D27B5">
        <w:tc>
          <w:tcPr>
            <w:tcW w:w="1270" w:type="dxa"/>
            <w:shd w:val="clear" w:color="auto" w:fill="auto"/>
            <w:vAlign w:val="center"/>
          </w:tcPr>
          <w:p w:rsidR="00FF7849" w:rsidRPr="007278E9" w:rsidRDefault="00FF7849" w:rsidP="000D27B5">
            <w:pPr>
              <w:spacing w:before="0"/>
              <w:jc w:val="left"/>
              <w:rPr>
                <w:rFonts w:ascii="Arial Narrow" w:hAnsi="Arial Narrow"/>
                <w:sz w:val="20"/>
                <w:szCs w:val="20"/>
                <w:lang w:val="en-AU"/>
              </w:rPr>
            </w:pPr>
            <w:r w:rsidRPr="006F307B">
              <w:rPr>
                <w:rFonts w:ascii="Arial Narrow" w:hAnsi="Arial Narrow"/>
                <w:sz w:val="20"/>
                <w:szCs w:val="20"/>
              </w:rPr>
              <w:t>Drug related grade 3-5 AE</w:t>
            </w:r>
          </w:p>
        </w:tc>
        <w:tc>
          <w:tcPr>
            <w:tcW w:w="851"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52/300 (17.0)</w:t>
            </w:r>
          </w:p>
        </w:tc>
        <w:tc>
          <w:tcPr>
            <w:tcW w:w="991"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198/276 (71.7)</w:t>
            </w:r>
          </w:p>
        </w:tc>
        <w:tc>
          <w:tcPr>
            <w:tcW w:w="1009"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NR</w:t>
            </w:r>
          </w:p>
        </w:tc>
        <w:tc>
          <w:tcPr>
            <w:tcW w:w="1119"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NC</w:t>
            </w:r>
          </w:p>
        </w:tc>
        <w:tc>
          <w:tcPr>
            <w:tcW w:w="1276" w:type="dxa"/>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NC</w:t>
            </w:r>
          </w:p>
        </w:tc>
        <w:tc>
          <w:tcPr>
            <w:tcW w:w="1134" w:type="dxa"/>
            <w:shd w:val="clear" w:color="auto" w:fill="auto"/>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NC</w:t>
            </w:r>
          </w:p>
        </w:tc>
        <w:tc>
          <w:tcPr>
            <w:tcW w:w="1366" w:type="dxa"/>
            <w:vAlign w:val="center"/>
          </w:tcPr>
          <w:p w:rsidR="00FF7849" w:rsidRPr="007278E9" w:rsidRDefault="00FF7849" w:rsidP="000D27B5">
            <w:pPr>
              <w:spacing w:before="0"/>
              <w:jc w:val="center"/>
              <w:rPr>
                <w:rFonts w:ascii="Arial Narrow" w:hAnsi="Arial Narrow"/>
                <w:sz w:val="20"/>
                <w:szCs w:val="20"/>
                <w:lang w:val="en-AU"/>
              </w:rPr>
            </w:pPr>
            <w:r w:rsidRPr="006F307B">
              <w:rPr>
                <w:rFonts w:ascii="Arial Narrow" w:hAnsi="Arial Narrow"/>
                <w:sz w:val="20"/>
                <w:szCs w:val="20"/>
              </w:rPr>
              <w:t>NC</w:t>
            </w:r>
          </w:p>
        </w:tc>
      </w:tr>
    </w:tbl>
    <w:p w:rsidR="00FF7849" w:rsidRPr="006F307B" w:rsidRDefault="00E9137E" w:rsidP="00FF7849">
      <w:pPr>
        <w:spacing w:before="0" w:after="0"/>
        <w:rPr>
          <w:rFonts w:ascii="Arial Narrow" w:hAnsi="Arial Narrow"/>
          <w:sz w:val="18"/>
          <w:szCs w:val="18"/>
        </w:rPr>
      </w:pPr>
      <w:r w:rsidRPr="00ED436C">
        <w:rPr>
          <w:rFonts w:ascii="Arial Narrow" w:hAnsi="Arial Narrow"/>
          <w:sz w:val="18"/>
          <w:szCs w:val="18"/>
        </w:rPr>
        <w:t xml:space="preserve">Abbreviations: </w:t>
      </w:r>
      <w:r w:rsidR="00FF7849" w:rsidRPr="006F307B">
        <w:rPr>
          <w:rFonts w:ascii="Arial Narrow" w:hAnsi="Arial Narrow"/>
          <w:sz w:val="18"/>
          <w:szCs w:val="18"/>
        </w:rPr>
        <w:t>AE = adverse events, pembro = pembrolizumab, chemo = chemotherapy, RR = relative risk, RD = risk difference, NR = not reported, NC = not calculable</w:t>
      </w:r>
    </w:p>
    <w:p w:rsidR="00FF7849" w:rsidRPr="006F307B" w:rsidRDefault="00FF7849" w:rsidP="00FF7849">
      <w:pPr>
        <w:spacing w:before="0" w:after="0"/>
        <w:rPr>
          <w:rFonts w:ascii="Arial Narrow" w:hAnsi="Arial Narrow"/>
          <w:sz w:val="18"/>
          <w:szCs w:val="18"/>
        </w:rPr>
      </w:pPr>
      <w:r w:rsidRPr="006F307B">
        <w:rPr>
          <w:rFonts w:ascii="Arial Narrow" w:hAnsi="Arial Narrow"/>
          <w:sz w:val="18"/>
          <w:szCs w:val="18"/>
        </w:rPr>
        <w:t xml:space="preserve">Figures in bold indicate statistically significant differences. </w:t>
      </w:r>
    </w:p>
    <w:p w:rsidR="00FF7849" w:rsidRPr="006F307B" w:rsidRDefault="00FF7849" w:rsidP="00FF7849">
      <w:pPr>
        <w:spacing w:before="0" w:after="0"/>
        <w:rPr>
          <w:rFonts w:ascii="Arial Narrow" w:hAnsi="Arial Narrow"/>
          <w:sz w:val="18"/>
          <w:szCs w:val="18"/>
        </w:rPr>
      </w:pPr>
      <w:r w:rsidRPr="006F307B">
        <w:rPr>
          <w:rFonts w:ascii="Arial Narrow" w:hAnsi="Arial Narrow"/>
          <w:sz w:val="18"/>
          <w:szCs w:val="18"/>
        </w:rPr>
        <w:t>Source: Table 2.5-18, p88-89 of the submission Table 2.6-11, p103 of the submission, calculated using review manager 5.3 during evaluation.</w:t>
      </w:r>
    </w:p>
    <w:p w:rsidR="0064397C" w:rsidRPr="006F307B" w:rsidRDefault="0064397C" w:rsidP="00FF7849">
      <w:pPr>
        <w:pStyle w:val="ListParagraph"/>
        <w:numPr>
          <w:ilvl w:val="4"/>
          <w:numId w:val="1"/>
        </w:numPr>
        <w:rPr>
          <w:color w:val="auto"/>
        </w:rPr>
      </w:pPr>
      <w:r w:rsidRPr="006F307B">
        <w:rPr>
          <w:color w:val="auto"/>
        </w:rPr>
        <w:t xml:space="preserve">For </w:t>
      </w:r>
      <w:r w:rsidR="00FF7849" w:rsidRPr="006F307B">
        <w:rPr>
          <w:color w:val="auto"/>
        </w:rPr>
        <w:t xml:space="preserve">all cause grade 3-5 AE </w:t>
      </w:r>
      <w:r w:rsidR="00D83A21" w:rsidRPr="006F307B">
        <w:rPr>
          <w:color w:val="auto"/>
        </w:rPr>
        <w:t xml:space="preserve">the PBAC noted that </w:t>
      </w:r>
      <w:r w:rsidR="00FF7849" w:rsidRPr="006F307B">
        <w:rPr>
          <w:color w:val="auto"/>
        </w:rPr>
        <w:t xml:space="preserve">pembrolizumab </w:t>
      </w:r>
      <w:r w:rsidR="00D83A21" w:rsidRPr="006F307B">
        <w:rPr>
          <w:color w:val="auto"/>
        </w:rPr>
        <w:t xml:space="preserve">+ </w:t>
      </w:r>
      <w:r w:rsidR="00FF7849" w:rsidRPr="006F307B">
        <w:rPr>
          <w:color w:val="auto"/>
        </w:rPr>
        <w:t>chemotherapy had a higher incidence of grade 3-5 adverse events than chemotherapy alone, which was plausible and expected</w:t>
      </w:r>
      <w:r w:rsidRPr="006F307B">
        <w:rPr>
          <w:color w:val="auto"/>
        </w:rPr>
        <w:t xml:space="preserve">, noting </w:t>
      </w:r>
      <w:r w:rsidRPr="006F307B">
        <w:t>t</w:t>
      </w:r>
      <w:r w:rsidR="00FF7849" w:rsidRPr="006F307B">
        <w:t xml:space="preserve">he PBAC has previously considered that cetuximab </w:t>
      </w:r>
      <w:r w:rsidR="008374B8" w:rsidRPr="006F307B">
        <w:t xml:space="preserve">+ </w:t>
      </w:r>
      <w:r w:rsidR="00FF7849" w:rsidRPr="006F307B">
        <w:t xml:space="preserve">chemotherapy was inferior in safety compared to chemotherapy alone (para 6.23, </w:t>
      </w:r>
      <w:r w:rsidRPr="006F307B">
        <w:t>c</w:t>
      </w:r>
      <w:r w:rsidR="00FF7849" w:rsidRPr="006F307B">
        <w:t xml:space="preserve">etuximab PSD March 2018), and given that KN048 showed that pembrolizumab </w:t>
      </w:r>
      <w:r w:rsidR="008374B8" w:rsidRPr="006F307B">
        <w:t xml:space="preserve">+ </w:t>
      </w:r>
      <w:r w:rsidR="00FF7849" w:rsidRPr="006F307B">
        <w:t xml:space="preserve">chemotherapy was comparable </w:t>
      </w:r>
      <w:r w:rsidR="00FF7849" w:rsidRPr="006F307B">
        <w:rPr>
          <w:color w:val="auto"/>
        </w:rPr>
        <w:t xml:space="preserve">to cetuximab </w:t>
      </w:r>
      <w:r w:rsidR="008374B8" w:rsidRPr="006F307B">
        <w:rPr>
          <w:color w:val="auto"/>
        </w:rPr>
        <w:t xml:space="preserve">+ </w:t>
      </w:r>
      <w:r w:rsidR="00FF7849" w:rsidRPr="006F307B">
        <w:rPr>
          <w:color w:val="auto"/>
        </w:rPr>
        <w:t xml:space="preserve">chemotherapy in safety, it would be expected that pembrolizumab </w:t>
      </w:r>
      <w:r w:rsidR="008374B8" w:rsidRPr="006F307B">
        <w:rPr>
          <w:color w:val="auto"/>
        </w:rPr>
        <w:t xml:space="preserve">+ </w:t>
      </w:r>
      <w:r w:rsidR="00FF7849" w:rsidRPr="006F307B">
        <w:rPr>
          <w:color w:val="auto"/>
        </w:rPr>
        <w:t>chemotherapy was also inferior in safety to chemotherapy alone</w:t>
      </w:r>
      <w:r w:rsidRPr="006F307B">
        <w:rPr>
          <w:color w:val="auto"/>
        </w:rPr>
        <w:t>.</w:t>
      </w:r>
    </w:p>
    <w:p w:rsidR="00FF7849" w:rsidRPr="006F307B" w:rsidRDefault="00FF7849" w:rsidP="00FF7849">
      <w:pPr>
        <w:pStyle w:val="ListParagraph"/>
        <w:numPr>
          <w:ilvl w:val="4"/>
          <w:numId w:val="1"/>
        </w:numPr>
        <w:rPr>
          <w:color w:val="auto"/>
          <w:szCs w:val="24"/>
        </w:rPr>
      </w:pPr>
      <w:r w:rsidRPr="006F307B">
        <w:rPr>
          <w:rFonts w:cstheme="minorHAnsi"/>
          <w:szCs w:val="24"/>
        </w:rPr>
        <w:t>The PSCR</w:t>
      </w:r>
      <w:r w:rsidR="00B379DC">
        <w:rPr>
          <w:rFonts w:cstheme="minorHAnsi"/>
          <w:szCs w:val="24"/>
        </w:rPr>
        <w:t xml:space="preserve"> </w:t>
      </w:r>
      <w:r w:rsidRPr="006F307B">
        <w:rPr>
          <w:rFonts w:cstheme="minorHAnsi"/>
          <w:szCs w:val="24"/>
        </w:rPr>
        <w:t xml:space="preserve">claimed that, based on the grade 3-4 adverse events plus deaths </w:t>
      </w:r>
      <w:r w:rsidR="00AC0597" w:rsidRPr="006F307B">
        <w:rPr>
          <w:rFonts w:cstheme="minorHAnsi"/>
          <w:szCs w:val="24"/>
        </w:rPr>
        <w:t xml:space="preserve">(i.e. grade 5 adverse events) </w:t>
      </w:r>
      <w:r w:rsidRPr="006F307B">
        <w:rPr>
          <w:rFonts w:cstheme="minorHAnsi"/>
          <w:szCs w:val="24"/>
        </w:rPr>
        <w:t>in EXTREME</w:t>
      </w:r>
      <w:r w:rsidR="0064397C" w:rsidRPr="006F307B">
        <w:rPr>
          <w:rFonts w:cstheme="minorHAnsi"/>
          <w:szCs w:val="24"/>
        </w:rPr>
        <w:t xml:space="preserve"> (as shown in Table 14)</w:t>
      </w:r>
      <w:r w:rsidRPr="006F307B">
        <w:rPr>
          <w:rFonts w:cstheme="minorHAnsi"/>
          <w:szCs w:val="24"/>
        </w:rPr>
        <w:t xml:space="preserve">, there was no statistically significant difference between pembrolizumab </w:t>
      </w:r>
      <w:r w:rsidR="0064397C" w:rsidRPr="006F307B">
        <w:rPr>
          <w:rFonts w:cstheme="minorHAnsi"/>
          <w:szCs w:val="24"/>
        </w:rPr>
        <w:t xml:space="preserve">+ </w:t>
      </w:r>
      <w:r w:rsidRPr="006F307B">
        <w:rPr>
          <w:rFonts w:cstheme="minorHAnsi"/>
          <w:szCs w:val="24"/>
        </w:rPr>
        <w:t xml:space="preserve">chemotherapy versus chemotherapy alone. The </w:t>
      </w:r>
      <w:r w:rsidR="00AC0597" w:rsidRPr="006F307B">
        <w:rPr>
          <w:rFonts w:cstheme="minorHAnsi"/>
          <w:szCs w:val="24"/>
        </w:rPr>
        <w:t>PBAC agreed with the ESCs that</w:t>
      </w:r>
      <w:r w:rsidRPr="006F307B">
        <w:rPr>
          <w:rFonts w:cstheme="minorHAnsi"/>
          <w:szCs w:val="24"/>
        </w:rPr>
        <w:t xml:space="preserve"> the safety results </w:t>
      </w:r>
      <w:r w:rsidR="00AC0597" w:rsidRPr="006F307B">
        <w:rPr>
          <w:rFonts w:cstheme="minorHAnsi"/>
          <w:szCs w:val="24"/>
        </w:rPr>
        <w:t>for</w:t>
      </w:r>
      <w:r w:rsidR="008374B8" w:rsidRPr="006F307B">
        <w:rPr>
          <w:rFonts w:cstheme="minorHAnsi"/>
          <w:szCs w:val="24"/>
        </w:rPr>
        <w:t xml:space="preserve"> </w:t>
      </w:r>
      <w:r w:rsidR="003142B9" w:rsidRPr="006F307B">
        <w:rPr>
          <w:rFonts w:cstheme="minorHAnsi"/>
          <w:szCs w:val="24"/>
        </w:rPr>
        <w:t>pembrolizumab + chemotherapy</w:t>
      </w:r>
      <w:r w:rsidR="00AC0597" w:rsidRPr="006F307B">
        <w:rPr>
          <w:rFonts w:cstheme="minorHAnsi"/>
          <w:szCs w:val="24"/>
        </w:rPr>
        <w:t xml:space="preserve"> </w:t>
      </w:r>
      <w:r w:rsidRPr="006F307B">
        <w:rPr>
          <w:rFonts w:cstheme="minorHAnsi"/>
          <w:szCs w:val="24"/>
        </w:rPr>
        <w:t>were difficult to interpret due to reporting differences between KN048 and EXTREME.</w:t>
      </w:r>
    </w:p>
    <w:p w:rsidR="00FF7849" w:rsidRPr="006F307B" w:rsidRDefault="00FF7849" w:rsidP="00FF7849">
      <w:pPr>
        <w:pStyle w:val="ListParagraph"/>
        <w:numPr>
          <w:ilvl w:val="4"/>
          <w:numId w:val="1"/>
        </w:numPr>
        <w:rPr>
          <w:color w:val="auto"/>
        </w:rPr>
      </w:pPr>
      <w:r w:rsidRPr="006F307B">
        <w:rPr>
          <w:color w:val="auto"/>
        </w:rPr>
        <w:t xml:space="preserve">The </w:t>
      </w:r>
      <w:r w:rsidR="00AC0597" w:rsidRPr="006F307B">
        <w:rPr>
          <w:color w:val="auto"/>
        </w:rPr>
        <w:t xml:space="preserve">evaluation considered the </w:t>
      </w:r>
      <w:r w:rsidRPr="006F307B">
        <w:rPr>
          <w:color w:val="auto"/>
        </w:rPr>
        <w:t>conclusion that pembrolizumab monotherapy was superior in safety to chemotherapy was reasonable</w:t>
      </w:r>
      <w:r w:rsidR="00AC0597" w:rsidRPr="006F307B">
        <w:rPr>
          <w:color w:val="auto"/>
        </w:rPr>
        <w:t xml:space="preserve">. </w:t>
      </w:r>
      <w:r w:rsidRPr="006F307B">
        <w:rPr>
          <w:color w:val="auto"/>
        </w:rPr>
        <w:t xml:space="preserve">Additionally, the </w:t>
      </w:r>
      <w:r w:rsidR="00736E15" w:rsidRPr="006F307B">
        <w:rPr>
          <w:color w:val="auto"/>
        </w:rPr>
        <w:t xml:space="preserve">PBAC noted </w:t>
      </w:r>
      <w:r w:rsidR="00A770F3" w:rsidRPr="006F307B">
        <w:rPr>
          <w:color w:val="auto"/>
        </w:rPr>
        <w:t xml:space="preserve">that </w:t>
      </w:r>
      <w:r w:rsidR="00736E15" w:rsidRPr="006F307B">
        <w:rPr>
          <w:color w:val="auto"/>
        </w:rPr>
        <w:t xml:space="preserve">the </w:t>
      </w:r>
      <w:r w:rsidRPr="006F307B">
        <w:rPr>
          <w:color w:val="auto"/>
        </w:rPr>
        <w:t>safety profile of pembrolizumab monotherapy (mainly immune related) was significantly different to the profile of chemotherapy alone (more commonly associated with blood chemistry such as neutropenia and anaemia).</w:t>
      </w:r>
    </w:p>
    <w:p w:rsidR="00FF7849" w:rsidRPr="006F307B" w:rsidRDefault="00FF7849" w:rsidP="00FF7849">
      <w:pPr>
        <w:pStyle w:val="ListParagraph"/>
        <w:numPr>
          <w:ilvl w:val="4"/>
          <w:numId w:val="1"/>
        </w:numPr>
        <w:rPr>
          <w:color w:val="auto"/>
        </w:rPr>
      </w:pPr>
      <w:r w:rsidRPr="006F307B">
        <w:rPr>
          <w:color w:val="auto"/>
        </w:rPr>
        <w:t xml:space="preserve">As for comparative efficacy, the safety of 2L nivolumab was not considered, therefore the comparative safety of pembrolizumab </w:t>
      </w:r>
      <w:r w:rsidRPr="006F307B">
        <w:rPr>
          <w:rFonts w:cstheme="minorHAnsi"/>
          <w:color w:val="auto"/>
        </w:rPr>
        <w:t>±</w:t>
      </w:r>
      <w:r w:rsidRPr="006F307B">
        <w:rPr>
          <w:color w:val="auto"/>
        </w:rPr>
        <w:t xml:space="preserve"> chemotherapy with SoC was unknown.</w:t>
      </w:r>
    </w:p>
    <w:p w:rsidR="00624315" w:rsidRPr="006F307B" w:rsidRDefault="00624315" w:rsidP="00140F3F">
      <w:pPr>
        <w:pStyle w:val="PBACESHeading2"/>
        <w:numPr>
          <w:ilvl w:val="0"/>
          <w:numId w:val="0"/>
        </w:numPr>
        <w:spacing w:before="240"/>
        <w:ind w:left="720" w:hanging="720"/>
        <w:rPr>
          <w:rFonts w:asciiTheme="minorHAnsi" w:hAnsiTheme="minorHAnsi" w:cstheme="minorHAnsi"/>
        </w:rPr>
      </w:pPr>
      <w:r w:rsidRPr="006F307B">
        <w:rPr>
          <w:rFonts w:asciiTheme="minorHAnsi" w:hAnsiTheme="minorHAnsi" w:cstheme="minorHAnsi"/>
        </w:rPr>
        <w:t>Benefits and harms</w:t>
      </w:r>
      <w:bookmarkEnd w:id="24"/>
    </w:p>
    <w:p w:rsidR="008C3D0F" w:rsidRPr="006F307B" w:rsidRDefault="00AC5B62" w:rsidP="00AC5B62">
      <w:pPr>
        <w:pStyle w:val="ListParagraph"/>
        <w:rPr>
          <w:iCs/>
          <w:color w:val="auto"/>
        </w:rPr>
      </w:pPr>
      <w:bookmarkStart w:id="26" w:name="_Toc413139282"/>
      <w:bookmarkEnd w:id="25"/>
      <w:r w:rsidRPr="006F307B">
        <w:rPr>
          <w:iCs/>
          <w:color w:val="auto"/>
        </w:rPr>
        <w:t>A summary of the comparative benefits and harms for pembrolizumab versus chemotherapy i</w:t>
      </w:r>
      <w:r w:rsidR="000B7B3D" w:rsidRPr="006F307B">
        <w:rPr>
          <w:iCs/>
          <w:color w:val="auto"/>
        </w:rPr>
        <w:t>s presented in the table below</w:t>
      </w:r>
      <w:r w:rsidR="00C30487" w:rsidRPr="006F307B">
        <w:rPr>
          <w:iCs/>
          <w:color w:val="auto"/>
        </w:rPr>
        <w:t xml:space="preserve">. The PBAC considered that the extent of comparative benefits and harms were uncertain due to the limitation of the indirect </w:t>
      </w:r>
      <w:r w:rsidR="005136D2">
        <w:rPr>
          <w:iCs/>
          <w:color w:val="auto"/>
        </w:rPr>
        <w:t>comparison, as discussed above.</w:t>
      </w:r>
    </w:p>
    <w:p w:rsidR="0049513C" w:rsidRPr="006F307B" w:rsidRDefault="0049513C">
      <w:pPr>
        <w:pStyle w:val="Caption"/>
      </w:pPr>
      <w:r w:rsidRPr="006F307B">
        <w:lastRenderedPageBreak/>
        <w:t>Table 1</w:t>
      </w:r>
      <w:r w:rsidR="00812630" w:rsidRPr="006F307B">
        <w:t>5</w:t>
      </w:r>
      <w:r w:rsidR="00C30487" w:rsidRPr="006F307B">
        <w:t xml:space="preserve">: </w:t>
      </w:r>
      <w:r w:rsidRPr="006F307B">
        <w:t>Summary of comparative benefits and harms for pembrolizumab and chemotherapy</w:t>
      </w:r>
    </w:p>
    <w:tbl>
      <w:tblPr>
        <w:tblStyle w:val="TableGrid"/>
        <w:tblW w:w="4987"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Summary of comparative benefits and harms for pembrolizumab and chemotherapy"/>
      </w:tblPr>
      <w:tblGrid>
        <w:gridCol w:w="2239"/>
        <w:gridCol w:w="1360"/>
        <w:gridCol w:w="1056"/>
        <w:gridCol w:w="326"/>
        <w:gridCol w:w="802"/>
        <w:gridCol w:w="424"/>
        <w:gridCol w:w="426"/>
        <w:gridCol w:w="993"/>
        <w:gridCol w:w="1367"/>
      </w:tblGrid>
      <w:tr w:rsidR="0049513C" w:rsidRPr="006F307B" w:rsidTr="006F0C01">
        <w:trPr>
          <w:cnfStyle w:val="100000000000" w:firstRow="1" w:lastRow="0" w:firstColumn="0" w:lastColumn="0" w:oddVBand="0" w:evenVBand="0" w:oddHBand="0" w:evenHBand="0" w:firstRowFirstColumn="0" w:firstRowLastColumn="0" w:lastRowFirstColumn="0" w:lastRowLastColumn="0"/>
          <w:tblHeader/>
        </w:trPr>
        <w:tc>
          <w:tcPr>
            <w:tcW w:w="5000" w:type="pct"/>
            <w:gridSpan w:val="9"/>
            <w:shd w:val="clear" w:color="auto" w:fill="auto"/>
            <w:vAlign w:val="center"/>
          </w:tcPr>
          <w:p w:rsidR="0049513C" w:rsidRPr="006F307B" w:rsidRDefault="0049513C" w:rsidP="004C68CD">
            <w:pPr>
              <w:pStyle w:val="TableText"/>
              <w:keepNext/>
              <w:keepLines/>
              <w:spacing w:before="0" w:after="0" w:line="240" w:lineRule="auto"/>
              <w:rPr>
                <w:szCs w:val="20"/>
                <w:lang w:val="en-AU"/>
              </w:rPr>
            </w:pPr>
            <w:r w:rsidRPr="006F307B">
              <w:rPr>
                <w:szCs w:val="20"/>
              </w:rPr>
              <w:t>Benefits</w:t>
            </w:r>
          </w:p>
        </w:tc>
      </w:tr>
      <w:tr w:rsidR="0049513C" w:rsidRPr="006F307B" w:rsidTr="00873511">
        <w:tc>
          <w:tcPr>
            <w:tcW w:w="5000" w:type="pct"/>
            <w:gridSpan w:val="9"/>
            <w:shd w:val="clear" w:color="auto" w:fill="auto"/>
            <w:vAlign w:val="center"/>
          </w:tcPr>
          <w:p w:rsidR="0049513C" w:rsidRPr="007278E9" w:rsidRDefault="0049513C" w:rsidP="004C68CD">
            <w:pPr>
              <w:pStyle w:val="TableText"/>
              <w:keepNext/>
              <w:keepLines/>
              <w:spacing w:before="0" w:after="0" w:line="240" w:lineRule="auto"/>
              <w:rPr>
                <w:b/>
                <w:szCs w:val="20"/>
                <w:lang w:val="en-AU"/>
              </w:rPr>
            </w:pPr>
            <w:r w:rsidRPr="006F307B">
              <w:rPr>
                <w:b/>
                <w:szCs w:val="20"/>
              </w:rPr>
              <w:t>Time-to-event outcome I: OS in CPS≥1</w:t>
            </w:r>
          </w:p>
        </w:tc>
      </w:tr>
      <w:tr w:rsidR="0049513C" w:rsidRPr="006F307B" w:rsidTr="00140F3F">
        <w:tc>
          <w:tcPr>
            <w:tcW w:w="1245" w:type="pct"/>
            <w:vAlign w:val="bottom"/>
          </w:tcPr>
          <w:p w:rsidR="0049513C" w:rsidRPr="007278E9" w:rsidRDefault="0049513C" w:rsidP="004C68CD">
            <w:pPr>
              <w:pStyle w:val="TableText"/>
              <w:keepNext/>
              <w:keepLines/>
              <w:spacing w:before="0" w:after="0" w:line="240" w:lineRule="auto"/>
              <w:jc w:val="center"/>
              <w:rPr>
                <w:b/>
                <w:szCs w:val="20"/>
                <w:lang w:val="en-AU"/>
              </w:rPr>
            </w:pPr>
            <w:r w:rsidRPr="006F307B">
              <w:rPr>
                <w:b/>
                <w:szCs w:val="20"/>
              </w:rPr>
              <w:t>Trial</w:t>
            </w:r>
          </w:p>
        </w:tc>
        <w:tc>
          <w:tcPr>
            <w:tcW w:w="756" w:type="pct"/>
            <w:shd w:val="clear" w:color="auto" w:fill="auto"/>
            <w:vAlign w:val="bottom"/>
          </w:tcPr>
          <w:p w:rsidR="0049513C" w:rsidRPr="007278E9" w:rsidRDefault="0049513C" w:rsidP="004C68CD">
            <w:pPr>
              <w:pStyle w:val="TableText"/>
              <w:keepNext/>
              <w:keepLines/>
              <w:spacing w:before="0" w:after="0" w:line="240" w:lineRule="auto"/>
              <w:jc w:val="center"/>
              <w:rPr>
                <w:b/>
                <w:szCs w:val="20"/>
                <w:lang w:val="en-AU"/>
              </w:rPr>
            </w:pPr>
            <w:r w:rsidRPr="006F307B">
              <w:rPr>
                <w:b/>
                <w:szCs w:val="20"/>
              </w:rPr>
              <w:t>Median duration of follow up</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rPr>
              <w:t>(months)</w:t>
            </w:r>
          </w:p>
        </w:tc>
        <w:tc>
          <w:tcPr>
            <w:tcW w:w="587" w:type="pct"/>
            <w:shd w:val="clear" w:color="auto" w:fill="auto"/>
            <w:vAlign w:val="bottom"/>
          </w:tcPr>
          <w:p w:rsidR="0049513C" w:rsidRPr="006F307B" w:rsidRDefault="0049513C" w:rsidP="004C68CD">
            <w:pPr>
              <w:pStyle w:val="TableText"/>
              <w:keepNext/>
              <w:keepLines/>
              <w:spacing w:before="0" w:after="0" w:line="240" w:lineRule="auto"/>
              <w:jc w:val="center"/>
              <w:rPr>
                <w:b/>
                <w:szCs w:val="20"/>
                <w:lang w:val="en-AU"/>
              </w:rPr>
            </w:pPr>
            <w:r w:rsidRPr="006F307B">
              <w:rPr>
                <w:b/>
                <w:szCs w:val="20"/>
                <w:lang w:val="en-AU"/>
              </w:rPr>
              <w:t>Active treatment group</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lang w:val="en-AU"/>
              </w:rPr>
              <w:t>n/N (%)</w:t>
            </w:r>
          </w:p>
        </w:tc>
        <w:tc>
          <w:tcPr>
            <w:tcW w:w="627" w:type="pct"/>
            <w:gridSpan w:val="2"/>
            <w:shd w:val="clear" w:color="auto" w:fill="auto"/>
            <w:vAlign w:val="bottom"/>
          </w:tcPr>
          <w:p w:rsidR="0049513C" w:rsidRPr="00B74405" w:rsidRDefault="0049513C" w:rsidP="004C68CD">
            <w:pPr>
              <w:pStyle w:val="TableText"/>
              <w:keepNext/>
              <w:keepLines/>
              <w:spacing w:before="0" w:after="0" w:line="240" w:lineRule="auto"/>
              <w:jc w:val="center"/>
              <w:rPr>
                <w:b/>
                <w:szCs w:val="20"/>
                <w:lang w:val="en-AU"/>
              </w:rPr>
            </w:pPr>
            <w:r w:rsidRPr="00B74405">
              <w:rPr>
                <w:b/>
                <w:szCs w:val="20"/>
                <w:lang w:val="en-AU"/>
              </w:rPr>
              <w:t>Common arm comparator</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rPr>
              <w:t>n/N (%)</w:t>
            </w:r>
          </w:p>
        </w:tc>
        <w:tc>
          <w:tcPr>
            <w:tcW w:w="473" w:type="pct"/>
            <w:gridSpan w:val="2"/>
            <w:shd w:val="clear" w:color="auto" w:fill="auto"/>
            <w:vAlign w:val="bottom"/>
          </w:tcPr>
          <w:p w:rsidR="0049513C" w:rsidRPr="006F307B" w:rsidRDefault="0049513C" w:rsidP="004C68CD">
            <w:pPr>
              <w:pStyle w:val="TableText"/>
              <w:keepNext/>
              <w:keepLines/>
              <w:spacing w:before="0" w:after="0" w:line="240" w:lineRule="auto"/>
              <w:jc w:val="center"/>
              <w:rPr>
                <w:b/>
                <w:szCs w:val="20"/>
                <w:lang w:val="en-AU"/>
              </w:rPr>
            </w:pPr>
            <w:r w:rsidRPr="006F307B">
              <w:rPr>
                <w:b/>
                <w:szCs w:val="20"/>
              </w:rPr>
              <w:t>Absolute difference (%)</w:t>
            </w:r>
          </w:p>
        </w:tc>
        <w:tc>
          <w:tcPr>
            <w:tcW w:w="552" w:type="pct"/>
            <w:shd w:val="clear" w:color="auto" w:fill="auto"/>
            <w:vAlign w:val="bottom"/>
          </w:tcPr>
          <w:p w:rsidR="0049513C" w:rsidRPr="006F307B" w:rsidRDefault="0049513C" w:rsidP="004C68CD">
            <w:pPr>
              <w:pStyle w:val="TableText"/>
              <w:keepNext/>
              <w:keepLines/>
              <w:spacing w:before="0" w:after="0" w:line="240" w:lineRule="auto"/>
              <w:jc w:val="center"/>
              <w:rPr>
                <w:b/>
                <w:szCs w:val="20"/>
                <w:lang w:val="en-AU"/>
              </w:rPr>
            </w:pPr>
            <w:r w:rsidRPr="006F307B">
              <w:rPr>
                <w:b/>
                <w:szCs w:val="20"/>
              </w:rPr>
              <w:t>HR (95% CI)</w:t>
            </w:r>
          </w:p>
        </w:tc>
        <w:tc>
          <w:tcPr>
            <w:tcW w:w="760" w:type="pct"/>
            <w:shd w:val="clear" w:color="auto" w:fill="auto"/>
            <w:vAlign w:val="bottom"/>
          </w:tcPr>
          <w:p w:rsidR="0049513C" w:rsidRPr="006F307B" w:rsidRDefault="0049513C" w:rsidP="004C68CD">
            <w:pPr>
              <w:pStyle w:val="TableText"/>
              <w:keepNext/>
              <w:keepLines/>
              <w:spacing w:before="0" w:after="0" w:line="240" w:lineRule="auto"/>
              <w:jc w:val="center"/>
              <w:rPr>
                <w:b/>
                <w:szCs w:val="20"/>
                <w:lang w:val="en-AU"/>
              </w:rPr>
            </w:pPr>
            <w:r w:rsidRPr="006F307B">
              <w:rPr>
                <w:b/>
                <w:szCs w:val="20"/>
              </w:rPr>
              <w:t xml:space="preserve">Bucher indirect comparison: HR </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rPr>
              <w:t>(95% CI)</w:t>
            </w:r>
          </w:p>
        </w:tc>
      </w:tr>
      <w:tr w:rsidR="0049513C" w:rsidRPr="006F307B" w:rsidTr="00873511">
        <w:tc>
          <w:tcPr>
            <w:tcW w:w="5000" w:type="pct"/>
            <w:gridSpan w:val="9"/>
            <w:vAlign w:val="center"/>
          </w:tcPr>
          <w:p w:rsidR="0049513C" w:rsidRPr="007278E9" w:rsidRDefault="0049513C" w:rsidP="004C68CD">
            <w:pPr>
              <w:pStyle w:val="TableText"/>
              <w:keepNext/>
              <w:keepLines/>
              <w:spacing w:before="0" w:after="0" w:line="240" w:lineRule="auto"/>
              <w:rPr>
                <w:szCs w:val="20"/>
                <w:lang w:val="en-AU"/>
              </w:rPr>
            </w:pPr>
            <w:r w:rsidRPr="006F307B">
              <w:rPr>
                <w:szCs w:val="20"/>
              </w:rPr>
              <w:t>Pembrolizumab monotherapy (CPS≥1) versus chemotherapy (ITT)</w:t>
            </w:r>
          </w:p>
        </w:tc>
      </w:tr>
      <w:tr w:rsidR="0049513C" w:rsidRPr="006F307B" w:rsidTr="00140F3F">
        <w:tc>
          <w:tcPr>
            <w:tcW w:w="1245" w:type="pct"/>
            <w:vAlign w:val="center"/>
          </w:tcPr>
          <w:p w:rsidR="0049513C" w:rsidRPr="007278E9" w:rsidRDefault="0049513C" w:rsidP="004C68CD">
            <w:pPr>
              <w:pStyle w:val="TableText"/>
              <w:keepNext/>
              <w:keepLines/>
              <w:spacing w:before="0" w:after="0" w:line="240" w:lineRule="auto"/>
              <w:rPr>
                <w:szCs w:val="20"/>
                <w:lang w:val="en-AU"/>
              </w:rPr>
            </w:pPr>
            <w:r w:rsidRPr="006F307B">
              <w:rPr>
                <w:szCs w:val="20"/>
              </w:rPr>
              <w:t>KN048 (pembrolizumab monotherapy)</w:t>
            </w:r>
          </w:p>
        </w:tc>
        <w:tc>
          <w:tcPr>
            <w:tcW w:w="756" w:type="pct"/>
            <w:shd w:val="clear" w:color="auto" w:fill="auto"/>
            <w:vAlign w:val="center"/>
          </w:tcPr>
          <w:p w:rsidR="0049513C" w:rsidRPr="006F307B" w:rsidRDefault="00406985" w:rsidP="004C68CD">
            <w:pPr>
              <w:pStyle w:val="TableText"/>
              <w:keepNext/>
              <w:keepLines/>
              <w:spacing w:before="0" w:after="0" w:line="240" w:lineRule="auto"/>
              <w:jc w:val="center"/>
              <w:rPr>
                <w:szCs w:val="20"/>
                <w:vertAlign w:val="superscript"/>
                <w:lang w:val="en-AU"/>
              </w:rPr>
            </w:pPr>
            <w:r w:rsidRPr="006F307B">
              <w:rPr>
                <w:szCs w:val="20"/>
                <w:lang w:val="en-AU"/>
              </w:rPr>
              <w:t xml:space="preserve">11.5 </w:t>
            </w:r>
            <w:r w:rsidR="0049513C" w:rsidRPr="006F307B">
              <w:rPr>
                <w:szCs w:val="20"/>
                <w:vertAlign w:val="superscript"/>
                <w:lang w:val="en-AU"/>
              </w:rPr>
              <w:t>1</w:t>
            </w:r>
          </w:p>
        </w:tc>
        <w:tc>
          <w:tcPr>
            <w:tcW w:w="587" w:type="pct"/>
            <w:shd w:val="clear" w:color="auto" w:fill="auto"/>
            <w:vAlign w:val="center"/>
          </w:tcPr>
          <w:p w:rsidR="0049513C" w:rsidRPr="006F307B" w:rsidRDefault="0049513C" w:rsidP="004C68CD">
            <w:pPr>
              <w:pStyle w:val="TableText"/>
              <w:keepNext/>
              <w:keepLines/>
              <w:spacing w:before="0" w:after="0" w:line="240" w:lineRule="auto"/>
              <w:jc w:val="center"/>
              <w:rPr>
                <w:szCs w:val="20"/>
                <w:lang w:val="en-AU"/>
              </w:rPr>
            </w:pPr>
            <w:r w:rsidRPr="006F307B">
              <w:rPr>
                <w:szCs w:val="20"/>
                <w:lang w:val="en-AU"/>
              </w:rPr>
              <w:t>197/257 (76.7)</w:t>
            </w:r>
          </w:p>
        </w:tc>
        <w:tc>
          <w:tcPr>
            <w:tcW w:w="627" w:type="pct"/>
            <w:gridSpan w:val="2"/>
            <w:shd w:val="clear" w:color="auto" w:fill="auto"/>
            <w:vAlign w:val="center"/>
          </w:tcPr>
          <w:p w:rsidR="0049513C" w:rsidRPr="00B74405" w:rsidRDefault="0049513C" w:rsidP="004C68CD">
            <w:pPr>
              <w:pStyle w:val="TableText"/>
              <w:keepNext/>
              <w:keepLines/>
              <w:spacing w:before="0" w:after="0" w:line="240" w:lineRule="auto"/>
              <w:jc w:val="center"/>
              <w:rPr>
                <w:szCs w:val="20"/>
                <w:lang w:val="en-AU"/>
              </w:rPr>
            </w:pPr>
            <w:r w:rsidRPr="00B74405">
              <w:rPr>
                <w:szCs w:val="20"/>
                <w:lang w:val="en-AU"/>
              </w:rPr>
              <w:t>229/255 (89.8)</w:t>
            </w:r>
          </w:p>
        </w:tc>
        <w:tc>
          <w:tcPr>
            <w:tcW w:w="473" w:type="pct"/>
            <w:gridSpan w:val="2"/>
            <w:shd w:val="clear" w:color="auto" w:fill="auto"/>
            <w:vAlign w:val="center"/>
          </w:tcPr>
          <w:p w:rsidR="0049513C" w:rsidRPr="006F307B" w:rsidRDefault="0049513C" w:rsidP="004C68CD">
            <w:pPr>
              <w:pStyle w:val="TableText"/>
              <w:keepNext/>
              <w:keepLines/>
              <w:spacing w:before="0" w:after="0" w:line="240" w:lineRule="auto"/>
              <w:jc w:val="center"/>
              <w:rPr>
                <w:szCs w:val="20"/>
                <w:lang w:val="en-AU"/>
              </w:rPr>
            </w:pPr>
            <w:r w:rsidRPr="006F307B">
              <w:rPr>
                <w:szCs w:val="20"/>
              </w:rPr>
              <w:t>-13.1</w:t>
            </w:r>
          </w:p>
        </w:tc>
        <w:tc>
          <w:tcPr>
            <w:tcW w:w="552" w:type="pct"/>
            <w:shd w:val="clear" w:color="auto" w:fill="auto"/>
            <w:vAlign w:val="center"/>
          </w:tcPr>
          <w:p w:rsidR="00140F3F" w:rsidRPr="006F307B" w:rsidRDefault="0049513C" w:rsidP="004C68CD">
            <w:pPr>
              <w:pStyle w:val="TableText"/>
              <w:keepNext/>
              <w:keepLines/>
              <w:spacing w:before="0" w:after="0" w:line="240" w:lineRule="auto"/>
              <w:jc w:val="center"/>
              <w:rPr>
                <w:b/>
                <w:szCs w:val="20"/>
                <w:lang w:val="en-AU"/>
              </w:rPr>
            </w:pPr>
            <w:r w:rsidRPr="006F307B">
              <w:rPr>
                <w:b/>
                <w:szCs w:val="20"/>
              </w:rPr>
              <w:t>0.74</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rPr>
              <w:t>(0.61, 0.90)</w:t>
            </w:r>
          </w:p>
        </w:tc>
        <w:tc>
          <w:tcPr>
            <w:tcW w:w="760" w:type="pct"/>
            <w:vMerge w:val="restart"/>
            <w:shd w:val="clear" w:color="auto" w:fill="auto"/>
            <w:vAlign w:val="center"/>
          </w:tcPr>
          <w:p w:rsidR="0049513C" w:rsidRPr="006F307B" w:rsidRDefault="0049513C" w:rsidP="004C68CD">
            <w:pPr>
              <w:pStyle w:val="TableText"/>
              <w:keepNext/>
              <w:keepLines/>
              <w:spacing w:before="0" w:after="0" w:line="240" w:lineRule="auto"/>
              <w:rPr>
                <w:b/>
                <w:szCs w:val="20"/>
                <w:lang w:val="en-AU"/>
              </w:rPr>
            </w:pPr>
            <w:r w:rsidRPr="006F307B">
              <w:rPr>
                <w:b/>
                <w:szCs w:val="20"/>
              </w:rPr>
              <w:t>0.59 (0.44, 0.79)</w:t>
            </w:r>
          </w:p>
        </w:tc>
      </w:tr>
      <w:tr w:rsidR="0049513C" w:rsidRPr="006F307B" w:rsidTr="00140F3F">
        <w:tc>
          <w:tcPr>
            <w:tcW w:w="1245" w:type="pct"/>
            <w:vAlign w:val="center"/>
          </w:tcPr>
          <w:p w:rsidR="0049513C" w:rsidRPr="007278E9" w:rsidRDefault="0049513C" w:rsidP="004C68CD">
            <w:pPr>
              <w:pStyle w:val="TableText"/>
              <w:keepNext/>
              <w:keepLines/>
              <w:spacing w:before="0" w:after="0" w:line="240" w:lineRule="auto"/>
              <w:rPr>
                <w:szCs w:val="20"/>
                <w:lang w:val="en-AU"/>
              </w:rPr>
            </w:pPr>
            <w:r w:rsidRPr="006F307B">
              <w:rPr>
                <w:szCs w:val="20"/>
              </w:rPr>
              <w:t>EXTREME (chemotherapy)</w:t>
            </w:r>
          </w:p>
        </w:tc>
        <w:tc>
          <w:tcPr>
            <w:tcW w:w="756" w:type="pct"/>
            <w:shd w:val="clear" w:color="auto" w:fill="auto"/>
            <w:vAlign w:val="center"/>
          </w:tcPr>
          <w:p w:rsidR="0049513C" w:rsidRPr="006F307B" w:rsidRDefault="0049513C" w:rsidP="004C68CD">
            <w:pPr>
              <w:pStyle w:val="TableText"/>
              <w:keepNext/>
              <w:keepLines/>
              <w:spacing w:before="0" w:after="0" w:line="240" w:lineRule="auto"/>
              <w:jc w:val="center"/>
              <w:rPr>
                <w:szCs w:val="20"/>
                <w:lang w:val="en-AU"/>
              </w:rPr>
            </w:pPr>
            <w:r w:rsidRPr="006F307B">
              <w:rPr>
                <w:szCs w:val="20"/>
                <w:lang w:val="en-AU"/>
              </w:rPr>
              <w:t>19.1</w:t>
            </w:r>
          </w:p>
        </w:tc>
        <w:tc>
          <w:tcPr>
            <w:tcW w:w="587" w:type="pct"/>
            <w:shd w:val="clear" w:color="auto" w:fill="auto"/>
            <w:vAlign w:val="center"/>
          </w:tcPr>
          <w:p w:rsidR="0049513C" w:rsidRPr="006F307B" w:rsidRDefault="0049513C" w:rsidP="004C68CD">
            <w:pPr>
              <w:pStyle w:val="TableText"/>
              <w:keepNext/>
              <w:keepLines/>
              <w:spacing w:before="0" w:after="0" w:line="240" w:lineRule="auto"/>
              <w:jc w:val="center"/>
              <w:rPr>
                <w:szCs w:val="20"/>
                <w:lang w:val="en-AU"/>
              </w:rPr>
            </w:pPr>
            <w:r w:rsidRPr="006F307B">
              <w:rPr>
                <w:szCs w:val="20"/>
                <w:lang w:val="en-AU"/>
              </w:rPr>
              <w:t>176/220 (80.0)</w:t>
            </w:r>
          </w:p>
        </w:tc>
        <w:tc>
          <w:tcPr>
            <w:tcW w:w="627" w:type="pct"/>
            <w:gridSpan w:val="2"/>
            <w:shd w:val="clear" w:color="auto" w:fill="auto"/>
            <w:vAlign w:val="center"/>
          </w:tcPr>
          <w:p w:rsidR="0049513C" w:rsidRPr="00B74405" w:rsidRDefault="0049513C" w:rsidP="004C68CD">
            <w:pPr>
              <w:pStyle w:val="TableText"/>
              <w:keepNext/>
              <w:keepLines/>
              <w:spacing w:before="0" w:after="0" w:line="240" w:lineRule="auto"/>
              <w:jc w:val="center"/>
              <w:rPr>
                <w:szCs w:val="20"/>
                <w:lang w:val="en-AU"/>
              </w:rPr>
            </w:pPr>
            <w:r w:rsidRPr="00B74405">
              <w:rPr>
                <w:szCs w:val="20"/>
                <w:lang w:val="en-AU"/>
              </w:rPr>
              <w:t>167/222 (75.2)</w:t>
            </w:r>
          </w:p>
        </w:tc>
        <w:tc>
          <w:tcPr>
            <w:tcW w:w="473" w:type="pct"/>
            <w:gridSpan w:val="2"/>
            <w:shd w:val="clear" w:color="auto" w:fill="auto"/>
            <w:vAlign w:val="center"/>
          </w:tcPr>
          <w:p w:rsidR="0049513C" w:rsidRPr="006F307B" w:rsidRDefault="0049513C" w:rsidP="004C68CD">
            <w:pPr>
              <w:pStyle w:val="TableText"/>
              <w:keepNext/>
              <w:keepLines/>
              <w:spacing w:before="0" w:after="0" w:line="240" w:lineRule="auto"/>
              <w:jc w:val="center"/>
              <w:rPr>
                <w:szCs w:val="20"/>
                <w:lang w:val="en-AU"/>
              </w:rPr>
            </w:pPr>
            <w:r w:rsidRPr="006F307B">
              <w:rPr>
                <w:szCs w:val="20"/>
              </w:rPr>
              <w:t>4.8</w:t>
            </w:r>
          </w:p>
        </w:tc>
        <w:tc>
          <w:tcPr>
            <w:tcW w:w="552" w:type="pct"/>
            <w:shd w:val="clear" w:color="auto" w:fill="auto"/>
            <w:vAlign w:val="center"/>
          </w:tcPr>
          <w:p w:rsidR="00140F3F" w:rsidRPr="007278E9" w:rsidRDefault="0049513C" w:rsidP="004C68CD">
            <w:pPr>
              <w:pStyle w:val="TableText"/>
              <w:keepNext/>
              <w:keepLines/>
              <w:spacing w:before="0" w:after="0" w:line="240" w:lineRule="auto"/>
              <w:jc w:val="center"/>
              <w:rPr>
                <w:b/>
                <w:szCs w:val="20"/>
                <w:lang w:val="en-AU"/>
              </w:rPr>
            </w:pPr>
            <w:r w:rsidRPr="006F307B">
              <w:rPr>
                <w:b/>
                <w:szCs w:val="20"/>
              </w:rPr>
              <w:t>1.25</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rPr>
              <w:t>(1.01, 1.56)</w:t>
            </w:r>
          </w:p>
        </w:tc>
        <w:tc>
          <w:tcPr>
            <w:tcW w:w="760" w:type="pct"/>
            <w:vMerge/>
            <w:shd w:val="clear" w:color="auto" w:fill="auto"/>
            <w:vAlign w:val="center"/>
          </w:tcPr>
          <w:p w:rsidR="0049513C" w:rsidRPr="006F307B" w:rsidRDefault="0049513C" w:rsidP="004C68CD">
            <w:pPr>
              <w:pStyle w:val="TableText"/>
              <w:keepNext/>
              <w:keepLines/>
              <w:spacing w:before="0" w:after="0" w:line="240" w:lineRule="auto"/>
              <w:rPr>
                <w:szCs w:val="20"/>
                <w:lang w:val="en-AU"/>
              </w:rPr>
            </w:pPr>
          </w:p>
        </w:tc>
      </w:tr>
      <w:tr w:rsidR="0049513C" w:rsidRPr="006F307B" w:rsidTr="00873511">
        <w:tc>
          <w:tcPr>
            <w:tcW w:w="5000" w:type="pct"/>
            <w:gridSpan w:val="9"/>
            <w:vAlign w:val="center"/>
          </w:tcPr>
          <w:p w:rsidR="0049513C" w:rsidRPr="007278E9" w:rsidRDefault="0049513C" w:rsidP="004C68CD">
            <w:pPr>
              <w:pStyle w:val="TableText"/>
              <w:keepNext/>
              <w:keepLines/>
              <w:spacing w:before="0" w:after="0" w:line="240" w:lineRule="auto"/>
              <w:rPr>
                <w:szCs w:val="20"/>
                <w:lang w:val="en-AU"/>
              </w:rPr>
            </w:pPr>
            <w:r w:rsidRPr="006F307B">
              <w:rPr>
                <w:szCs w:val="20"/>
              </w:rPr>
              <w:t>Pembrolizumab plus chemotherapy (CPS≥1) versus chemotherapy (ITT)</w:t>
            </w:r>
          </w:p>
        </w:tc>
      </w:tr>
      <w:tr w:rsidR="0049513C" w:rsidRPr="006F307B" w:rsidTr="00140F3F">
        <w:tc>
          <w:tcPr>
            <w:tcW w:w="1245" w:type="pct"/>
            <w:vAlign w:val="center"/>
          </w:tcPr>
          <w:p w:rsidR="0049513C" w:rsidRPr="007278E9" w:rsidRDefault="0049513C" w:rsidP="004C68CD">
            <w:pPr>
              <w:pStyle w:val="TableText"/>
              <w:keepNext/>
              <w:keepLines/>
              <w:spacing w:before="0" w:after="0" w:line="240" w:lineRule="auto"/>
              <w:rPr>
                <w:szCs w:val="20"/>
                <w:lang w:val="en-AU"/>
              </w:rPr>
            </w:pPr>
            <w:r w:rsidRPr="006F307B">
              <w:rPr>
                <w:szCs w:val="20"/>
              </w:rPr>
              <w:t>KN048 (pembrolizumab + chemotherapy)</w:t>
            </w:r>
          </w:p>
        </w:tc>
        <w:tc>
          <w:tcPr>
            <w:tcW w:w="756" w:type="pct"/>
            <w:shd w:val="clear" w:color="auto" w:fill="auto"/>
            <w:vAlign w:val="center"/>
          </w:tcPr>
          <w:p w:rsidR="0049513C" w:rsidRPr="007278E9" w:rsidRDefault="00406985" w:rsidP="004C68CD">
            <w:pPr>
              <w:pStyle w:val="TableText"/>
              <w:keepNext/>
              <w:keepLines/>
              <w:spacing w:before="0" w:after="0" w:line="240" w:lineRule="auto"/>
              <w:jc w:val="center"/>
              <w:rPr>
                <w:szCs w:val="20"/>
                <w:vertAlign w:val="superscript"/>
                <w:lang w:val="en-AU"/>
              </w:rPr>
            </w:pPr>
            <w:r w:rsidRPr="006F307B">
              <w:rPr>
                <w:szCs w:val="20"/>
              </w:rPr>
              <w:t>13.0</w:t>
            </w:r>
            <w:r w:rsidR="0049513C" w:rsidRPr="006F307B">
              <w:rPr>
                <w:szCs w:val="20"/>
              </w:rPr>
              <w:t xml:space="preserve"> </w:t>
            </w:r>
            <w:r w:rsidR="0049513C" w:rsidRPr="006F307B">
              <w:rPr>
                <w:szCs w:val="20"/>
                <w:vertAlign w:val="superscript"/>
              </w:rPr>
              <w:t>1</w:t>
            </w:r>
          </w:p>
        </w:tc>
        <w:tc>
          <w:tcPr>
            <w:tcW w:w="587" w:type="pct"/>
            <w:shd w:val="clear" w:color="auto" w:fill="auto"/>
            <w:vAlign w:val="center"/>
          </w:tcPr>
          <w:p w:rsidR="0049513C" w:rsidRPr="007278E9" w:rsidRDefault="0049513C" w:rsidP="004C68CD">
            <w:pPr>
              <w:pStyle w:val="TableText"/>
              <w:keepNext/>
              <w:keepLines/>
              <w:spacing w:before="0" w:after="0" w:line="240" w:lineRule="auto"/>
              <w:jc w:val="center"/>
              <w:rPr>
                <w:szCs w:val="20"/>
                <w:lang w:val="en-AU"/>
              </w:rPr>
            </w:pPr>
            <w:r w:rsidRPr="006F307B">
              <w:rPr>
                <w:szCs w:val="20"/>
              </w:rPr>
              <w:t>177/242 (73.1)</w:t>
            </w:r>
          </w:p>
        </w:tc>
        <w:tc>
          <w:tcPr>
            <w:tcW w:w="627" w:type="pct"/>
            <w:gridSpan w:val="2"/>
            <w:shd w:val="clear" w:color="auto" w:fill="auto"/>
            <w:vAlign w:val="center"/>
          </w:tcPr>
          <w:p w:rsidR="0049513C" w:rsidRPr="007278E9" w:rsidRDefault="0049513C" w:rsidP="004C68CD">
            <w:pPr>
              <w:pStyle w:val="TableText"/>
              <w:keepNext/>
              <w:keepLines/>
              <w:spacing w:before="0" w:after="0" w:line="240" w:lineRule="auto"/>
              <w:jc w:val="center"/>
              <w:rPr>
                <w:szCs w:val="20"/>
                <w:lang w:val="en-AU"/>
              </w:rPr>
            </w:pPr>
            <w:r w:rsidRPr="006F307B">
              <w:rPr>
                <w:szCs w:val="20"/>
              </w:rPr>
              <w:t>213/235 (90.6)</w:t>
            </w:r>
          </w:p>
        </w:tc>
        <w:tc>
          <w:tcPr>
            <w:tcW w:w="473" w:type="pct"/>
            <w:gridSpan w:val="2"/>
            <w:shd w:val="clear" w:color="auto" w:fill="auto"/>
            <w:vAlign w:val="center"/>
          </w:tcPr>
          <w:p w:rsidR="0049513C" w:rsidRPr="007278E9" w:rsidRDefault="0049513C" w:rsidP="004C68CD">
            <w:pPr>
              <w:pStyle w:val="TableText"/>
              <w:keepNext/>
              <w:keepLines/>
              <w:spacing w:before="0" w:after="0" w:line="240" w:lineRule="auto"/>
              <w:jc w:val="center"/>
              <w:rPr>
                <w:szCs w:val="20"/>
                <w:lang w:val="en-AU"/>
              </w:rPr>
            </w:pPr>
            <w:r w:rsidRPr="006F307B">
              <w:rPr>
                <w:szCs w:val="20"/>
              </w:rPr>
              <w:t>-17.5</w:t>
            </w:r>
          </w:p>
        </w:tc>
        <w:tc>
          <w:tcPr>
            <w:tcW w:w="552" w:type="pct"/>
            <w:shd w:val="clear" w:color="auto" w:fill="auto"/>
            <w:vAlign w:val="center"/>
          </w:tcPr>
          <w:p w:rsidR="00140F3F" w:rsidRPr="007278E9" w:rsidRDefault="0049513C" w:rsidP="004C68CD">
            <w:pPr>
              <w:pStyle w:val="TableText"/>
              <w:keepNext/>
              <w:keepLines/>
              <w:spacing w:before="0" w:after="0" w:line="240" w:lineRule="auto"/>
              <w:jc w:val="center"/>
              <w:rPr>
                <w:b/>
                <w:szCs w:val="20"/>
                <w:lang w:val="en-AU"/>
              </w:rPr>
            </w:pPr>
            <w:r w:rsidRPr="006F307B">
              <w:rPr>
                <w:b/>
                <w:szCs w:val="20"/>
              </w:rPr>
              <w:t>0.65</w:t>
            </w:r>
          </w:p>
          <w:p w:rsidR="0049513C" w:rsidRPr="007278E9" w:rsidRDefault="0049513C" w:rsidP="004C68CD">
            <w:pPr>
              <w:pStyle w:val="TableText"/>
              <w:keepNext/>
              <w:keepLines/>
              <w:spacing w:before="0" w:after="0" w:line="240" w:lineRule="auto"/>
              <w:jc w:val="center"/>
              <w:rPr>
                <w:b/>
                <w:szCs w:val="20"/>
                <w:lang w:val="en-AU"/>
              </w:rPr>
            </w:pPr>
            <w:r w:rsidRPr="006F307B">
              <w:rPr>
                <w:b/>
                <w:szCs w:val="20"/>
              </w:rPr>
              <w:t>(0.53, 0.80)</w:t>
            </w:r>
          </w:p>
        </w:tc>
        <w:tc>
          <w:tcPr>
            <w:tcW w:w="760" w:type="pct"/>
            <w:vMerge w:val="restart"/>
            <w:shd w:val="clear" w:color="auto" w:fill="auto"/>
            <w:vAlign w:val="center"/>
          </w:tcPr>
          <w:p w:rsidR="0049513C" w:rsidRPr="007278E9" w:rsidRDefault="0049513C" w:rsidP="004C68CD">
            <w:pPr>
              <w:pStyle w:val="TableText"/>
              <w:keepNext/>
              <w:keepLines/>
              <w:spacing w:before="0" w:after="0" w:line="240" w:lineRule="auto"/>
              <w:rPr>
                <w:b/>
                <w:szCs w:val="20"/>
                <w:lang w:val="en-AU"/>
              </w:rPr>
            </w:pPr>
            <w:r w:rsidRPr="006F307B">
              <w:rPr>
                <w:b/>
                <w:szCs w:val="20"/>
              </w:rPr>
              <w:t>0.52 (0.39, 0.70)</w:t>
            </w:r>
          </w:p>
        </w:tc>
      </w:tr>
      <w:tr w:rsidR="0049513C" w:rsidRPr="006F307B" w:rsidTr="00140F3F">
        <w:tc>
          <w:tcPr>
            <w:tcW w:w="1245" w:type="pct"/>
            <w:vAlign w:val="center"/>
          </w:tcPr>
          <w:p w:rsidR="0049513C" w:rsidRPr="007278E9" w:rsidRDefault="0049513C" w:rsidP="004C68CD">
            <w:pPr>
              <w:pStyle w:val="TableText"/>
              <w:keepNext/>
              <w:keepLines/>
              <w:spacing w:before="0" w:after="0" w:line="240" w:lineRule="auto"/>
              <w:rPr>
                <w:szCs w:val="20"/>
                <w:lang w:val="en-AU"/>
              </w:rPr>
            </w:pPr>
            <w:r w:rsidRPr="006F307B">
              <w:rPr>
                <w:szCs w:val="20"/>
              </w:rPr>
              <w:t>EXTREME (chemotherapy)</w:t>
            </w:r>
          </w:p>
        </w:tc>
        <w:tc>
          <w:tcPr>
            <w:tcW w:w="756" w:type="pct"/>
            <w:shd w:val="clear" w:color="auto" w:fill="auto"/>
            <w:vAlign w:val="center"/>
          </w:tcPr>
          <w:p w:rsidR="0049513C" w:rsidRPr="007278E9" w:rsidRDefault="0049513C" w:rsidP="004C68CD">
            <w:pPr>
              <w:pStyle w:val="TableText"/>
              <w:keepNext/>
              <w:keepLines/>
              <w:spacing w:before="0" w:after="0" w:line="240" w:lineRule="auto"/>
              <w:jc w:val="center"/>
              <w:rPr>
                <w:szCs w:val="20"/>
                <w:lang w:val="en-AU"/>
              </w:rPr>
            </w:pPr>
            <w:r w:rsidRPr="006F307B">
              <w:rPr>
                <w:szCs w:val="20"/>
              </w:rPr>
              <w:t>19.1</w:t>
            </w:r>
          </w:p>
        </w:tc>
        <w:tc>
          <w:tcPr>
            <w:tcW w:w="587" w:type="pct"/>
            <w:shd w:val="clear" w:color="auto" w:fill="auto"/>
            <w:vAlign w:val="center"/>
          </w:tcPr>
          <w:p w:rsidR="0049513C" w:rsidRPr="006F307B" w:rsidRDefault="0049513C" w:rsidP="004C68CD">
            <w:pPr>
              <w:pStyle w:val="TableText"/>
              <w:keepNext/>
              <w:keepLines/>
              <w:spacing w:before="0" w:after="0" w:line="240" w:lineRule="auto"/>
              <w:jc w:val="center"/>
              <w:rPr>
                <w:szCs w:val="20"/>
                <w:lang w:val="en-AU"/>
              </w:rPr>
            </w:pPr>
            <w:r w:rsidRPr="006F307B">
              <w:rPr>
                <w:szCs w:val="20"/>
                <w:lang w:val="en-AU"/>
              </w:rPr>
              <w:t>176/220 (80.0)</w:t>
            </w:r>
          </w:p>
        </w:tc>
        <w:tc>
          <w:tcPr>
            <w:tcW w:w="627" w:type="pct"/>
            <w:gridSpan w:val="2"/>
            <w:shd w:val="clear" w:color="auto" w:fill="auto"/>
            <w:vAlign w:val="center"/>
          </w:tcPr>
          <w:p w:rsidR="0049513C" w:rsidRPr="006F307B" w:rsidRDefault="0049513C" w:rsidP="004C68CD">
            <w:pPr>
              <w:pStyle w:val="TableText"/>
              <w:keepNext/>
              <w:keepLines/>
              <w:spacing w:before="0" w:after="0" w:line="240" w:lineRule="auto"/>
              <w:jc w:val="center"/>
              <w:rPr>
                <w:szCs w:val="20"/>
                <w:lang w:val="en-AU"/>
              </w:rPr>
            </w:pPr>
            <w:r w:rsidRPr="006F307B">
              <w:rPr>
                <w:szCs w:val="20"/>
                <w:lang w:val="en-AU"/>
              </w:rPr>
              <w:t>167/222 (75.2)</w:t>
            </w:r>
          </w:p>
        </w:tc>
        <w:tc>
          <w:tcPr>
            <w:tcW w:w="473" w:type="pct"/>
            <w:gridSpan w:val="2"/>
            <w:shd w:val="clear" w:color="auto" w:fill="auto"/>
            <w:vAlign w:val="center"/>
          </w:tcPr>
          <w:p w:rsidR="0049513C" w:rsidRPr="00B74405" w:rsidRDefault="0049513C" w:rsidP="004C68CD">
            <w:pPr>
              <w:pStyle w:val="TableText"/>
              <w:keepNext/>
              <w:keepLines/>
              <w:spacing w:before="0" w:after="0" w:line="240" w:lineRule="auto"/>
              <w:jc w:val="center"/>
              <w:rPr>
                <w:szCs w:val="20"/>
                <w:lang w:val="en-AU"/>
              </w:rPr>
            </w:pPr>
            <w:r w:rsidRPr="00B74405">
              <w:rPr>
                <w:szCs w:val="20"/>
                <w:lang w:val="en-AU"/>
              </w:rPr>
              <w:t>4.8</w:t>
            </w:r>
          </w:p>
        </w:tc>
        <w:tc>
          <w:tcPr>
            <w:tcW w:w="552" w:type="pct"/>
            <w:shd w:val="clear" w:color="auto" w:fill="auto"/>
            <w:vAlign w:val="center"/>
          </w:tcPr>
          <w:p w:rsidR="00140F3F" w:rsidRPr="007278E9" w:rsidRDefault="0049513C" w:rsidP="004C68CD">
            <w:pPr>
              <w:pStyle w:val="TableText"/>
              <w:keepNext/>
              <w:keepLines/>
              <w:spacing w:before="0" w:after="0" w:line="240" w:lineRule="auto"/>
              <w:jc w:val="center"/>
              <w:rPr>
                <w:b/>
                <w:szCs w:val="20"/>
                <w:lang w:val="en-AU"/>
              </w:rPr>
            </w:pPr>
            <w:r w:rsidRPr="006F307B">
              <w:rPr>
                <w:b/>
                <w:szCs w:val="20"/>
              </w:rPr>
              <w:t>1.25</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rPr>
              <w:t>(1.01, 1.56)</w:t>
            </w:r>
          </w:p>
        </w:tc>
        <w:tc>
          <w:tcPr>
            <w:tcW w:w="760" w:type="pct"/>
            <w:vMerge/>
            <w:shd w:val="clear" w:color="auto" w:fill="auto"/>
            <w:vAlign w:val="center"/>
          </w:tcPr>
          <w:p w:rsidR="0049513C" w:rsidRPr="007278E9" w:rsidRDefault="0049513C" w:rsidP="004C68CD">
            <w:pPr>
              <w:pStyle w:val="TableText"/>
              <w:keepNext/>
              <w:keepLines/>
              <w:spacing w:before="0" w:after="0" w:line="240" w:lineRule="auto"/>
              <w:rPr>
                <w:szCs w:val="20"/>
                <w:lang w:val="en-AU"/>
              </w:rPr>
            </w:pPr>
          </w:p>
        </w:tc>
      </w:tr>
      <w:tr w:rsidR="0049513C" w:rsidRPr="006F307B" w:rsidTr="00873511">
        <w:tc>
          <w:tcPr>
            <w:tcW w:w="5000" w:type="pct"/>
            <w:gridSpan w:val="9"/>
          </w:tcPr>
          <w:p w:rsidR="0049513C" w:rsidRPr="006F307B" w:rsidRDefault="00967868" w:rsidP="004C68CD">
            <w:pPr>
              <w:pStyle w:val="TableText"/>
              <w:keepNext/>
              <w:keepLines/>
              <w:spacing w:before="0" w:after="0" w:line="240" w:lineRule="auto"/>
              <w:rPr>
                <w:b/>
                <w:szCs w:val="20"/>
                <w:lang w:val="en-AU"/>
              </w:rPr>
            </w:pPr>
            <w:r>
              <w:rPr>
                <w:b/>
                <w:szCs w:val="20"/>
              </w:rPr>
              <w:t>Harms</w:t>
            </w:r>
          </w:p>
        </w:tc>
      </w:tr>
      <w:tr w:rsidR="0049513C" w:rsidRPr="006F307B" w:rsidTr="00140F3F">
        <w:trPr>
          <w:trHeight w:val="285"/>
        </w:trPr>
        <w:tc>
          <w:tcPr>
            <w:tcW w:w="1245" w:type="pct"/>
            <w:vMerge w:val="restart"/>
            <w:vAlign w:val="bottom"/>
          </w:tcPr>
          <w:p w:rsidR="0049513C" w:rsidRPr="007278E9" w:rsidRDefault="0049513C" w:rsidP="004C68CD">
            <w:pPr>
              <w:pStyle w:val="TableText"/>
              <w:keepNext/>
              <w:keepLines/>
              <w:spacing w:before="0" w:after="0" w:line="240" w:lineRule="auto"/>
              <w:jc w:val="center"/>
              <w:rPr>
                <w:b/>
                <w:szCs w:val="20"/>
                <w:lang w:val="en-AU"/>
              </w:rPr>
            </w:pPr>
            <w:r w:rsidRPr="006F307B">
              <w:rPr>
                <w:b/>
                <w:szCs w:val="20"/>
              </w:rPr>
              <w:t>Trial</w:t>
            </w:r>
          </w:p>
        </w:tc>
        <w:tc>
          <w:tcPr>
            <w:tcW w:w="756" w:type="pct"/>
            <w:vMerge w:val="restart"/>
            <w:shd w:val="clear" w:color="auto" w:fill="auto"/>
            <w:vAlign w:val="bottom"/>
          </w:tcPr>
          <w:p w:rsidR="0049513C" w:rsidRPr="007278E9" w:rsidRDefault="0049513C" w:rsidP="004C68CD">
            <w:pPr>
              <w:pStyle w:val="TableText"/>
              <w:keepNext/>
              <w:keepLines/>
              <w:spacing w:before="0" w:after="0" w:line="240" w:lineRule="auto"/>
              <w:jc w:val="center"/>
              <w:rPr>
                <w:b/>
                <w:szCs w:val="20"/>
                <w:lang w:val="en-AU"/>
              </w:rPr>
            </w:pPr>
            <w:r w:rsidRPr="006F307B">
              <w:rPr>
                <w:b/>
                <w:szCs w:val="20"/>
              </w:rPr>
              <w:t>Median duration of follow up</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rPr>
              <w:t>(pembro/ chemotherapy months)</w:t>
            </w:r>
          </w:p>
        </w:tc>
        <w:tc>
          <w:tcPr>
            <w:tcW w:w="768" w:type="pct"/>
            <w:gridSpan w:val="2"/>
            <w:vMerge w:val="restart"/>
            <w:shd w:val="clear" w:color="auto" w:fill="auto"/>
            <w:vAlign w:val="bottom"/>
          </w:tcPr>
          <w:p w:rsidR="0049513C" w:rsidRPr="006F307B" w:rsidRDefault="0049513C" w:rsidP="004C68CD">
            <w:pPr>
              <w:pStyle w:val="TableText"/>
              <w:keepNext/>
              <w:keepLines/>
              <w:spacing w:before="0" w:after="0" w:line="240" w:lineRule="auto"/>
              <w:jc w:val="center"/>
              <w:rPr>
                <w:b/>
                <w:szCs w:val="20"/>
                <w:lang w:val="en-AU"/>
              </w:rPr>
            </w:pPr>
            <w:r w:rsidRPr="006F307B">
              <w:rPr>
                <w:b/>
                <w:szCs w:val="20"/>
                <w:lang w:val="en-AU"/>
              </w:rPr>
              <w:t>Pembrolizumab</w:t>
            </w:r>
          </w:p>
        </w:tc>
        <w:tc>
          <w:tcPr>
            <w:tcW w:w="682" w:type="pct"/>
            <w:gridSpan w:val="2"/>
            <w:vMerge w:val="restart"/>
            <w:shd w:val="clear" w:color="auto" w:fill="auto"/>
            <w:vAlign w:val="bottom"/>
          </w:tcPr>
          <w:p w:rsidR="0049513C" w:rsidRPr="006F307B" w:rsidRDefault="0049513C" w:rsidP="004C68CD">
            <w:pPr>
              <w:pStyle w:val="TableText"/>
              <w:keepNext/>
              <w:keepLines/>
              <w:spacing w:before="0" w:after="0" w:line="240" w:lineRule="auto"/>
              <w:jc w:val="center"/>
              <w:rPr>
                <w:b/>
                <w:szCs w:val="20"/>
                <w:lang w:val="en-AU"/>
              </w:rPr>
            </w:pPr>
            <w:r w:rsidRPr="006F307B">
              <w:rPr>
                <w:b/>
                <w:szCs w:val="20"/>
                <w:lang w:val="en-AU"/>
              </w:rPr>
              <w:t>Chemotherapy</w:t>
            </w:r>
          </w:p>
        </w:tc>
        <w:tc>
          <w:tcPr>
            <w:tcW w:w="789" w:type="pct"/>
            <w:gridSpan w:val="2"/>
            <w:vMerge w:val="restart"/>
            <w:shd w:val="clear" w:color="auto" w:fill="auto"/>
            <w:vAlign w:val="bottom"/>
          </w:tcPr>
          <w:p w:rsidR="0049513C" w:rsidRPr="00B74405" w:rsidRDefault="0049513C" w:rsidP="004C68CD">
            <w:pPr>
              <w:pStyle w:val="TableText"/>
              <w:keepNext/>
              <w:keepLines/>
              <w:spacing w:before="0" w:after="0" w:line="240" w:lineRule="auto"/>
              <w:jc w:val="center"/>
              <w:rPr>
                <w:b/>
                <w:szCs w:val="20"/>
                <w:lang w:val="en-AU"/>
              </w:rPr>
            </w:pPr>
            <w:r w:rsidRPr="00B74405">
              <w:rPr>
                <w:b/>
                <w:szCs w:val="20"/>
                <w:lang w:val="en-AU"/>
              </w:rPr>
              <w:t>RR</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rPr>
              <w:t>(95% CI)</w:t>
            </w:r>
          </w:p>
        </w:tc>
        <w:tc>
          <w:tcPr>
            <w:tcW w:w="760" w:type="pct"/>
            <w:vMerge w:val="restart"/>
            <w:shd w:val="clear" w:color="auto" w:fill="auto"/>
            <w:vAlign w:val="bottom"/>
          </w:tcPr>
          <w:p w:rsidR="0049513C" w:rsidRPr="006F307B" w:rsidRDefault="0049513C" w:rsidP="004C68CD">
            <w:pPr>
              <w:pStyle w:val="TableText"/>
              <w:keepNext/>
              <w:keepLines/>
              <w:spacing w:before="0" w:after="0" w:line="240" w:lineRule="auto"/>
              <w:jc w:val="center"/>
              <w:rPr>
                <w:b/>
                <w:szCs w:val="20"/>
                <w:lang w:val="en-AU"/>
              </w:rPr>
            </w:pPr>
            <w:r w:rsidRPr="006F307B">
              <w:rPr>
                <w:b/>
                <w:szCs w:val="20"/>
              </w:rPr>
              <w:t>RD</w:t>
            </w:r>
          </w:p>
          <w:p w:rsidR="0049513C" w:rsidRPr="006F307B" w:rsidRDefault="0049513C" w:rsidP="004C68CD">
            <w:pPr>
              <w:pStyle w:val="TableText"/>
              <w:keepNext/>
              <w:keepLines/>
              <w:spacing w:before="0" w:after="0" w:line="240" w:lineRule="auto"/>
              <w:jc w:val="center"/>
              <w:rPr>
                <w:b/>
                <w:szCs w:val="20"/>
                <w:lang w:val="en-AU"/>
              </w:rPr>
            </w:pPr>
            <w:r w:rsidRPr="006F307B">
              <w:rPr>
                <w:b/>
                <w:szCs w:val="20"/>
              </w:rPr>
              <w:t>(95% CI)</w:t>
            </w:r>
          </w:p>
        </w:tc>
      </w:tr>
      <w:tr w:rsidR="0049513C" w:rsidRPr="006F307B" w:rsidTr="00140F3F">
        <w:trPr>
          <w:trHeight w:val="390"/>
        </w:trPr>
        <w:tc>
          <w:tcPr>
            <w:tcW w:w="1245" w:type="pct"/>
            <w:vMerge/>
            <w:vAlign w:val="bottom"/>
          </w:tcPr>
          <w:p w:rsidR="0049513C" w:rsidRPr="007278E9" w:rsidRDefault="0049513C" w:rsidP="004C68CD">
            <w:pPr>
              <w:pStyle w:val="TableText"/>
              <w:keepNext/>
              <w:keepLines/>
              <w:spacing w:before="0" w:after="0" w:line="240" w:lineRule="auto"/>
              <w:rPr>
                <w:szCs w:val="20"/>
                <w:lang w:val="en-AU"/>
              </w:rPr>
            </w:pPr>
          </w:p>
        </w:tc>
        <w:tc>
          <w:tcPr>
            <w:tcW w:w="756" w:type="pct"/>
            <w:vMerge/>
            <w:shd w:val="clear" w:color="auto" w:fill="auto"/>
            <w:vAlign w:val="bottom"/>
          </w:tcPr>
          <w:p w:rsidR="0049513C" w:rsidRPr="006F307B" w:rsidRDefault="0049513C" w:rsidP="004C68CD">
            <w:pPr>
              <w:pStyle w:val="TableText"/>
              <w:keepNext/>
              <w:keepLines/>
              <w:spacing w:before="0" w:after="0" w:line="240" w:lineRule="auto"/>
              <w:rPr>
                <w:szCs w:val="20"/>
                <w:lang w:val="en-AU"/>
              </w:rPr>
            </w:pPr>
          </w:p>
        </w:tc>
        <w:tc>
          <w:tcPr>
            <w:tcW w:w="768" w:type="pct"/>
            <w:gridSpan w:val="2"/>
            <w:vMerge/>
            <w:shd w:val="clear" w:color="auto" w:fill="auto"/>
            <w:vAlign w:val="bottom"/>
          </w:tcPr>
          <w:p w:rsidR="0049513C" w:rsidRPr="006F307B" w:rsidRDefault="0049513C" w:rsidP="004C68CD">
            <w:pPr>
              <w:pStyle w:val="TableText"/>
              <w:keepNext/>
              <w:keepLines/>
              <w:spacing w:before="0" w:after="0" w:line="240" w:lineRule="auto"/>
              <w:rPr>
                <w:szCs w:val="20"/>
                <w:lang w:val="en-AU"/>
              </w:rPr>
            </w:pPr>
          </w:p>
        </w:tc>
        <w:tc>
          <w:tcPr>
            <w:tcW w:w="682" w:type="pct"/>
            <w:gridSpan w:val="2"/>
            <w:vMerge/>
            <w:shd w:val="clear" w:color="auto" w:fill="auto"/>
            <w:vAlign w:val="bottom"/>
          </w:tcPr>
          <w:p w:rsidR="0049513C" w:rsidRPr="006F307B" w:rsidRDefault="0049513C" w:rsidP="004C68CD">
            <w:pPr>
              <w:pStyle w:val="TableText"/>
              <w:keepNext/>
              <w:keepLines/>
              <w:spacing w:before="0" w:after="0" w:line="240" w:lineRule="auto"/>
              <w:rPr>
                <w:szCs w:val="20"/>
                <w:lang w:val="en-AU"/>
              </w:rPr>
            </w:pPr>
          </w:p>
        </w:tc>
        <w:tc>
          <w:tcPr>
            <w:tcW w:w="789" w:type="pct"/>
            <w:gridSpan w:val="2"/>
            <w:vMerge/>
            <w:shd w:val="clear" w:color="auto" w:fill="auto"/>
            <w:vAlign w:val="bottom"/>
          </w:tcPr>
          <w:p w:rsidR="0049513C" w:rsidRPr="006F307B" w:rsidRDefault="0049513C" w:rsidP="004C68CD">
            <w:pPr>
              <w:pStyle w:val="TableText"/>
              <w:keepNext/>
              <w:keepLines/>
              <w:spacing w:before="0" w:after="0" w:line="240" w:lineRule="auto"/>
              <w:rPr>
                <w:szCs w:val="20"/>
                <w:lang w:val="en-AU"/>
              </w:rPr>
            </w:pPr>
          </w:p>
        </w:tc>
        <w:tc>
          <w:tcPr>
            <w:tcW w:w="760" w:type="pct"/>
            <w:vMerge/>
            <w:shd w:val="clear" w:color="auto" w:fill="auto"/>
            <w:vAlign w:val="bottom"/>
          </w:tcPr>
          <w:p w:rsidR="0049513C" w:rsidRPr="006F307B" w:rsidRDefault="0049513C" w:rsidP="004C68CD">
            <w:pPr>
              <w:pStyle w:val="TableText"/>
              <w:keepNext/>
              <w:keepLines/>
              <w:spacing w:before="0" w:after="0" w:line="240" w:lineRule="auto"/>
              <w:rPr>
                <w:szCs w:val="20"/>
                <w:lang w:val="en-AU"/>
              </w:rPr>
            </w:pPr>
          </w:p>
        </w:tc>
      </w:tr>
      <w:tr w:rsidR="0049513C" w:rsidRPr="006F307B" w:rsidTr="00873511">
        <w:tc>
          <w:tcPr>
            <w:tcW w:w="5000" w:type="pct"/>
            <w:gridSpan w:val="9"/>
            <w:vAlign w:val="center"/>
          </w:tcPr>
          <w:p w:rsidR="0049513C" w:rsidRPr="007278E9" w:rsidRDefault="0049513C" w:rsidP="004C68CD">
            <w:pPr>
              <w:pStyle w:val="TableText"/>
              <w:keepNext/>
              <w:keepLines/>
              <w:spacing w:before="0" w:after="0" w:line="240" w:lineRule="auto"/>
              <w:rPr>
                <w:szCs w:val="20"/>
                <w:lang w:val="en-AU"/>
              </w:rPr>
            </w:pPr>
            <w:r w:rsidRPr="006F307B">
              <w:rPr>
                <w:szCs w:val="20"/>
              </w:rPr>
              <w:t xml:space="preserve">Pembrolizumab monotherapy (ITT) versus chemotherapy (ITT) </w:t>
            </w:r>
          </w:p>
        </w:tc>
      </w:tr>
      <w:tr w:rsidR="00C30487" w:rsidRPr="006F307B" w:rsidTr="00140F3F">
        <w:tc>
          <w:tcPr>
            <w:tcW w:w="1245" w:type="pct"/>
            <w:vAlign w:val="center"/>
          </w:tcPr>
          <w:p w:rsidR="00C30487" w:rsidRPr="007278E9" w:rsidRDefault="00C30487" w:rsidP="00C30487">
            <w:pPr>
              <w:pStyle w:val="TableText"/>
              <w:keepNext/>
              <w:keepLines/>
              <w:spacing w:before="0" w:after="0" w:line="240" w:lineRule="auto"/>
              <w:rPr>
                <w:szCs w:val="20"/>
                <w:lang w:val="en-AU"/>
              </w:rPr>
            </w:pPr>
            <w:r w:rsidRPr="006F307B">
              <w:rPr>
                <w:szCs w:val="20"/>
              </w:rPr>
              <w:t>All cause grade 3+ adverse event</w:t>
            </w:r>
          </w:p>
        </w:tc>
        <w:tc>
          <w:tcPr>
            <w:tcW w:w="756" w:type="pct"/>
            <w:shd w:val="clear" w:color="auto" w:fill="auto"/>
            <w:vAlign w:val="center"/>
          </w:tcPr>
          <w:p w:rsidR="00C30487" w:rsidRPr="006F307B" w:rsidRDefault="00C30487" w:rsidP="00C30487">
            <w:pPr>
              <w:pStyle w:val="TableText"/>
              <w:keepNext/>
              <w:keepLines/>
              <w:spacing w:before="0" w:after="0" w:line="240" w:lineRule="auto"/>
              <w:jc w:val="center"/>
              <w:rPr>
                <w:szCs w:val="20"/>
                <w:lang w:val="en-AU"/>
              </w:rPr>
            </w:pPr>
            <w:r w:rsidRPr="006F307B">
              <w:rPr>
                <w:szCs w:val="20"/>
                <w:lang w:val="en-AU"/>
              </w:rPr>
              <w:t>11.5/19.1</w:t>
            </w:r>
          </w:p>
        </w:tc>
        <w:tc>
          <w:tcPr>
            <w:tcW w:w="768" w:type="pct"/>
            <w:gridSpan w:val="2"/>
            <w:shd w:val="clear" w:color="auto" w:fill="auto"/>
            <w:vAlign w:val="center"/>
          </w:tcPr>
          <w:p w:rsidR="00C30487" w:rsidRPr="006F307B" w:rsidRDefault="00C30487" w:rsidP="00C30487">
            <w:pPr>
              <w:pStyle w:val="TableText"/>
              <w:keepNext/>
              <w:keepLines/>
              <w:spacing w:before="0" w:after="0" w:line="240" w:lineRule="auto"/>
              <w:jc w:val="center"/>
              <w:rPr>
                <w:szCs w:val="20"/>
                <w:lang w:val="en-AU"/>
              </w:rPr>
            </w:pPr>
            <w:r w:rsidRPr="006F307B">
              <w:rPr>
                <w:szCs w:val="20"/>
                <w:lang w:val="en-AU"/>
              </w:rPr>
              <w:t>164/300 (54.7)</w:t>
            </w:r>
          </w:p>
        </w:tc>
        <w:tc>
          <w:tcPr>
            <w:tcW w:w="682" w:type="pct"/>
            <w:gridSpan w:val="2"/>
            <w:shd w:val="clear" w:color="auto" w:fill="auto"/>
            <w:vAlign w:val="center"/>
          </w:tcPr>
          <w:p w:rsidR="00C30487" w:rsidRPr="006F307B" w:rsidRDefault="00C30487" w:rsidP="00C30487">
            <w:pPr>
              <w:pStyle w:val="TableText"/>
              <w:keepNext/>
              <w:keepLines/>
              <w:spacing w:before="0" w:after="0" w:line="240" w:lineRule="auto"/>
              <w:jc w:val="center"/>
              <w:rPr>
                <w:szCs w:val="20"/>
                <w:lang w:val="en-AU"/>
              </w:rPr>
            </w:pPr>
            <w:r w:rsidRPr="006F307B">
              <w:rPr>
                <w:rFonts w:eastAsia="Calibri" w:cs="Arial"/>
              </w:rPr>
              <w:t>171/215 (79.5)</w:t>
            </w:r>
          </w:p>
        </w:tc>
        <w:tc>
          <w:tcPr>
            <w:tcW w:w="789" w:type="pct"/>
            <w:gridSpan w:val="2"/>
            <w:shd w:val="clear" w:color="auto" w:fill="auto"/>
            <w:vAlign w:val="center"/>
          </w:tcPr>
          <w:p w:rsidR="00C30487" w:rsidRPr="007278E9" w:rsidRDefault="00C30487" w:rsidP="00C30487">
            <w:pPr>
              <w:spacing w:before="0"/>
              <w:jc w:val="center"/>
              <w:rPr>
                <w:rFonts w:ascii="Arial Narrow" w:eastAsia="Calibri" w:hAnsi="Arial Narrow" w:cs="Arial"/>
                <w:b/>
                <w:sz w:val="20"/>
                <w:lang w:val="en-AU"/>
              </w:rPr>
            </w:pPr>
            <w:r w:rsidRPr="006F307B">
              <w:rPr>
                <w:rFonts w:ascii="Arial Narrow" w:eastAsia="Calibri" w:hAnsi="Arial Narrow" w:cs="Arial"/>
                <w:b/>
                <w:sz w:val="20"/>
              </w:rPr>
              <w:t>0.69</w:t>
            </w:r>
          </w:p>
          <w:p w:rsidR="00C30487" w:rsidRPr="007278E9" w:rsidRDefault="00C30487" w:rsidP="00C30487">
            <w:pPr>
              <w:keepNext/>
              <w:keepLines/>
              <w:spacing w:before="0"/>
              <w:jc w:val="center"/>
              <w:rPr>
                <w:rFonts w:ascii="Arial Narrow" w:hAnsi="Arial Narrow"/>
                <w:b/>
                <w:sz w:val="20"/>
                <w:szCs w:val="20"/>
                <w:lang w:val="en-AU"/>
              </w:rPr>
            </w:pPr>
            <w:r w:rsidRPr="006F307B">
              <w:rPr>
                <w:rFonts w:ascii="Arial Narrow" w:eastAsia="Calibri" w:hAnsi="Arial Narrow" w:cs="Arial"/>
                <w:b/>
                <w:sz w:val="20"/>
              </w:rPr>
              <w:t>(0.61, 0.78)</w:t>
            </w:r>
          </w:p>
        </w:tc>
        <w:tc>
          <w:tcPr>
            <w:tcW w:w="760" w:type="pct"/>
            <w:shd w:val="clear" w:color="auto" w:fill="auto"/>
            <w:vAlign w:val="center"/>
          </w:tcPr>
          <w:p w:rsidR="00C30487" w:rsidRPr="007278E9" w:rsidRDefault="00C30487" w:rsidP="00C30487">
            <w:pPr>
              <w:keepNext/>
              <w:keepLines/>
              <w:spacing w:before="0"/>
              <w:jc w:val="center"/>
              <w:rPr>
                <w:rFonts w:ascii="Arial Narrow" w:hAnsi="Arial Narrow"/>
                <w:b/>
                <w:sz w:val="20"/>
                <w:szCs w:val="20"/>
                <w:lang w:val="en-AU"/>
              </w:rPr>
            </w:pPr>
            <w:r w:rsidRPr="006F307B">
              <w:rPr>
                <w:rFonts w:ascii="Arial Narrow" w:eastAsia="Calibri" w:hAnsi="Arial Narrow" w:cs="Arial"/>
                <w:b/>
                <w:sz w:val="20"/>
              </w:rPr>
              <w:t>-25 (-32, -17)</w:t>
            </w:r>
          </w:p>
        </w:tc>
      </w:tr>
      <w:tr w:rsidR="0049513C" w:rsidRPr="006F307B" w:rsidTr="00873511">
        <w:tc>
          <w:tcPr>
            <w:tcW w:w="5000" w:type="pct"/>
            <w:gridSpan w:val="9"/>
            <w:vAlign w:val="center"/>
          </w:tcPr>
          <w:p w:rsidR="0049513C" w:rsidRPr="006F307B" w:rsidRDefault="0049513C" w:rsidP="004C68CD">
            <w:pPr>
              <w:pStyle w:val="TableText"/>
              <w:keepNext/>
              <w:keepLines/>
              <w:spacing w:before="0" w:after="0" w:line="240" w:lineRule="auto"/>
              <w:rPr>
                <w:szCs w:val="20"/>
                <w:lang w:val="en-AU"/>
              </w:rPr>
            </w:pPr>
            <w:r w:rsidRPr="006F307B">
              <w:rPr>
                <w:szCs w:val="20"/>
              </w:rPr>
              <w:t>Pembrolizumab plus chemotherapy (ITT) versus chemotherapy (ITT)</w:t>
            </w:r>
          </w:p>
        </w:tc>
      </w:tr>
      <w:tr w:rsidR="00C30487" w:rsidRPr="006F307B" w:rsidTr="00140F3F">
        <w:tc>
          <w:tcPr>
            <w:tcW w:w="1245" w:type="pct"/>
            <w:vAlign w:val="center"/>
          </w:tcPr>
          <w:p w:rsidR="00C30487" w:rsidRPr="007278E9" w:rsidRDefault="00C30487" w:rsidP="00C30487">
            <w:pPr>
              <w:pStyle w:val="TableText"/>
              <w:keepNext/>
              <w:keepLines/>
              <w:spacing w:before="0" w:after="0" w:line="240" w:lineRule="auto"/>
              <w:rPr>
                <w:szCs w:val="20"/>
                <w:lang w:val="en-AU"/>
              </w:rPr>
            </w:pPr>
            <w:r w:rsidRPr="006F307B">
              <w:rPr>
                <w:szCs w:val="20"/>
              </w:rPr>
              <w:t>All cause grade 3+ adverse event</w:t>
            </w:r>
          </w:p>
        </w:tc>
        <w:tc>
          <w:tcPr>
            <w:tcW w:w="756" w:type="pct"/>
            <w:shd w:val="clear" w:color="auto" w:fill="auto"/>
            <w:vAlign w:val="center"/>
          </w:tcPr>
          <w:p w:rsidR="00C30487" w:rsidRPr="006F307B" w:rsidRDefault="00C30487" w:rsidP="00C30487">
            <w:pPr>
              <w:pStyle w:val="TableText"/>
              <w:keepNext/>
              <w:keepLines/>
              <w:spacing w:before="0" w:after="0" w:line="240" w:lineRule="auto"/>
              <w:jc w:val="center"/>
              <w:rPr>
                <w:szCs w:val="20"/>
                <w:lang w:val="en-AU"/>
              </w:rPr>
            </w:pPr>
            <w:r w:rsidRPr="006F307B">
              <w:rPr>
                <w:szCs w:val="20"/>
                <w:lang w:val="en-AU"/>
              </w:rPr>
              <w:t>13.0/19.1</w:t>
            </w:r>
          </w:p>
        </w:tc>
        <w:tc>
          <w:tcPr>
            <w:tcW w:w="768" w:type="pct"/>
            <w:gridSpan w:val="2"/>
            <w:shd w:val="clear" w:color="auto" w:fill="auto"/>
            <w:vAlign w:val="center"/>
          </w:tcPr>
          <w:p w:rsidR="00C30487" w:rsidRPr="006F307B" w:rsidRDefault="00C30487" w:rsidP="00C30487">
            <w:pPr>
              <w:pStyle w:val="TableText"/>
              <w:keepNext/>
              <w:keepLines/>
              <w:spacing w:before="0" w:after="0" w:line="240" w:lineRule="auto"/>
              <w:jc w:val="center"/>
              <w:rPr>
                <w:szCs w:val="20"/>
                <w:lang w:val="en-AU"/>
              </w:rPr>
            </w:pPr>
            <w:r w:rsidRPr="006F307B">
              <w:rPr>
                <w:szCs w:val="20"/>
                <w:lang w:val="en-AU"/>
              </w:rPr>
              <w:t>235/276 (85.1)</w:t>
            </w:r>
          </w:p>
        </w:tc>
        <w:tc>
          <w:tcPr>
            <w:tcW w:w="682" w:type="pct"/>
            <w:gridSpan w:val="2"/>
            <w:shd w:val="clear" w:color="auto" w:fill="auto"/>
            <w:vAlign w:val="center"/>
          </w:tcPr>
          <w:p w:rsidR="00C30487" w:rsidRPr="006F307B" w:rsidRDefault="00C30487" w:rsidP="00C30487">
            <w:pPr>
              <w:pStyle w:val="TableText"/>
              <w:keepNext/>
              <w:keepLines/>
              <w:spacing w:before="0" w:after="0" w:line="240" w:lineRule="auto"/>
              <w:jc w:val="center"/>
              <w:rPr>
                <w:szCs w:val="20"/>
                <w:lang w:val="en-AU"/>
              </w:rPr>
            </w:pPr>
            <w:r w:rsidRPr="006F307B">
              <w:rPr>
                <w:rFonts w:eastAsia="Calibri" w:cs="Arial"/>
              </w:rPr>
              <w:t>171/215 (79.5)</w:t>
            </w:r>
          </w:p>
        </w:tc>
        <w:tc>
          <w:tcPr>
            <w:tcW w:w="789" w:type="pct"/>
            <w:gridSpan w:val="2"/>
            <w:shd w:val="clear" w:color="auto" w:fill="auto"/>
            <w:vAlign w:val="center"/>
          </w:tcPr>
          <w:p w:rsidR="00C30487" w:rsidRPr="007278E9" w:rsidRDefault="00C30487" w:rsidP="00C30487">
            <w:pPr>
              <w:spacing w:before="0"/>
              <w:jc w:val="center"/>
              <w:rPr>
                <w:rFonts w:ascii="Arial Narrow" w:eastAsia="Calibri" w:hAnsi="Arial Narrow" w:cs="Arial"/>
                <w:sz w:val="20"/>
                <w:lang w:val="en-AU"/>
              </w:rPr>
            </w:pPr>
            <w:r w:rsidRPr="006F307B">
              <w:rPr>
                <w:rFonts w:ascii="Arial Narrow" w:eastAsia="Calibri" w:hAnsi="Arial Narrow" w:cs="Arial"/>
                <w:sz w:val="20"/>
              </w:rPr>
              <w:t>1.07</w:t>
            </w:r>
          </w:p>
          <w:p w:rsidR="00C30487" w:rsidRPr="007278E9" w:rsidRDefault="00C30487" w:rsidP="00C30487">
            <w:pPr>
              <w:keepNext/>
              <w:keepLines/>
              <w:spacing w:before="0"/>
              <w:jc w:val="center"/>
              <w:rPr>
                <w:rFonts w:ascii="Arial Narrow" w:hAnsi="Arial Narrow"/>
                <w:b/>
                <w:sz w:val="20"/>
                <w:szCs w:val="20"/>
                <w:lang w:val="en-AU"/>
              </w:rPr>
            </w:pPr>
            <w:r w:rsidRPr="006F307B">
              <w:rPr>
                <w:rFonts w:ascii="Arial Narrow" w:eastAsia="Calibri" w:hAnsi="Arial Narrow" w:cs="Arial"/>
                <w:sz w:val="20"/>
              </w:rPr>
              <w:t>(0.98, 1.16)</w:t>
            </w:r>
          </w:p>
        </w:tc>
        <w:tc>
          <w:tcPr>
            <w:tcW w:w="760" w:type="pct"/>
            <w:shd w:val="clear" w:color="auto" w:fill="auto"/>
            <w:vAlign w:val="center"/>
          </w:tcPr>
          <w:p w:rsidR="00C30487" w:rsidRPr="007278E9" w:rsidRDefault="00C30487" w:rsidP="00C30487">
            <w:pPr>
              <w:keepNext/>
              <w:keepLines/>
              <w:spacing w:before="0"/>
              <w:jc w:val="center"/>
              <w:rPr>
                <w:rFonts w:ascii="Arial Narrow" w:hAnsi="Arial Narrow"/>
                <w:b/>
                <w:sz w:val="20"/>
                <w:szCs w:val="20"/>
                <w:lang w:val="en-AU"/>
              </w:rPr>
            </w:pPr>
            <w:r w:rsidRPr="006F307B">
              <w:rPr>
                <w:rFonts w:ascii="Arial Narrow" w:eastAsia="Calibri" w:hAnsi="Arial Narrow" w:cs="Arial"/>
                <w:sz w:val="20"/>
              </w:rPr>
              <w:t>6 (-1, 13)</w:t>
            </w:r>
          </w:p>
        </w:tc>
      </w:tr>
    </w:tbl>
    <w:p w:rsidR="0049513C" w:rsidRPr="006F307B" w:rsidRDefault="0049513C" w:rsidP="004C68CD">
      <w:pPr>
        <w:pStyle w:val="TableFooter"/>
        <w:keepNext/>
        <w:keepLines/>
      </w:pPr>
      <w:r w:rsidRPr="006F307B">
        <w:t xml:space="preserve">Abbreviations: </w:t>
      </w:r>
      <w:r w:rsidR="00E9137E">
        <w:t xml:space="preserve">HR </w:t>
      </w:r>
      <w:r w:rsidRPr="006F307B">
        <w:t xml:space="preserve">= </w:t>
      </w:r>
      <w:r w:rsidR="00E9137E">
        <w:t>hazard ratio,</w:t>
      </w:r>
      <w:r w:rsidRPr="006F307B">
        <w:t xml:space="preserve"> RD = risk difference</w:t>
      </w:r>
      <w:r w:rsidR="00E9137E">
        <w:t>,</w:t>
      </w:r>
      <w:r w:rsidRPr="006F307B">
        <w:t xml:space="preserve"> RR = risk ratio, CPS = combined positive score, ITT = intention to treat</w:t>
      </w:r>
    </w:p>
    <w:p w:rsidR="0049513C" w:rsidRPr="006F307B" w:rsidRDefault="0049513C" w:rsidP="004C68CD">
      <w:pPr>
        <w:pStyle w:val="TableFooter"/>
        <w:keepNext/>
        <w:keepLines/>
      </w:pPr>
      <w:r w:rsidRPr="006F307B">
        <w:rPr>
          <w:vertAlign w:val="superscript"/>
        </w:rPr>
        <w:t xml:space="preserve">1 </w:t>
      </w:r>
      <w:r w:rsidRPr="006F307B">
        <w:t xml:space="preserve">Median follow up in the CPS≥1 subgroup not reported in KN048, </w:t>
      </w:r>
      <w:r w:rsidR="00406985" w:rsidRPr="006F307B">
        <w:t xml:space="preserve">this value reflects the </w:t>
      </w:r>
      <w:r w:rsidRPr="006F307B">
        <w:t>follow up in ITT population</w:t>
      </w:r>
      <w:r w:rsidR="00406985" w:rsidRPr="006F307B">
        <w:t xml:space="preserve"> and is an approximation only</w:t>
      </w:r>
      <w:r w:rsidR="00967868">
        <w:t>.</w:t>
      </w:r>
    </w:p>
    <w:p w:rsidR="0049513C" w:rsidRPr="006F307B" w:rsidRDefault="000F2172" w:rsidP="004C68CD">
      <w:pPr>
        <w:pStyle w:val="TableFooter"/>
        <w:keepNext/>
        <w:keepLines/>
      </w:pPr>
      <w:r w:rsidRPr="006F307B">
        <w:t>Text</w:t>
      </w:r>
      <w:r w:rsidR="00140F3F" w:rsidRPr="006F307B">
        <w:t xml:space="preserve"> </w:t>
      </w:r>
      <w:r w:rsidR="0049513C" w:rsidRPr="006F307B">
        <w:t>in bold indicate stati</w:t>
      </w:r>
      <w:r w:rsidR="00967868">
        <w:t>stically significant difference</w:t>
      </w:r>
    </w:p>
    <w:p w:rsidR="0049513C" w:rsidRPr="006F307B" w:rsidRDefault="0049513C" w:rsidP="004C68CD">
      <w:pPr>
        <w:pStyle w:val="TableFooter"/>
        <w:keepNext/>
        <w:keepLines/>
      </w:pPr>
      <w:r w:rsidRPr="006F307B">
        <w:t xml:space="preserve">Source: </w:t>
      </w:r>
      <w:r w:rsidRPr="006F307B">
        <w:rPr>
          <w:szCs w:val="18"/>
        </w:rPr>
        <w:t xml:space="preserve">Table 6, Cetuximab PSD March 2018, Table 2.6-1, p96 and Table 2.6-2, p97 Table 2.5-18, p88-89 of the submission Table </w:t>
      </w:r>
      <w:r w:rsidR="00967868">
        <w:rPr>
          <w:szCs w:val="18"/>
        </w:rPr>
        <w:t>2.6-11, p103 of the submission.</w:t>
      </w:r>
    </w:p>
    <w:p w:rsidR="0049513C" w:rsidRPr="005136D2" w:rsidRDefault="0049513C" w:rsidP="00AC5B62">
      <w:pPr>
        <w:pStyle w:val="ListParagraph"/>
        <w:rPr>
          <w:iCs/>
          <w:color w:val="auto"/>
        </w:rPr>
      </w:pPr>
      <w:r w:rsidRPr="006F307B">
        <w:rPr>
          <w:iCs/>
          <w:color w:val="auto"/>
        </w:rPr>
        <w:t xml:space="preserve">On the basis of the indirect comparison presented by the submission, </w:t>
      </w:r>
      <w:r w:rsidR="00406985" w:rsidRPr="006F307B">
        <w:rPr>
          <w:iCs/>
          <w:color w:val="auto"/>
        </w:rPr>
        <w:t xml:space="preserve">the comparison of </w:t>
      </w:r>
      <w:r w:rsidRPr="006F307B">
        <w:rPr>
          <w:iCs/>
          <w:color w:val="auto"/>
        </w:rPr>
        <w:t xml:space="preserve">pembrolizumab monotherapy </w:t>
      </w:r>
      <w:r w:rsidR="00406985" w:rsidRPr="006F307B">
        <w:rPr>
          <w:iCs/>
          <w:color w:val="auto"/>
        </w:rPr>
        <w:t xml:space="preserve">and </w:t>
      </w:r>
      <w:r w:rsidRPr="006F307B">
        <w:rPr>
          <w:iCs/>
          <w:color w:val="auto"/>
        </w:rPr>
        <w:t>chemotherapy</w:t>
      </w:r>
      <w:r w:rsidR="00406985" w:rsidRPr="006F307B">
        <w:rPr>
          <w:iCs/>
          <w:color w:val="auto"/>
        </w:rPr>
        <w:t xml:space="preserve"> resulted in</w:t>
      </w:r>
      <w:r w:rsidRPr="006F307B">
        <w:rPr>
          <w:iCs/>
          <w:color w:val="auto"/>
        </w:rPr>
        <w:t>:</w:t>
      </w:r>
    </w:p>
    <w:p w:rsidR="0049513C" w:rsidRPr="006F307B" w:rsidRDefault="00A62D14" w:rsidP="00CA41B6">
      <w:pPr>
        <w:pStyle w:val="ListParagraph"/>
        <w:numPr>
          <w:ilvl w:val="0"/>
          <w:numId w:val="31"/>
        </w:numPr>
        <w:ind w:left="993" w:hanging="284"/>
        <w:rPr>
          <w:iCs/>
          <w:color w:val="auto"/>
        </w:rPr>
      </w:pPr>
      <w:r w:rsidRPr="006F307B">
        <w:rPr>
          <w:iCs/>
          <w:color w:val="auto"/>
        </w:rPr>
        <w:t>For</w:t>
      </w:r>
      <w:r w:rsidR="00406985" w:rsidRPr="006F307B">
        <w:rPr>
          <w:iCs/>
          <w:color w:val="auto"/>
        </w:rPr>
        <w:t xml:space="preserve"> patients with CPS</w:t>
      </w:r>
      <w:r w:rsidR="00C9622A" w:rsidRPr="006F307B">
        <w:rPr>
          <w:iCs/>
          <w:color w:val="auto"/>
        </w:rPr>
        <w:t xml:space="preserve"> </w:t>
      </w:r>
      <w:r w:rsidR="00406985" w:rsidRPr="006F307B">
        <w:rPr>
          <w:iCs/>
          <w:color w:val="auto"/>
        </w:rPr>
        <w:t>≥1, approximately a 41% reduction in risk of death (at roughly 11.5 months follow up for pembrolizumab and 19.1 months follow up for chemotherapy);</w:t>
      </w:r>
      <w:r w:rsidR="00C9622A" w:rsidRPr="006F307B">
        <w:rPr>
          <w:iCs/>
          <w:color w:val="auto"/>
        </w:rPr>
        <w:t xml:space="preserve"> and</w:t>
      </w:r>
    </w:p>
    <w:p w:rsidR="00406985" w:rsidRPr="006F307B" w:rsidRDefault="00A62D14" w:rsidP="00CA41B6">
      <w:pPr>
        <w:pStyle w:val="ListParagraph"/>
        <w:numPr>
          <w:ilvl w:val="0"/>
          <w:numId w:val="31"/>
        </w:numPr>
        <w:ind w:left="993" w:hanging="284"/>
        <w:rPr>
          <w:iCs/>
          <w:color w:val="auto"/>
        </w:rPr>
      </w:pPr>
      <w:r w:rsidRPr="006F307B">
        <w:rPr>
          <w:iCs/>
          <w:color w:val="auto"/>
        </w:rPr>
        <w:t>For</w:t>
      </w:r>
      <w:r w:rsidR="00406985" w:rsidRPr="006F307B">
        <w:rPr>
          <w:iCs/>
          <w:color w:val="auto"/>
        </w:rPr>
        <w:t xml:space="preserve"> all patients irrespective of CPS, for every 100 patients treated, 2</w:t>
      </w:r>
      <w:r w:rsidR="00C30487" w:rsidRPr="006F307B">
        <w:rPr>
          <w:iCs/>
          <w:color w:val="auto"/>
        </w:rPr>
        <w:t>5</w:t>
      </w:r>
      <w:r w:rsidR="00406985" w:rsidRPr="006F307B">
        <w:rPr>
          <w:iCs/>
          <w:color w:val="auto"/>
        </w:rPr>
        <w:t xml:space="preserve"> fewer patients will experience </w:t>
      </w:r>
      <w:r w:rsidR="00AC0B0B" w:rsidRPr="006F307B">
        <w:rPr>
          <w:iCs/>
          <w:color w:val="auto"/>
        </w:rPr>
        <w:t>a grade 3+ adverse event</w:t>
      </w:r>
      <w:r w:rsidR="00C9622A" w:rsidRPr="006F307B">
        <w:rPr>
          <w:iCs/>
          <w:color w:val="auto"/>
        </w:rPr>
        <w:t>.</w:t>
      </w:r>
    </w:p>
    <w:p w:rsidR="00406985" w:rsidRPr="006F307B" w:rsidRDefault="00406985" w:rsidP="00406985">
      <w:pPr>
        <w:pStyle w:val="ListParagraph"/>
        <w:rPr>
          <w:iCs/>
          <w:color w:val="auto"/>
        </w:rPr>
      </w:pPr>
      <w:r w:rsidRPr="006F307B">
        <w:rPr>
          <w:iCs/>
          <w:color w:val="auto"/>
        </w:rPr>
        <w:t xml:space="preserve">On the basis of the indirect comparison presented by the submission, the comparison of pembrolizumab </w:t>
      </w:r>
      <w:r w:rsidR="003142B9" w:rsidRPr="006F307B">
        <w:rPr>
          <w:iCs/>
          <w:color w:val="auto"/>
        </w:rPr>
        <w:t xml:space="preserve">+ </w:t>
      </w:r>
      <w:r w:rsidRPr="006F307B">
        <w:rPr>
          <w:iCs/>
          <w:color w:val="auto"/>
        </w:rPr>
        <w:t>chemotherapy and chemotherapy resulted in:</w:t>
      </w:r>
    </w:p>
    <w:p w:rsidR="00406985" w:rsidRPr="006F307B" w:rsidRDefault="00A62D14" w:rsidP="00CA41B6">
      <w:pPr>
        <w:pStyle w:val="ListParagraph"/>
        <w:numPr>
          <w:ilvl w:val="0"/>
          <w:numId w:val="31"/>
        </w:numPr>
        <w:ind w:left="993" w:hanging="284"/>
        <w:rPr>
          <w:iCs/>
          <w:color w:val="auto"/>
        </w:rPr>
      </w:pPr>
      <w:r w:rsidRPr="006F307B">
        <w:rPr>
          <w:iCs/>
          <w:color w:val="auto"/>
        </w:rPr>
        <w:t xml:space="preserve">For </w:t>
      </w:r>
      <w:r w:rsidR="00406985" w:rsidRPr="006F307B">
        <w:rPr>
          <w:iCs/>
          <w:color w:val="auto"/>
        </w:rPr>
        <w:t>patients with CPS</w:t>
      </w:r>
      <w:r w:rsidR="00C9622A" w:rsidRPr="006F307B">
        <w:rPr>
          <w:iCs/>
          <w:color w:val="auto"/>
        </w:rPr>
        <w:t xml:space="preserve"> </w:t>
      </w:r>
      <w:r w:rsidR="00406985" w:rsidRPr="006F307B">
        <w:rPr>
          <w:iCs/>
          <w:color w:val="auto"/>
        </w:rPr>
        <w:t>≥1, approximately a 48% reduction in risk of death (at roughly 13.0 months follow up for pembrolizumab and 19.1 months follow up for chemotherapy);</w:t>
      </w:r>
      <w:r w:rsidR="00C9622A" w:rsidRPr="006F307B">
        <w:rPr>
          <w:iCs/>
          <w:color w:val="auto"/>
        </w:rPr>
        <w:t xml:space="preserve"> and</w:t>
      </w:r>
    </w:p>
    <w:p w:rsidR="00406985" w:rsidRPr="006F307B" w:rsidRDefault="00A62D14" w:rsidP="00CA41B6">
      <w:pPr>
        <w:pStyle w:val="ListParagraph"/>
        <w:numPr>
          <w:ilvl w:val="0"/>
          <w:numId w:val="31"/>
        </w:numPr>
        <w:ind w:left="993" w:hanging="284"/>
        <w:rPr>
          <w:iCs/>
          <w:color w:val="auto"/>
        </w:rPr>
      </w:pPr>
      <w:r w:rsidRPr="006F307B">
        <w:rPr>
          <w:iCs/>
          <w:color w:val="auto"/>
        </w:rPr>
        <w:lastRenderedPageBreak/>
        <w:t xml:space="preserve">For </w:t>
      </w:r>
      <w:r w:rsidR="00406985" w:rsidRPr="006F307B">
        <w:rPr>
          <w:iCs/>
          <w:color w:val="auto"/>
        </w:rPr>
        <w:t xml:space="preserve">all patients irrespective of CPS, for every 100 patients treated, </w:t>
      </w:r>
      <w:r w:rsidR="00C30487" w:rsidRPr="006F307B">
        <w:rPr>
          <w:iCs/>
          <w:color w:val="auto"/>
        </w:rPr>
        <w:t xml:space="preserve">6 </w:t>
      </w:r>
      <w:r w:rsidR="00406985" w:rsidRPr="006F307B">
        <w:rPr>
          <w:iCs/>
          <w:color w:val="auto"/>
        </w:rPr>
        <w:t>more patients will experience</w:t>
      </w:r>
      <w:r w:rsidR="00AC0B0B" w:rsidRPr="006F307B">
        <w:rPr>
          <w:iCs/>
          <w:color w:val="auto"/>
        </w:rPr>
        <w:t xml:space="preserve"> a grade 3+ adverse event</w:t>
      </w:r>
      <w:r w:rsidR="00C9622A" w:rsidRPr="006F307B">
        <w:rPr>
          <w:iCs/>
          <w:color w:val="auto"/>
        </w:rPr>
        <w:t>.</w:t>
      </w:r>
    </w:p>
    <w:p w:rsidR="008C3D0F" w:rsidRPr="006F307B" w:rsidRDefault="00922E3B" w:rsidP="008C6FB3">
      <w:pPr>
        <w:pStyle w:val="PBACESHeading2"/>
        <w:numPr>
          <w:ilvl w:val="2"/>
          <w:numId w:val="1"/>
        </w:numPr>
        <w:spacing w:before="240"/>
        <w:rPr>
          <w:rFonts w:asciiTheme="minorHAnsi" w:hAnsiTheme="minorHAnsi" w:cstheme="minorHAnsi"/>
        </w:rPr>
      </w:pPr>
      <w:r w:rsidRPr="006F307B">
        <w:rPr>
          <w:rFonts w:asciiTheme="minorHAnsi" w:hAnsiTheme="minorHAnsi" w:cstheme="minorHAnsi"/>
        </w:rPr>
        <w:t>Clinical claim</w:t>
      </w:r>
    </w:p>
    <w:p w:rsidR="008C3D0F" w:rsidRPr="006F307B" w:rsidRDefault="00614993" w:rsidP="0076446C">
      <w:pPr>
        <w:pStyle w:val="ListParagraph"/>
        <w:rPr>
          <w:color w:val="auto"/>
        </w:rPr>
      </w:pPr>
      <w:r w:rsidRPr="006F307B">
        <w:rPr>
          <w:color w:val="auto"/>
        </w:rPr>
        <w:t xml:space="preserve">The </w:t>
      </w:r>
      <w:r w:rsidR="00561FE2" w:rsidRPr="006F307B">
        <w:rPr>
          <w:color w:val="auto"/>
        </w:rPr>
        <w:t>PBAC agreed with the ESCs</w:t>
      </w:r>
      <w:r w:rsidRPr="006F307B">
        <w:rPr>
          <w:color w:val="auto"/>
        </w:rPr>
        <w:t xml:space="preserve"> </w:t>
      </w:r>
      <w:r w:rsidR="00A426FC" w:rsidRPr="006F307B">
        <w:rPr>
          <w:color w:val="auto"/>
        </w:rPr>
        <w:t xml:space="preserve">that as the submission failed to recognise the </w:t>
      </w:r>
      <w:r w:rsidR="00A77857">
        <w:rPr>
          <w:color w:val="auto"/>
        </w:rPr>
        <w:t>effectiveness</w:t>
      </w:r>
      <w:r w:rsidR="00A426FC" w:rsidRPr="006F307B">
        <w:rPr>
          <w:color w:val="auto"/>
        </w:rPr>
        <w:t xml:space="preserve"> of 2L nivolumab as part of the comparator (SoC), the clinical claim made by the submission against 1L chemotherapy alone was an inaccurate and incomplete representation of the comparison between 1L pembrolizumab ± chemotherapy with </w:t>
      </w:r>
      <w:r w:rsidR="00E921C2" w:rsidRPr="006F307B">
        <w:rPr>
          <w:color w:val="auto"/>
        </w:rPr>
        <w:t>the nominated comparator of SoC</w:t>
      </w:r>
      <w:r w:rsidR="00A426FC" w:rsidRPr="006F307B">
        <w:rPr>
          <w:color w:val="auto"/>
        </w:rPr>
        <w:t>.</w:t>
      </w:r>
    </w:p>
    <w:p w:rsidR="00A426FC" w:rsidRPr="006F307B" w:rsidRDefault="00A426FC" w:rsidP="00A426FC">
      <w:pPr>
        <w:pStyle w:val="ListParagraph"/>
        <w:numPr>
          <w:ilvl w:val="4"/>
          <w:numId w:val="1"/>
        </w:numPr>
        <w:rPr>
          <w:color w:val="auto"/>
        </w:rPr>
      </w:pPr>
      <w:r w:rsidRPr="006F307B">
        <w:rPr>
          <w:color w:val="auto"/>
        </w:rPr>
        <w:t>The submission ma</w:t>
      </w:r>
      <w:r w:rsidR="00A62D14" w:rsidRPr="006F307B">
        <w:rPr>
          <w:color w:val="auto"/>
        </w:rPr>
        <w:t>de</w:t>
      </w:r>
      <w:r w:rsidRPr="006F307B">
        <w:rPr>
          <w:color w:val="auto"/>
        </w:rPr>
        <w:t xml:space="preserve"> the following clinical claims in patients with previously untreated R/M HNSCC</w:t>
      </w:r>
      <w:r w:rsidR="00406985" w:rsidRPr="006F307B">
        <w:rPr>
          <w:color w:val="auto"/>
        </w:rPr>
        <w:t xml:space="preserve"> of the oral cavity, pharynx and larynx,</w:t>
      </w:r>
      <w:r w:rsidRPr="006F307B">
        <w:rPr>
          <w:color w:val="auto"/>
        </w:rPr>
        <w:t xml:space="preserve"> </w:t>
      </w:r>
      <w:r w:rsidR="005670F2" w:rsidRPr="006F307B">
        <w:rPr>
          <w:color w:val="auto"/>
        </w:rPr>
        <w:t xml:space="preserve">with </w:t>
      </w:r>
      <w:r w:rsidRPr="006F307B">
        <w:rPr>
          <w:color w:val="auto"/>
        </w:rPr>
        <w:t xml:space="preserve">CPS </w:t>
      </w:r>
      <w:r w:rsidRPr="006F307B">
        <w:rPr>
          <w:rFonts w:cstheme="minorHAnsi"/>
          <w:color w:val="auto"/>
        </w:rPr>
        <w:t>≥</w:t>
      </w:r>
      <w:r w:rsidR="005136D2">
        <w:rPr>
          <w:color w:val="auto"/>
        </w:rPr>
        <w:t>1:</w:t>
      </w:r>
    </w:p>
    <w:p w:rsidR="00A426FC" w:rsidRPr="006F307B" w:rsidRDefault="00A426FC" w:rsidP="00CA41B6">
      <w:pPr>
        <w:pStyle w:val="InstructionalText"/>
        <w:numPr>
          <w:ilvl w:val="0"/>
          <w:numId w:val="16"/>
        </w:numPr>
        <w:ind w:left="1134" w:hanging="425"/>
        <w:rPr>
          <w:color w:val="auto"/>
        </w:rPr>
      </w:pPr>
      <w:r w:rsidRPr="006F307B">
        <w:rPr>
          <w:color w:val="auto"/>
        </w:rPr>
        <w:t xml:space="preserve">pembrolizumab monotherapy is superior to chemotherapy alone based on an improvement in OS (HR=0.61; 95% CI: 0.46, 0.8) and PFS (HR=0.61; 95% CI: 0.46, 0.8) from a </w:t>
      </w:r>
      <w:r w:rsidR="00EA573E" w:rsidRPr="006F307B">
        <w:rPr>
          <w:color w:val="auto"/>
        </w:rPr>
        <w:t xml:space="preserve">NMA </w:t>
      </w:r>
      <w:r w:rsidRPr="006F307B">
        <w:rPr>
          <w:color w:val="auto"/>
        </w:rPr>
        <w:t>indirect comparison and superior in safety based on the incidence of grade 3-5 adverse events from a naïve indirect comparison; and</w:t>
      </w:r>
    </w:p>
    <w:p w:rsidR="00A426FC" w:rsidRPr="006F307B" w:rsidRDefault="00A426FC" w:rsidP="00CA41B6">
      <w:pPr>
        <w:pStyle w:val="InstructionalText"/>
        <w:numPr>
          <w:ilvl w:val="0"/>
          <w:numId w:val="16"/>
        </w:numPr>
        <w:ind w:left="1134" w:hanging="425"/>
        <w:rPr>
          <w:color w:val="auto"/>
        </w:rPr>
      </w:pPr>
      <w:r w:rsidRPr="006F307B">
        <w:rPr>
          <w:color w:val="auto"/>
        </w:rPr>
        <w:t xml:space="preserve">pembrolizumab plus chemotherapy is superior to chemotherapy alone based on an improvement in OS (HR=0.53; 95% CI: 0.4, 0.71) and PFS (HR=0.45; 95% CI: 0.34, 0.61) from a </w:t>
      </w:r>
      <w:r w:rsidR="00EA573E" w:rsidRPr="006F307B">
        <w:rPr>
          <w:color w:val="auto"/>
        </w:rPr>
        <w:t xml:space="preserve">NMA </w:t>
      </w:r>
      <w:r w:rsidRPr="006F307B">
        <w:rPr>
          <w:color w:val="auto"/>
        </w:rPr>
        <w:t>indirect comparison and similar in safety based on the incidence of grade 3-5 adverse events from a naïve indirect comparison.</w:t>
      </w:r>
    </w:p>
    <w:p w:rsidR="00A426FC" w:rsidRPr="006F307B" w:rsidRDefault="00A835B4" w:rsidP="00A426FC">
      <w:pPr>
        <w:pStyle w:val="ListParagraph"/>
        <w:numPr>
          <w:ilvl w:val="4"/>
          <w:numId w:val="1"/>
        </w:numPr>
        <w:rPr>
          <w:color w:val="auto"/>
        </w:rPr>
      </w:pPr>
      <w:r w:rsidRPr="006F307B">
        <w:rPr>
          <w:color w:val="auto"/>
        </w:rPr>
        <w:t>The ESC</w:t>
      </w:r>
      <w:r w:rsidR="0021591C" w:rsidRPr="006F307B">
        <w:rPr>
          <w:color w:val="auto"/>
        </w:rPr>
        <w:t>s</w:t>
      </w:r>
      <w:r w:rsidRPr="006F307B">
        <w:rPr>
          <w:color w:val="auto"/>
        </w:rPr>
        <w:t xml:space="preserve"> considered that the evidence suggested that pembrolizumab monotherapy may be superior to </w:t>
      </w:r>
      <w:r w:rsidR="00E449D5" w:rsidRPr="006F307B">
        <w:rPr>
          <w:color w:val="auto"/>
        </w:rPr>
        <w:t>chemotherapy</w:t>
      </w:r>
      <w:r w:rsidRPr="006F307B">
        <w:rPr>
          <w:color w:val="auto"/>
        </w:rPr>
        <w:t xml:space="preserve"> alone, though the indirect comparison may be biased </w:t>
      </w:r>
      <w:r w:rsidR="004B4A1C" w:rsidRPr="006F307B">
        <w:rPr>
          <w:color w:val="auto"/>
        </w:rPr>
        <w:t>in favour of pembrolizumab</w:t>
      </w:r>
      <w:r w:rsidR="00FF7849" w:rsidRPr="006F307B">
        <w:rPr>
          <w:color w:val="auto"/>
        </w:rPr>
        <w:t xml:space="preserve">, and it is unknown whether it is </w:t>
      </w:r>
      <w:r w:rsidR="00977345">
        <w:rPr>
          <w:color w:val="auto"/>
        </w:rPr>
        <w:t>superior to</w:t>
      </w:r>
      <w:r w:rsidR="00FF7849" w:rsidRPr="006F307B">
        <w:rPr>
          <w:color w:val="auto"/>
        </w:rPr>
        <w:t xml:space="preserve"> SoC (which includes 2L nivolumab)</w:t>
      </w:r>
      <w:r w:rsidR="004B4A1C" w:rsidRPr="006F307B">
        <w:rPr>
          <w:color w:val="auto"/>
        </w:rPr>
        <w:t xml:space="preserve">. </w:t>
      </w:r>
      <w:r w:rsidR="00A426FC" w:rsidRPr="006F307B">
        <w:rPr>
          <w:color w:val="auto"/>
        </w:rPr>
        <w:t xml:space="preserve">Additionally, the adverse event profile for pembrolizumab monotherapy (mainly immune related events) and chemotherapy alone (mainly blood chemistry events such as neutropenia and </w:t>
      </w:r>
      <w:r w:rsidR="00E449D5" w:rsidRPr="006F307B">
        <w:rPr>
          <w:color w:val="auto"/>
        </w:rPr>
        <w:t>anaemia</w:t>
      </w:r>
      <w:r w:rsidR="00A426FC" w:rsidRPr="006F307B">
        <w:rPr>
          <w:color w:val="auto"/>
        </w:rPr>
        <w:t>) were significantly different.</w:t>
      </w:r>
    </w:p>
    <w:p w:rsidR="00980FCA" w:rsidRPr="006F307B" w:rsidRDefault="00812AA3" w:rsidP="00A426FC">
      <w:pPr>
        <w:pStyle w:val="ListParagraph"/>
        <w:numPr>
          <w:ilvl w:val="4"/>
          <w:numId w:val="1"/>
        </w:numPr>
        <w:rPr>
          <w:color w:val="auto"/>
        </w:rPr>
      </w:pPr>
      <w:r w:rsidRPr="006F307B">
        <w:rPr>
          <w:color w:val="auto"/>
        </w:rPr>
        <w:t>The ESC</w:t>
      </w:r>
      <w:r w:rsidR="0021591C" w:rsidRPr="006F307B">
        <w:rPr>
          <w:color w:val="auto"/>
        </w:rPr>
        <w:t>s</w:t>
      </w:r>
      <w:r w:rsidRPr="006F307B">
        <w:rPr>
          <w:color w:val="auto"/>
        </w:rPr>
        <w:t xml:space="preserve"> considered the evidence suggested that pembrolizumab </w:t>
      </w:r>
      <w:r w:rsidR="003142B9" w:rsidRPr="006F307B">
        <w:rPr>
          <w:color w:val="auto"/>
        </w:rPr>
        <w:t xml:space="preserve">+ </w:t>
      </w:r>
      <w:r w:rsidRPr="006F307B">
        <w:rPr>
          <w:color w:val="auto"/>
        </w:rPr>
        <w:t xml:space="preserve">chemotherapy </w:t>
      </w:r>
      <w:r w:rsidR="00FF7849" w:rsidRPr="006F307B">
        <w:rPr>
          <w:color w:val="auto"/>
        </w:rPr>
        <w:t>may be superior to</w:t>
      </w:r>
      <w:r w:rsidRPr="006F307B">
        <w:rPr>
          <w:color w:val="auto"/>
        </w:rPr>
        <w:t xml:space="preserve"> chemotherapy alone,</w:t>
      </w:r>
      <w:r w:rsidR="00FF7849" w:rsidRPr="006F307B">
        <w:rPr>
          <w:color w:val="auto"/>
        </w:rPr>
        <w:t xml:space="preserve"> though the indirect comparison may be biased in favour of pembrolizumab, and it is unknown whether it is </w:t>
      </w:r>
      <w:r w:rsidR="00977345">
        <w:rPr>
          <w:color w:val="auto"/>
        </w:rPr>
        <w:t xml:space="preserve">superior to </w:t>
      </w:r>
      <w:r w:rsidR="00FF7849" w:rsidRPr="006F307B">
        <w:rPr>
          <w:color w:val="auto"/>
        </w:rPr>
        <w:t>SoC (which includes 2L nivolumab).</w:t>
      </w:r>
      <w:r w:rsidRPr="006F307B">
        <w:rPr>
          <w:color w:val="auto"/>
        </w:rPr>
        <w:t xml:space="preserve"> T</w:t>
      </w:r>
      <w:r w:rsidR="00980FCA" w:rsidRPr="006F307B">
        <w:rPr>
          <w:color w:val="auto"/>
        </w:rPr>
        <w:t xml:space="preserve">he </w:t>
      </w:r>
      <w:r w:rsidR="00FF7849" w:rsidRPr="006F307B">
        <w:rPr>
          <w:color w:val="auto"/>
        </w:rPr>
        <w:t>ESC</w:t>
      </w:r>
      <w:r w:rsidR="00195670" w:rsidRPr="006F307B">
        <w:rPr>
          <w:color w:val="auto"/>
        </w:rPr>
        <w:t>s</w:t>
      </w:r>
      <w:r w:rsidR="00FF7849" w:rsidRPr="006F307B">
        <w:rPr>
          <w:color w:val="auto"/>
        </w:rPr>
        <w:t xml:space="preserve"> considered the </w:t>
      </w:r>
      <w:r w:rsidR="00980FCA" w:rsidRPr="006F307B">
        <w:rPr>
          <w:color w:val="auto"/>
        </w:rPr>
        <w:t xml:space="preserve">claim of similar safety was </w:t>
      </w:r>
      <w:r w:rsidR="00636E6E" w:rsidRPr="006F307B">
        <w:rPr>
          <w:color w:val="auto"/>
        </w:rPr>
        <w:t xml:space="preserve">difficult to </w:t>
      </w:r>
      <w:r w:rsidR="00FF7849" w:rsidRPr="006F307B">
        <w:rPr>
          <w:color w:val="auto"/>
        </w:rPr>
        <w:t>assess</w:t>
      </w:r>
      <w:r w:rsidR="00980FCA" w:rsidRPr="006F307B">
        <w:rPr>
          <w:color w:val="auto"/>
        </w:rPr>
        <w:t xml:space="preserve"> as it was based on</w:t>
      </w:r>
      <w:r w:rsidR="00593978">
        <w:rPr>
          <w:color w:val="auto"/>
        </w:rPr>
        <w:t xml:space="preserve"> indirect comparisons of open-</w:t>
      </w:r>
      <w:r w:rsidR="00636E6E" w:rsidRPr="006F307B">
        <w:rPr>
          <w:color w:val="auto"/>
        </w:rPr>
        <w:t>labelled studies</w:t>
      </w:r>
      <w:r w:rsidR="00FF7849" w:rsidRPr="006F307B">
        <w:rPr>
          <w:color w:val="auto"/>
        </w:rPr>
        <w:t xml:space="preserve"> and due to reporting differences between the trials</w:t>
      </w:r>
      <w:r w:rsidR="00636E6E" w:rsidRPr="006F307B">
        <w:rPr>
          <w:color w:val="auto"/>
        </w:rPr>
        <w:t>.</w:t>
      </w:r>
      <w:r w:rsidR="00980FCA" w:rsidRPr="006F307B">
        <w:rPr>
          <w:color w:val="auto"/>
        </w:rPr>
        <w:t xml:space="preserve"> Given that the PBAC has previously stated that cetuximab plus chemotherapy was inferior in safety to chemotherapy alone (Para 7.7, cetuximab PSD March 2018), and KN048 demonstrated that pembrolizumab plus chemotherapy had similar safety to cetuximab plus chemotherapy, the </w:t>
      </w:r>
      <w:r w:rsidRPr="006F307B">
        <w:rPr>
          <w:color w:val="auto"/>
        </w:rPr>
        <w:t xml:space="preserve">evaluation </w:t>
      </w:r>
      <w:r w:rsidR="00561FE2" w:rsidRPr="006F307B">
        <w:rPr>
          <w:color w:val="auto"/>
        </w:rPr>
        <w:t xml:space="preserve">considered </w:t>
      </w:r>
      <w:r w:rsidR="00980FCA" w:rsidRPr="006F307B">
        <w:rPr>
          <w:color w:val="auto"/>
        </w:rPr>
        <w:t xml:space="preserve">that pembrolizumab </w:t>
      </w:r>
      <w:r w:rsidR="003142B9" w:rsidRPr="006F307B">
        <w:rPr>
          <w:color w:val="auto"/>
        </w:rPr>
        <w:t xml:space="preserve">+ </w:t>
      </w:r>
      <w:r w:rsidR="00980FCA" w:rsidRPr="006F307B">
        <w:rPr>
          <w:color w:val="auto"/>
        </w:rPr>
        <w:t xml:space="preserve">chemotherapy </w:t>
      </w:r>
      <w:r w:rsidR="00561FE2" w:rsidRPr="006F307B">
        <w:rPr>
          <w:color w:val="auto"/>
        </w:rPr>
        <w:t xml:space="preserve">is </w:t>
      </w:r>
      <w:r w:rsidR="00980FCA" w:rsidRPr="006F307B">
        <w:rPr>
          <w:color w:val="auto"/>
        </w:rPr>
        <w:t>inferior to chemotherapy alone in terms of safety.</w:t>
      </w:r>
    </w:p>
    <w:p w:rsidR="00812630" w:rsidRPr="006F307B" w:rsidRDefault="00957A25" w:rsidP="00812630">
      <w:pPr>
        <w:pStyle w:val="ListParagraph"/>
        <w:rPr>
          <w:snapToGrid w:val="0"/>
        </w:rPr>
      </w:pPr>
      <w:r w:rsidRPr="006F307B">
        <w:rPr>
          <w:snapToGrid w:val="0"/>
        </w:rPr>
        <w:t>Based on the data from KN048, t</w:t>
      </w:r>
      <w:r w:rsidR="00812630" w:rsidRPr="006F307B">
        <w:rPr>
          <w:snapToGrid w:val="0"/>
        </w:rPr>
        <w:t xml:space="preserve">he PBAC considered that the claim </w:t>
      </w:r>
      <w:r w:rsidR="00145EB9" w:rsidRPr="006F307B">
        <w:rPr>
          <w:snapToGrid w:val="0"/>
        </w:rPr>
        <w:t xml:space="preserve">of </w:t>
      </w:r>
      <w:r w:rsidR="00812630" w:rsidRPr="006F307B">
        <w:rPr>
          <w:snapToGrid w:val="0"/>
        </w:rPr>
        <w:t xml:space="preserve">superior comparative effectiveness </w:t>
      </w:r>
      <w:r w:rsidR="00561FE2" w:rsidRPr="006F307B">
        <w:rPr>
          <w:snapToGrid w:val="0"/>
        </w:rPr>
        <w:t xml:space="preserve">compared with chemotherapy alone </w:t>
      </w:r>
      <w:r w:rsidR="00812630" w:rsidRPr="006F307B">
        <w:rPr>
          <w:snapToGrid w:val="0"/>
        </w:rPr>
        <w:t xml:space="preserve">was reasonable for </w:t>
      </w:r>
      <w:r w:rsidR="00812630" w:rsidRPr="006F307B">
        <w:rPr>
          <w:snapToGrid w:val="0"/>
        </w:rPr>
        <w:lastRenderedPageBreak/>
        <w:t xml:space="preserve">pembrolizumab </w:t>
      </w:r>
      <w:r w:rsidR="00561FE2" w:rsidRPr="006F307B">
        <w:rPr>
          <w:snapToGrid w:val="0"/>
        </w:rPr>
        <w:t>+</w:t>
      </w:r>
      <w:r w:rsidR="00812630" w:rsidRPr="006F307B">
        <w:rPr>
          <w:snapToGrid w:val="0"/>
        </w:rPr>
        <w:t xml:space="preserve"> chemotherapy</w:t>
      </w:r>
      <w:r w:rsidR="006E36AA" w:rsidRPr="006F307B">
        <w:rPr>
          <w:snapToGrid w:val="0"/>
        </w:rPr>
        <w:t xml:space="preserve"> in terms of OS</w:t>
      </w:r>
      <w:r w:rsidR="00812630" w:rsidRPr="006F307B">
        <w:rPr>
          <w:snapToGrid w:val="0"/>
        </w:rPr>
        <w:t xml:space="preserve">, but </w:t>
      </w:r>
      <w:r w:rsidR="00561FE2" w:rsidRPr="006F307B">
        <w:rPr>
          <w:snapToGrid w:val="0"/>
        </w:rPr>
        <w:t xml:space="preserve">superiority </w:t>
      </w:r>
      <w:r w:rsidR="00812630" w:rsidRPr="006F307B">
        <w:rPr>
          <w:snapToGrid w:val="0"/>
        </w:rPr>
        <w:t>was not adequately supported by the data for pembrolizumab monotherapy.</w:t>
      </w:r>
    </w:p>
    <w:p w:rsidR="00DF4A36" w:rsidRPr="006F307B" w:rsidRDefault="00DF4A36" w:rsidP="00DF4A36">
      <w:pPr>
        <w:pStyle w:val="ListParagraph"/>
        <w:rPr>
          <w:snapToGrid w:val="0"/>
        </w:rPr>
      </w:pPr>
      <w:bookmarkStart w:id="27" w:name="_Toc51080590"/>
      <w:r w:rsidRPr="006F307B">
        <w:rPr>
          <w:snapToGrid w:val="0"/>
        </w:rPr>
        <w:t xml:space="preserve">The PBAC considered that the claim of superior safety was reasonable for pembrolizumab monotherapy, but that the claim of </w:t>
      </w:r>
      <w:r w:rsidR="00511F6C" w:rsidRPr="006F307B">
        <w:rPr>
          <w:snapToGrid w:val="0"/>
        </w:rPr>
        <w:t>non-inferior</w:t>
      </w:r>
      <w:r w:rsidRPr="006F307B">
        <w:rPr>
          <w:snapToGrid w:val="0"/>
        </w:rPr>
        <w:t xml:space="preserve"> safety for pembrolizumab </w:t>
      </w:r>
      <w:r w:rsidR="00561FE2" w:rsidRPr="006F307B">
        <w:rPr>
          <w:snapToGrid w:val="0"/>
        </w:rPr>
        <w:t>+</w:t>
      </w:r>
      <w:r w:rsidRPr="006F307B">
        <w:rPr>
          <w:snapToGrid w:val="0"/>
        </w:rPr>
        <w:t xml:space="preserve"> chemotherapy was not ad</w:t>
      </w:r>
      <w:r w:rsidR="005136D2">
        <w:rPr>
          <w:snapToGrid w:val="0"/>
        </w:rPr>
        <w:t>equately supported by the data.</w:t>
      </w:r>
    </w:p>
    <w:p w:rsidR="00551DCF" w:rsidRPr="006F307B" w:rsidRDefault="00551DCF" w:rsidP="008C6FB3">
      <w:pPr>
        <w:pStyle w:val="PBACESHeading2"/>
        <w:spacing w:before="240"/>
        <w:rPr>
          <w:rFonts w:asciiTheme="minorHAnsi" w:hAnsiTheme="minorHAnsi" w:cstheme="minorHAnsi"/>
        </w:rPr>
      </w:pPr>
      <w:r w:rsidRPr="006F307B">
        <w:rPr>
          <w:rFonts w:asciiTheme="minorHAnsi" w:hAnsiTheme="minorHAnsi" w:cstheme="minorHAnsi"/>
        </w:rPr>
        <w:t>Claim of codependence</w:t>
      </w:r>
      <w:bookmarkEnd w:id="27"/>
    </w:p>
    <w:p w:rsidR="000B4FEB" w:rsidRPr="007278E9" w:rsidRDefault="000B4FEB" w:rsidP="008E5D18">
      <w:pPr>
        <w:pStyle w:val="ListParagraph"/>
        <w:rPr>
          <w:rStyle w:val="InstructionalTextChar"/>
          <w:rFonts w:asciiTheme="majorHAnsi" w:eastAsiaTheme="majorEastAsia" w:hAnsiTheme="majorHAnsi" w:cstheme="minorHAnsi"/>
          <w:color w:val="auto"/>
          <w:szCs w:val="28"/>
        </w:rPr>
      </w:pPr>
      <w:r w:rsidRPr="007278E9">
        <w:t xml:space="preserve">The expression of PD-L1, and the subsequent binding to the PD-1 receptor, allows tumour cells to escape the anti-tumour activity of the immune system. The disruption of the PD-L1-PD-1 interaction is pembrolizumab’s mechanism of action. The evidence for PD-L1 as a valid biomarker for efficacy of pembrolizumab in R/M HNSCC was first observed in Keynote-012 </w:t>
      </w:r>
      <w:r w:rsidR="00593978">
        <w:t>(KN012), a non-randomised open-</w:t>
      </w:r>
      <w:r w:rsidRPr="007278E9">
        <w:t xml:space="preserve">label phase 1b study of pembrolizumab in R/M HNSCC, which reported a correlation between the degree of PD-L1 expression and overall response and progression-free survival. </w:t>
      </w:r>
      <w:r w:rsidRPr="006F307B">
        <w:rPr>
          <w:rStyle w:val="InstructionalTextChar"/>
          <w:rFonts w:cstheme="minorHAnsi"/>
          <w:color w:val="auto"/>
        </w:rPr>
        <w:t xml:space="preserve">A Combined Positive Score (CPS) ≥1 was proposed as the threshold for eligibility, as subsequent analysis of data from KN012 demonstrated that the CPS scoring was more sensitive than TPS scoring and was more predictive of improved overall survival (OS) and </w:t>
      </w:r>
      <w:r w:rsidR="00593978">
        <w:rPr>
          <w:rStyle w:val="InstructionalTextChar"/>
          <w:rFonts w:cstheme="minorHAnsi"/>
          <w:color w:val="auto"/>
        </w:rPr>
        <w:t>progression-</w:t>
      </w:r>
      <w:r w:rsidRPr="006F307B">
        <w:rPr>
          <w:rStyle w:val="InstructionalTextChar"/>
          <w:rFonts w:cstheme="minorHAnsi"/>
          <w:color w:val="auto"/>
        </w:rPr>
        <w:t>fr</w:t>
      </w:r>
      <w:r w:rsidR="003142B9" w:rsidRPr="006F307B">
        <w:rPr>
          <w:rStyle w:val="InstructionalTextChar"/>
          <w:rFonts w:cstheme="minorHAnsi"/>
          <w:color w:val="auto"/>
        </w:rPr>
        <w:t xml:space="preserve">ee survival (PFS) (Figure </w:t>
      </w:r>
      <w:r w:rsidR="007278E9">
        <w:rPr>
          <w:rStyle w:val="InstructionalTextChar"/>
          <w:rFonts w:cstheme="minorHAnsi"/>
          <w:color w:val="auto"/>
        </w:rPr>
        <w:t>9</w:t>
      </w:r>
      <w:r w:rsidRPr="006F307B">
        <w:rPr>
          <w:rStyle w:val="InstructionalTextChar"/>
          <w:rFonts w:cstheme="minorHAnsi"/>
          <w:color w:val="auto"/>
        </w:rPr>
        <w:t>).</w:t>
      </w:r>
    </w:p>
    <w:p w:rsidR="000B4FEB" w:rsidRPr="007278E9" w:rsidRDefault="000B4FEB" w:rsidP="008E5D18">
      <w:pPr>
        <w:pStyle w:val="TableHeading"/>
        <w:ind w:left="0" w:firstLine="0"/>
        <w:rPr>
          <w:noProof w:val="0"/>
        </w:rPr>
      </w:pPr>
      <w:r w:rsidRPr="007278E9">
        <w:rPr>
          <w:noProof w:val="0"/>
        </w:rPr>
        <w:lastRenderedPageBreak/>
        <w:t xml:space="preserve">Figure </w:t>
      </w:r>
      <w:r w:rsidR="00227137">
        <w:rPr>
          <w:noProof w:val="0"/>
        </w:rPr>
        <w:t>9</w:t>
      </w:r>
      <w:r w:rsidR="005136D2">
        <w:rPr>
          <w:noProof w:val="0"/>
        </w:rPr>
        <w:t xml:space="preserve">: </w:t>
      </w:r>
      <w:r w:rsidRPr="007278E9">
        <w:rPr>
          <w:noProof w:val="0"/>
        </w:rPr>
        <w:t>OS and PFS by CPS and TPS in Keynote-012 (n=190)</w:t>
      </w:r>
    </w:p>
    <w:p w:rsidR="000B4FEB" w:rsidRPr="006F307B" w:rsidRDefault="000B4FEB" w:rsidP="008E5D18">
      <w:r w:rsidRPr="00AF3270">
        <w:rPr>
          <w:noProof/>
          <w:lang w:eastAsia="en-AU"/>
        </w:rPr>
        <w:drawing>
          <wp:inline distT="0" distB="0" distL="0" distR="0" wp14:anchorId="2A69A1CC" wp14:editId="3170E50E">
            <wp:extent cx="5731510" cy="2095500"/>
            <wp:effectExtent l="0" t="0" r="2540" b="0"/>
            <wp:docPr id="16" name="Picture 16" title="Figure 9: OS and PFS by CPS and TPS in Keynote-012 (n=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095500"/>
                    </a:xfrm>
                    <a:prstGeom prst="rect">
                      <a:avLst/>
                    </a:prstGeom>
                    <a:noFill/>
                    <a:ln>
                      <a:noFill/>
                    </a:ln>
                  </pic:spPr>
                </pic:pic>
              </a:graphicData>
            </a:graphic>
          </wp:inline>
        </w:drawing>
      </w:r>
      <w:bookmarkStart w:id="28" w:name="_GoBack"/>
      <w:r w:rsidRPr="00AF3270">
        <w:rPr>
          <w:noProof/>
          <w:lang w:eastAsia="en-AU"/>
        </w:rPr>
        <w:drawing>
          <wp:inline distT="0" distB="0" distL="0" distR="0" wp14:anchorId="53100AAC" wp14:editId="2976585B">
            <wp:extent cx="5685183" cy="2338147"/>
            <wp:effectExtent l="0" t="0" r="0" b="5080"/>
            <wp:docPr id="29" name="Picture 29" title="Figure 9: OS and PFS by CPS and TPS in Keynote-012 (n=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0319" cy="2352597"/>
                    </a:xfrm>
                    <a:prstGeom prst="rect">
                      <a:avLst/>
                    </a:prstGeom>
                    <a:noFill/>
                    <a:ln>
                      <a:noFill/>
                    </a:ln>
                  </pic:spPr>
                </pic:pic>
              </a:graphicData>
            </a:graphic>
          </wp:inline>
        </w:drawing>
      </w:r>
      <w:bookmarkEnd w:id="28"/>
    </w:p>
    <w:p w:rsidR="000B4FEB" w:rsidRPr="006F307B" w:rsidRDefault="000B4FEB" w:rsidP="008E5D18">
      <w:pPr>
        <w:pStyle w:val="Tablenotes1"/>
      </w:pPr>
      <w:r w:rsidRPr="006F307B">
        <w:t>Source: Figure 2 and Figure 3, Emancipator et al 2020.</w:t>
      </w:r>
    </w:p>
    <w:p w:rsidR="003142B9" w:rsidRPr="006F307B" w:rsidRDefault="000B4FEB" w:rsidP="008E5D18">
      <w:pPr>
        <w:pStyle w:val="ListParagraph"/>
      </w:pPr>
      <w:r w:rsidRPr="006F307B">
        <w:t xml:space="preserve">The results for </w:t>
      </w:r>
      <w:r w:rsidR="003142B9" w:rsidRPr="006F307B">
        <w:t>OS</w:t>
      </w:r>
      <w:r w:rsidRPr="00B74405">
        <w:t xml:space="preserve"> in the </w:t>
      </w:r>
      <w:r w:rsidR="003142B9" w:rsidRPr="00B74405">
        <w:t>ITT</w:t>
      </w:r>
      <w:r w:rsidRPr="00B74405">
        <w:t xml:space="preserve"> population and by CPS subgroups in KN048 are presented in Table </w:t>
      </w:r>
      <w:r w:rsidR="00737B62" w:rsidRPr="006F307B">
        <w:t>7 and 9 above</w:t>
      </w:r>
      <w:r w:rsidRPr="006F307B">
        <w:t>.</w:t>
      </w:r>
      <w:r w:rsidR="003142B9" w:rsidRPr="006F307B">
        <w:t xml:space="preserve"> </w:t>
      </w:r>
      <w:r w:rsidRPr="006F307B">
        <w:rPr>
          <w:rFonts w:cstheme="minorHAnsi"/>
        </w:rPr>
        <w:t xml:space="preserve">The ESCs noted that the TGA approved indication was in the PD L1 positive (CPS ≥1) population. </w:t>
      </w:r>
      <w:r w:rsidRPr="006F307B">
        <w:t xml:space="preserve">Based on the subgroup analyses of KN048 in R/M HNSCC, the ESCs accepted that pembrolizumab had a larger effect in patients with a PD-L1 CPS </w:t>
      </w:r>
      <w:r w:rsidRPr="006F307B">
        <w:rPr>
          <w:rFonts w:cs="Calibri"/>
        </w:rPr>
        <w:t>≥1</w:t>
      </w:r>
      <w:r w:rsidRPr="006F307B">
        <w:t>, but the subgroup of patients with CPS &lt;1 was too small to conclude that pembrolizumab had no effect in this subgroup.</w:t>
      </w:r>
      <w:r w:rsidRPr="006F307B">
        <w:rPr>
          <w:rFonts w:cstheme="minorHAnsi"/>
        </w:rPr>
        <w:t xml:space="preserve"> Additionally, the submission did not provide a biological explanation </w:t>
      </w:r>
      <w:r w:rsidR="00B25C17">
        <w:rPr>
          <w:rFonts w:cstheme="minorHAnsi"/>
        </w:rPr>
        <w:t xml:space="preserve">for </w:t>
      </w:r>
      <w:r w:rsidRPr="006F307B">
        <w:rPr>
          <w:rFonts w:cstheme="minorHAnsi"/>
        </w:rPr>
        <w:t xml:space="preserve">why CPS rather than TPS </w:t>
      </w:r>
      <w:r w:rsidR="00B25C17">
        <w:rPr>
          <w:rFonts w:cstheme="minorHAnsi"/>
        </w:rPr>
        <w:t xml:space="preserve">(at any threshold) might predict a variation in </w:t>
      </w:r>
      <w:r w:rsidRPr="006F307B">
        <w:rPr>
          <w:rFonts w:cstheme="minorHAnsi"/>
        </w:rPr>
        <w:t>pembrolizumab response</w:t>
      </w:r>
      <w:r w:rsidR="00B25C17">
        <w:rPr>
          <w:rFonts w:cstheme="minorHAnsi"/>
        </w:rPr>
        <w:t>. The PBAC noted that</w:t>
      </w:r>
      <w:r w:rsidRPr="006F307B">
        <w:rPr>
          <w:rFonts w:cstheme="minorHAnsi"/>
        </w:rPr>
        <w:t xml:space="preserve"> CPS was selected </w:t>
      </w:r>
      <w:r w:rsidR="00B25C17">
        <w:rPr>
          <w:rFonts w:cstheme="minorHAnsi"/>
        </w:rPr>
        <w:t xml:space="preserve">during the conduct of KN048 </w:t>
      </w:r>
      <w:r w:rsidRPr="006F307B">
        <w:rPr>
          <w:rFonts w:cstheme="minorHAnsi"/>
        </w:rPr>
        <w:t>based on the results of a non-randomised Phase 1b pembrolizumab study.</w:t>
      </w:r>
    </w:p>
    <w:p w:rsidR="000B4FEB" w:rsidRPr="006F307B" w:rsidRDefault="000B4FEB" w:rsidP="008E5D18">
      <w:pPr>
        <w:pStyle w:val="ListParagraph"/>
      </w:pPr>
      <w:r w:rsidRPr="006F307B">
        <w:rPr>
          <w:snapToGrid w:val="0"/>
        </w:rPr>
        <w:t>The ESC</w:t>
      </w:r>
      <w:r w:rsidR="00967868">
        <w:rPr>
          <w:snapToGrid w:val="0"/>
        </w:rPr>
        <w:t>s noted that the TGA-</w:t>
      </w:r>
      <w:r w:rsidRPr="006F307B">
        <w:rPr>
          <w:snapToGrid w:val="0"/>
        </w:rPr>
        <w:t>approved indication was in the PD</w:t>
      </w:r>
      <w:r w:rsidRPr="006F307B">
        <w:rPr>
          <w:snapToGrid w:val="0"/>
        </w:rPr>
        <w:noBreakHyphen/>
        <w:t>L1 positive (CPS ≥1) population. Based on the subgroup analyses of KN048 in R/M HNSCC, the ESCs accepted that pembrolizumab had a larger effect in patients with a PD-L1 CPS ≥1, but the subgroup of patients with CPS &lt;1 was too small to conclude that pembrolizumab had no effect in this subgroup.</w:t>
      </w:r>
    </w:p>
    <w:p w:rsidR="00C317F3" w:rsidRPr="006F307B" w:rsidRDefault="00C317F3" w:rsidP="007E2F09">
      <w:pPr>
        <w:pStyle w:val="PBACESHeading2"/>
        <w:rPr>
          <w:rFonts w:asciiTheme="minorHAnsi" w:hAnsiTheme="minorHAnsi" w:cstheme="minorHAnsi"/>
        </w:rPr>
      </w:pPr>
      <w:bookmarkStart w:id="29" w:name="_Toc51080591"/>
      <w:r w:rsidRPr="006F307B">
        <w:rPr>
          <w:rFonts w:asciiTheme="minorHAnsi" w:hAnsiTheme="minorHAnsi" w:cstheme="minorHAnsi"/>
        </w:rPr>
        <w:lastRenderedPageBreak/>
        <w:t>Economic analysis</w:t>
      </w:r>
      <w:bookmarkEnd w:id="26"/>
      <w:bookmarkEnd w:id="29"/>
    </w:p>
    <w:p w:rsidR="00C317F3" w:rsidRPr="006F307B" w:rsidRDefault="00980FCA" w:rsidP="008E5D18">
      <w:pPr>
        <w:pStyle w:val="ListParagraph"/>
      </w:pPr>
      <w:r w:rsidRPr="006F307B">
        <w:t>The basis of the</w:t>
      </w:r>
      <w:r w:rsidR="00C900ED" w:rsidRPr="006F307B">
        <w:t xml:space="preserve"> economic evaluation was a cost-</w:t>
      </w:r>
      <w:r w:rsidRPr="006F307B">
        <w:t>effecti</w:t>
      </w:r>
      <w:r w:rsidR="004C46AE" w:rsidRPr="006F307B">
        <w:t>ve</w:t>
      </w:r>
      <w:r w:rsidRPr="006F307B">
        <w:t>ness analysis. The submission presented two modelled economic evaluation</w:t>
      </w:r>
      <w:r w:rsidR="00326158" w:rsidRPr="006F307B">
        <w:t>s</w:t>
      </w:r>
      <w:r w:rsidRPr="006F307B">
        <w:t xml:space="preserve"> comparing, separately, (i) pembrolizumab monotherapy with SoC</w:t>
      </w:r>
      <w:r w:rsidR="00967868">
        <w:t>,</w:t>
      </w:r>
      <w:r w:rsidRPr="006F307B">
        <w:t xml:space="preserve"> and (ii) pembrolizumab </w:t>
      </w:r>
      <w:r w:rsidR="00737B62" w:rsidRPr="006F307B">
        <w:t xml:space="preserve">+ </w:t>
      </w:r>
      <w:r w:rsidRPr="006F307B">
        <w:t xml:space="preserve">chemotherapy with SoC in a population of patients with previously untreated R/M </w:t>
      </w:r>
      <w:r w:rsidR="00C24E0F" w:rsidRPr="006F307B">
        <w:t>HN</w:t>
      </w:r>
      <w:r w:rsidRPr="006F307B">
        <w:t>SCC of the oral cavity, pharynx or larynx. Both models had the same structure. Outputs from the model</w:t>
      </w:r>
      <w:r w:rsidR="00737B62" w:rsidRPr="006F307B">
        <w:t>s</w:t>
      </w:r>
      <w:r w:rsidRPr="006F307B">
        <w:t xml:space="preserve"> in all patients and in the CPS ≥1 sub</w:t>
      </w:r>
      <w:r w:rsidR="008C6FB3" w:rsidRPr="006F307B">
        <w:t>group</w:t>
      </w:r>
      <w:r w:rsidRPr="006F307B">
        <w:t xml:space="preserve"> were estimated and then used to inform a weighted</w:t>
      </w:r>
      <w:r w:rsidR="001A0CDC" w:rsidRPr="006F307B">
        <w:t xml:space="preserve"> </w:t>
      </w:r>
      <w:r w:rsidRPr="006F307B">
        <w:t>ICER based on test accuracy and prevalence of CPS ≥1</w:t>
      </w:r>
      <w:r w:rsidR="00AB352D" w:rsidRPr="006F307B">
        <w:t xml:space="preserve">. </w:t>
      </w:r>
      <w:r w:rsidR="0079183D" w:rsidRPr="006F307B">
        <w:t xml:space="preserve">The </w:t>
      </w:r>
      <w:r w:rsidR="00AB352D" w:rsidRPr="006F307B">
        <w:t>combined ICER for monotherapy (assumed to be 20%) and pembrolizumab + chemotherapy (80%) was also presented. The ESC</w:t>
      </w:r>
      <w:r w:rsidR="0021591C" w:rsidRPr="006F307B">
        <w:t>s</w:t>
      </w:r>
      <w:r w:rsidR="00AB352D" w:rsidRPr="006F307B">
        <w:t xml:space="preserve"> </w:t>
      </w:r>
      <w:r w:rsidR="0079183D" w:rsidRPr="006F307B">
        <w:t xml:space="preserve">considered the proposed 80:20 weighting assumption was not reasonable, given that pembrolizumab </w:t>
      </w:r>
      <w:r w:rsidR="003142B9" w:rsidRPr="006F307B">
        <w:t xml:space="preserve">+ </w:t>
      </w:r>
      <w:r w:rsidR="0079183D" w:rsidRPr="006F307B">
        <w:t xml:space="preserve">chemotherapy appeared to be more </w:t>
      </w:r>
      <w:r w:rsidR="00151079" w:rsidRPr="006F307B">
        <w:t>effective</w:t>
      </w:r>
      <w:r w:rsidR="0079183D" w:rsidRPr="006F307B">
        <w:t xml:space="preserve"> than pembrolizumab monotherapy in terms of OS.</w:t>
      </w:r>
    </w:p>
    <w:p w:rsidR="0099312E" w:rsidRPr="006F307B" w:rsidRDefault="0099312E" w:rsidP="008E5D18">
      <w:pPr>
        <w:pStyle w:val="ListParagraph"/>
      </w:pPr>
      <w:r w:rsidRPr="006F307B">
        <w:rPr>
          <w:color w:val="auto"/>
        </w:rPr>
        <w:t>Despite there being only two relevant trials (KN048 and EXTREME), the submission inappropriately used the results of a fractional polynomial network meta-analysis (FP NMA) in the base case of the economic analysis</w:t>
      </w:r>
      <w:r w:rsidR="003142B9" w:rsidRPr="006F307B">
        <w:rPr>
          <w:color w:val="auto"/>
        </w:rPr>
        <w:t xml:space="preserve"> (see also </w:t>
      </w:r>
      <w:r w:rsidR="003142B9" w:rsidRPr="007278E9">
        <w:rPr>
          <w:color w:val="auto"/>
        </w:rPr>
        <w:t>paragraph 6.31</w:t>
      </w:r>
      <w:r w:rsidR="003142B9" w:rsidRPr="006F307B">
        <w:rPr>
          <w:color w:val="auto"/>
        </w:rPr>
        <w:t>)</w:t>
      </w:r>
      <w:r w:rsidR="00967868">
        <w:rPr>
          <w:color w:val="auto"/>
        </w:rPr>
        <w:t>.</w:t>
      </w:r>
    </w:p>
    <w:p w:rsidR="00980FCA" w:rsidRPr="006F307B" w:rsidRDefault="009C1545" w:rsidP="00980FCA">
      <w:pPr>
        <w:pStyle w:val="ListParagraph"/>
        <w:numPr>
          <w:ilvl w:val="4"/>
          <w:numId w:val="1"/>
        </w:numPr>
        <w:rPr>
          <w:color w:val="auto"/>
        </w:rPr>
      </w:pPr>
      <w:r w:rsidRPr="006F307B">
        <w:rPr>
          <w:color w:val="auto"/>
        </w:rPr>
        <w:t>As above, the ESCs noted that the clinical data included in the model for SoC was 1L chemotherapy alone, with t</w:t>
      </w:r>
      <w:r w:rsidR="004C7EBF" w:rsidRPr="006F307B">
        <w:rPr>
          <w:color w:val="auto"/>
        </w:rPr>
        <w:t xml:space="preserve">he omission of 2L nivolumab and, </w:t>
      </w:r>
      <w:r w:rsidRPr="006F307B">
        <w:rPr>
          <w:color w:val="auto"/>
        </w:rPr>
        <w:t>as such</w:t>
      </w:r>
      <w:r w:rsidR="004C7EBF" w:rsidRPr="006F307B">
        <w:rPr>
          <w:color w:val="auto"/>
        </w:rPr>
        <w:t>,</w:t>
      </w:r>
      <w:r w:rsidRPr="006F307B">
        <w:rPr>
          <w:color w:val="auto"/>
        </w:rPr>
        <w:t xml:space="preserve"> the economic model did not reflect a comparison with current SoC. </w:t>
      </w:r>
      <w:r w:rsidR="00316508" w:rsidRPr="006F307B">
        <w:t>The ESC</w:t>
      </w:r>
      <w:r w:rsidR="0021591C" w:rsidRPr="006F307B">
        <w:t>s</w:t>
      </w:r>
      <w:r w:rsidR="00316508" w:rsidRPr="006F307B">
        <w:t xml:space="preserve"> noted </w:t>
      </w:r>
      <w:r w:rsidR="004620BE" w:rsidRPr="006F307B">
        <w:t xml:space="preserve">that </w:t>
      </w:r>
      <w:r w:rsidR="00316508" w:rsidRPr="006F307B">
        <w:t>t</w:t>
      </w:r>
      <w:r w:rsidR="00980FCA" w:rsidRPr="006F307B">
        <w:t>wo exploratory analyses around 2L nivolumab in the SoC arm were conducted during the evaluation</w:t>
      </w:r>
      <w:r w:rsidR="004620BE" w:rsidRPr="006F307B">
        <w:t xml:space="preserve">, which demonstrated that the model </w:t>
      </w:r>
      <w:r w:rsidR="00151079" w:rsidRPr="006F307B">
        <w:t>and ICER were sensitive to inclusion of costs for 2L nivolumab and exclusion of benefits for nivolumab</w:t>
      </w:r>
      <w:r w:rsidR="004620BE" w:rsidRPr="006F307B">
        <w:t xml:space="preserve"> </w:t>
      </w:r>
      <w:r w:rsidR="00CE50C2" w:rsidRPr="006F307B">
        <w:t xml:space="preserve">in the </w:t>
      </w:r>
      <w:r w:rsidR="004620BE" w:rsidRPr="006F307B">
        <w:t>SoC</w:t>
      </w:r>
      <w:r w:rsidR="00CE50C2" w:rsidRPr="006F307B">
        <w:t xml:space="preserve"> arm</w:t>
      </w:r>
      <w:r w:rsidR="00980FCA" w:rsidRPr="006F307B">
        <w:t>:</w:t>
      </w:r>
    </w:p>
    <w:p w:rsidR="00980FCA" w:rsidRPr="006F307B" w:rsidRDefault="00980FCA" w:rsidP="00CA41B6">
      <w:pPr>
        <w:pStyle w:val="ListParagraph"/>
        <w:numPr>
          <w:ilvl w:val="0"/>
          <w:numId w:val="26"/>
        </w:numPr>
        <w:ind w:left="993" w:hanging="284"/>
        <w:rPr>
          <w:color w:val="auto"/>
        </w:rPr>
      </w:pPr>
      <w:r w:rsidRPr="006F307B">
        <w:rPr>
          <w:color w:val="auto"/>
        </w:rPr>
        <w:t>Removal of costs of 2L nivolumab from SoC. This is consistent with the usage in chemotherapy alone arm in EXTREME which was relied upon for the indirect comparison/NMA. However, this is not consistent with the likely usage in the PBS population; and</w:t>
      </w:r>
    </w:p>
    <w:p w:rsidR="00980FCA" w:rsidRPr="006F307B" w:rsidRDefault="00980FCA" w:rsidP="00CA41B6">
      <w:pPr>
        <w:pStyle w:val="ListParagraph"/>
        <w:numPr>
          <w:ilvl w:val="0"/>
          <w:numId w:val="26"/>
        </w:numPr>
        <w:ind w:left="993" w:hanging="284"/>
        <w:rPr>
          <w:color w:val="auto"/>
        </w:rPr>
      </w:pPr>
      <w:r w:rsidRPr="006F307B">
        <w:rPr>
          <w:color w:val="auto"/>
        </w:rPr>
        <w:t>Estimation of QALY gained from 2L nivolumab and adding it to the QALY estimated in the SoC arm. The QALY gain from 2L nivolumab was estimated by dividing</w:t>
      </w:r>
      <w:r w:rsidR="00326158" w:rsidRPr="006F307B">
        <w:rPr>
          <w:color w:val="auto"/>
        </w:rPr>
        <w:t xml:space="preserve"> the</w:t>
      </w:r>
      <w:r w:rsidRPr="006F307B">
        <w:rPr>
          <w:color w:val="auto"/>
        </w:rPr>
        <w:t xml:space="preserve"> cost of 2L nivolumab as calculated by the model by </w:t>
      </w:r>
      <w:r w:rsidR="00731414" w:rsidRPr="006F307B">
        <w:rPr>
          <w:color w:val="auto"/>
        </w:rPr>
        <w:t>the ICER accepted by the PBAC as cost-effective.</w:t>
      </w:r>
      <w:r w:rsidR="00AB272B" w:rsidRPr="006F307B">
        <w:rPr>
          <w:color w:val="auto"/>
        </w:rPr>
        <w:t xml:space="preserve"> This was based on the previous PBAC decision that stated a base case ICER of $45,000 -$75,000/QALY would be a relevant incremental cost-effectiveness target to account for the uncertainties from the clinical evidence in estimating the extent to which nivolumab would address the unmet clinical need in Australian patients and also in the economic model” (Para 6.10, p13 Nivolumab 2L R/M HNSCC PSD, March 2018).</w:t>
      </w:r>
      <w:r w:rsidR="00731414" w:rsidRPr="006F307B">
        <w:rPr>
          <w:color w:val="auto"/>
        </w:rPr>
        <w:t xml:space="preserve"> This was intended </w:t>
      </w:r>
      <w:r w:rsidR="00917D0A">
        <w:rPr>
          <w:color w:val="auto"/>
        </w:rPr>
        <w:t xml:space="preserve">to be indicative </w:t>
      </w:r>
      <w:r w:rsidR="00731414" w:rsidRPr="006F307B">
        <w:rPr>
          <w:color w:val="auto"/>
        </w:rPr>
        <w:t>only to illustrate the impact of omission of 2L nivolumab</w:t>
      </w:r>
      <w:r w:rsidR="00A77857">
        <w:rPr>
          <w:color w:val="auto"/>
        </w:rPr>
        <w:t xml:space="preserve"> effectiveness</w:t>
      </w:r>
      <w:r w:rsidR="00917D0A">
        <w:rPr>
          <w:color w:val="auto"/>
        </w:rPr>
        <w:t>, and more accurate modelling of 2L nivolumab would be required to accurately assess this</w:t>
      </w:r>
      <w:r w:rsidR="00967868">
        <w:rPr>
          <w:color w:val="auto"/>
        </w:rPr>
        <w:t>.</w:t>
      </w:r>
    </w:p>
    <w:p w:rsidR="00001421" w:rsidRPr="006F307B" w:rsidRDefault="00980FCA" w:rsidP="00001421">
      <w:pPr>
        <w:pStyle w:val="ListParagraph"/>
        <w:numPr>
          <w:ilvl w:val="4"/>
          <w:numId w:val="1"/>
        </w:numPr>
        <w:rPr>
          <w:color w:val="auto"/>
        </w:rPr>
      </w:pPr>
      <w:r w:rsidRPr="006F307B">
        <w:t xml:space="preserve">The summary of the model structure and rationale is presented in Table </w:t>
      </w:r>
      <w:r w:rsidR="00EE5480" w:rsidRPr="006F307B">
        <w:t>1</w:t>
      </w:r>
      <w:r w:rsidR="00812630" w:rsidRPr="006F307B">
        <w:t>6</w:t>
      </w:r>
      <w:r w:rsidR="00705930" w:rsidRPr="006F307B">
        <w:t>.</w:t>
      </w:r>
    </w:p>
    <w:p w:rsidR="00980FCA" w:rsidRPr="006F307B" w:rsidRDefault="00980FCA" w:rsidP="00001421">
      <w:pPr>
        <w:pStyle w:val="Caption"/>
        <w:keepLines w:val="0"/>
        <w:widowControl w:val="0"/>
      </w:pPr>
      <w:r w:rsidRPr="006F307B">
        <w:lastRenderedPageBreak/>
        <w:t xml:space="preserve">Table </w:t>
      </w:r>
      <w:r w:rsidRPr="007278E9">
        <w:t>1</w:t>
      </w:r>
      <w:r w:rsidR="00812630" w:rsidRPr="007278E9">
        <w:t>6</w:t>
      </w:r>
      <w:r w:rsidR="00737B62" w:rsidRPr="007278E9">
        <w:t>:</w:t>
      </w:r>
      <w:r w:rsidR="00967868">
        <w:t xml:space="preserve"> </w:t>
      </w:r>
      <w:r w:rsidRPr="006F307B">
        <w:t>Summary of model structure and rationale</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4819"/>
      </w:tblGrid>
      <w:tr w:rsidR="00980FCA" w:rsidRPr="006F307B" w:rsidTr="00967868">
        <w:trPr>
          <w:cantSplit/>
          <w:tblHeader/>
        </w:trPr>
        <w:tc>
          <w:tcPr>
            <w:tcW w:w="1413" w:type="dxa"/>
            <w:shd w:val="clear" w:color="auto" w:fill="auto"/>
          </w:tcPr>
          <w:p w:rsidR="00980FCA" w:rsidRPr="006F307B" w:rsidRDefault="00967868" w:rsidP="00001421">
            <w:pPr>
              <w:pStyle w:val="TableText"/>
              <w:keepNext/>
              <w:rPr>
                <w:b/>
              </w:rPr>
            </w:pPr>
            <w:r>
              <w:rPr>
                <w:b/>
              </w:rPr>
              <w:t>Component</w:t>
            </w:r>
          </w:p>
        </w:tc>
        <w:tc>
          <w:tcPr>
            <w:tcW w:w="2835" w:type="dxa"/>
            <w:shd w:val="clear" w:color="auto" w:fill="auto"/>
          </w:tcPr>
          <w:p w:rsidR="00980FCA" w:rsidRPr="006F307B" w:rsidRDefault="00980FCA" w:rsidP="00001421">
            <w:pPr>
              <w:pStyle w:val="TableText"/>
              <w:keepNext/>
              <w:rPr>
                <w:b/>
              </w:rPr>
            </w:pPr>
            <w:r w:rsidRPr="006F307B">
              <w:rPr>
                <w:b/>
              </w:rPr>
              <w:t>Description</w:t>
            </w:r>
          </w:p>
        </w:tc>
        <w:tc>
          <w:tcPr>
            <w:tcW w:w="4819" w:type="dxa"/>
          </w:tcPr>
          <w:p w:rsidR="00980FCA" w:rsidRPr="006F307B" w:rsidRDefault="00980FCA" w:rsidP="00001421">
            <w:pPr>
              <w:pStyle w:val="TableText"/>
              <w:keepNext/>
              <w:rPr>
                <w:b/>
              </w:rPr>
            </w:pPr>
            <w:r w:rsidRPr="006F307B">
              <w:rPr>
                <w:b/>
              </w:rPr>
              <w:t>Justification/comments</w:t>
            </w:r>
          </w:p>
        </w:tc>
      </w:tr>
      <w:tr w:rsidR="00980FCA" w:rsidRPr="006F307B" w:rsidTr="00967868">
        <w:trPr>
          <w:cantSplit/>
        </w:trPr>
        <w:tc>
          <w:tcPr>
            <w:tcW w:w="1413" w:type="dxa"/>
            <w:shd w:val="clear" w:color="auto" w:fill="auto"/>
          </w:tcPr>
          <w:p w:rsidR="00980FCA" w:rsidRPr="006F307B" w:rsidRDefault="00967868" w:rsidP="00001421">
            <w:pPr>
              <w:pStyle w:val="TableText"/>
              <w:keepNext/>
            </w:pPr>
            <w:r>
              <w:t>Type of analysis</w:t>
            </w:r>
          </w:p>
        </w:tc>
        <w:tc>
          <w:tcPr>
            <w:tcW w:w="2835" w:type="dxa"/>
            <w:shd w:val="clear" w:color="auto" w:fill="auto"/>
          </w:tcPr>
          <w:p w:rsidR="00980FCA" w:rsidRPr="006F307B" w:rsidRDefault="00980FCA" w:rsidP="00001421">
            <w:pPr>
              <w:pStyle w:val="TableText"/>
              <w:keepNext/>
              <w:rPr>
                <w:rFonts w:ascii="Times" w:eastAsia="Times New Roman" w:hAnsi="Times" w:cs="Times New Roman"/>
                <w:szCs w:val="20"/>
              </w:rPr>
            </w:pPr>
            <w:r w:rsidRPr="006F307B">
              <w:t>Cost</w:t>
            </w:r>
            <w:r w:rsidR="00EE61C8" w:rsidRPr="006F307B">
              <w:t>-</w:t>
            </w:r>
            <w:r w:rsidRPr="006F307B">
              <w:t>effectiveness</w:t>
            </w:r>
            <w:r w:rsidR="00EE61C8" w:rsidRPr="006F307B">
              <w:t xml:space="preserve"> / cost-utility</w:t>
            </w:r>
            <w:r w:rsidRPr="006F307B">
              <w:t xml:space="preserve"> analysis </w:t>
            </w:r>
          </w:p>
        </w:tc>
        <w:tc>
          <w:tcPr>
            <w:tcW w:w="4819" w:type="dxa"/>
          </w:tcPr>
          <w:p w:rsidR="00980FCA" w:rsidRPr="006F307B" w:rsidRDefault="00737B62" w:rsidP="00001421">
            <w:pPr>
              <w:pStyle w:val="TableText"/>
              <w:keepNext/>
            </w:pPr>
            <w:r w:rsidRPr="006F307B">
              <w:t>-</w:t>
            </w:r>
          </w:p>
        </w:tc>
      </w:tr>
      <w:tr w:rsidR="00980FCA" w:rsidRPr="006F307B" w:rsidTr="00967868">
        <w:trPr>
          <w:cantSplit/>
        </w:trPr>
        <w:tc>
          <w:tcPr>
            <w:tcW w:w="1413" w:type="dxa"/>
            <w:shd w:val="clear" w:color="auto" w:fill="auto"/>
          </w:tcPr>
          <w:p w:rsidR="00980FCA" w:rsidRPr="006F307B" w:rsidRDefault="00980FCA" w:rsidP="00001421">
            <w:pPr>
              <w:pStyle w:val="TableText"/>
              <w:keepNext/>
              <w:rPr>
                <w:rFonts w:ascii="Times" w:eastAsia="Times New Roman" w:hAnsi="Times" w:cs="Times New Roman"/>
                <w:szCs w:val="20"/>
              </w:rPr>
            </w:pPr>
            <w:r w:rsidRPr="006F307B">
              <w:t>Outcomes</w:t>
            </w:r>
          </w:p>
        </w:tc>
        <w:tc>
          <w:tcPr>
            <w:tcW w:w="2835" w:type="dxa"/>
            <w:shd w:val="clear" w:color="auto" w:fill="auto"/>
          </w:tcPr>
          <w:p w:rsidR="00980FCA" w:rsidRPr="006F307B" w:rsidRDefault="00980FCA" w:rsidP="00001421">
            <w:pPr>
              <w:pStyle w:val="TableText"/>
              <w:keepNext/>
              <w:rPr>
                <w:rFonts w:ascii="Times" w:eastAsia="Times New Roman" w:hAnsi="Times" w:cs="Times New Roman"/>
                <w:szCs w:val="20"/>
              </w:rPr>
            </w:pPr>
            <w:r w:rsidRPr="006F307B">
              <w:t>Life years gained, quality-adjusted life years</w:t>
            </w:r>
          </w:p>
        </w:tc>
        <w:tc>
          <w:tcPr>
            <w:tcW w:w="4819" w:type="dxa"/>
          </w:tcPr>
          <w:p w:rsidR="00980FCA" w:rsidRPr="006F307B" w:rsidRDefault="00737B62" w:rsidP="00001421">
            <w:pPr>
              <w:pStyle w:val="TableText"/>
              <w:keepNext/>
            </w:pPr>
            <w:r w:rsidRPr="006F307B">
              <w:t>-</w:t>
            </w:r>
          </w:p>
        </w:tc>
      </w:tr>
      <w:tr w:rsidR="00980FCA" w:rsidRPr="006F307B" w:rsidTr="00967868">
        <w:trPr>
          <w:cantSplit/>
        </w:trPr>
        <w:tc>
          <w:tcPr>
            <w:tcW w:w="1413" w:type="dxa"/>
            <w:shd w:val="clear" w:color="auto" w:fill="auto"/>
          </w:tcPr>
          <w:p w:rsidR="00980FCA" w:rsidRPr="006F307B" w:rsidRDefault="00980FCA" w:rsidP="00001421">
            <w:pPr>
              <w:pStyle w:val="TableText"/>
              <w:keepNext/>
              <w:rPr>
                <w:rFonts w:ascii="Times" w:eastAsia="Times New Roman" w:hAnsi="Times" w:cs="Times New Roman"/>
                <w:szCs w:val="20"/>
              </w:rPr>
            </w:pPr>
            <w:r w:rsidRPr="006F307B">
              <w:t>Time horizon</w:t>
            </w:r>
          </w:p>
        </w:tc>
        <w:tc>
          <w:tcPr>
            <w:tcW w:w="2835" w:type="dxa"/>
            <w:shd w:val="clear" w:color="auto" w:fill="auto"/>
          </w:tcPr>
          <w:p w:rsidR="00980FCA" w:rsidRPr="006F307B" w:rsidRDefault="00980FCA" w:rsidP="00001421">
            <w:pPr>
              <w:pStyle w:val="TableText"/>
              <w:keepNext/>
              <w:rPr>
                <w:rFonts w:ascii="Times" w:eastAsia="Times New Roman" w:hAnsi="Times" w:cs="Times New Roman"/>
                <w:szCs w:val="20"/>
              </w:rPr>
            </w:pPr>
            <w:r w:rsidRPr="006F307B">
              <w:t>7.5 years in the model base case vs median 10.1-13 months follow up in KN048 and 18.2-19.1 months in EXTREME</w:t>
            </w:r>
          </w:p>
        </w:tc>
        <w:tc>
          <w:tcPr>
            <w:tcW w:w="4819" w:type="dxa"/>
          </w:tcPr>
          <w:p w:rsidR="00980FCA" w:rsidRPr="006F307B" w:rsidRDefault="00A93188" w:rsidP="00077868">
            <w:pPr>
              <w:pStyle w:val="TableText"/>
              <w:keepNext/>
            </w:pPr>
            <w:r w:rsidRPr="006F307B">
              <w:t>The PSCR argued that the 4-year sur</w:t>
            </w:r>
            <w:r w:rsidR="00026F98" w:rsidRPr="006F307B">
              <w:t>vival</w:t>
            </w:r>
            <w:r w:rsidRPr="006F307B">
              <w:t xml:space="preserve"> KN048 survival data presented at ESMO (September 2020) showed that, for the CPS ≥1 population, 16.7% of pembrolizumab monotherapy and 21.8% of pembrolizumab plus chemotherapy patients we</w:t>
            </w:r>
            <w:r w:rsidR="005B2994" w:rsidRPr="006F307B">
              <w:t xml:space="preserve">re still alive, and that the Kaplan-Meier </w:t>
            </w:r>
            <w:r w:rsidRPr="006F307B">
              <w:t xml:space="preserve">curves clearly show a </w:t>
            </w:r>
            <w:r w:rsidR="008C6FB3" w:rsidRPr="006F307B">
              <w:t>plateau forming. Therefore, a 5-</w:t>
            </w:r>
            <w:r w:rsidRPr="006F307B">
              <w:t xml:space="preserve">year time horizon would inappropriately discount the benefits of pembrolizumab in approximately 15-20% of patients. </w:t>
            </w:r>
            <w:r w:rsidR="00FF6D7C" w:rsidRPr="006F307B">
              <w:t>The sponsor</w:t>
            </w:r>
            <w:r w:rsidR="00893DBC" w:rsidRPr="006F307B">
              <w:t xml:space="preserve"> claimed</w:t>
            </w:r>
            <w:r w:rsidR="00FF6D7C" w:rsidRPr="006F307B">
              <w:t xml:space="preserve"> that immunotherapies should not be treated the same as chemotherapies</w:t>
            </w:r>
            <w:r w:rsidR="00CE50C2" w:rsidRPr="006F307B">
              <w:t xml:space="preserve"> in considering the appropriate time horizon</w:t>
            </w:r>
            <w:r w:rsidR="00967868">
              <w:t>.</w:t>
            </w:r>
          </w:p>
        </w:tc>
      </w:tr>
      <w:tr w:rsidR="00980FCA" w:rsidRPr="006F307B" w:rsidTr="00967868">
        <w:trPr>
          <w:cantSplit/>
        </w:trPr>
        <w:tc>
          <w:tcPr>
            <w:tcW w:w="1413" w:type="dxa"/>
            <w:shd w:val="clear" w:color="auto" w:fill="auto"/>
          </w:tcPr>
          <w:p w:rsidR="00980FCA" w:rsidRPr="006F307B" w:rsidRDefault="00980FCA" w:rsidP="00001421">
            <w:pPr>
              <w:pStyle w:val="TableText"/>
              <w:keepLines/>
              <w:rPr>
                <w:rFonts w:ascii="Times" w:eastAsia="Times New Roman" w:hAnsi="Times" w:cs="Times New Roman"/>
                <w:szCs w:val="20"/>
              </w:rPr>
            </w:pPr>
            <w:r w:rsidRPr="006F307B">
              <w:t>Methods used to generate results</w:t>
            </w:r>
          </w:p>
        </w:tc>
        <w:tc>
          <w:tcPr>
            <w:tcW w:w="2835" w:type="dxa"/>
            <w:shd w:val="clear" w:color="auto" w:fill="auto"/>
          </w:tcPr>
          <w:p w:rsidR="00980FCA" w:rsidRPr="006F307B" w:rsidRDefault="00980FCA" w:rsidP="00001421">
            <w:pPr>
              <w:pStyle w:val="TableText"/>
              <w:keepLines/>
            </w:pPr>
            <w:r w:rsidRPr="006F307B">
              <w:t>Partitioned survival cohort simulation</w:t>
            </w:r>
            <w:r w:rsidR="00EE61C8" w:rsidRPr="006F307B">
              <w:t xml:space="preserve"> for CPS ≥1</w:t>
            </w:r>
          </w:p>
          <w:p w:rsidR="00EE61C8" w:rsidRPr="006F307B" w:rsidRDefault="00EE61C8" w:rsidP="00001421">
            <w:pPr>
              <w:pStyle w:val="TableText"/>
              <w:keepLines/>
            </w:pPr>
          </w:p>
          <w:p w:rsidR="00EE61C8" w:rsidRPr="006F307B" w:rsidRDefault="00EE61C8" w:rsidP="00001421">
            <w:pPr>
              <w:pStyle w:val="TableText"/>
              <w:keepLines/>
              <w:rPr>
                <w:rFonts w:ascii="Times" w:eastAsia="Times New Roman" w:hAnsi="Times" w:cs="Times New Roman"/>
                <w:szCs w:val="20"/>
              </w:rPr>
            </w:pPr>
            <w:r w:rsidRPr="006F307B">
              <w:t>ICER back calculated for CPS &lt;1 subgroup</w:t>
            </w:r>
          </w:p>
        </w:tc>
        <w:tc>
          <w:tcPr>
            <w:tcW w:w="4819" w:type="dxa"/>
          </w:tcPr>
          <w:p w:rsidR="00EE61C8" w:rsidRPr="006F307B" w:rsidRDefault="00C515F3" w:rsidP="00A77857">
            <w:pPr>
              <w:pStyle w:val="TableText"/>
              <w:keepLines/>
            </w:pPr>
            <w:r w:rsidRPr="006F307B">
              <w:t>The ESC</w:t>
            </w:r>
            <w:r w:rsidR="0021591C" w:rsidRPr="006F307B">
              <w:t>s</w:t>
            </w:r>
            <w:r w:rsidRPr="006F307B">
              <w:t xml:space="preserve"> noted that </w:t>
            </w:r>
            <w:r w:rsidR="00EE61C8" w:rsidRPr="006F307B">
              <w:t>results from the ITT and CPS ≥1 subgroup</w:t>
            </w:r>
            <w:r w:rsidR="00BC38F7" w:rsidRPr="006F307B">
              <w:t>s</w:t>
            </w:r>
            <w:r w:rsidRPr="006F307B">
              <w:t xml:space="preserve"> were used </w:t>
            </w:r>
            <w:r w:rsidR="00EE61C8" w:rsidRPr="006F307B">
              <w:t>to back calculate</w:t>
            </w:r>
            <w:r w:rsidRPr="006F307B">
              <w:t xml:space="preserve"> (and infer)</w:t>
            </w:r>
            <w:r w:rsidR="00EE61C8" w:rsidRPr="006F307B">
              <w:t xml:space="preserve"> the ICER in the CPS &lt;1 subgroup, </w:t>
            </w:r>
            <w:r w:rsidRPr="006F307B">
              <w:t>and considered this</w:t>
            </w:r>
            <w:r w:rsidR="00334697" w:rsidRPr="006F307B">
              <w:t xml:space="preserve"> produced</w:t>
            </w:r>
            <w:r w:rsidR="00EE61C8" w:rsidRPr="006F307B">
              <w:t xml:space="preserve"> implausible scenarios where </w:t>
            </w:r>
            <w:r w:rsidR="00A77857">
              <w:t>the effectiveness</w:t>
            </w:r>
            <w:r w:rsidR="00EE61C8" w:rsidRPr="006F307B">
              <w:t xml:space="preserve"> of SoC varied by </w:t>
            </w:r>
            <w:r w:rsidR="005D242A" w:rsidRPr="006F307B">
              <w:t xml:space="preserve">pembrolizumab regimen and </w:t>
            </w:r>
            <w:r w:rsidR="00EE61C8" w:rsidRPr="006F307B">
              <w:t>CPS status</w:t>
            </w:r>
            <w:r w:rsidRPr="006F307B">
              <w:t xml:space="preserve">. </w:t>
            </w:r>
            <w:r w:rsidR="005D242A" w:rsidRPr="006F307B">
              <w:t xml:space="preserve">The </w:t>
            </w:r>
            <w:r w:rsidRPr="006F307B">
              <w:t>ESC</w:t>
            </w:r>
            <w:r w:rsidR="0021591C" w:rsidRPr="006F307B">
              <w:t>s</w:t>
            </w:r>
            <w:r w:rsidR="00510656" w:rsidRPr="006F307B">
              <w:t xml:space="preserve"> also</w:t>
            </w:r>
            <w:r w:rsidRPr="006F307B">
              <w:t xml:space="preserve"> noted that the base case model does not explore the cost-effectiveness of pembrolizumab in the CPS &lt;1 sub</w:t>
            </w:r>
            <w:r w:rsidR="008C6FB3" w:rsidRPr="006F307B">
              <w:t>group</w:t>
            </w:r>
            <w:r w:rsidRPr="006F307B">
              <w:t xml:space="preserve">. </w:t>
            </w:r>
            <w:r w:rsidR="007643B9" w:rsidRPr="006F307B">
              <w:t>The ESC</w:t>
            </w:r>
            <w:r w:rsidR="00195670" w:rsidRPr="006F307B">
              <w:t>s</w:t>
            </w:r>
            <w:r w:rsidR="007643B9" w:rsidRPr="006F307B">
              <w:t xml:space="preserve"> considered that</w:t>
            </w:r>
            <w:r w:rsidR="008C6FB3" w:rsidRPr="006F307B">
              <w:t>,</w:t>
            </w:r>
            <w:r w:rsidR="007643B9" w:rsidRPr="006F307B">
              <w:t xml:space="preserve"> as a</w:t>
            </w:r>
            <w:r w:rsidR="00195670" w:rsidRPr="006F307B">
              <w:t>n integrated</w:t>
            </w:r>
            <w:r w:rsidR="007643B9" w:rsidRPr="006F307B">
              <w:t xml:space="preserve"> codependent submission, the costs and benefits of the PD-L1</w:t>
            </w:r>
            <w:r w:rsidR="005D242A" w:rsidRPr="006F307B">
              <w:t xml:space="preserve"> CPS</w:t>
            </w:r>
            <w:r w:rsidR="007643B9" w:rsidRPr="006F307B">
              <w:t>&lt;1 population should have been included in the overall model base case</w:t>
            </w:r>
            <w:r w:rsidR="005D242A" w:rsidRPr="006F307B">
              <w:t xml:space="preserve"> and the cost effectiveness of pembrolizumab in the PD-L1 CPS&lt;1 </w:t>
            </w:r>
            <w:r w:rsidR="00E449D5" w:rsidRPr="006F307B">
              <w:t>subgroup</w:t>
            </w:r>
            <w:r w:rsidR="005D242A" w:rsidRPr="006F307B">
              <w:t xml:space="preserve"> would be relevant where </w:t>
            </w:r>
            <w:r w:rsidR="006651A6" w:rsidRPr="006F307B">
              <w:t>sensitivity</w:t>
            </w:r>
            <w:r w:rsidR="005D242A" w:rsidRPr="006F307B">
              <w:t xml:space="preserve"> is assumed to be &lt;100% for PD-L1 testing</w:t>
            </w:r>
            <w:r w:rsidR="007643B9" w:rsidRPr="006F307B">
              <w:t>.</w:t>
            </w:r>
          </w:p>
        </w:tc>
      </w:tr>
      <w:tr w:rsidR="00980FCA" w:rsidRPr="006F307B" w:rsidTr="00967868">
        <w:trPr>
          <w:cantSplit/>
        </w:trPr>
        <w:tc>
          <w:tcPr>
            <w:tcW w:w="1413" w:type="dxa"/>
            <w:shd w:val="clear" w:color="auto" w:fill="auto"/>
          </w:tcPr>
          <w:p w:rsidR="00980FCA" w:rsidRPr="006F307B" w:rsidRDefault="00980FCA" w:rsidP="00001421">
            <w:pPr>
              <w:pStyle w:val="TableText"/>
              <w:keepLines/>
              <w:rPr>
                <w:rFonts w:ascii="Times" w:eastAsia="Times New Roman" w:hAnsi="Times" w:cs="Times New Roman"/>
                <w:szCs w:val="20"/>
              </w:rPr>
            </w:pPr>
            <w:r w:rsidRPr="006F307B">
              <w:t>Health states</w:t>
            </w:r>
          </w:p>
        </w:tc>
        <w:tc>
          <w:tcPr>
            <w:tcW w:w="2835" w:type="dxa"/>
            <w:shd w:val="clear" w:color="auto" w:fill="auto"/>
          </w:tcPr>
          <w:p w:rsidR="00980FCA" w:rsidRPr="006F307B" w:rsidRDefault="00593978" w:rsidP="00001421">
            <w:pPr>
              <w:pStyle w:val="TableText"/>
              <w:keepLines/>
              <w:rPr>
                <w:rFonts w:ascii="Times" w:eastAsia="Times New Roman" w:hAnsi="Times" w:cs="Times New Roman"/>
                <w:szCs w:val="20"/>
              </w:rPr>
            </w:pPr>
            <w:r>
              <w:t>Progression-</w:t>
            </w:r>
            <w:r w:rsidR="00980FCA" w:rsidRPr="006F307B">
              <w:t xml:space="preserve">free survival, progressed disease, death </w:t>
            </w:r>
          </w:p>
        </w:tc>
        <w:tc>
          <w:tcPr>
            <w:tcW w:w="4819" w:type="dxa"/>
          </w:tcPr>
          <w:p w:rsidR="005B2994" w:rsidRPr="006F307B" w:rsidRDefault="00980FCA" w:rsidP="00001421">
            <w:pPr>
              <w:pStyle w:val="TableText"/>
              <w:keepLines/>
            </w:pPr>
            <w:r w:rsidRPr="006F307B">
              <w:t>Appropriate</w:t>
            </w:r>
            <w:r w:rsidR="005B2994" w:rsidRPr="006F307B">
              <w:t>, although the ESC</w:t>
            </w:r>
            <w:r w:rsidR="0021591C" w:rsidRPr="006F307B">
              <w:t>s</w:t>
            </w:r>
            <w:r w:rsidR="005B2994" w:rsidRPr="006F307B">
              <w:t xml:space="preserve"> noted the higher utilities</w:t>
            </w:r>
            <w:r w:rsidR="00BF4618" w:rsidRPr="006F307B">
              <w:t xml:space="preserve"> applied</w:t>
            </w:r>
            <w:r w:rsidR="005B2994" w:rsidRPr="006F307B">
              <w:t xml:space="preserve"> than the PBAC had previously considered for cetuximab in 1L</w:t>
            </w:r>
            <w:r w:rsidR="00593978">
              <w:t xml:space="preserve"> R/M HNSCC for both progression-</w:t>
            </w:r>
            <w:r w:rsidR="005B2994" w:rsidRPr="006F307B">
              <w:t>free (0.788 vs 0.65-0.69) and progressed disease (0.716 vs 0.52</w:t>
            </w:r>
            <w:r w:rsidR="00967868">
              <w:t>), which favours pembrolizumab.</w:t>
            </w:r>
          </w:p>
        </w:tc>
      </w:tr>
      <w:tr w:rsidR="00980FCA" w:rsidRPr="006F307B" w:rsidTr="00967868">
        <w:trPr>
          <w:cantSplit/>
        </w:trPr>
        <w:tc>
          <w:tcPr>
            <w:tcW w:w="1413" w:type="dxa"/>
            <w:shd w:val="clear" w:color="auto" w:fill="auto"/>
          </w:tcPr>
          <w:p w:rsidR="00980FCA" w:rsidRPr="006F307B" w:rsidRDefault="00980FCA" w:rsidP="00001421">
            <w:pPr>
              <w:pStyle w:val="TableText"/>
              <w:keepLines/>
              <w:rPr>
                <w:rFonts w:ascii="Times" w:eastAsia="Times New Roman" w:hAnsi="Times" w:cs="Times New Roman"/>
                <w:szCs w:val="20"/>
              </w:rPr>
            </w:pPr>
            <w:r w:rsidRPr="006F307B">
              <w:t>Cycle length</w:t>
            </w:r>
          </w:p>
        </w:tc>
        <w:tc>
          <w:tcPr>
            <w:tcW w:w="2835" w:type="dxa"/>
            <w:shd w:val="clear" w:color="auto" w:fill="auto"/>
          </w:tcPr>
          <w:p w:rsidR="00980FCA" w:rsidRPr="006F307B" w:rsidRDefault="00980FCA" w:rsidP="00001421">
            <w:pPr>
              <w:pStyle w:val="TableText"/>
              <w:keepLines/>
              <w:rPr>
                <w:rFonts w:ascii="Times" w:eastAsia="Times New Roman" w:hAnsi="Times" w:cs="Times New Roman"/>
                <w:szCs w:val="20"/>
              </w:rPr>
            </w:pPr>
            <w:r w:rsidRPr="006F307B">
              <w:t>1 Week</w:t>
            </w:r>
          </w:p>
        </w:tc>
        <w:tc>
          <w:tcPr>
            <w:tcW w:w="4819" w:type="dxa"/>
          </w:tcPr>
          <w:p w:rsidR="00980FCA" w:rsidRPr="006F307B" w:rsidRDefault="00967868" w:rsidP="00001421">
            <w:pPr>
              <w:pStyle w:val="TableText"/>
              <w:keepLines/>
            </w:pPr>
            <w:r>
              <w:t>Reasonable</w:t>
            </w:r>
          </w:p>
        </w:tc>
      </w:tr>
      <w:tr w:rsidR="00980FCA" w:rsidRPr="006F307B" w:rsidTr="00967868">
        <w:trPr>
          <w:cantSplit/>
        </w:trPr>
        <w:tc>
          <w:tcPr>
            <w:tcW w:w="1413" w:type="dxa"/>
            <w:shd w:val="clear" w:color="auto" w:fill="auto"/>
          </w:tcPr>
          <w:p w:rsidR="00980FCA" w:rsidRPr="006F307B" w:rsidRDefault="00980FCA" w:rsidP="00001421">
            <w:pPr>
              <w:pStyle w:val="TableText"/>
              <w:keepLines/>
            </w:pPr>
            <w:r w:rsidRPr="006F307B">
              <w:t>Discount rate</w:t>
            </w:r>
          </w:p>
        </w:tc>
        <w:tc>
          <w:tcPr>
            <w:tcW w:w="2835" w:type="dxa"/>
            <w:shd w:val="clear" w:color="auto" w:fill="auto"/>
          </w:tcPr>
          <w:p w:rsidR="00980FCA" w:rsidRPr="006F307B" w:rsidRDefault="004C46AE" w:rsidP="00001421">
            <w:pPr>
              <w:pStyle w:val="TableText"/>
              <w:keepLines/>
            </w:pPr>
            <w:r w:rsidRPr="006F307B">
              <w:t>5% per annum</w:t>
            </w:r>
          </w:p>
        </w:tc>
        <w:tc>
          <w:tcPr>
            <w:tcW w:w="4819" w:type="dxa"/>
          </w:tcPr>
          <w:p w:rsidR="00980FCA" w:rsidRPr="006F307B" w:rsidRDefault="00980FCA" w:rsidP="00001421">
            <w:pPr>
              <w:pStyle w:val="TableText"/>
              <w:keepLines/>
            </w:pPr>
            <w:r w:rsidRPr="006F307B">
              <w:t>Appropriate</w:t>
            </w:r>
          </w:p>
        </w:tc>
      </w:tr>
      <w:tr w:rsidR="00980FCA" w:rsidRPr="006F307B" w:rsidTr="00967868">
        <w:trPr>
          <w:cantSplit/>
        </w:trPr>
        <w:tc>
          <w:tcPr>
            <w:tcW w:w="1413" w:type="dxa"/>
            <w:shd w:val="clear" w:color="auto" w:fill="auto"/>
          </w:tcPr>
          <w:p w:rsidR="00980FCA" w:rsidRPr="006F307B" w:rsidRDefault="00980FCA" w:rsidP="00001421">
            <w:pPr>
              <w:pStyle w:val="TableText"/>
              <w:keepLines/>
            </w:pPr>
            <w:r w:rsidRPr="006F307B">
              <w:t xml:space="preserve">Transition probability </w:t>
            </w:r>
          </w:p>
        </w:tc>
        <w:tc>
          <w:tcPr>
            <w:tcW w:w="2835" w:type="dxa"/>
            <w:shd w:val="clear" w:color="auto" w:fill="auto"/>
          </w:tcPr>
          <w:p w:rsidR="00980FCA" w:rsidRPr="006F307B" w:rsidRDefault="00980FCA" w:rsidP="00001421">
            <w:pPr>
              <w:pStyle w:val="TableText"/>
              <w:keepLines/>
            </w:pPr>
            <w:r w:rsidRPr="006F307B">
              <w:t>Health states: Pembrolizumab based on extrapolation of KN048 results, SoC based on application of HR from FP</w:t>
            </w:r>
            <w:r w:rsidR="00876D2C" w:rsidRPr="006F307B">
              <w:t xml:space="preserve"> </w:t>
            </w:r>
            <w:r w:rsidRPr="006F307B">
              <w:t>NMA to pembrolizumab results.</w:t>
            </w:r>
          </w:p>
          <w:p w:rsidR="00980FCA" w:rsidRPr="006F307B" w:rsidRDefault="00980FCA" w:rsidP="00001421">
            <w:pPr>
              <w:pStyle w:val="TableText"/>
              <w:keepLines/>
            </w:pPr>
            <w:r w:rsidRPr="006F307B">
              <w:t>Time on treatment for pembrolizumab based on data collected from KN048. Chemotherapy assumed same as pembrolizumab for six cycles only.</w:t>
            </w:r>
          </w:p>
        </w:tc>
        <w:tc>
          <w:tcPr>
            <w:tcW w:w="4819" w:type="dxa"/>
          </w:tcPr>
          <w:p w:rsidR="00EE61C8" w:rsidRPr="007278E9" w:rsidRDefault="00BF213C" w:rsidP="00001421">
            <w:pPr>
              <w:pStyle w:val="TableText"/>
              <w:keepLines/>
            </w:pPr>
            <w:r w:rsidRPr="006F307B">
              <w:t>The ESC</w:t>
            </w:r>
            <w:r w:rsidR="0021591C" w:rsidRPr="006F307B">
              <w:t>s</w:t>
            </w:r>
            <w:r w:rsidRPr="006F307B">
              <w:t xml:space="preserve"> considered it was n</w:t>
            </w:r>
            <w:r w:rsidR="00980FCA" w:rsidRPr="006F307B">
              <w:t>ot appropriate to use</w:t>
            </w:r>
            <w:r w:rsidR="006D31CF" w:rsidRPr="006F307B">
              <w:t xml:space="preserve"> the</w:t>
            </w:r>
            <w:r w:rsidR="00980FCA" w:rsidRPr="006F307B">
              <w:t xml:space="preserve"> FP</w:t>
            </w:r>
            <w:r w:rsidR="00073A20" w:rsidRPr="006F307B">
              <w:t xml:space="preserve"> </w:t>
            </w:r>
            <w:r w:rsidR="00980FCA" w:rsidRPr="006F307B">
              <w:t>NMA in</w:t>
            </w:r>
            <w:r w:rsidR="006D31CF" w:rsidRPr="006F307B">
              <w:t xml:space="preserve"> the</w:t>
            </w:r>
            <w:r w:rsidR="00980FCA" w:rsidRPr="006F307B">
              <w:t xml:space="preserve"> base case instead of </w:t>
            </w:r>
            <w:r w:rsidR="006D31CF" w:rsidRPr="006F307B">
              <w:t xml:space="preserve">the </w:t>
            </w:r>
            <w:r w:rsidR="00980FCA" w:rsidRPr="006F307B">
              <w:t>Bucher indirect comparison</w:t>
            </w:r>
            <w:r w:rsidR="00EE61C8" w:rsidRPr="006F307B">
              <w:t xml:space="preserve"> </w:t>
            </w:r>
            <w:r w:rsidR="00EE61C8" w:rsidRPr="007278E9">
              <w:t>(as per PBAC Guidelines</w:t>
            </w:r>
            <w:r w:rsidRPr="007278E9">
              <w:t xml:space="preserve">, and </w:t>
            </w:r>
            <w:r w:rsidR="002B0501" w:rsidRPr="007278E9">
              <w:t xml:space="preserve">as </w:t>
            </w:r>
            <w:r w:rsidRPr="007278E9">
              <w:t>t</w:t>
            </w:r>
            <w:r w:rsidR="00EE61C8" w:rsidRPr="007278E9">
              <w:t>here were no additional trials which provided efficacy data beyond KN048 and EXTREME).</w:t>
            </w:r>
            <w:r w:rsidRPr="007278E9">
              <w:t xml:space="preserve"> </w:t>
            </w:r>
            <w:r w:rsidR="00334697" w:rsidRPr="007278E9">
              <w:t>The i</w:t>
            </w:r>
            <w:r w:rsidR="00EE61C8" w:rsidRPr="007278E9">
              <w:t>ndirect comparison HR</w:t>
            </w:r>
            <w:r w:rsidR="00334697" w:rsidRPr="007278E9">
              <w:t>s using the FP NMA</w:t>
            </w:r>
            <w:r w:rsidR="00387006" w:rsidRPr="007278E9">
              <w:t xml:space="preserve"> were time dependent and</w:t>
            </w:r>
            <w:r w:rsidR="00334697" w:rsidRPr="007278E9">
              <w:t xml:space="preserve"> produced</w:t>
            </w:r>
            <w:r w:rsidR="00EE61C8" w:rsidRPr="007278E9">
              <w:t xml:space="preserve"> implausible results</w:t>
            </w:r>
            <w:r w:rsidR="00387006" w:rsidRPr="007278E9">
              <w:t>,</w:t>
            </w:r>
            <w:r w:rsidR="00EE61C8" w:rsidRPr="007278E9">
              <w:t xml:space="preserve"> with </w:t>
            </w:r>
            <w:r w:rsidR="00334697" w:rsidRPr="007278E9">
              <w:t xml:space="preserve">the </w:t>
            </w:r>
            <w:r w:rsidR="00EE61C8" w:rsidRPr="007278E9">
              <w:t>benefit of</w:t>
            </w:r>
            <w:r w:rsidR="00334697" w:rsidRPr="007278E9">
              <w:t xml:space="preserve"> pembrolizumab</w:t>
            </w:r>
            <w:r w:rsidR="00EE61C8" w:rsidRPr="007278E9">
              <w:t xml:space="preserve"> treatment increasing over time</w:t>
            </w:r>
            <w:r w:rsidR="00334697" w:rsidRPr="007278E9">
              <w:t>.</w:t>
            </w:r>
          </w:p>
          <w:p w:rsidR="00980FCA" w:rsidRPr="006F307B" w:rsidRDefault="00B56FE9" w:rsidP="00A77857">
            <w:pPr>
              <w:pStyle w:val="TableText"/>
              <w:keepLines/>
            </w:pPr>
            <w:r w:rsidRPr="006F307B">
              <w:t>The ESC</w:t>
            </w:r>
            <w:r w:rsidR="0021591C" w:rsidRPr="006F307B">
              <w:t>s</w:t>
            </w:r>
            <w:r w:rsidRPr="006F307B">
              <w:t xml:space="preserve"> considered that the economic evaluation </w:t>
            </w:r>
            <w:r w:rsidR="00026F98" w:rsidRPr="006F307B">
              <w:t>inappropriately</w:t>
            </w:r>
            <w:r w:rsidR="00334697" w:rsidRPr="006F307B">
              <w:t xml:space="preserve"> d</w:t>
            </w:r>
            <w:r w:rsidR="00980FCA" w:rsidRPr="00B74405">
              <w:t xml:space="preserve">oes not account for </w:t>
            </w:r>
            <w:r w:rsidR="00A77857">
              <w:t>the effectiveness</w:t>
            </w:r>
            <w:r w:rsidR="00980FCA" w:rsidRPr="00B74405">
              <w:t xml:space="preserve"> of 2L nivolumab</w:t>
            </w:r>
            <w:r w:rsidR="00BF213C" w:rsidRPr="00B74405">
              <w:t>,</w:t>
            </w:r>
            <w:r w:rsidR="00231A54" w:rsidRPr="00B74405">
              <w:t xml:space="preserve"> despite including costs associated with 2L nivolumab.</w:t>
            </w:r>
          </w:p>
        </w:tc>
      </w:tr>
      <w:tr w:rsidR="00980FCA" w:rsidRPr="006F307B" w:rsidTr="00967868">
        <w:trPr>
          <w:cantSplit/>
          <w:trHeight w:val="70"/>
        </w:trPr>
        <w:tc>
          <w:tcPr>
            <w:tcW w:w="1413" w:type="dxa"/>
            <w:shd w:val="clear" w:color="auto" w:fill="auto"/>
          </w:tcPr>
          <w:p w:rsidR="00980FCA" w:rsidRPr="006F307B" w:rsidRDefault="00980FCA" w:rsidP="00001421">
            <w:pPr>
              <w:pStyle w:val="TableText"/>
              <w:keepLines/>
              <w:rPr>
                <w:rFonts w:ascii="Times" w:eastAsia="Times New Roman" w:hAnsi="Times" w:cs="Times New Roman"/>
                <w:szCs w:val="20"/>
              </w:rPr>
            </w:pPr>
            <w:r w:rsidRPr="006F307B">
              <w:lastRenderedPageBreak/>
              <w:t>Software package</w:t>
            </w:r>
          </w:p>
        </w:tc>
        <w:tc>
          <w:tcPr>
            <w:tcW w:w="2835" w:type="dxa"/>
            <w:shd w:val="clear" w:color="auto" w:fill="auto"/>
          </w:tcPr>
          <w:p w:rsidR="00980FCA" w:rsidRPr="006F307B" w:rsidRDefault="00980FCA" w:rsidP="00001421">
            <w:pPr>
              <w:pStyle w:val="TableText"/>
              <w:keepLines/>
              <w:rPr>
                <w:rFonts w:ascii="Times" w:eastAsia="Times New Roman" w:hAnsi="Times" w:cs="Times New Roman"/>
                <w:szCs w:val="20"/>
              </w:rPr>
            </w:pPr>
            <w:r w:rsidRPr="006F307B">
              <w:t>Excel 2010</w:t>
            </w:r>
          </w:p>
        </w:tc>
        <w:tc>
          <w:tcPr>
            <w:tcW w:w="4819" w:type="dxa"/>
          </w:tcPr>
          <w:p w:rsidR="00980FCA" w:rsidRPr="007278E9" w:rsidRDefault="00980FCA" w:rsidP="00001421">
            <w:pPr>
              <w:pStyle w:val="TableText"/>
              <w:keepLines/>
            </w:pPr>
            <w:r w:rsidRPr="006F307B">
              <w:t>Appropriate</w:t>
            </w:r>
            <w:r w:rsidR="00334697" w:rsidRPr="006F307B">
              <w:t xml:space="preserve">, </w:t>
            </w:r>
            <w:r w:rsidR="00334697" w:rsidRPr="007278E9">
              <w:t xml:space="preserve">but </w:t>
            </w:r>
            <w:r w:rsidR="002B0501" w:rsidRPr="007278E9">
              <w:t>the ESC</w:t>
            </w:r>
            <w:r w:rsidR="0021591C" w:rsidRPr="007278E9">
              <w:t>s</w:t>
            </w:r>
            <w:r w:rsidR="002B0501" w:rsidRPr="007278E9">
              <w:t xml:space="preserve"> noted</w:t>
            </w:r>
            <w:r w:rsidR="005B2994" w:rsidRPr="007278E9">
              <w:t xml:space="preserve"> </w:t>
            </w:r>
            <w:r w:rsidR="002B0501" w:rsidRPr="007278E9">
              <w:t>concerns</w:t>
            </w:r>
            <w:r w:rsidR="00B56FE9" w:rsidRPr="007278E9">
              <w:t xml:space="preserve"> </w:t>
            </w:r>
            <w:r w:rsidR="002B0501" w:rsidRPr="007278E9">
              <w:t>with respect to the</w:t>
            </w:r>
            <w:r w:rsidR="00BF213C" w:rsidRPr="007278E9">
              <w:t xml:space="preserve"> code </w:t>
            </w:r>
            <w:r w:rsidR="005B2994" w:rsidRPr="007278E9">
              <w:t>and inability to replicate</w:t>
            </w:r>
            <w:r w:rsidR="00967868">
              <w:t xml:space="preserve"> parts of the analysis.</w:t>
            </w:r>
          </w:p>
        </w:tc>
      </w:tr>
    </w:tbl>
    <w:p w:rsidR="00980FCA" w:rsidRPr="006F307B" w:rsidRDefault="00E9137E" w:rsidP="00001421">
      <w:pPr>
        <w:pStyle w:val="TableFooter"/>
        <w:keepLines/>
      </w:pPr>
      <w:r w:rsidRPr="00ED436C">
        <w:rPr>
          <w:szCs w:val="18"/>
        </w:rPr>
        <w:t>Abbreviations:</w:t>
      </w:r>
      <w:r w:rsidR="00980FCA" w:rsidRPr="006F307B">
        <w:t xml:space="preserve"> </w:t>
      </w:r>
      <w:r w:rsidRPr="006F307B">
        <w:t xml:space="preserve">CPS = combined positive score, </w:t>
      </w:r>
      <w:r w:rsidR="00980FCA" w:rsidRPr="006F307B">
        <w:t>R/M = recurrent or metastatic, HNSCC = head and neck squamous cell carcinoma, SoC = standard of care, 2L = second line</w:t>
      </w:r>
      <w:r w:rsidR="005B2994" w:rsidRPr="006F307B">
        <w:t>, ESMO = European Society for Medical Oncology</w:t>
      </w:r>
    </w:p>
    <w:p w:rsidR="00980FCA" w:rsidRPr="006F307B" w:rsidRDefault="00980FCA" w:rsidP="00001421">
      <w:pPr>
        <w:pStyle w:val="TableFooter"/>
        <w:keepLines/>
      </w:pPr>
      <w:r w:rsidRPr="006F307B">
        <w:t xml:space="preserve">Source: Table 3.1.1, p134-135 of the submission </w:t>
      </w:r>
    </w:p>
    <w:p w:rsidR="00980FCA" w:rsidRPr="00967868" w:rsidRDefault="00873511" w:rsidP="00980FCA">
      <w:pPr>
        <w:pStyle w:val="ListParagraph"/>
        <w:numPr>
          <w:ilvl w:val="4"/>
          <w:numId w:val="1"/>
        </w:numPr>
        <w:rPr>
          <w:color w:val="auto"/>
        </w:rPr>
      </w:pPr>
      <w:r w:rsidRPr="006F307B">
        <w:rPr>
          <w:color w:val="auto"/>
        </w:rPr>
        <w:t>The partitioned survival cohort models had a standard structure with progression-free survival, progressed disease and death health state</w:t>
      </w:r>
      <w:r w:rsidR="00236970" w:rsidRPr="006F307B">
        <w:rPr>
          <w:color w:val="auto"/>
        </w:rPr>
        <w:t>s</w:t>
      </w:r>
      <w:r w:rsidRPr="006F307B">
        <w:rPr>
          <w:color w:val="auto"/>
        </w:rPr>
        <w:t>.</w:t>
      </w:r>
    </w:p>
    <w:p w:rsidR="00E37424" w:rsidRPr="006F307B" w:rsidRDefault="00980FCA" w:rsidP="008E5D18">
      <w:pPr>
        <w:pStyle w:val="ListParagraph"/>
        <w:rPr>
          <w:color w:val="auto"/>
        </w:rPr>
      </w:pPr>
      <w:r w:rsidRPr="006F307B">
        <w:t xml:space="preserve">The cost effectiveness in the </w:t>
      </w:r>
      <w:r w:rsidR="00817427" w:rsidRPr="006F307B">
        <w:t>‘</w:t>
      </w:r>
      <w:r w:rsidRPr="006F307B">
        <w:t>all comers</w:t>
      </w:r>
      <w:r w:rsidR="00817427" w:rsidRPr="006F307B">
        <w:t>’</w:t>
      </w:r>
      <w:r w:rsidRPr="006F307B">
        <w:t xml:space="preserve"> and CPS ≥1 populations were estimated using a partitioned cohort survival simulation analysis</w:t>
      </w:r>
      <w:r w:rsidRPr="00B74405">
        <w:t xml:space="preserve">. The cost effectiveness for patients with CPS &lt;1 was not modelled but instead, </w:t>
      </w:r>
      <w:r w:rsidR="00BC38F7" w:rsidRPr="00B74405">
        <w:t xml:space="preserve">was back-calculated based on </w:t>
      </w:r>
      <w:r w:rsidR="00967868">
        <w:t>CPS ≥1 and ITT costs and QALYs.</w:t>
      </w:r>
    </w:p>
    <w:p w:rsidR="00980FCA" w:rsidRPr="006F307B" w:rsidRDefault="00980FCA" w:rsidP="00980FCA">
      <w:pPr>
        <w:pStyle w:val="ListParagraph"/>
        <w:rPr>
          <w:color w:val="auto"/>
        </w:rPr>
      </w:pPr>
      <w:r w:rsidRPr="006F307B">
        <w:rPr>
          <w:color w:val="auto"/>
        </w:rPr>
        <w:t xml:space="preserve">OS and PFS curves for pembrolizumab monotherapy and pembrolizumab </w:t>
      </w:r>
      <w:r w:rsidR="00BC38F7" w:rsidRPr="006F307B">
        <w:rPr>
          <w:color w:val="auto"/>
        </w:rPr>
        <w:t xml:space="preserve">+ </w:t>
      </w:r>
      <w:r w:rsidRPr="006F307B">
        <w:rPr>
          <w:color w:val="auto"/>
        </w:rPr>
        <w:t>chemotherapy were derived from the KN048 trial (direct Kaplan Meier data used until median follow up then parametric extrapolation used until 7.5 years). OS and PFS curves for SoC were estimated by applying an inverse time variant hazard ratio derived from the FP</w:t>
      </w:r>
      <w:r w:rsidR="00073A20" w:rsidRPr="006F307B">
        <w:rPr>
          <w:color w:val="auto"/>
        </w:rPr>
        <w:t xml:space="preserve"> </w:t>
      </w:r>
      <w:r w:rsidRPr="006F307B">
        <w:rPr>
          <w:color w:val="auto"/>
        </w:rPr>
        <w:t xml:space="preserve">NMA to the curve for either pembrolizumab monotherapy or pembrolizumab </w:t>
      </w:r>
      <w:r w:rsidR="00335C65" w:rsidRPr="006F307B">
        <w:rPr>
          <w:color w:val="auto"/>
        </w:rPr>
        <w:t xml:space="preserve">+ </w:t>
      </w:r>
      <w:r w:rsidRPr="006F307B">
        <w:rPr>
          <w:color w:val="auto"/>
        </w:rPr>
        <w:t>chemotherapy, depending on the comparison.</w:t>
      </w:r>
    </w:p>
    <w:p w:rsidR="00980FCA" w:rsidRPr="006F307B" w:rsidRDefault="00980FCA" w:rsidP="00980FCA">
      <w:pPr>
        <w:pStyle w:val="ListParagraph"/>
        <w:rPr>
          <w:color w:val="auto"/>
        </w:rPr>
      </w:pPr>
      <w:r w:rsidRPr="006F307B">
        <w:rPr>
          <w:color w:val="auto"/>
        </w:rPr>
        <w:t xml:space="preserve">The duration of drug treatment was estimated independently to the patient’s health state. For pembrolizumab monotherapy and pembrolizumab </w:t>
      </w:r>
      <w:r w:rsidR="00CC0EA0" w:rsidRPr="006F307B">
        <w:rPr>
          <w:color w:val="auto"/>
        </w:rPr>
        <w:t xml:space="preserve">+ </w:t>
      </w:r>
      <w:r w:rsidRPr="006F307B">
        <w:rPr>
          <w:color w:val="auto"/>
        </w:rPr>
        <w:t xml:space="preserve">chemotherapy, the observed time on treatment (ToT) Kaplan-Meier curves for the relevant treatment from KN048 were applied, with a proportion of patients discontinuing treatment each cycle. No extrapolation was required as all patients stopped treatment after two years (consistent with requested PBS listing) and the ToT data in KN048 can be considered complete. For SoC, it was assumed that the ToT data from the cetuximab </w:t>
      </w:r>
      <w:r w:rsidR="00CC0EA0" w:rsidRPr="006F307B">
        <w:rPr>
          <w:color w:val="auto"/>
        </w:rPr>
        <w:t xml:space="preserve">+ </w:t>
      </w:r>
      <w:r w:rsidRPr="006F307B">
        <w:rPr>
          <w:color w:val="auto"/>
        </w:rPr>
        <w:t xml:space="preserve">chemotherapy arm in KN048 would apply up to week 15 (for six cycles of chemotherapy). Additionally, there </w:t>
      </w:r>
      <w:r w:rsidR="00EE5480" w:rsidRPr="006F307B">
        <w:rPr>
          <w:color w:val="auto"/>
        </w:rPr>
        <w:t>we</w:t>
      </w:r>
      <w:r w:rsidRPr="006F307B">
        <w:rPr>
          <w:color w:val="auto"/>
        </w:rPr>
        <w:t>re treatment costs for adverse events associated with treatment, though no disutilities from adverse events were considered. A fixed proportion of patients who discontinue</w:t>
      </w:r>
      <w:r w:rsidR="00EE5480" w:rsidRPr="006F307B">
        <w:rPr>
          <w:color w:val="auto"/>
        </w:rPr>
        <w:t>d</w:t>
      </w:r>
      <w:r w:rsidRPr="006F307B">
        <w:rPr>
          <w:color w:val="auto"/>
        </w:rPr>
        <w:t xml:space="preserve"> treatment each cycle were assumed to use subsequent anti-cancer therapy, which differed depending on the initial therapy.</w:t>
      </w:r>
    </w:p>
    <w:p w:rsidR="00980FCA" w:rsidRPr="006F307B" w:rsidRDefault="00980FCA" w:rsidP="00980FCA">
      <w:pPr>
        <w:pStyle w:val="ListParagraph"/>
        <w:rPr>
          <w:color w:val="auto"/>
        </w:rPr>
      </w:pPr>
      <w:r w:rsidRPr="006F307B">
        <w:rPr>
          <w:color w:val="auto"/>
        </w:rPr>
        <w:t>Additionally, PD-L1 test costs were included for the p</w:t>
      </w:r>
      <w:r w:rsidR="00967868">
        <w:rPr>
          <w:color w:val="auto"/>
        </w:rPr>
        <w:t>embrolizumab arms of the model.</w:t>
      </w:r>
    </w:p>
    <w:p w:rsidR="00980FCA" w:rsidRPr="006F307B" w:rsidRDefault="00893DBC" w:rsidP="00980FCA">
      <w:pPr>
        <w:pStyle w:val="ListParagraph"/>
        <w:numPr>
          <w:ilvl w:val="4"/>
          <w:numId w:val="1"/>
        </w:numPr>
        <w:rPr>
          <w:iCs/>
          <w:color w:val="auto"/>
        </w:rPr>
      </w:pPr>
      <w:r w:rsidRPr="006F307B">
        <w:rPr>
          <w:color w:val="auto"/>
        </w:rPr>
        <w:t>The ESC</w:t>
      </w:r>
      <w:r w:rsidR="000D7C8A" w:rsidRPr="006F307B">
        <w:rPr>
          <w:color w:val="auto"/>
        </w:rPr>
        <w:t>s</w:t>
      </w:r>
      <w:r w:rsidRPr="006F307B">
        <w:rPr>
          <w:color w:val="auto"/>
        </w:rPr>
        <w:t xml:space="preserve"> considered t</w:t>
      </w:r>
      <w:r w:rsidR="00980FCA" w:rsidRPr="006F307B">
        <w:rPr>
          <w:color w:val="auto"/>
        </w:rPr>
        <w:t>here were significant issues with the methods used in the economic evaluation:</w:t>
      </w:r>
    </w:p>
    <w:p w:rsidR="00980FCA" w:rsidRPr="006F307B" w:rsidRDefault="00980FCA" w:rsidP="00CA41B6">
      <w:pPr>
        <w:pStyle w:val="ListParagraph"/>
        <w:numPr>
          <w:ilvl w:val="0"/>
          <w:numId w:val="27"/>
        </w:numPr>
        <w:ind w:left="993" w:hanging="284"/>
        <w:rPr>
          <w:color w:val="auto"/>
        </w:rPr>
      </w:pPr>
      <w:r w:rsidRPr="006F307B">
        <w:rPr>
          <w:color w:val="auto"/>
        </w:rPr>
        <w:t>While the cost of subsequent therapies were inflated for the SoC arm (submission assumed 66.7% of patients used 2L nivolumab in the SoC arm, compared to 0% use of 2L nivol</w:t>
      </w:r>
      <w:r w:rsidR="004C46AE" w:rsidRPr="006F307B">
        <w:rPr>
          <w:color w:val="auto"/>
        </w:rPr>
        <w:t>u</w:t>
      </w:r>
      <w:r w:rsidRPr="006F307B">
        <w:rPr>
          <w:color w:val="auto"/>
        </w:rPr>
        <w:t xml:space="preserve">mab use in EXTREME, and assigned no efficacy to 2L nivolumab), they were deflated for pembrolizumab, as usage of 2L EGFR inhibitors (used by 18-24% of all patients treated with pembrolizumab </w:t>
      </w:r>
      <w:r w:rsidRPr="006F307B">
        <w:rPr>
          <w:rFonts w:cstheme="minorHAnsi"/>
          <w:color w:val="auto"/>
        </w:rPr>
        <w:t>±</w:t>
      </w:r>
      <w:r w:rsidRPr="006F307B">
        <w:rPr>
          <w:color w:val="auto"/>
        </w:rPr>
        <w:t xml:space="preserve"> chemotherapy in KN048) and 2L anti PD-1/PD-L1 therapy (used by 6% of patients treated with pembrolizumab </w:t>
      </w:r>
      <w:r w:rsidRPr="006F307B">
        <w:rPr>
          <w:rFonts w:cstheme="minorHAnsi"/>
          <w:color w:val="auto"/>
        </w:rPr>
        <w:t>±</w:t>
      </w:r>
      <w:r w:rsidRPr="006F307B">
        <w:rPr>
          <w:color w:val="auto"/>
        </w:rPr>
        <w:t xml:space="preserve"> </w:t>
      </w:r>
      <w:r w:rsidRPr="006F307B">
        <w:rPr>
          <w:color w:val="auto"/>
        </w:rPr>
        <w:lastRenderedPageBreak/>
        <w:t>chemotherapy in KN048) were removed from the economic evaluation without a corresponding adjustment for efficacy</w:t>
      </w:r>
      <w:r w:rsidR="00E96B61" w:rsidRPr="006F307B">
        <w:rPr>
          <w:color w:val="auto"/>
        </w:rPr>
        <w:t>. The ESC</w:t>
      </w:r>
      <w:r w:rsidR="00195670" w:rsidRPr="006F307B">
        <w:rPr>
          <w:color w:val="auto"/>
        </w:rPr>
        <w:t>s</w:t>
      </w:r>
      <w:r w:rsidR="00E96B61" w:rsidRPr="006F307B">
        <w:rPr>
          <w:color w:val="auto"/>
        </w:rPr>
        <w:t xml:space="preserve"> considered </w:t>
      </w:r>
      <w:r w:rsidR="006651A6" w:rsidRPr="006F307B">
        <w:rPr>
          <w:color w:val="auto"/>
        </w:rPr>
        <w:t>it</w:t>
      </w:r>
      <w:r w:rsidR="00E96B61" w:rsidRPr="006F307B">
        <w:rPr>
          <w:color w:val="auto"/>
        </w:rPr>
        <w:t xml:space="preserve"> was not appropriate</w:t>
      </w:r>
      <w:r w:rsidR="006651A6" w:rsidRPr="006F307B">
        <w:rPr>
          <w:color w:val="auto"/>
        </w:rPr>
        <w:t xml:space="preserve"> to include costs but not benefit from 2L nivolumab</w:t>
      </w:r>
      <w:r w:rsidRPr="006F307B">
        <w:rPr>
          <w:color w:val="auto"/>
        </w:rPr>
        <w:t>;</w:t>
      </w:r>
    </w:p>
    <w:p w:rsidR="00980FCA" w:rsidRPr="006F307B" w:rsidRDefault="00893DBC" w:rsidP="00CA41B6">
      <w:pPr>
        <w:pStyle w:val="ListParagraph"/>
        <w:numPr>
          <w:ilvl w:val="0"/>
          <w:numId w:val="27"/>
        </w:numPr>
        <w:ind w:left="993" w:hanging="284"/>
        <w:rPr>
          <w:color w:val="auto"/>
        </w:rPr>
      </w:pPr>
      <w:r w:rsidRPr="006F307B">
        <w:rPr>
          <w:color w:val="auto"/>
        </w:rPr>
        <w:t xml:space="preserve">While the PSCR argued that the results generated by the FP NMA and the Bucher analyses were almost </w:t>
      </w:r>
      <w:r w:rsidR="00026F98" w:rsidRPr="006F307B">
        <w:rPr>
          <w:color w:val="auto"/>
        </w:rPr>
        <w:t>identical</w:t>
      </w:r>
      <w:r w:rsidRPr="006F307B">
        <w:rPr>
          <w:color w:val="auto"/>
        </w:rPr>
        <w:t>, the ESC</w:t>
      </w:r>
      <w:r w:rsidR="000D7C8A" w:rsidRPr="006F307B">
        <w:rPr>
          <w:color w:val="auto"/>
        </w:rPr>
        <w:t>s</w:t>
      </w:r>
      <w:r w:rsidRPr="006F307B">
        <w:rPr>
          <w:color w:val="auto"/>
        </w:rPr>
        <w:t xml:space="preserve"> considered that </w:t>
      </w:r>
      <w:r w:rsidR="00980FCA" w:rsidRPr="006F307B">
        <w:rPr>
          <w:color w:val="auto"/>
        </w:rPr>
        <w:t>use</w:t>
      </w:r>
      <w:r w:rsidR="00AB7B7D" w:rsidRPr="006F307B">
        <w:rPr>
          <w:color w:val="auto"/>
        </w:rPr>
        <w:t xml:space="preserve"> of a time</w:t>
      </w:r>
      <w:r w:rsidR="008C6FB3" w:rsidRPr="006F307B">
        <w:rPr>
          <w:color w:val="auto"/>
        </w:rPr>
        <w:t>-</w:t>
      </w:r>
      <w:r w:rsidR="00AB7B7D" w:rsidRPr="006F307B">
        <w:rPr>
          <w:color w:val="auto"/>
        </w:rPr>
        <w:t>dependent</w:t>
      </w:r>
      <w:r w:rsidR="006E02D2" w:rsidRPr="006F307B">
        <w:rPr>
          <w:color w:val="auto"/>
        </w:rPr>
        <w:t xml:space="preserve"> HR from the</w:t>
      </w:r>
      <w:r w:rsidR="00980FCA" w:rsidRPr="006F307B">
        <w:rPr>
          <w:color w:val="auto"/>
        </w:rPr>
        <w:t xml:space="preserve"> FP NMA instead of</w:t>
      </w:r>
      <w:r w:rsidR="006E02D2" w:rsidRPr="006F307B">
        <w:rPr>
          <w:color w:val="auto"/>
        </w:rPr>
        <w:t xml:space="preserve"> a constant HR from</w:t>
      </w:r>
      <w:r w:rsidR="00980FCA" w:rsidRPr="006F307B">
        <w:rPr>
          <w:color w:val="auto"/>
        </w:rPr>
        <w:t xml:space="preserve"> t</w:t>
      </w:r>
      <w:r w:rsidR="006E02D2" w:rsidRPr="006F307B">
        <w:rPr>
          <w:color w:val="auto"/>
        </w:rPr>
        <w:t>he Bucher indirect comparison</w:t>
      </w:r>
      <w:r w:rsidR="00980FCA" w:rsidRPr="006F307B">
        <w:rPr>
          <w:color w:val="auto"/>
        </w:rPr>
        <w:t xml:space="preserve"> led to implausible results, with the benefit of </w:t>
      </w:r>
      <w:r w:rsidR="00387006" w:rsidRPr="006F307B">
        <w:rPr>
          <w:color w:val="auto"/>
        </w:rPr>
        <w:t xml:space="preserve">pembrolizumab </w:t>
      </w:r>
      <w:r w:rsidR="00980FCA" w:rsidRPr="006F307B">
        <w:rPr>
          <w:color w:val="auto"/>
        </w:rPr>
        <w:t>treatment increasing over time, and external validation of the SoC data suggested that the FP NMA was a poor fit. The median OS for chemotherapy alone was 7.4 months in EXTREME, but the FP</w:t>
      </w:r>
      <w:r w:rsidR="00E4260E" w:rsidRPr="006F307B">
        <w:rPr>
          <w:color w:val="auto"/>
        </w:rPr>
        <w:t xml:space="preserve"> </w:t>
      </w:r>
      <w:r w:rsidR="00980FCA" w:rsidRPr="006F307B">
        <w:rPr>
          <w:color w:val="auto"/>
        </w:rPr>
        <w:t>NMA estimated a median OS of 10.15 months and 9.46 months for the pembrolizumab monotherapy and pembrolizumab plus chemotherapy models, respectively. Comparatively, the Bucher indirect HR estimated median OS of 7.85 and 7.62 months for the two models, respectively;</w:t>
      </w:r>
      <w:r w:rsidR="001D0ABD" w:rsidRPr="006F307B">
        <w:rPr>
          <w:color w:val="auto"/>
        </w:rPr>
        <w:t xml:space="preserve"> and</w:t>
      </w:r>
    </w:p>
    <w:p w:rsidR="00980FCA" w:rsidRPr="006F307B" w:rsidRDefault="00AF2586" w:rsidP="00CA41B6">
      <w:pPr>
        <w:pStyle w:val="ListParagraph"/>
        <w:numPr>
          <w:ilvl w:val="0"/>
          <w:numId w:val="27"/>
        </w:numPr>
        <w:ind w:left="993" w:hanging="284"/>
        <w:rPr>
          <w:color w:val="auto"/>
        </w:rPr>
      </w:pPr>
      <w:r w:rsidRPr="006F307B">
        <w:rPr>
          <w:color w:val="auto"/>
        </w:rPr>
        <w:t>The ESC</w:t>
      </w:r>
      <w:r w:rsidR="00195670" w:rsidRPr="006F307B">
        <w:rPr>
          <w:color w:val="auto"/>
        </w:rPr>
        <w:t>s</w:t>
      </w:r>
      <w:r w:rsidRPr="006F307B">
        <w:rPr>
          <w:color w:val="auto"/>
        </w:rPr>
        <w:t xml:space="preserve"> considered that t</w:t>
      </w:r>
      <w:r w:rsidR="00980FCA" w:rsidRPr="006F307B">
        <w:rPr>
          <w:color w:val="auto"/>
        </w:rPr>
        <w:t xml:space="preserve">he method of </w:t>
      </w:r>
      <w:r w:rsidR="00AB7B7D" w:rsidRPr="006F307B">
        <w:rPr>
          <w:color w:val="auto"/>
        </w:rPr>
        <w:t xml:space="preserve">estimation of </w:t>
      </w:r>
      <w:r w:rsidR="00980FCA" w:rsidRPr="006F307B">
        <w:rPr>
          <w:color w:val="auto"/>
        </w:rPr>
        <w:t>SoC</w:t>
      </w:r>
      <w:r w:rsidR="00AB7B7D" w:rsidRPr="006F307B">
        <w:rPr>
          <w:color w:val="auto"/>
        </w:rPr>
        <w:t xml:space="preserve"> </w:t>
      </w:r>
      <w:r w:rsidR="00026F98" w:rsidRPr="006F307B">
        <w:rPr>
          <w:color w:val="auto"/>
        </w:rPr>
        <w:t>survival</w:t>
      </w:r>
      <w:r w:rsidR="00980FCA" w:rsidRPr="006F307B">
        <w:rPr>
          <w:color w:val="auto"/>
        </w:rPr>
        <w:t xml:space="preserve"> by applying an inverse </w:t>
      </w:r>
      <w:r w:rsidRPr="006F307B">
        <w:rPr>
          <w:color w:val="auto"/>
        </w:rPr>
        <w:t>HR</w:t>
      </w:r>
      <w:r w:rsidR="00980FCA" w:rsidRPr="006F307B">
        <w:rPr>
          <w:color w:val="auto"/>
        </w:rPr>
        <w:t xml:space="preserve"> from the FP NMA/indirect comparison</w:t>
      </w:r>
      <w:r w:rsidRPr="006F307B">
        <w:rPr>
          <w:color w:val="auto"/>
        </w:rPr>
        <w:t xml:space="preserve"> to the pembrolizumab arm observed in KN048</w:t>
      </w:r>
      <w:r w:rsidR="00980FCA" w:rsidRPr="006F307B">
        <w:rPr>
          <w:color w:val="auto"/>
        </w:rPr>
        <w:t xml:space="preserve"> led to an implausible scenario where the </w:t>
      </w:r>
      <w:r w:rsidR="00693194">
        <w:rPr>
          <w:color w:val="auto"/>
        </w:rPr>
        <w:t>effectiveness</w:t>
      </w:r>
      <w:r w:rsidR="00980FCA" w:rsidRPr="006F307B">
        <w:rPr>
          <w:color w:val="auto"/>
        </w:rPr>
        <w:t xml:space="preserve"> of the SoC arm varied by CPS status and also by the pembrolizumab regimen it was being compared to.</w:t>
      </w:r>
      <w:r w:rsidRPr="006F307B">
        <w:rPr>
          <w:color w:val="auto"/>
        </w:rPr>
        <w:t xml:space="preserve"> </w:t>
      </w:r>
      <w:r w:rsidR="00980FCA" w:rsidRPr="006F307B">
        <w:rPr>
          <w:color w:val="auto"/>
        </w:rPr>
        <w:t>The variation in both life year</w:t>
      </w:r>
      <w:r w:rsidR="00335C65" w:rsidRPr="006F307B">
        <w:rPr>
          <w:color w:val="auto"/>
        </w:rPr>
        <w:t>s</w:t>
      </w:r>
      <w:r w:rsidR="00980FCA" w:rsidRPr="006F307B">
        <w:rPr>
          <w:color w:val="auto"/>
        </w:rPr>
        <w:t xml:space="preserve"> (LY) and QALY</w:t>
      </w:r>
      <w:r w:rsidR="00335C65" w:rsidRPr="006F307B">
        <w:rPr>
          <w:color w:val="auto"/>
        </w:rPr>
        <w:t>s</w:t>
      </w:r>
      <w:r w:rsidR="00980FCA" w:rsidRPr="006F307B">
        <w:rPr>
          <w:color w:val="auto"/>
        </w:rPr>
        <w:t xml:space="preserve"> in the SoC arm by CPS was significant – from 1.4 LY/0.99 QALY in the pembrolizumab monotherapy vs SoC comparison in the CPS &lt;1 sub</w:t>
      </w:r>
      <w:r w:rsidR="008C6FB3" w:rsidRPr="006F307B">
        <w:rPr>
          <w:color w:val="auto"/>
        </w:rPr>
        <w:t>group</w:t>
      </w:r>
      <w:r w:rsidR="00980FCA" w:rsidRPr="006F307B">
        <w:rPr>
          <w:color w:val="auto"/>
        </w:rPr>
        <w:t xml:space="preserve"> to 1.01 LY/0.74 QALY in the pembrolizumab chemotherapy vs SoC comparison in the CPS ≥1 sub</w:t>
      </w:r>
      <w:r w:rsidR="008C6FB3" w:rsidRPr="006F307B">
        <w:rPr>
          <w:color w:val="auto"/>
        </w:rPr>
        <w:t>group</w:t>
      </w:r>
      <w:r w:rsidR="00980FCA" w:rsidRPr="006F307B">
        <w:rPr>
          <w:color w:val="auto"/>
        </w:rPr>
        <w:t>, a difference of 25%</w:t>
      </w:r>
      <w:r w:rsidR="00D66515" w:rsidRPr="006F307B">
        <w:rPr>
          <w:color w:val="auto"/>
        </w:rPr>
        <w:t>.</w:t>
      </w:r>
      <w:r w:rsidR="00980FCA" w:rsidRPr="006F307B">
        <w:rPr>
          <w:color w:val="auto"/>
        </w:rPr>
        <w:t xml:space="preserve"> </w:t>
      </w:r>
      <w:r w:rsidR="006651A6" w:rsidRPr="006F307B">
        <w:rPr>
          <w:color w:val="auto"/>
        </w:rPr>
        <w:t xml:space="preserve">The PSCR argued that the incremental survival estimate measured between arms was equivalent regardless of </w:t>
      </w:r>
      <w:r w:rsidR="00AA5234" w:rsidRPr="006F307B">
        <w:rPr>
          <w:color w:val="auto"/>
        </w:rPr>
        <w:t>the approach</w:t>
      </w:r>
      <w:r w:rsidR="006651A6" w:rsidRPr="006F307B">
        <w:rPr>
          <w:color w:val="auto"/>
        </w:rPr>
        <w:t>.</w:t>
      </w:r>
    </w:p>
    <w:p w:rsidR="00980FCA" w:rsidRPr="006F307B" w:rsidRDefault="00980FCA" w:rsidP="00980FCA">
      <w:pPr>
        <w:pStyle w:val="ListParagraph"/>
        <w:numPr>
          <w:ilvl w:val="4"/>
          <w:numId w:val="1"/>
        </w:numPr>
        <w:rPr>
          <w:color w:val="auto"/>
        </w:rPr>
      </w:pPr>
      <w:r w:rsidRPr="006F307B">
        <w:rPr>
          <w:iCs/>
          <w:color w:val="auto"/>
        </w:rPr>
        <w:t xml:space="preserve">The </w:t>
      </w:r>
      <w:r w:rsidRPr="006F307B">
        <w:rPr>
          <w:color w:val="auto"/>
        </w:rPr>
        <w:t>key drivers of the economic model identified during the evaluation are presented in Table 1</w:t>
      </w:r>
      <w:r w:rsidR="00812630" w:rsidRPr="006F307B">
        <w:rPr>
          <w:color w:val="auto"/>
        </w:rPr>
        <w:t>7</w:t>
      </w:r>
      <w:r w:rsidRPr="006F307B">
        <w:rPr>
          <w:color w:val="auto"/>
        </w:rPr>
        <w:t>.</w:t>
      </w:r>
    </w:p>
    <w:p w:rsidR="005A19AA" w:rsidRDefault="005A19AA">
      <w:pPr>
        <w:spacing w:before="0" w:line="259" w:lineRule="auto"/>
        <w:jc w:val="left"/>
        <w:rPr>
          <w:rFonts w:ascii="Arial Narrow" w:hAnsi="Arial Narrow"/>
          <w:b/>
          <w:iCs/>
          <w:sz w:val="20"/>
          <w:szCs w:val="18"/>
        </w:rPr>
      </w:pPr>
      <w:r>
        <w:br w:type="page"/>
      </w:r>
    </w:p>
    <w:p w:rsidR="00980FCA" w:rsidRPr="006F307B" w:rsidRDefault="00980FCA" w:rsidP="00F86BC8">
      <w:pPr>
        <w:pStyle w:val="Caption"/>
      </w:pPr>
      <w:r w:rsidRPr="006F307B">
        <w:lastRenderedPageBreak/>
        <w:t xml:space="preserve">Table </w:t>
      </w:r>
      <w:r w:rsidRPr="007278E9">
        <w:t>1</w:t>
      </w:r>
      <w:r w:rsidR="00812630" w:rsidRPr="007278E9">
        <w:t>7</w:t>
      </w:r>
      <w:r w:rsidR="00CC0EA0" w:rsidRPr="007278E9">
        <w:t>:</w:t>
      </w:r>
      <w:r w:rsidR="008E5D18" w:rsidRPr="006F307B">
        <w:t xml:space="preserve"> </w:t>
      </w:r>
      <w:r w:rsidR="00967868">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3969"/>
        <w:gridCol w:w="3067"/>
      </w:tblGrid>
      <w:tr w:rsidR="00980FCA" w:rsidRPr="006F307B" w:rsidTr="005C6664">
        <w:trPr>
          <w:tblHeader/>
        </w:trPr>
        <w:tc>
          <w:tcPr>
            <w:tcW w:w="1098" w:type="pct"/>
            <w:shd w:val="clear" w:color="auto" w:fill="auto"/>
            <w:vAlign w:val="bottom"/>
          </w:tcPr>
          <w:p w:rsidR="00980FCA" w:rsidRPr="006F307B" w:rsidRDefault="00980FCA" w:rsidP="00980FCA">
            <w:pPr>
              <w:pStyle w:val="TableText"/>
              <w:rPr>
                <w:b/>
                <w:bCs/>
              </w:rPr>
            </w:pPr>
            <w:r w:rsidRPr="006F307B">
              <w:rPr>
                <w:b/>
                <w:bCs/>
              </w:rPr>
              <w:t>Description</w:t>
            </w:r>
          </w:p>
        </w:tc>
        <w:tc>
          <w:tcPr>
            <w:tcW w:w="2201" w:type="pct"/>
            <w:shd w:val="clear" w:color="auto" w:fill="auto"/>
            <w:vAlign w:val="bottom"/>
          </w:tcPr>
          <w:p w:rsidR="00980FCA" w:rsidRPr="006F307B" w:rsidRDefault="00980FCA" w:rsidP="00980FCA">
            <w:pPr>
              <w:pStyle w:val="TableText"/>
              <w:rPr>
                <w:b/>
                <w:bCs/>
              </w:rPr>
            </w:pPr>
            <w:r w:rsidRPr="006F307B">
              <w:rPr>
                <w:b/>
                <w:bCs/>
              </w:rPr>
              <w:t>Method/Value</w:t>
            </w:r>
          </w:p>
        </w:tc>
        <w:tc>
          <w:tcPr>
            <w:tcW w:w="1701" w:type="pct"/>
            <w:shd w:val="clear" w:color="auto" w:fill="auto"/>
            <w:vAlign w:val="bottom"/>
          </w:tcPr>
          <w:p w:rsidR="00980FCA" w:rsidRPr="006F307B" w:rsidRDefault="00980FCA" w:rsidP="00980FCA">
            <w:pPr>
              <w:pStyle w:val="TableText"/>
              <w:rPr>
                <w:b/>
                <w:bCs/>
              </w:rPr>
            </w:pPr>
            <w:r w:rsidRPr="006F307B">
              <w:rPr>
                <w:b/>
                <w:bCs/>
              </w:rPr>
              <w:t>Impact</w:t>
            </w:r>
          </w:p>
        </w:tc>
      </w:tr>
      <w:tr w:rsidR="00E4260E" w:rsidRPr="006F307B" w:rsidTr="008E5D18">
        <w:tc>
          <w:tcPr>
            <w:tcW w:w="1098" w:type="pct"/>
            <w:shd w:val="clear" w:color="auto" w:fill="auto"/>
            <w:vAlign w:val="center"/>
          </w:tcPr>
          <w:p w:rsidR="00E4260E" w:rsidRPr="006F307B" w:rsidRDefault="00E4260E" w:rsidP="007243BA">
            <w:pPr>
              <w:pStyle w:val="TableText"/>
            </w:pPr>
            <w:r w:rsidRPr="006F307B">
              <w:t>Efficacy of pembrolizumab</w:t>
            </w:r>
          </w:p>
        </w:tc>
        <w:tc>
          <w:tcPr>
            <w:tcW w:w="2201" w:type="pct"/>
            <w:shd w:val="clear" w:color="auto" w:fill="auto"/>
          </w:tcPr>
          <w:p w:rsidR="00E4260E" w:rsidRPr="006F307B" w:rsidRDefault="00E4260E" w:rsidP="008E5D18">
            <w:pPr>
              <w:pStyle w:val="TableText"/>
            </w:pPr>
            <w:r w:rsidRPr="006F307B">
              <w:t>Estimated based on indirect comparison, with significant transitivity issues between KN048 and EXTREME.</w:t>
            </w:r>
            <w:r w:rsidR="00B0557F" w:rsidRPr="006F307B">
              <w:t xml:space="preserve"> No confidence intervals were estimated for the FP NMA </w:t>
            </w:r>
            <w:r w:rsidR="008C47A3" w:rsidRPr="006F307B">
              <w:t xml:space="preserve">inputs </w:t>
            </w:r>
            <w:r w:rsidR="00B0557F" w:rsidRPr="006F307B">
              <w:t xml:space="preserve">therefore only multivariate sensitivity analyses (changing input to Bucher indirect comparison and changing OS HR) could be </w:t>
            </w:r>
            <w:r w:rsidR="008C47A3" w:rsidRPr="006F307B">
              <w:t xml:space="preserve">plausibly </w:t>
            </w:r>
            <w:r w:rsidR="00B0557F" w:rsidRPr="006F307B">
              <w:t xml:space="preserve">conducted on </w:t>
            </w:r>
            <w:r w:rsidR="00693194">
              <w:t xml:space="preserve">the </w:t>
            </w:r>
            <w:r w:rsidR="00B0557F" w:rsidRPr="006F307B">
              <w:t xml:space="preserve">efficacy of pembrolizumab. </w:t>
            </w:r>
          </w:p>
        </w:tc>
        <w:tc>
          <w:tcPr>
            <w:tcW w:w="1701" w:type="pct"/>
            <w:shd w:val="clear" w:color="auto" w:fill="auto"/>
          </w:tcPr>
          <w:p w:rsidR="00E4260E" w:rsidRPr="006F307B" w:rsidRDefault="00E4260E" w:rsidP="008E5D18">
            <w:pPr>
              <w:pStyle w:val="TableText"/>
            </w:pPr>
            <w:r w:rsidRPr="006F307B">
              <w:t xml:space="preserve">High. For example, using upper 95% value for </w:t>
            </w:r>
            <w:r w:rsidR="008C47A3" w:rsidRPr="006F307B">
              <w:t xml:space="preserve">OS from </w:t>
            </w:r>
            <w:r w:rsidR="007243BA" w:rsidRPr="006F307B">
              <w:t>the Bucher indirect comparison of pembrolizumab monotherapy vs chemotherapy</w:t>
            </w:r>
            <w:r w:rsidR="008C47A3" w:rsidRPr="006F307B">
              <w:t xml:space="preserve"> (1/0.79 instead of 1/0.59 in base case)</w:t>
            </w:r>
            <w:r w:rsidR="007243BA" w:rsidRPr="006F307B">
              <w:t xml:space="preserve">, the ICER increased </w:t>
            </w:r>
            <w:r w:rsidR="008C47A3" w:rsidRPr="006F307B">
              <w:t>by 75</w:t>
            </w:r>
            <w:r w:rsidR="007243BA" w:rsidRPr="006F307B">
              <w:t>%</w:t>
            </w:r>
            <w:r w:rsidR="008C47A3" w:rsidRPr="006F307B">
              <w:t xml:space="preserve"> from the base case using time variant HR</w:t>
            </w:r>
            <w:r w:rsidR="006534F8" w:rsidRPr="006F307B">
              <w:t>.</w:t>
            </w:r>
          </w:p>
        </w:tc>
      </w:tr>
      <w:tr w:rsidR="00980FCA" w:rsidRPr="006F307B" w:rsidTr="008E5D18">
        <w:tc>
          <w:tcPr>
            <w:tcW w:w="1098" w:type="pct"/>
            <w:shd w:val="clear" w:color="auto" w:fill="auto"/>
            <w:vAlign w:val="center"/>
          </w:tcPr>
          <w:p w:rsidR="00980FCA" w:rsidRPr="006F307B" w:rsidRDefault="00980FCA" w:rsidP="00980FCA">
            <w:pPr>
              <w:pStyle w:val="TableText"/>
            </w:pPr>
            <w:r w:rsidRPr="006F307B">
              <w:t>Omission of 2L nivolumab efficacy</w:t>
            </w:r>
          </w:p>
        </w:tc>
        <w:tc>
          <w:tcPr>
            <w:tcW w:w="2201" w:type="pct"/>
            <w:shd w:val="clear" w:color="auto" w:fill="auto"/>
          </w:tcPr>
          <w:p w:rsidR="00980FCA" w:rsidRPr="006F307B" w:rsidRDefault="00980FCA" w:rsidP="008E5D18">
            <w:pPr>
              <w:pStyle w:val="TableText"/>
            </w:pPr>
            <w:r w:rsidRPr="006F307B">
              <w:t>Not included in submission</w:t>
            </w:r>
          </w:p>
        </w:tc>
        <w:tc>
          <w:tcPr>
            <w:tcW w:w="1701" w:type="pct"/>
            <w:shd w:val="clear" w:color="auto" w:fill="auto"/>
          </w:tcPr>
          <w:p w:rsidR="00980FCA" w:rsidRPr="006F307B" w:rsidRDefault="00980FCA" w:rsidP="008E5D18">
            <w:pPr>
              <w:pStyle w:val="TableText"/>
            </w:pPr>
            <w:r w:rsidRPr="006F307B">
              <w:t xml:space="preserve">High, favours pembrolizumab. Exploratory analysis of including cost effectiveness of 2L nivolumab increased ICER by 28%-77% depending on assumption of cost effectiveness of 2L nivolumab. Removal of 2L nivolumab </w:t>
            </w:r>
            <w:r w:rsidR="004351FA" w:rsidRPr="006F307B">
              <w:t xml:space="preserve">cost </w:t>
            </w:r>
            <w:r w:rsidRPr="006F307B">
              <w:t>from SoC increase</w:t>
            </w:r>
            <w:r w:rsidR="000470D4" w:rsidRPr="006F307B">
              <w:t>d</w:t>
            </w:r>
            <w:r w:rsidRPr="006F307B">
              <w:t xml:space="preserve"> ICER by 30%</w:t>
            </w:r>
            <w:r w:rsidR="006534F8" w:rsidRPr="006F307B">
              <w:t>.</w:t>
            </w:r>
          </w:p>
        </w:tc>
      </w:tr>
      <w:tr w:rsidR="00980FCA" w:rsidRPr="006F307B" w:rsidTr="008E5D18">
        <w:tc>
          <w:tcPr>
            <w:tcW w:w="1098" w:type="pct"/>
            <w:shd w:val="clear" w:color="auto" w:fill="auto"/>
            <w:vAlign w:val="center"/>
          </w:tcPr>
          <w:p w:rsidR="00980FCA" w:rsidRPr="006F307B" w:rsidRDefault="00980FCA" w:rsidP="00980FCA">
            <w:pPr>
              <w:pStyle w:val="TableText"/>
            </w:pPr>
            <w:r w:rsidRPr="006F307B">
              <w:t>Source of utility</w:t>
            </w:r>
          </w:p>
        </w:tc>
        <w:tc>
          <w:tcPr>
            <w:tcW w:w="2201" w:type="pct"/>
            <w:shd w:val="clear" w:color="auto" w:fill="auto"/>
          </w:tcPr>
          <w:p w:rsidR="00980FCA" w:rsidRPr="006F307B" w:rsidRDefault="00980FCA" w:rsidP="008E5D18">
            <w:pPr>
              <w:pStyle w:val="TableText"/>
            </w:pPr>
            <w:r w:rsidRPr="006F307B">
              <w:t>Post hoc analysis of KN048 utility values by d</w:t>
            </w:r>
            <w:r w:rsidR="00593978">
              <w:t>isease progression. Progression-</w:t>
            </w:r>
            <w:r w:rsidRPr="006F307B">
              <w:t>free = 0.788, progressed disease = 0.707</w:t>
            </w:r>
            <w:r w:rsidR="00967868">
              <w:t>.</w:t>
            </w:r>
          </w:p>
        </w:tc>
        <w:tc>
          <w:tcPr>
            <w:tcW w:w="1701" w:type="pct"/>
            <w:shd w:val="clear" w:color="auto" w:fill="auto"/>
          </w:tcPr>
          <w:p w:rsidR="00980FCA" w:rsidRPr="006F307B" w:rsidRDefault="00980FCA" w:rsidP="008E5D18">
            <w:pPr>
              <w:pStyle w:val="TableText"/>
            </w:pPr>
            <w:r w:rsidRPr="006F307B">
              <w:t>Moderate, favours pembrolizumab. Using utility values from cetuximab March 2018 su</w:t>
            </w:r>
            <w:r w:rsidR="00967868">
              <w:t>bmission increases ICER by 24%.</w:t>
            </w:r>
          </w:p>
        </w:tc>
      </w:tr>
      <w:tr w:rsidR="00980FCA" w:rsidRPr="006F307B" w:rsidTr="008E5D18">
        <w:tc>
          <w:tcPr>
            <w:tcW w:w="1098" w:type="pct"/>
            <w:shd w:val="clear" w:color="auto" w:fill="auto"/>
            <w:vAlign w:val="center"/>
          </w:tcPr>
          <w:p w:rsidR="00980FCA" w:rsidRPr="006F307B" w:rsidRDefault="00980FCA" w:rsidP="00980FCA">
            <w:pPr>
              <w:pStyle w:val="TableText"/>
            </w:pPr>
            <w:r w:rsidRPr="006F307B">
              <w:t>Time horizon</w:t>
            </w:r>
          </w:p>
        </w:tc>
        <w:tc>
          <w:tcPr>
            <w:tcW w:w="2201" w:type="pct"/>
            <w:shd w:val="clear" w:color="auto" w:fill="auto"/>
          </w:tcPr>
          <w:p w:rsidR="00980FCA" w:rsidRPr="006F307B" w:rsidRDefault="00980FCA" w:rsidP="008E5D18">
            <w:pPr>
              <w:pStyle w:val="TableText"/>
            </w:pPr>
            <w:r w:rsidRPr="006F307B">
              <w:t>Base case 7.5 years, extrapolated from 11.5-13.0 month median follow up in KN048.</w:t>
            </w:r>
          </w:p>
        </w:tc>
        <w:tc>
          <w:tcPr>
            <w:tcW w:w="1701" w:type="pct"/>
            <w:shd w:val="clear" w:color="auto" w:fill="auto"/>
          </w:tcPr>
          <w:p w:rsidR="00980FCA" w:rsidRPr="006F307B" w:rsidRDefault="00980FCA" w:rsidP="00967868">
            <w:pPr>
              <w:pStyle w:val="TableText"/>
            </w:pPr>
            <w:r w:rsidRPr="006F307B">
              <w:t>Moderate. Changing to 5 year time horizon as per cetuximab March 2018 submission increases ICER by 22%.</w:t>
            </w:r>
          </w:p>
        </w:tc>
      </w:tr>
      <w:tr w:rsidR="00980FCA" w:rsidRPr="006F307B" w:rsidTr="008E5D18">
        <w:tc>
          <w:tcPr>
            <w:tcW w:w="1098" w:type="pct"/>
            <w:shd w:val="clear" w:color="auto" w:fill="auto"/>
            <w:vAlign w:val="center"/>
          </w:tcPr>
          <w:p w:rsidR="00980FCA" w:rsidRPr="006F307B" w:rsidRDefault="00980FCA" w:rsidP="00980FCA">
            <w:pPr>
              <w:pStyle w:val="TableText"/>
            </w:pPr>
            <w:r w:rsidRPr="006F307B">
              <w:t>Using time on treatment data from KN048 to inform duration of treatment</w:t>
            </w:r>
          </w:p>
        </w:tc>
        <w:tc>
          <w:tcPr>
            <w:tcW w:w="2201" w:type="pct"/>
            <w:shd w:val="clear" w:color="auto" w:fill="auto"/>
          </w:tcPr>
          <w:p w:rsidR="00980FCA" w:rsidRPr="006F307B" w:rsidRDefault="00980FCA" w:rsidP="008E5D18">
            <w:pPr>
              <w:pStyle w:val="TableText"/>
            </w:pPr>
            <w:r w:rsidRPr="006F307B">
              <w:t>Duration of treatment of pembrolizumab based on KN048 actual usage. In clinical practice, usage may extend beyond what was observed in KN048 as follow ups may not be as frequent</w:t>
            </w:r>
            <w:r w:rsidR="00AB272B" w:rsidRPr="006F307B">
              <w:t>.</w:t>
            </w:r>
          </w:p>
        </w:tc>
        <w:tc>
          <w:tcPr>
            <w:tcW w:w="1701" w:type="pct"/>
            <w:shd w:val="clear" w:color="auto" w:fill="auto"/>
          </w:tcPr>
          <w:p w:rsidR="00980FCA" w:rsidRPr="006F307B" w:rsidRDefault="00980FCA" w:rsidP="008E5D18">
            <w:pPr>
              <w:pStyle w:val="TableText"/>
            </w:pPr>
            <w:r w:rsidRPr="006F307B">
              <w:t>Moderate. Increasing cost of pembrolizumab by 10% (as a proxy to increasin</w:t>
            </w:r>
            <w:r w:rsidR="00967868">
              <w:t>g usage) increases ICER by 13%.</w:t>
            </w:r>
          </w:p>
        </w:tc>
      </w:tr>
      <w:tr w:rsidR="00980FCA" w:rsidRPr="006F307B" w:rsidTr="008E5D18">
        <w:tc>
          <w:tcPr>
            <w:tcW w:w="1098" w:type="pct"/>
            <w:shd w:val="clear" w:color="auto" w:fill="auto"/>
            <w:vAlign w:val="center"/>
          </w:tcPr>
          <w:p w:rsidR="00980FCA" w:rsidRPr="006F307B" w:rsidRDefault="00980FCA" w:rsidP="00980FCA">
            <w:pPr>
              <w:pStyle w:val="TableText"/>
            </w:pPr>
            <w:r w:rsidRPr="006F307B">
              <w:t>Assumption of perfect sensitivity and specificity</w:t>
            </w:r>
          </w:p>
        </w:tc>
        <w:tc>
          <w:tcPr>
            <w:tcW w:w="2201" w:type="pct"/>
            <w:shd w:val="clear" w:color="auto" w:fill="auto"/>
          </w:tcPr>
          <w:p w:rsidR="00980FCA" w:rsidRPr="006F307B" w:rsidRDefault="00980FCA" w:rsidP="008E5D18">
            <w:pPr>
              <w:pStyle w:val="TableText"/>
            </w:pPr>
            <w:r w:rsidRPr="006F307B">
              <w:t xml:space="preserve">The submission claims that the 22C3 antibody test </w:t>
            </w:r>
            <w:r w:rsidR="009312CE" w:rsidRPr="006F307B">
              <w:t>is</w:t>
            </w:r>
            <w:r w:rsidRPr="006F307B">
              <w:t xml:space="preserve"> the evidentiary standard therefore has perfect sensitivity and specificity. Using response rate</w:t>
            </w:r>
            <w:r w:rsidR="005C6664" w:rsidRPr="006F307B">
              <w:t>s</w:t>
            </w:r>
            <w:r w:rsidRPr="006F307B">
              <w:t xml:space="preserve"> as the reference standard, CPS≥1 using the 22C3 antibody had a sensitivity of 92-94% and a specificity of 19-23% as reported in Emancipator 2020 and Cohen 20</w:t>
            </w:r>
            <w:r w:rsidR="009312CE" w:rsidRPr="006F307B">
              <w:t>19</w:t>
            </w:r>
            <w:r w:rsidRPr="006F307B">
              <w:t>.</w:t>
            </w:r>
          </w:p>
        </w:tc>
        <w:tc>
          <w:tcPr>
            <w:tcW w:w="1701" w:type="pct"/>
            <w:shd w:val="clear" w:color="auto" w:fill="auto"/>
          </w:tcPr>
          <w:p w:rsidR="00980FCA" w:rsidRPr="006F307B" w:rsidRDefault="00980FCA" w:rsidP="008E5D18">
            <w:pPr>
              <w:pStyle w:val="TableText"/>
            </w:pPr>
            <w:r w:rsidRPr="006F307B">
              <w:t>Moderate. Using alternative values of 94% sensitivity and 23% spe</w:t>
            </w:r>
            <w:r w:rsidR="00967868">
              <w:t>cificity increases ICER by 12%.</w:t>
            </w:r>
          </w:p>
        </w:tc>
      </w:tr>
    </w:tbl>
    <w:p w:rsidR="00980FCA" w:rsidRPr="006F307B" w:rsidRDefault="00980FCA" w:rsidP="00980FCA">
      <w:pPr>
        <w:pStyle w:val="TableFooter"/>
      </w:pPr>
      <w:r w:rsidRPr="006F307B">
        <w:t>Source: com</w:t>
      </w:r>
      <w:r w:rsidR="00967868">
        <w:t>piled during the evaluation</w:t>
      </w:r>
    </w:p>
    <w:p w:rsidR="00980FCA" w:rsidRPr="006F307B" w:rsidRDefault="00BD43F5" w:rsidP="00980FCA">
      <w:pPr>
        <w:pStyle w:val="ListParagraph"/>
        <w:numPr>
          <w:ilvl w:val="4"/>
          <w:numId w:val="1"/>
        </w:numPr>
        <w:rPr>
          <w:iCs/>
          <w:color w:val="auto"/>
        </w:rPr>
      </w:pPr>
      <w:r w:rsidRPr="006F307B">
        <w:rPr>
          <w:color w:val="auto"/>
        </w:rPr>
        <w:t>The ESC</w:t>
      </w:r>
      <w:r w:rsidR="000D7C8A" w:rsidRPr="006F307B">
        <w:rPr>
          <w:color w:val="auto"/>
        </w:rPr>
        <w:t>s</w:t>
      </w:r>
      <w:r w:rsidRPr="006F307B">
        <w:rPr>
          <w:color w:val="auto"/>
        </w:rPr>
        <w:t xml:space="preserve"> noted t</w:t>
      </w:r>
      <w:r w:rsidR="00980FCA" w:rsidRPr="006F307B">
        <w:rPr>
          <w:color w:val="auto"/>
        </w:rPr>
        <w:t>here were other drivers of the model which could not be fully quantified during the evaluation. These included:</w:t>
      </w:r>
    </w:p>
    <w:p w:rsidR="00980FCA" w:rsidRPr="006F307B" w:rsidRDefault="00980FCA" w:rsidP="00CA41B6">
      <w:pPr>
        <w:pStyle w:val="ListParagraph"/>
        <w:numPr>
          <w:ilvl w:val="0"/>
          <w:numId w:val="28"/>
        </w:numPr>
        <w:ind w:left="993" w:hanging="284"/>
        <w:rPr>
          <w:color w:val="auto"/>
        </w:rPr>
      </w:pPr>
      <w:r w:rsidRPr="006F307B">
        <w:rPr>
          <w:color w:val="auto"/>
        </w:rPr>
        <w:t>Lack of adjustment for efficacy of 2L EGFR inhibitor and anti PD-1/PD-L1 in the pembrolizumab arm</w:t>
      </w:r>
      <w:r w:rsidR="007243BA" w:rsidRPr="006F307B">
        <w:rPr>
          <w:color w:val="auto"/>
        </w:rPr>
        <w:t xml:space="preserve"> as used in KN048. EGFR inhibitors are not PBS listed for R/M HNSCC, and the current restriction for 2L nivolumab would not allow for use after 1L pembrolizumab. Therefore 2L EGFR inhibitor and anti PD-1/PD-L1 </w:t>
      </w:r>
      <w:r w:rsidR="00F961D1" w:rsidRPr="006F307B">
        <w:rPr>
          <w:color w:val="auto"/>
        </w:rPr>
        <w:t xml:space="preserve">use </w:t>
      </w:r>
      <w:r w:rsidR="007243BA" w:rsidRPr="006F307B">
        <w:rPr>
          <w:color w:val="auto"/>
        </w:rPr>
        <w:t xml:space="preserve">in </w:t>
      </w:r>
      <w:r w:rsidR="00F961D1" w:rsidRPr="006F307B">
        <w:rPr>
          <w:color w:val="auto"/>
        </w:rPr>
        <w:t xml:space="preserve">KN048 </w:t>
      </w:r>
      <w:r w:rsidR="007243BA" w:rsidRPr="006F307B">
        <w:rPr>
          <w:color w:val="auto"/>
        </w:rPr>
        <w:t xml:space="preserve">would unlikely to be </w:t>
      </w:r>
      <w:r w:rsidR="00AC0B0B" w:rsidRPr="006F307B">
        <w:rPr>
          <w:color w:val="auto"/>
        </w:rPr>
        <w:t xml:space="preserve">used </w:t>
      </w:r>
      <w:r w:rsidR="007243BA" w:rsidRPr="006F307B">
        <w:rPr>
          <w:color w:val="auto"/>
        </w:rPr>
        <w:t>in the Australian population</w:t>
      </w:r>
      <w:r w:rsidRPr="006F307B">
        <w:rPr>
          <w:color w:val="auto"/>
        </w:rPr>
        <w:t xml:space="preserve">, </w:t>
      </w:r>
      <w:r w:rsidR="00F31F63" w:rsidRPr="006F307B">
        <w:rPr>
          <w:color w:val="auto"/>
        </w:rPr>
        <w:t xml:space="preserve">and the </w:t>
      </w:r>
      <w:r w:rsidR="00AC0B0B" w:rsidRPr="006F307B">
        <w:rPr>
          <w:color w:val="auto"/>
        </w:rPr>
        <w:t xml:space="preserve">lack of adjustments to account for </w:t>
      </w:r>
      <w:r w:rsidR="00F961D1" w:rsidRPr="006F307B">
        <w:rPr>
          <w:color w:val="auto"/>
        </w:rPr>
        <w:t xml:space="preserve">the </w:t>
      </w:r>
      <w:r w:rsidR="00F31F63" w:rsidRPr="006F307B">
        <w:rPr>
          <w:color w:val="auto"/>
        </w:rPr>
        <w:t xml:space="preserve">efficacy </w:t>
      </w:r>
      <w:r w:rsidR="00F961D1" w:rsidRPr="006F307B">
        <w:rPr>
          <w:color w:val="auto"/>
        </w:rPr>
        <w:t xml:space="preserve">of these subsequent therapies </w:t>
      </w:r>
      <w:r w:rsidRPr="006F307B">
        <w:rPr>
          <w:color w:val="auto"/>
        </w:rPr>
        <w:t>favours pembrolizumab;</w:t>
      </w:r>
    </w:p>
    <w:p w:rsidR="00980FCA" w:rsidRPr="006F307B" w:rsidRDefault="00980FCA" w:rsidP="00CA41B6">
      <w:pPr>
        <w:pStyle w:val="ListParagraph"/>
        <w:numPr>
          <w:ilvl w:val="0"/>
          <w:numId w:val="28"/>
        </w:numPr>
        <w:ind w:left="993" w:hanging="284"/>
        <w:rPr>
          <w:color w:val="auto"/>
        </w:rPr>
      </w:pPr>
      <w:r w:rsidRPr="006F307B">
        <w:rPr>
          <w:color w:val="auto"/>
        </w:rPr>
        <w:t xml:space="preserve">Applying all cause grade 3-4 adverse events from EXTREME to the SoC arm, but only very selectively applying treatment related grade 3-5 adverse events which </w:t>
      </w:r>
      <w:r w:rsidRPr="006F307B">
        <w:rPr>
          <w:color w:val="auto"/>
        </w:rPr>
        <w:lastRenderedPageBreak/>
        <w:t>required hospitalisation from KN048 to the pembrolizumab arms, favours pembrolizumab;</w:t>
      </w:r>
    </w:p>
    <w:p w:rsidR="00980FCA" w:rsidRPr="006F307B" w:rsidRDefault="00980FCA" w:rsidP="00CA41B6">
      <w:pPr>
        <w:pStyle w:val="ListParagraph"/>
        <w:numPr>
          <w:ilvl w:val="0"/>
          <w:numId w:val="28"/>
        </w:numPr>
        <w:ind w:left="993" w:hanging="284"/>
        <w:rPr>
          <w:color w:val="auto"/>
        </w:rPr>
      </w:pPr>
      <w:r w:rsidRPr="006F307B">
        <w:rPr>
          <w:color w:val="auto"/>
        </w:rPr>
        <w:t>Lack of adjustment for EXTREME having patients who were likely less healthy than KN048 based on ECOG performance status, favours pembrolizumab; and</w:t>
      </w:r>
    </w:p>
    <w:p w:rsidR="00980FCA" w:rsidRPr="006F307B" w:rsidRDefault="00980FCA" w:rsidP="00CA41B6">
      <w:pPr>
        <w:pStyle w:val="ListParagraph"/>
        <w:numPr>
          <w:ilvl w:val="0"/>
          <w:numId w:val="28"/>
        </w:numPr>
        <w:ind w:left="993" w:hanging="284"/>
        <w:rPr>
          <w:color w:val="auto"/>
        </w:rPr>
      </w:pPr>
      <w:r w:rsidRPr="006F307B">
        <w:rPr>
          <w:color w:val="auto"/>
        </w:rPr>
        <w:t xml:space="preserve">The use of different prices for pembrolizumab in the pembrolizumab monotherapy and pembrolizumab </w:t>
      </w:r>
      <w:r w:rsidR="00CC0EA0" w:rsidRPr="006F307B">
        <w:rPr>
          <w:color w:val="auto"/>
        </w:rPr>
        <w:t xml:space="preserve">+ </w:t>
      </w:r>
      <w:r w:rsidRPr="006F307B">
        <w:rPr>
          <w:color w:val="auto"/>
        </w:rPr>
        <w:t>chemotherapy models</w:t>
      </w:r>
      <w:r w:rsidR="00EB2728" w:rsidRPr="006F307B">
        <w:rPr>
          <w:color w:val="auto"/>
        </w:rPr>
        <w:t>. T</w:t>
      </w:r>
      <w:r w:rsidR="006651A6" w:rsidRPr="006F307B">
        <w:rPr>
          <w:color w:val="auto"/>
        </w:rPr>
        <w:t>he ESC</w:t>
      </w:r>
      <w:r w:rsidR="000D7C8A" w:rsidRPr="006F307B">
        <w:rPr>
          <w:color w:val="auto"/>
        </w:rPr>
        <w:t>s</w:t>
      </w:r>
      <w:r w:rsidR="006651A6" w:rsidRPr="006F307B">
        <w:rPr>
          <w:color w:val="auto"/>
        </w:rPr>
        <w:t xml:space="preserve"> considered that the</w:t>
      </w:r>
      <w:r w:rsidR="009E2238" w:rsidRPr="006F307B">
        <w:rPr>
          <w:color w:val="auto"/>
        </w:rPr>
        <w:t xml:space="preserve"> 80:20</w:t>
      </w:r>
      <w:r w:rsidR="006651A6" w:rsidRPr="006F307B">
        <w:rPr>
          <w:color w:val="auto"/>
        </w:rPr>
        <w:t xml:space="preserve"> split for pembrolizumab regimen was not reasonable, and </w:t>
      </w:r>
      <w:r w:rsidR="00EB2728" w:rsidRPr="006F307B">
        <w:rPr>
          <w:color w:val="auto"/>
        </w:rPr>
        <w:t xml:space="preserve">as this interacted with the differential pricing assumed in the two settings </w:t>
      </w:r>
      <w:r w:rsidRPr="006F307B">
        <w:rPr>
          <w:color w:val="auto"/>
        </w:rPr>
        <w:t xml:space="preserve">the </w:t>
      </w:r>
      <w:r w:rsidR="00817427" w:rsidRPr="006F307B">
        <w:rPr>
          <w:color w:val="auto"/>
        </w:rPr>
        <w:t xml:space="preserve">direction of </w:t>
      </w:r>
      <w:r w:rsidRPr="006F307B">
        <w:rPr>
          <w:color w:val="auto"/>
        </w:rPr>
        <w:t>bias was unclear.</w:t>
      </w:r>
    </w:p>
    <w:p w:rsidR="00980FCA" w:rsidRPr="006F307B" w:rsidRDefault="00980FCA" w:rsidP="00980FCA">
      <w:pPr>
        <w:pStyle w:val="ListParagraph"/>
        <w:numPr>
          <w:ilvl w:val="4"/>
          <w:numId w:val="1"/>
        </w:numPr>
        <w:rPr>
          <w:color w:val="auto"/>
        </w:rPr>
      </w:pPr>
      <w:r w:rsidRPr="006F307B">
        <w:rPr>
          <w:color w:val="auto"/>
        </w:rPr>
        <w:t xml:space="preserve">The results of the two partitioned survival cohort simulations in patients with CPS </w:t>
      </w:r>
      <w:r w:rsidRPr="006F307B">
        <w:rPr>
          <w:rFonts w:cstheme="minorHAnsi"/>
          <w:color w:val="auto"/>
        </w:rPr>
        <w:t>≥</w:t>
      </w:r>
      <w:r w:rsidRPr="006F307B">
        <w:rPr>
          <w:color w:val="auto"/>
        </w:rPr>
        <w:t>1 are summarised in Table 1</w:t>
      </w:r>
      <w:r w:rsidR="00812630" w:rsidRPr="006F307B">
        <w:rPr>
          <w:color w:val="auto"/>
        </w:rPr>
        <w:t>8</w:t>
      </w:r>
      <w:r w:rsidR="00967868">
        <w:rPr>
          <w:color w:val="auto"/>
        </w:rPr>
        <w:t>.</w:t>
      </w:r>
    </w:p>
    <w:p w:rsidR="00980FCA" w:rsidRPr="006F307B" w:rsidRDefault="00980FCA">
      <w:pPr>
        <w:pStyle w:val="Caption"/>
      </w:pPr>
      <w:r w:rsidRPr="006F307B">
        <w:t>Table 1</w:t>
      </w:r>
      <w:r w:rsidR="00812630" w:rsidRPr="006F307B">
        <w:t>8</w:t>
      </w:r>
      <w:r w:rsidRPr="006F307B">
        <w:t>: Results of the partitioned survival cohort simulation in patients with CPS</w:t>
      </w:r>
      <w:r w:rsidR="001F5FB6">
        <w:t xml:space="preserve"> </w:t>
      </w:r>
      <w:r w:rsidRPr="006F307B">
        <w:t>≥1</w:t>
      </w:r>
      <w:r w:rsidR="00712AD1" w:rsidRPr="006F307B">
        <w:t xml:space="preserve"> </w:t>
      </w:r>
      <w:r w:rsidR="00A333C8" w:rsidRPr="006F307B">
        <w:t>(</w:t>
      </w:r>
      <w:r w:rsidR="00712AD1" w:rsidRPr="006F307B">
        <w:t xml:space="preserve">submission </w:t>
      </w:r>
      <w:r w:rsidR="008C6FB3" w:rsidRPr="006F307B">
        <w:t>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4"/>
        <w:gridCol w:w="2362"/>
        <w:gridCol w:w="2362"/>
        <w:gridCol w:w="2038"/>
      </w:tblGrid>
      <w:tr w:rsidR="00980FCA" w:rsidRPr="006F307B" w:rsidTr="00980FCA">
        <w:tc>
          <w:tcPr>
            <w:tcW w:w="1250" w:type="pct"/>
            <w:vAlign w:val="bottom"/>
          </w:tcPr>
          <w:p w:rsidR="00980FCA" w:rsidRPr="006F307B" w:rsidRDefault="00980FCA" w:rsidP="00980FCA">
            <w:pPr>
              <w:pStyle w:val="TableText"/>
              <w:keepNext/>
              <w:keepLines/>
              <w:spacing w:before="0" w:after="0" w:line="240" w:lineRule="auto"/>
              <w:jc w:val="center"/>
              <w:rPr>
                <w:b/>
              </w:rPr>
            </w:pPr>
            <w:r w:rsidRPr="006F307B">
              <w:rPr>
                <w:b/>
              </w:rPr>
              <w:t>Component</w:t>
            </w:r>
          </w:p>
        </w:tc>
        <w:tc>
          <w:tcPr>
            <w:tcW w:w="1310" w:type="pct"/>
            <w:vAlign w:val="bottom"/>
          </w:tcPr>
          <w:p w:rsidR="00980FCA" w:rsidRPr="006F307B" w:rsidRDefault="00980FCA" w:rsidP="00980FCA">
            <w:pPr>
              <w:pStyle w:val="TableText"/>
              <w:keepNext/>
              <w:keepLines/>
              <w:spacing w:before="0" w:after="0" w:line="240" w:lineRule="auto"/>
              <w:jc w:val="center"/>
              <w:rPr>
                <w:b/>
              </w:rPr>
            </w:pPr>
            <w:r w:rsidRPr="006F307B">
              <w:rPr>
                <w:b/>
              </w:rPr>
              <w:t>Pembrolizumab ± chemotherapy</w:t>
            </w:r>
          </w:p>
        </w:tc>
        <w:tc>
          <w:tcPr>
            <w:tcW w:w="1310" w:type="pct"/>
            <w:vAlign w:val="bottom"/>
          </w:tcPr>
          <w:p w:rsidR="00980FCA" w:rsidRPr="006F307B" w:rsidRDefault="00980FCA" w:rsidP="00980FCA">
            <w:pPr>
              <w:pStyle w:val="TableText"/>
              <w:keepNext/>
              <w:keepLines/>
              <w:spacing w:before="0" w:after="0" w:line="240" w:lineRule="auto"/>
              <w:jc w:val="center"/>
              <w:rPr>
                <w:b/>
              </w:rPr>
            </w:pPr>
            <w:r w:rsidRPr="006F307B">
              <w:rPr>
                <w:b/>
              </w:rPr>
              <w:t>SoC</w:t>
            </w:r>
          </w:p>
        </w:tc>
        <w:tc>
          <w:tcPr>
            <w:tcW w:w="1130" w:type="pct"/>
            <w:vAlign w:val="bottom"/>
          </w:tcPr>
          <w:p w:rsidR="00980FCA" w:rsidRPr="006F307B" w:rsidRDefault="00980FCA" w:rsidP="00980FCA">
            <w:pPr>
              <w:pStyle w:val="TableText"/>
              <w:keepNext/>
              <w:keepLines/>
              <w:spacing w:before="0" w:after="0" w:line="240" w:lineRule="auto"/>
              <w:jc w:val="center"/>
              <w:rPr>
                <w:b/>
              </w:rPr>
            </w:pPr>
            <w:r w:rsidRPr="006F307B">
              <w:rPr>
                <w:b/>
              </w:rPr>
              <w:t>Increment</w:t>
            </w:r>
          </w:p>
        </w:tc>
      </w:tr>
      <w:tr w:rsidR="00980FCA" w:rsidRPr="006F307B" w:rsidTr="00980FCA">
        <w:tc>
          <w:tcPr>
            <w:tcW w:w="5000" w:type="pct"/>
            <w:gridSpan w:val="4"/>
          </w:tcPr>
          <w:p w:rsidR="00980FCA" w:rsidRPr="006F307B" w:rsidRDefault="00980FCA" w:rsidP="00980FCA">
            <w:pPr>
              <w:pStyle w:val="TableNumber"/>
              <w:keepNext/>
              <w:keepLines/>
              <w:tabs>
                <w:tab w:val="clear" w:pos="396"/>
                <w:tab w:val="decimal" w:pos="0"/>
              </w:tabs>
              <w:spacing w:before="0" w:after="0" w:line="240" w:lineRule="auto"/>
              <w:jc w:val="left"/>
            </w:pPr>
            <w:r w:rsidRPr="006F307B">
              <w:t>Pembrolizumab monotherapy vs SoC (CPS≥1)</w:t>
            </w:r>
          </w:p>
        </w:tc>
      </w:tr>
      <w:tr w:rsidR="00980FCA" w:rsidRPr="006F307B" w:rsidTr="00227137">
        <w:tc>
          <w:tcPr>
            <w:tcW w:w="1250" w:type="pct"/>
          </w:tcPr>
          <w:p w:rsidR="00980FCA" w:rsidRPr="006F307B" w:rsidRDefault="00980FCA" w:rsidP="00980FCA">
            <w:pPr>
              <w:pStyle w:val="TableText"/>
              <w:keepNext/>
              <w:keepLines/>
              <w:spacing w:before="0" w:after="0" w:line="240" w:lineRule="auto"/>
            </w:pPr>
            <w:r w:rsidRPr="006F307B">
              <w:t>Cost</w:t>
            </w:r>
          </w:p>
        </w:tc>
        <w:tc>
          <w:tcPr>
            <w:tcW w:w="1310" w:type="pct"/>
          </w:tcPr>
          <w:p w:rsidR="00980FCA" w:rsidRPr="006F307B" w:rsidRDefault="00227137" w:rsidP="00F75EAD">
            <w:pPr>
              <w:pStyle w:val="TableNumber"/>
              <w:keepNext/>
              <w:keepLines/>
              <w:tabs>
                <w:tab w:val="clear" w:pos="396"/>
                <w:tab w:val="decimal" w:pos="0"/>
              </w:tabs>
              <w:spacing w:before="0" w:after="0" w:line="240" w:lineRule="auto"/>
            </w:pPr>
            <w:r>
              <w:t>$</w:t>
            </w:r>
            <w:r w:rsidR="00071965">
              <w:rPr>
                <w:noProof/>
                <w:color w:val="000000"/>
                <w:highlight w:val="black"/>
              </w:rPr>
              <w:t>'''''''''''''''''</w:t>
            </w:r>
          </w:p>
        </w:tc>
        <w:tc>
          <w:tcPr>
            <w:tcW w:w="1310" w:type="pct"/>
          </w:tcPr>
          <w:p w:rsidR="00980FCA" w:rsidRPr="006F307B" w:rsidRDefault="00980FCA" w:rsidP="00F75EAD">
            <w:pPr>
              <w:pStyle w:val="TableNumber"/>
              <w:keepNext/>
              <w:keepLines/>
              <w:tabs>
                <w:tab w:val="clear" w:pos="396"/>
              </w:tabs>
              <w:spacing w:before="0" w:after="0" w:line="240" w:lineRule="auto"/>
            </w:pPr>
            <w:r w:rsidRPr="006F307B">
              <w:t>$3</w:t>
            </w:r>
            <w:r w:rsidR="00227137">
              <w:t>0,918</w:t>
            </w:r>
          </w:p>
        </w:tc>
        <w:tc>
          <w:tcPr>
            <w:tcW w:w="1130" w:type="pct"/>
          </w:tcPr>
          <w:p w:rsidR="00980FCA" w:rsidRPr="006F307B" w:rsidRDefault="00227137" w:rsidP="00F75EAD">
            <w:pPr>
              <w:pStyle w:val="TableNumber"/>
              <w:keepNext/>
              <w:keepLines/>
              <w:tabs>
                <w:tab w:val="decimal" w:pos="127"/>
              </w:tabs>
              <w:spacing w:before="0" w:after="0" w:line="240" w:lineRule="auto"/>
            </w:pPr>
            <w:r>
              <w:t>$</w:t>
            </w:r>
            <w:r w:rsidR="00071965">
              <w:rPr>
                <w:noProof/>
                <w:color w:val="000000"/>
                <w:highlight w:val="black"/>
              </w:rPr>
              <w:t>'''''''''''''''''</w:t>
            </w:r>
          </w:p>
        </w:tc>
      </w:tr>
      <w:tr w:rsidR="00980FCA" w:rsidRPr="006F307B" w:rsidTr="00227137">
        <w:tc>
          <w:tcPr>
            <w:tcW w:w="1250" w:type="pct"/>
          </w:tcPr>
          <w:p w:rsidR="00980FCA" w:rsidRPr="006F307B" w:rsidRDefault="00980FCA" w:rsidP="00980FCA">
            <w:pPr>
              <w:pStyle w:val="TableText"/>
              <w:keepNext/>
              <w:keepLines/>
              <w:spacing w:before="0" w:after="0" w:line="240" w:lineRule="auto"/>
            </w:pPr>
            <w:r w:rsidRPr="006F307B">
              <w:t>LY</w:t>
            </w:r>
          </w:p>
        </w:tc>
        <w:tc>
          <w:tcPr>
            <w:tcW w:w="1310" w:type="pct"/>
          </w:tcPr>
          <w:p w:rsidR="00980FCA" w:rsidRPr="006F307B" w:rsidRDefault="00980FCA" w:rsidP="00F75EAD">
            <w:pPr>
              <w:pStyle w:val="TableNumber"/>
              <w:keepNext/>
              <w:keepLines/>
              <w:tabs>
                <w:tab w:val="decimal" w:pos="0"/>
              </w:tabs>
              <w:spacing w:before="0" w:after="0" w:line="240" w:lineRule="auto"/>
            </w:pPr>
            <w:r w:rsidRPr="006F307B">
              <w:t>1.7819</w:t>
            </w:r>
          </w:p>
        </w:tc>
        <w:tc>
          <w:tcPr>
            <w:tcW w:w="1310" w:type="pct"/>
          </w:tcPr>
          <w:p w:rsidR="00980FCA" w:rsidRPr="006F307B" w:rsidRDefault="00980FCA" w:rsidP="00F75EAD">
            <w:pPr>
              <w:pStyle w:val="TableNumber"/>
              <w:keepNext/>
              <w:keepLines/>
              <w:tabs>
                <w:tab w:val="clear" w:pos="396"/>
              </w:tabs>
              <w:spacing w:before="0" w:after="0" w:line="240" w:lineRule="auto"/>
            </w:pPr>
            <w:r w:rsidRPr="006F307B">
              <w:t>1.0741</w:t>
            </w:r>
          </w:p>
        </w:tc>
        <w:tc>
          <w:tcPr>
            <w:tcW w:w="1130" w:type="pct"/>
          </w:tcPr>
          <w:p w:rsidR="00980FCA" w:rsidRPr="006F307B" w:rsidRDefault="00980FCA" w:rsidP="00F75EAD">
            <w:pPr>
              <w:pStyle w:val="TableNumber"/>
              <w:keepNext/>
              <w:keepLines/>
              <w:tabs>
                <w:tab w:val="decimal" w:pos="127"/>
              </w:tabs>
              <w:spacing w:before="0" w:after="0" w:line="240" w:lineRule="auto"/>
            </w:pPr>
            <w:r w:rsidRPr="006F307B">
              <w:t>0.7079</w:t>
            </w:r>
          </w:p>
        </w:tc>
      </w:tr>
      <w:tr w:rsidR="00980FCA" w:rsidRPr="006F307B" w:rsidTr="00227137">
        <w:tc>
          <w:tcPr>
            <w:tcW w:w="1250" w:type="pct"/>
          </w:tcPr>
          <w:p w:rsidR="00980FCA" w:rsidRPr="006F307B" w:rsidRDefault="00980FCA" w:rsidP="00980FCA">
            <w:pPr>
              <w:pStyle w:val="TableText"/>
              <w:keepNext/>
              <w:keepLines/>
              <w:spacing w:before="0" w:after="0" w:line="240" w:lineRule="auto"/>
            </w:pPr>
            <w:r w:rsidRPr="006F307B">
              <w:t>QALY</w:t>
            </w:r>
          </w:p>
        </w:tc>
        <w:tc>
          <w:tcPr>
            <w:tcW w:w="1310" w:type="pct"/>
          </w:tcPr>
          <w:p w:rsidR="00980FCA" w:rsidRPr="006F307B" w:rsidRDefault="00980FCA" w:rsidP="00F75EAD">
            <w:pPr>
              <w:pStyle w:val="TableNumber"/>
              <w:keepNext/>
              <w:keepLines/>
              <w:tabs>
                <w:tab w:val="decimal" w:pos="0"/>
              </w:tabs>
              <w:spacing w:before="0" w:after="0" w:line="240" w:lineRule="auto"/>
            </w:pPr>
            <w:r w:rsidRPr="006F307B">
              <w:t>1.3321</w:t>
            </w:r>
          </w:p>
        </w:tc>
        <w:tc>
          <w:tcPr>
            <w:tcW w:w="1310" w:type="pct"/>
          </w:tcPr>
          <w:p w:rsidR="00980FCA" w:rsidRPr="006F307B" w:rsidRDefault="00980FCA" w:rsidP="00F75EAD">
            <w:pPr>
              <w:pStyle w:val="TableNumber"/>
              <w:keepNext/>
              <w:keepLines/>
              <w:tabs>
                <w:tab w:val="clear" w:pos="396"/>
              </w:tabs>
              <w:spacing w:before="0" w:after="0" w:line="240" w:lineRule="auto"/>
            </w:pPr>
            <w:r w:rsidRPr="006F307B">
              <w:t>0.7989</w:t>
            </w:r>
          </w:p>
        </w:tc>
        <w:tc>
          <w:tcPr>
            <w:tcW w:w="1130" w:type="pct"/>
          </w:tcPr>
          <w:p w:rsidR="00980FCA" w:rsidRPr="006F307B" w:rsidRDefault="00980FCA" w:rsidP="00F75EAD">
            <w:pPr>
              <w:pStyle w:val="TableNumber"/>
              <w:keepNext/>
              <w:keepLines/>
              <w:tabs>
                <w:tab w:val="decimal" w:pos="127"/>
              </w:tabs>
              <w:spacing w:before="0" w:after="0" w:line="240" w:lineRule="auto"/>
            </w:pPr>
            <w:r w:rsidRPr="006F307B">
              <w:t>0.5332</w:t>
            </w:r>
          </w:p>
        </w:tc>
      </w:tr>
      <w:tr w:rsidR="00980FCA" w:rsidRPr="006F307B" w:rsidTr="00980FCA">
        <w:tc>
          <w:tcPr>
            <w:tcW w:w="3870" w:type="pct"/>
            <w:gridSpan w:val="3"/>
          </w:tcPr>
          <w:p w:rsidR="00980FCA" w:rsidRPr="006F307B" w:rsidRDefault="00980FCA" w:rsidP="00980FCA">
            <w:pPr>
              <w:pStyle w:val="TableNumber"/>
              <w:keepNext/>
              <w:keepLines/>
              <w:spacing w:before="0" w:after="0" w:line="240" w:lineRule="auto"/>
              <w:jc w:val="right"/>
            </w:pPr>
            <w:r w:rsidRPr="006F307B">
              <w:t>Incremental cost per LY gained</w:t>
            </w:r>
          </w:p>
        </w:tc>
        <w:tc>
          <w:tcPr>
            <w:tcW w:w="1130" w:type="pct"/>
          </w:tcPr>
          <w:p w:rsidR="00980FCA" w:rsidRPr="0072002E" w:rsidRDefault="00980FCA" w:rsidP="00F75EAD">
            <w:pPr>
              <w:pStyle w:val="TableNumber"/>
              <w:keepNext/>
              <w:keepLines/>
              <w:tabs>
                <w:tab w:val="decimal" w:pos="127"/>
              </w:tabs>
              <w:spacing w:before="0" w:after="0" w:line="240" w:lineRule="auto"/>
              <w:rPr>
                <w:vertAlign w:val="superscript"/>
              </w:rPr>
            </w:pPr>
            <w:r w:rsidRPr="006F307B">
              <w:t>$</w:t>
            </w:r>
            <w:r w:rsidR="00071965">
              <w:rPr>
                <w:noProof/>
                <w:color w:val="000000"/>
                <w:highlight w:val="black"/>
              </w:rPr>
              <w:t>''''''''''''''''</w:t>
            </w:r>
            <w:r w:rsidR="00641728" w:rsidRPr="0072002E">
              <w:rPr>
                <w:vertAlign w:val="superscript"/>
              </w:rPr>
              <w:t>1</w:t>
            </w:r>
          </w:p>
        </w:tc>
      </w:tr>
      <w:tr w:rsidR="00980FCA" w:rsidRPr="006F307B" w:rsidTr="00980FCA">
        <w:tc>
          <w:tcPr>
            <w:tcW w:w="3870" w:type="pct"/>
            <w:gridSpan w:val="3"/>
          </w:tcPr>
          <w:p w:rsidR="00980FCA" w:rsidRPr="006F307B" w:rsidRDefault="00980FCA" w:rsidP="00980FCA">
            <w:pPr>
              <w:pStyle w:val="TableNumber"/>
              <w:keepNext/>
              <w:keepLines/>
              <w:spacing w:before="0" w:after="0" w:line="240" w:lineRule="auto"/>
              <w:jc w:val="right"/>
            </w:pPr>
            <w:r w:rsidRPr="006F307B">
              <w:t>Incremental cost per QALY gained</w:t>
            </w:r>
          </w:p>
        </w:tc>
        <w:tc>
          <w:tcPr>
            <w:tcW w:w="1130" w:type="pct"/>
          </w:tcPr>
          <w:p w:rsidR="00980FCA" w:rsidRPr="0072002E" w:rsidRDefault="00980FCA" w:rsidP="00F75EAD">
            <w:pPr>
              <w:pStyle w:val="TableNumber"/>
              <w:keepNext/>
              <w:keepLines/>
              <w:tabs>
                <w:tab w:val="decimal" w:pos="127"/>
              </w:tabs>
              <w:spacing w:before="0" w:after="0" w:line="240" w:lineRule="auto"/>
              <w:rPr>
                <w:vertAlign w:val="superscript"/>
              </w:rPr>
            </w:pPr>
            <w:r w:rsidRPr="006F307B">
              <w:t>$</w:t>
            </w:r>
            <w:r w:rsidR="00071965">
              <w:rPr>
                <w:noProof/>
                <w:color w:val="000000"/>
                <w:highlight w:val="black"/>
              </w:rPr>
              <w:t>''''''''''''''''''</w:t>
            </w:r>
            <w:r w:rsidR="00641728" w:rsidRPr="0072002E">
              <w:rPr>
                <w:vertAlign w:val="superscript"/>
              </w:rPr>
              <w:t>2</w:t>
            </w:r>
          </w:p>
        </w:tc>
      </w:tr>
      <w:tr w:rsidR="00980FCA" w:rsidRPr="006F307B" w:rsidTr="00980FCA">
        <w:tc>
          <w:tcPr>
            <w:tcW w:w="5000" w:type="pct"/>
            <w:gridSpan w:val="4"/>
          </w:tcPr>
          <w:p w:rsidR="00980FCA" w:rsidRPr="006F307B" w:rsidRDefault="00980FCA" w:rsidP="00F75EAD">
            <w:pPr>
              <w:pStyle w:val="TableNumber"/>
              <w:keepNext/>
              <w:keepLines/>
              <w:tabs>
                <w:tab w:val="clear" w:pos="396"/>
                <w:tab w:val="decimal" w:pos="0"/>
                <w:tab w:val="decimal" w:pos="127"/>
              </w:tabs>
              <w:spacing w:before="0" w:after="0" w:line="240" w:lineRule="auto"/>
              <w:jc w:val="left"/>
            </w:pPr>
            <w:r w:rsidRPr="006F307B">
              <w:t xml:space="preserve">Pembrolizumab plus chemotherapy vs SoC </w:t>
            </w:r>
            <w:r w:rsidRPr="006F307B">
              <w:rPr>
                <w:vertAlign w:val="superscript"/>
              </w:rPr>
              <w:t>a</w:t>
            </w:r>
            <w:r w:rsidRPr="006F307B">
              <w:t xml:space="preserve"> (CPS≥1)</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Cost</w:t>
            </w:r>
          </w:p>
        </w:tc>
        <w:tc>
          <w:tcPr>
            <w:tcW w:w="1310" w:type="pct"/>
          </w:tcPr>
          <w:p w:rsidR="00980FCA" w:rsidRPr="006F307B" w:rsidRDefault="00F75EAD" w:rsidP="00F75EAD">
            <w:pPr>
              <w:pStyle w:val="TableNumber"/>
              <w:keepNext/>
              <w:keepLines/>
              <w:tabs>
                <w:tab w:val="clear" w:pos="396"/>
                <w:tab w:val="decimal" w:pos="0"/>
              </w:tabs>
              <w:spacing w:before="0" w:after="0" w:line="240" w:lineRule="auto"/>
            </w:pPr>
            <w:r>
              <w:t>$</w:t>
            </w:r>
            <w:r w:rsidR="00071965">
              <w:rPr>
                <w:noProof/>
                <w:color w:val="000000"/>
                <w:highlight w:val="black"/>
              </w:rPr>
              <w:t>'''''''''''''''</w:t>
            </w:r>
          </w:p>
        </w:tc>
        <w:tc>
          <w:tcPr>
            <w:tcW w:w="1310" w:type="pct"/>
          </w:tcPr>
          <w:p w:rsidR="00980FCA" w:rsidRPr="006F307B" w:rsidRDefault="00F75EAD" w:rsidP="00F75EAD">
            <w:pPr>
              <w:pStyle w:val="TableNumber"/>
              <w:keepNext/>
              <w:keepLines/>
              <w:tabs>
                <w:tab w:val="clear" w:pos="396"/>
              </w:tabs>
              <w:spacing w:before="0" w:after="0" w:line="240" w:lineRule="auto"/>
            </w:pPr>
            <w:r>
              <w:t>$30,803</w:t>
            </w:r>
          </w:p>
        </w:tc>
        <w:tc>
          <w:tcPr>
            <w:tcW w:w="1130" w:type="pct"/>
          </w:tcPr>
          <w:p w:rsidR="00980FCA" w:rsidRPr="006F307B" w:rsidRDefault="00F75EAD" w:rsidP="00F75EAD">
            <w:pPr>
              <w:pStyle w:val="TableNumber"/>
              <w:keepNext/>
              <w:keepLines/>
              <w:tabs>
                <w:tab w:val="decimal" w:pos="127"/>
              </w:tabs>
              <w:spacing w:before="0" w:after="0" w:line="240" w:lineRule="auto"/>
            </w:pPr>
            <w:r>
              <w:t>$</w:t>
            </w:r>
            <w:r w:rsidR="00071965">
              <w:rPr>
                <w:noProof/>
                <w:color w:val="000000"/>
                <w:highlight w:val="black"/>
              </w:rPr>
              <w:t>'''''''''''''''</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LY</w:t>
            </w:r>
          </w:p>
        </w:tc>
        <w:tc>
          <w:tcPr>
            <w:tcW w:w="1310" w:type="pct"/>
          </w:tcPr>
          <w:p w:rsidR="00980FCA" w:rsidRPr="006F307B" w:rsidRDefault="00980FCA" w:rsidP="00F75EAD">
            <w:pPr>
              <w:pStyle w:val="TableNumber"/>
              <w:keepNext/>
              <w:keepLines/>
              <w:tabs>
                <w:tab w:val="clear" w:pos="396"/>
                <w:tab w:val="decimal" w:pos="0"/>
              </w:tabs>
              <w:spacing w:before="0" w:after="0" w:line="240" w:lineRule="auto"/>
            </w:pPr>
            <w:r w:rsidRPr="006F307B">
              <w:t>1.9297</w:t>
            </w:r>
          </w:p>
        </w:tc>
        <w:tc>
          <w:tcPr>
            <w:tcW w:w="1310" w:type="pct"/>
          </w:tcPr>
          <w:p w:rsidR="00980FCA" w:rsidRPr="006F307B" w:rsidRDefault="00980FCA" w:rsidP="00F75EAD">
            <w:pPr>
              <w:pStyle w:val="TableNumber"/>
              <w:keepNext/>
              <w:keepLines/>
              <w:tabs>
                <w:tab w:val="clear" w:pos="396"/>
              </w:tabs>
              <w:spacing w:before="0" w:after="0" w:line="240" w:lineRule="auto"/>
            </w:pPr>
            <w:r w:rsidRPr="006F307B">
              <w:t>1.0054</w:t>
            </w:r>
          </w:p>
        </w:tc>
        <w:tc>
          <w:tcPr>
            <w:tcW w:w="1130" w:type="pct"/>
          </w:tcPr>
          <w:p w:rsidR="00980FCA" w:rsidRPr="006F307B" w:rsidRDefault="00980FCA" w:rsidP="00F75EAD">
            <w:pPr>
              <w:pStyle w:val="TableNumber"/>
              <w:keepNext/>
              <w:keepLines/>
              <w:tabs>
                <w:tab w:val="decimal" w:pos="127"/>
              </w:tabs>
              <w:spacing w:before="0" w:after="0" w:line="240" w:lineRule="auto"/>
            </w:pPr>
            <w:r w:rsidRPr="006F307B">
              <w:t>0.9243</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QALY</w:t>
            </w:r>
          </w:p>
        </w:tc>
        <w:tc>
          <w:tcPr>
            <w:tcW w:w="1310" w:type="pct"/>
          </w:tcPr>
          <w:p w:rsidR="00980FCA" w:rsidRPr="006F307B" w:rsidRDefault="00980FCA" w:rsidP="00F75EAD">
            <w:pPr>
              <w:pStyle w:val="TableNumber"/>
              <w:keepNext/>
              <w:keepLines/>
              <w:tabs>
                <w:tab w:val="clear" w:pos="396"/>
                <w:tab w:val="decimal" w:pos="0"/>
              </w:tabs>
              <w:spacing w:before="0" w:after="0" w:line="240" w:lineRule="auto"/>
              <w:rPr>
                <w:rFonts w:eastAsia="Times New Roman" w:cs="Times New Roman"/>
              </w:rPr>
            </w:pPr>
            <w:r w:rsidRPr="006F307B">
              <w:rPr>
                <w:rFonts w:eastAsia="Times New Roman" w:cs="Times New Roman"/>
              </w:rPr>
              <w:t>1.4251</w:t>
            </w:r>
          </w:p>
        </w:tc>
        <w:tc>
          <w:tcPr>
            <w:tcW w:w="1310" w:type="pct"/>
          </w:tcPr>
          <w:p w:rsidR="00980FCA" w:rsidRPr="006F307B" w:rsidRDefault="00980FCA" w:rsidP="00F75EAD">
            <w:pPr>
              <w:pStyle w:val="TableNumber"/>
              <w:keepNext/>
              <w:keepLines/>
              <w:tabs>
                <w:tab w:val="clear" w:pos="396"/>
              </w:tabs>
              <w:spacing w:before="0" w:after="0" w:line="240" w:lineRule="auto"/>
              <w:rPr>
                <w:rFonts w:eastAsia="Times New Roman" w:cs="Times New Roman"/>
              </w:rPr>
            </w:pPr>
            <w:r w:rsidRPr="006F307B">
              <w:rPr>
                <w:rFonts w:eastAsia="Times New Roman" w:cs="Times New Roman"/>
              </w:rPr>
              <w:t>0.7398</w:t>
            </w:r>
          </w:p>
        </w:tc>
        <w:tc>
          <w:tcPr>
            <w:tcW w:w="1130" w:type="pct"/>
          </w:tcPr>
          <w:p w:rsidR="00980FCA" w:rsidRPr="006F307B" w:rsidRDefault="00980FCA" w:rsidP="00F75EAD">
            <w:pPr>
              <w:pStyle w:val="TableNumber"/>
              <w:keepNext/>
              <w:keepLines/>
              <w:tabs>
                <w:tab w:val="decimal" w:pos="127"/>
              </w:tabs>
              <w:spacing w:before="0" w:after="0" w:line="240" w:lineRule="auto"/>
              <w:rPr>
                <w:rFonts w:eastAsia="Times New Roman" w:cs="Times New Roman"/>
              </w:rPr>
            </w:pPr>
            <w:r w:rsidRPr="006F307B">
              <w:rPr>
                <w:rFonts w:eastAsia="Times New Roman" w:cs="Times New Roman"/>
              </w:rPr>
              <w:t>0.6853</w:t>
            </w:r>
          </w:p>
        </w:tc>
      </w:tr>
      <w:tr w:rsidR="00980FCA" w:rsidRPr="006F307B" w:rsidTr="00980FCA">
        <w:tc>
          <w:tcPr>
            <w:tcW w:w="3870" w:type="pct"/>
            <w:gridSpan w:val="3"/>
          </w:tcPr>
          <w:p w:rsidR="00980FCA" w:rsidRPr="006F307B" w:rsidRDefault="00980FCA" w:rsidP="00980FCA">
            <w:pPr>
              <w:pStyle w:val="TableNumber"/>
              <w:keepNext/>
              <w:keepLines/>
              <w:spacing w:before="0" w:after="0" w:line="240" w:lineRule="auto"/>
              <w:jc w:val="right"/>
            </w:pPr>
            <w:r w:rsidRPr="006F307B">
              <w:t>Incremental cost per LY gained</w:t>
            </w:r>
          </w:p>
        </w:tc>
        <w:tc>
          <w:tcPr>
            <w:tcW w:w="1130" w:type="pct"/>
          </w:tcPr>
          <w:p w:rsidR="00980FCA" w:rsidRPr="006F307B" w:rsidRDefault="00F75EAD" w:rsidP="00F75EAD">
            <w:pPr>
              <w:pStyle w:val="TableNumber"/>
              <w:keepNext/>
              <w:keepLines/>
              <w:tabs>
                <w:tab w:val="decimal" w:pos="127"/>
              </w:tabs>
              <w:spacing w:before="0" w:after="0" w:line="240" w:lineRule="auto"/>
            </w:pPr>
            <w:r>
              <w:t>$</w:t>
            </w:r>
            <w:r w:rsidR="00071965">
              <w:rPr>
                <w:noProof/>
                <w:color w:val="000000"/>
                <w:highlight w:val="black"/>
              </w:rPr>
              <w:t>''''''''''''''''</w:t>
            </w:r>
            <w:r w:rsidR="00641728" w:rsidRPr="00D63F79">
              <w:rPr>
                <w:vertAlign w:val="superscript"/>
              </w:rPr>
              <w:t>1</w:t>
            </w:r>
          </w:p>
        </w:tc>
      </w:tr>
      <w:tr w:rsidR="00980FCA" w:rsidRPr="006F307B" w:rsidTr="00980FCA">
        <w:tc>
          <w:tcPr>
            <w:tcW w:w="3870" w:type="pct"/>
            <w:gridSpan w:val="3"/>
          </w:tcPr>
          <w:p w:rsidR="00980FCA" w:rsidRPr="006F307B" w:rsidRDefault="00980FCA" w:rsidP="00980FCA">
            <w:pPr>
              <w:pStyle w:val="TableNumber"/>
              <w:keepNext/>
              <w:keepLines/>
              <w:spacing w:before="0" w:after="0" w:line="240" w:lineRule="auto"/>
              <w:jc w:val="right"/>
            </w:pPr>
            <w:r w:rsidRPr="006F307B">
              <w:t>Incremental cost per QALY gained</w:t>
            </w:r>
          </w:p>
        </w:tc>
        <w:tc>
          <w:tcPr>
            <w:tcW w:w="1130" w:type="pct"/>
          </w:tcPr>
          <w:p w:rsidR="00980FCA" w:rsidRPr="006F307B" w:rsidRDefault="00F75EAD" w:rsidP="00F75EAD">
            <w:pPr>
              <w:pStyle w:val="TableNumber"/>
              <w:keepNext/>
              <w:keepLines/>
              <w:tabs>
                <w:tab w:val="decimal" w:pos="127"/>
              </w:tabs>
              <w:spacing w:before="0" w:after="0" w:line="240" w:lineRule="auto"/>
            </w:pPr>
            <w:r>
              <w:t>$</w:t>
            </w:r>
            <w:r w:rsidR="00071965">
              <w:rPr>
                <w:noProof/>
                <w:color w:val="000000"/>
                <w:highlight w:val="black"/>
              </w:rPr>
              <w:t>'''''''''''''''''</w:t>
            </w:r>
            <w:r w:rsidR="00641728" w:rsidRPr="00D63F79">
              <w:rPr>
                <w:vertAlign w:val="superscript"/>
              </w:rPr>
              <w:t>2</w:t>
            </w:r>
          </w:p>
        </w:tc>
      </w:tr>
      <w:tr w:rsidR="00980FCA" w:rsidRPr="006F307B" w:rsidTr="00980FCA">
        <w:tc>
          <w:tcPr>
            <w:tcW w:w="5000" w:type="pct"/>
            <w:gridSpan w:val="4"/>
          </w:tcPr>
          <w:p w:rsidR="00980FCA" w:rsidRPr="006F307B" w:rsidRDefault="00980FCA" w:rsidP="00F75EAD">
            <w:pPr>
              <w:pStyle w:val="TableNumber"/>
              <w:keepNext/>
              <w:keepLines/>
              <w:tabs>
                <w:tab w:val="clear" w:pos="396"/>
                <w:tab w:val="decimal" w:pos="0"/>
                <w:tab w:val="decimal" w:pos="127"/>
              </w:tabs>
              <w:spacing w:before="0" w:after="0" w:line="240" w:lineRule="auto"/>
              <w:jc w:val="left"/>
              <w:rPr>
                <w:vertAlign w:val="superscript"/>
              </w:rPr>
            </w:pPr>
            <w:r w:rsidRPr="006F307B">
              <w:t xml:space="preserve">Weighted pembrolizumab monotherapy (80%) and pembrolizumab plus chemotherapy (20%) </w:t>
            </w:r>
            <w:r w:rsidRPr="006F307B">
              <w:rPr>
                <w:vertAlign w:val="superscript"/>
              </w:rPr>
              <w:t>b</w:t>
            </w:r>
            <w:r w:rsidRPr="006F307B">
              <w:t xml:space="preserve"> (CPS≥1)</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Cost</w:t>
            </w:r>
          </w:p>
        </w:tc>
        <w:tc>
          <w:tcPr>
            <w:tcW w:w="1310" w:type="pct"/>
          </w:tcPr>
          <w:p w:rsidR="00980FCA" w:rsidRPr="006F307B" w:rsidRDefault="00F75EAD" w:rsidP="00F75EAD">
            <w:pPr>
              <w:pStyle w:val="TableNumber"/>
              <w:keepNext/>
              <w:keepLines/>
              <w:tabs>
                <w:tab w:val="clear" w:pos="396"/>
                <w:tab w:val="decimal" w:pos="0"/>
              </w:tabs>
              <w:spacing w:before="0" w:after="0" w:line="240" w:lineRule="auto"/>
            </w:pPr>
            <w:r>
              <w:t>$</w:t>
            </w:r>
            <w:r w:rsidR="00071965">
              <w:rPr>
                <w:noProof/>
                <w:color w:val="000000"/>
                <w:highlight w:val="black"/>
              </w:rPr>
              <w:t>'''''''''''''''''</w:t>
            </w:r>
          </w:p>
        </w:tc>
        <w:tc>
          <w:tcPr>
            <w:tcW w:w="1310" w:type="pct"/>
          </w:tcPr>
          <w:p w:rsidR="00980FCA" w:rsidRPr="006F307B" w:rsidRDefault="00F75EAD" w:rsidP="00F75EAD">
            <w:pPr>
              <w:pStyle w:val="TableNumber"/>
              <w:keepNext/>
              <w:keepLines/>
              <w:tabs>
                <w:tab w:val="clear" w:pos="396"/>
                <w:tab w:val="decimal" w:pos="0"/>
              </w:tabs>
              <w:spacing w:before="0" w:after="0" w:line="240" w:lineRule="auto"/>
            </w:pPr>
            <w:r>
              <w:t>$30,895</w:t>
            </w:r>
          </w:p>
        </w:tc>
        <w:tc>
          <w:tcPr>
            <w:tcW w:w="1130" w:type="pct"/>
          </w:tcPr>
          <w:p w:rsidR="00980FCA" w:rsidRPr="006F307B" w:rsidRDefault="00980FCA" w:rsidP="00F75EAD">
            <w:pPr>
              <w:pStyle w:val="TableNumber"/>
              <w:keepNext/>
              <w:keepLines/>
              <w:tabs>
                <w:tab w:val="decimal" w:pos="127"/>
              </w:tabs>
              <w:spacing w:before="0" w:after="0" w:line="240" w:lineRule="auto"/>
            </w:pPr>
            <w:r w:rsidRPr="006F307B">
              <w:t>$</w:t>
            </w:r>
            <w:r w:rsidR="00071965">
              <w:rPr>
                <w:noProof/>
                <w:color w:val="000000"/>
                <w:highlight w:val="black"/>
              </w:rPr>
              <w:t>''''''''''''''''</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LY</w:t>
            </w:r>
          </w:p>
        </w:tc>
        <w:tc>
          <w:tcPr>
            <w:tcW w:w="1310" w:type="pct"/>
          </w:tcPr>
          <w:p w:rsidR="00980FCA" w:rsidRPr="006F307B" w:rsidRDefault="00980FCA" w:rsidP="00F75EAD">
            <w:pPr>
              <w:pStyle w:val="TableNumber"/>
              <w:keepNext/>
              <w:keepLines/>
              <w:tabs>
                <w:tab w:val="clear" w:pos="396"/>
                <w:tab w:val="decimal" w:pos="0"/>
              </w:tabs>
              <w:spacing w:before="0" w:after="0" w:line="240" w:lineRule="auto"/>
            </w:pPr>
            <w:r w:rsidRPr="006F307B">
              <w:t>1.81146</w:t>
            </w:r>
          </w:p>
        </w:tc>
        <w:tc>
          <w:tcPr>
            <w:tcW w:w="1310" w:type="pct"/>
          </w:tcPr>
          <w:p w:rsidR="00980FCA" w:rsidRPr="006F307B" w:rsidRDefault="00980FCA" w:rsidP="00F75EAD">
            <w:pPr>
              <w:pStyle w:val="TableNumber"/>
              <w:keepNext/>
              <w:keepLines/>
              <w:tabs>
                <w:tab w:val="clear" w:pos="396"/>
                <w:tab w:val="decimal" w:pos="0"/>
              </w:tabs>
              <w:spacing w:before="0" w:after="0" w:line="240" w:lineRule="auto"/>
            </w:pPr>
            <w:r w:rsidRPr="006F307B">
              <w:t>1.06036</w:t>
            </w:r>
          </w:p>
        </w:tc>
        <w:tc>
          <w:tcPr>
            <w:tcW w:w="1130" w:type="pct"/>
          </w:tcPr>
          <w:p w:rsidR="00980FCA" w:rsidRPr="006F307B" w:rsidRDefault="00980FCA" w:rsidP="00F75EAD">
            <w:pPr>
              <w:pStyle w:val="TableNumber"/>
              <w:keepNext/>
              <w:keepLines/>
              <w:tabs>
                <w:tab w:val="decimal" w:pos="127"/>
              </w:tabs>
              <w:spacing w:before="0" w:after="0" w:line="240" w:lineRule="auto"/>
            </w:pPr>
            <w:r w:rsidRPr="006F307B">
              <w:t>0.75118</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QALY</w:t>
            </w:r>
          </w:p>
        </w:tc>
        <w:tc>
          <w:tcPr>
            <w:tcW w:w="1310" w:type="pct"/>
          </w:tcPr>
          <w:p w:rsidR="00980FCA" w:rsidRPr="006F307B" w:rsidRDefault="00980FCA" w:rsidP="00F75EAD">
            <w:pPr>
              <w:pStyle w:val="TableNumber"/>
              <w:keepNext/>
              <w:keepLines/>
              <w:tabs>
                <w:tab w:val="clear" w:pos="396"/>
                <w:tab w:val="decimal" w:pos="0"/>
              </w:tabs>
              <w:spacing w:before="0" w:after="0" w:line="240" w:lineRule="auto"/>
            </w:pPr>
            <w:r w:rsidRPr="006F307B">
              <w:t>1.3507</w:t>
            </w:r>
          </w:p>
        </w:tc>
        <w:tc>
          <w:tcPr>
            <w:tcW w:w="1310" w:type="pct"/>
          </w:tcPr>
          <w:p w:rsidR="00980FCA" w:rsidRPr="006F307B" w:rsidRDefault="00980FCA" w:rsidP="00F75EAD">
            <w:pPr>
              <w:pStyle w:val="TableNumber"/>
              <w:keepNext/>
              <w:keepLines/>
              <w:tabs>
                <w:tab w:val="clear" w:pos="396"/>
                <w:tab w:val="decimal" w:pos="0"/>
              </w:tabs>
              <w:spacing w:before="0" w:after="0" w:line="240" w:lineRule="auto"/>
            </w:pPr>
            <w:r w:rsidRPr="006F307B">
              <w:t>0.78708</w:t>
            </w:r>
          </w:p>
        </w:tc>
        <w:tc>
          <w:tcPr>
            <w:tcW w:w="1130" w:type="pct"/>
          </w:tcPr>
          <w:p w:rsidR="00980FCA" w:rsidRPr="006F307B" w:rsidRDefault="00980FCA" w:rsidP="00F75EAD">
            <w:pPr>
              <w:pStyle w:val="TableNumber"/>
              <w:keepNext/>
              <w:keepLines/>
              <w:tabs>
                <w:tab w:val="decimal" w:pos="127"/>
              </w:tabs>
              <w:spacing w:before="0" w:after="0" w:line="240" w:lineRule="auto"/>
            </w:pPr>
            <w:r w:rsidRPr="006F307B">
              <w:t>0.56362</w:t>
            </w:r>
          </w:p>
        </w:tc>
      </w:tr>
      <w:tr w:rsidR="00980FCA" w:rsidRPr="006F307B" w:rsidTr="00980FCA">
        <w:tc>
          <w:tcPr>
            <w:tcW w:w="3870" w:type="pct"/>
            <w:gridSpan w:val="3"/>
          </w:tcPr>
          <w:p w:rsidR="00980FCA" w:rsidRPr="006F307B" w:rsidRDefault="00980FCA" w:rsidP="00980FCA">
            <w:pPr>
              <w:pStyle w:val="TableText"/>
              <w:keepNext/>
              <w:keepLines/>
              <w:spacing w:before="0" w:after="0" w:line="240" w:lineRule="auto"/>
              <w:jc w:val="right"/>
              <w:rPr>
                <w:rFonts w:eastAsia="Times New Roman" w:cs="Times New Roman"/>
              </w:rPr>
            </w:pPr>
            <w:r w:rsidRPr="006F307B">
              <w:t>Weighted incremental cost per LY gained</w:t>
            </w:r>
          </w:p>
        </w:tc>
        <w:tc>
          <w:tcPr>
            <w:tcW w:w="1130" w:type="pct"/>
          </w:tcPr>
          <w:p w:rsidR="00980FCA" w:rsidRPr="006F307B" w:rsidRDefault="00F75EAD" w:rsidP="00F75EAD">
            <w:pPr>
              <w:pStyle w:val="TableNumber"/>
              <w:keepNext/>
              <w:keepLines/>
              <w:tabs>
                <w:tab w:val="decimal" w:pos="127"/>
              </w:tabs>
              <w:spacing w:before="0" w:after="0" w:line="240" w:lineRule="auto"/>
              <w:rPr>
                <w:rFonts w:eastAsia="Times New Roman" w:cs="Times New Roman"/>
              </w:rPr>
            </w:pPr>
            <w:r>
              <w:rPr>
                <w:rFonts w:eastAsia="Times New Roman" w:cs="Times New Roman"/>
              </w:rPr>
              <w:t>$</w:t>
            </w:r>
            <w:r w:rsidR="00071965">
              <w:rPr>
                <w:rFonts w:eastAsia="Times New Roman" w:cs="Times New Roman"/>
                <w:noProof/>
                <w:color w:val="000000"/>
                <w:highlight w:val="black"/>
              </w:rPr>
              <w:t>''''''''''''''''</w:t>
            </w:r>
            <w:r w:rsidR="00641728" w:rsidRPr="00D63F79">
              <w:rPr>
                <w:vertAlign w:val="superscript"/>
              </w:rPr>
              <w:t>1</w:t>
            </w:r>
          </w:p>
        </w:tc>
      </w:tr>
      <w:tr w:rsidR="00980FCA" w:rsidRPr="006F307B" w:rsidTr="00A333C8">
        <w:trPr>
          <w:trHeight w:val="77"/>
        </w:trPr>
        <w:tc>
          <w:tcPr>
            <w:tcW w:w="3870" w:type="pct"/>
            <w:gridSpan w:val="3"/>
          </w:tcPr>
          <w:p w:rsidR="00980FCA" w:rsidRPr="006F307B" w:rsidRDefault="00980FCA" w:rsidP="00980FCA">
            <w:pPr>
              <w:pStyle w:val="TableText"/>
              <w:keepNext/>
              <w:keepLines/>
              <w:spacing w:before="0" w:after="0" w:line="240" w:lineRule="auto"/>
              <w:jc w:val="right"/>
            </w:pPr>
            <w:r w:rsidRPr="006F307B">
              <w:t>Weighted incremental cost per QALY gained</w:t>
            </w:r>
          </w:p>
        </w:tc>
        <w:tc>
          <w:tcPr>
            <w:tcW w:w="1130" w:type="pct"/>
          </w:tcPr>
          <w:p w:rsidR="00980FCA" w:rsidRPr="006F307B" w:rsidRDefault="00F75EAD" w:rsidP="00F75EAD">
            <w:pPr>
              <w:pStyle w:val="TableNumber"/>
              <w:keepNext/>
              <w:keepLines/>
              <w:tabs>
                <w:tab w:val="decimal" w:pos="127"/>
              </w:tabs>
              <w:spacing w:before="0" w:after="0" w:line="240" w:lineRule="auto"/>
            </w:pPr>
            <w:r>
              <w:t>$</w:t>
            </w:r>
            <w:r w:rsidR="00071965">
              <w:rPr>
                <w:noProof/>
                <w:color w:val="000000"/>
                <w:highlight w:val="black"/>
              </w:rPr>
              <w:t>'''''''''''''''''</w:t>
            </w:r>
            <w:r w:rsidR="00641728" w:rsidRPr="00D63F79">
              <w:rPr>
                <w:vertAlign w:val="superscript"/>
              </w:rPr>
              <w:t>2</w:t>
            </w:r>
          </w:p>
        </w:tc>
      </w:tr>
    </w:tbl>
    <w:p w:rsidR="00980FCA" w:rsidRPr="006F307B" w:rsidRDefault="00980FCA" w:rsidP="00980FCA">
      <w:pPr>
        <w:pStyle w:val="TableFooter"/>
        <w:keepNext/>
        <w:keepLines/>
      </w:pPr>
      <w:r w:rsidRPr="006F307B">
        <w:rPr>
          <w:vertAlign w:val="superscript"/>
        </w:rPr>
        <w:t>a</w:t>
      </w:r>
      <w:r w:rsidRPr="006F307B">
        <w:t xml:space="preserve"> values differ to the submission’s estimates very marginally due to correction of CPS</w:t>
      </w:r>
      <w:r w:rsidR="0033663D" w:rsidRPr="006F307B">
        <w:t xml:space="preserve"> </w:t>
      </w:r>
      <w:r w:rsidRPr="006F307B">
        <w:t>≥1 prevalence from 85.3% to 85.2%</w:t>
      </w:r>
    </w:p>
    <w:p w:rsidR="00980FCA" w:rsidRPr="006F307B" w:rsidRDefault="00980FCA" w:rsidP="00980FCA">
      <w:pPr>
        <w:pStyle w:val="TableFooter"/>
        <w:keepNext/>
        <w:keepLines/>
      </w:pPr>
      <w:r w:rsidRPr="006F307B">
        <w:rPr>
          <w:vertAlign w:val="superscript"/>
        </w:rPr>
        <w:t>b</w:t>
      </w:r>
      <w:r w:rsidRPr="006F307B">
        <w:t xml:space="preserve"> values calculated as weighted 80% of pembrolizumab monotherapy cost, life year and quality adjusted life year from pembrolizumab monotherapy model and 20% of </w:t>
      </w:r>
      <w:r w:rsidR="004C46AE" w:rsidRPr="006F307B">
        <w:t>pembrolizumab</w:t>
      </w:r>
      <w:r w:rsidRPr="006F307B">
        <w:t xml:space="preserve"> plus chemotherapy model</w:t>
      </w:r>
    </w:p>
    <w:p w:rsidR="00980FCA" w:rsidRPr="006F307B" w:rsidRDefault="00E9137E" w:rsidP="00980FCA">
      <w:pPr>
        <w:pStyle w:val="TableFooter"/>
        <w:keepNext/>
        <w:keepLines/>
      </w:pPr>
      <w:r w:rsidRPr="00ED436C">
        <w:rPr>
          <w:szCs w:val="18"/>
        </w:rPr>
        <w:t xml:space="preserve">Abbreviations: </w:t>
      </w:r>
      <w:r w:rsidRPr="006F307B">
        <w:t xml:space="preserve">CPS = combined positive score, </w:t>
      </w:r>
      <w:r w:rsidR="00980FCA" w:rsidRPr="006F307B">
        <w:t xml:space="preserve">LY = life year, QALY = quality adjusted life year </w:t>
      </w:r>
    </w:p>
    <w:p w:rsidR="00980FCA" w:rsidRDefault="00980FCA" w:rsidP="00980FCA">
      <w:pPr>
        <w:pStyle w:val="TableFooter"/>
        <w:keepNext/>
        <w:keepLines/>
      </w:pPr>
      <w:r w:rsidRPr="006F307B">
        <w:t>Source: Table 3.8-6, 3.8-7 and 3.8-8, p176 and Table 3.8-9 and Table .8-10, p177 of the submission</w:t>
      </w:r>
    </w:p>
    <w:p w:rsidR="00641728" w:rsidRPr="0072002E" w:rsidRDefault="00641728" w:rsidP="00980FCA">
      <w:pPr>
        <w:pStyle w:val="TableFooter"/>
        <w:keepNext/>
        <w:keepLines/>
        <w:rPr>
          <w:i/>
        </w:rPr>
      </w:pPr>
      <w:r w:rsidRPr="0072002E">
        <w:rPr>
          <w:i/>
        </w:rPr>
        <w:t>The redacted values correspond to the following ranges:</w:t>
      </w:r>
    </w:p>
    <w:p w:rsidR="00641728" w:rsidRPr="0072002E" w:rsidRDefault="00641728" w:rsidP="00980FCA">
      <w:pPr>
        <w:pStyle w:val="TableFooter"/>
        <w:keepNext/>
        <w:keepLines/>
        <w:rPr>
          <w:i/>
        </w:rPr>
      </w:pPr>
      <w:r w:rsidRPr="0072002E">
        <w:rPr>
          <w:i/>
          <w:vertAlign w:val="superscript"/>
        </w:rPr>
        <w:t>1</w:t>
      </w:r>
      <w:r w:rsidRPr="0072002E">
        <w:rPr>
          <w:i/>
        </w:rPr>
        <w:t>$45,000 to &lt;$55,000/QALY gained</w:t>
      </w:r>
    </w:p>
    <w:p w:rsidR="00641728" w:rsidRPr="0072002E" w:rsidRDefault="00641728" w:rsidP="00980FCA">
      <w:pPr>
        <w:pStyle w:val="TableFooter"/>
        <w:keepNext/>
        <w:keepLines/>
        <w:rPr>
          <w:i/>
        </w:rPr>
      </w:pPr>
      <w:r w:rsidRPr="0072002E">
        <w:rPr>
          <w:i/>
          <w:vertAlign w:val="superscript"/>
        </w:rPr>
        <w:t>2</w:t>
      </w:r>
      <w:r w:rsidRPr="0072002E">
        <w:rPr>
          <w:i/>
        </w:rPr>
        <w:t>$55,000 to &lt;$75,000/QALY gained</w:t>
      </w:r>
    </w:p>
    <w:p w:rsidR="00980FCA" w:rsidRPr="006F307B" w:rsidRDefault="00980FCA" w:rsidP="00980FCA">
      <w:pPr>
        <w:pStyle w:val="ListParagraph"/>
        <w:numPr>
          <w:ilvl w:val="4"/>
          <w:numId w:val="1"/>
        </w:numPr>
        <w:rPr>
          <w:color w:val="auto"/>
        </w:rPr>
      </w:pPr>
      <w:r w:rsidRPr="006F307B">
        <w:rPr>
          <w:color w:val="auto"/>
        </w:rPr>
        <w:t xml:space="preserve">The results of the economic evaluation when considering all patients with R/M HNSCC </w:t>
      </w:r>
      <w:r w:rsidR="00231A54" w:rsidRPr="006F307B">
        <w:rPr>
          <w:color w:val="auto"/>
        </w:rPr>
        <w:t xml:space="preserve">(all </w:t>
      </w:r>
      <w:r w:rsidR="00231A54" w:rsidRPr="006F307B">
        <w:rPr>
          <w:color w:val="auto"/>
          <w:szCs w:val="24"/>
        </w:rPr>
        <w:t>patients are tested</w:t>
      </w:r>
      <w:r w:rsidR="00FC7A19" w:rsidRPr="006F307B">
        <w:rPr>
          <w:color w:val="auto"/>
          <w:szCs w:val="24"/>
        </w:rPr>
        <w:t xml:space="preserve">; </w:t>
      </w:r>
      <w:r w:rsidR="00231A54" w:rsidRPr="006F307B">
        <w:rPr>
          <w:color w:val="auto"/>
          <w:szCs w:val="24"/>
        </w:rPr>
        <w:t>patients with PD-L1 CPS</w:t>
      </w:r>
      <w:r w:rsidR="001F5FB6">
        <w:rPr>
          <w:color w:val="auto"/>
          <w:szCs w:val="24"/>
        </w:rPr>
        <w:t xml:space="preserve"> </w:t>
      </w:r>
      <w:r w:rsidR="00231A54" w:rsidRPr="006F307B">
        <w:rPr>
          <w:rFonts w:cstheme="minorHAnsi"/>
          <w:color w:val="auto"/>
          <w:szCs w:val="24"/>
        </w:rPr>
        <w:t>≥</w:t>
      </w:r>
      <w:r w:rsidR="00231A54" w:rsidRPr="006F307B">
        <w:rPr>
          <w:color w:val="auto"/>
          <w:szCs w:val="24"/>
        </w:rPr>
        <w:t>1 are treated with pembrolizumab</w:t>
      </w:r>
      <w:r w:rsidR="00FC7A19" w:rsidRPr="006F307B">
        <w:rPr>
          <w:rFonts w:cstheme="minorHAnsi"/>
          <w:color w:val="auto"/>
          <w:szCs w:val="24"/>
        </w:rPr>
        <w:t xml:space="preserve"> and patients with CPS</w:t>
      </w:r>
      <w:r w:rsidR="001F5FB6">
        <w:rPr>
          <w:rFonts w:cstheme="minorHAnsi"/>
          <w:color w:val="auto"/>
          <w:szCs w:val="24"/>
        </w:rPr>
        <w:t xml:space="preserve"> </w:t>
      </w:r>
      <w:r w:rsidR="00FC7A19" w:rsidRPr="006F307B">
        <w:rPr>
          <w:rFonts w:cstheme="minorHAnsi"/>
          <w:color w:val="auto"/>
          <w:szCs w:val="24"/>
        </w:rPr>
        <w:t xml:space="preserve">&lt;1 receive SoC) </w:t>
      </w:r>
      <w:r w:rsidR="009141C4" w:rsidRPr="006F307B">
        <w:rPr>
          <w:rFonts w:cstheme="minorHAnsi"/>
          <w:color w:val="auto"/>
          <w:szCs w:val="24"/>
        </w:rPr>
        <w:t>are</w:t>
      </w:r>
      <w:r w:rsidRPr="006F307B">
        <w:rPr>
          <w:color w:val="auto"/>
        </w:rPr>
        <w:t xml:space="preserve"> presented in Table 1</w:t>
      </w:r>
      <w:r w:rsidR="00812630" w:rsidRPr="006F307B">
        <w:rPr>
          <w:color w:val="auto"/>
        </w:rPr>
        <w:t>9</w:t>
      </w:r>
      <w:r w:rsidRPr="006F307B">
        <w:rPr>
          <w:color w:val="auto"/>
        </w:rPr>
        <w:t xml:space="preserve">. </w:t>
      </w:r>
    </w:p>
    <w:p w:rsidR="00980FCA" w:rsidRPr="006F307B" w:rsidRDefault="00980FCA">
      <w:pPr>
        <w:pStyle w:val="Caption"/>
      </w:pPr>
      <w:r w:rsidRPr="006F307B">
        <w:lastRenderedPageBreak/>
        <w:t>Table 1</w:t>
      </w:r>
      <w:r w:rsidR="00812630" w:rsidRPr="006F307B">
        <w:t>9</w:t>
      </w:r>
      <w:r w:rsidRPr="006F307B">
        <w:t xml:space="preserve">: Results of the economic evaluation </w:t>
      </w:r>
      <w:r w:rsidR="00CC0EA0" w:rsidRPr="006F307B">
        <w:t>(</w:t>
      </w:r>
      <w:r w:rsidRPr="006F307B">
        <w:t xml:space="preserve">all patients </w:t>
      </w:r>
      <w:r w:rsidR="00CC0EA0" w:rsidRPr="006F307B">
        <w:t>included in model, only CPS ≥1 treated)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4"/>
        <w:gridCol w:w="2362"/>
        <w:gridCol w:w="2362"/>
        <w:gridCol w:w="2038"/>
      </w:tblGrid>
      <w:tr w:rsidR="00980FCA" w:rsidRPr="006F307B" w:rsidTr="00980FCA">
        <w:tc>
          <w:tcPr>
            <w:tcW w:w="1250" w:type="pct"/>
            <w:vAlign w:val="bottom"/>
          </w:tcPr>
          <w:p w:rsidR="00980FCA" w:rsidRPr="006F307B" w:rsidRDefault="00980FCA" w:rsidP="00980FCA">
            <w:pPr>
              <w:pStyle w:val="TableText"/>
              <w:keepNext/>
              <w:keepLines/>
              <w:spacing w:before="0" w:after="0" w:line="240" w:lineRule="auto"/>
              <w:jc w:val="center"/>
              <w:rPr>
                <w:b/>
              </w:rPr>
            </w:pPr>
            <w:r w:rsidRPr="006F307B">
              <w:rPr>
                <w:b/>
              </w:rPr>
              <w:t>Component</w:t>
            </w:r>
          </w:p>
        </w:tc>
        <w:tc>
          <w:tcPr>
            <w:tcW w:w="1310" w:type="pct"/>
            <w:vAlign w:val="bottom"/>
          </w:tcPr>
          <w:p w:rsidR="00980FCA" w:rsidRPr="006F307B" w:rsidRDefault="00980FCA" w:rsidP="00980FCA">
            <w:pPr>
              <w:pStyle w:val="TableText"/>
              <w:keepNext/>
              <w:keepLines/>
              <w:spacing w:before="0" w:after="0" w:line="240" w:lineRule="auto"/>
              <w:jc w:val="center"/>
              <w:rPr>
                <w:b/>
              </w:rPr>
            </w:pPr>
            <w:r w:rsidRPr="006F307B">
              <w:rPr>
                <w:b/>
              </w:rPr>
              <w:t>Pembrolizumab ± chemotherapy</w:t>
            </w:r>
          </w:p>
        </w:tc>
        <w:tc>
          <w:tcPr>
            <w:tcW w:w="1310" w:type="pct"/>
            <w:vAlign w:val="bottom"/>
          </w:tcPr>
          <w:p w:rsidR="00980FCA" w:rsidRPr="006F307B" w:rsidRDefault="00980FCA" w:rsidP="00980FCA">
            <w:pPr>
              <w:pStyle w:val="TableText"/>
              <w:keepNext/>
              <w:keepLines/>
              <w:spacing w:before="0" w:after="0" w:line="240" w:lineRule="auto"/>
              <w:jc w:val="center"/>
              <w:rPr>
                <w:b/>
              </w:rPr>
            </w:pPr>
            <w:r w:rsidRPr="006F307B">
              <w:rPr>
                <w:b/>
              </w:rPr>
              <w:t>SoC</w:t>
            </w:r>
          </w:p>
        </w:tc>
        <w:tc>
          <w:tcPr>
            <w:tcW w:w="1130" w:type="pct"/>
            <w:vAlign w:val="bottom"/>
          </w:tcPr>
          <w:p w:rsidR="00980FCA" w:rsidRPr="006F307B" w:rsidRDefault="00980FCA" w:rsidP="00980FCA">
            <w:pPr>
              <w:pStyle w:val="TableText"/>
              <w:keepNext/>
              <w:keepLines/>
              <w:spacing w:before="0" w:after="0" w:line="240" w:lineRule="auto"/>
              <w:jc w:val="center"/>
              <w:rPr>
                <w:b/>
              </w:rPr>
            </w:pPr>
            <w:r w:rsidRPr="006F307B">
              <w:rPr>
                <w:b/>
              </w:rPr>
              <w:t>Increment</w:t>
            </w:r>
          </w:p>
        </w:tc>
      </w:tr>
      <w:tr w:rsidR="00980FCA" w:rsidRPr="006F307B" w:rsidTr="00980FCA">
        <w:tc>
          <w:tcPr>
            <w:tcW w:w="5000" w:type="pct"/>
            <w:gridSpan w:val="4"/>
          </w:tcPr>
          <w:p w:rsidR="00980FCA" w:rsidRPr="006F307B" w:rsidRDefault="00980FCA" w:rsidP="00980FCA">
            <w:pPr>
              <w:pStyle w:val="TableNumber"/>
              <w:keepNext/>
              <w:keepLines/>
              <w:tabs>
                <w:tab w:val="clear" w:pos="396"/>
                <w:tab w:val="decimal" w:pos="0"/>
              </w:tabs>
              <w:spacing w:before="0" w:after="0" w:line="240" w:lineRule="auto"/>
              <w:jc w:val="left"/>
            </w:pPr>
            <w:r w:rsidRPr="006F307B">
              <w:t>Pe</w:t>
            </w:r>
            <w:r w:rsidR="005666B7" w:rsidRPr="006F307B">
              <w:t xml:space="preserve">mbrolizumab monotherapy vs SoC </w:t>
            </w:r>
            <w:r w:rsidRPr="006F307B">
              <w:t>(PD-L1 all comers, ITT)</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Cost</w:t>
            </w:r>
          </w:p>
        </w:tc>
        <w:tc>
          <w:tcPr>
            <w:tcW w:w="1310" w:type="pct"/>
          </w:tcPr>
          <w:p w:rsidR="00980FCA" w:rsidRPr="006F307B" w:rsidRDefault="00980FCA" w:rsidP="00980FCA">
            <w:pPr>
              <w:pStyle w:val="TableNumber"/>
              <w:keepNext/>
              <w:keepLines/>
              <w:spacing w:before="0" w:after="0" w:line="240" w:lineRule="auto"/>
            </w:pPr>
            <w:r w:rsidRPr="006F307B">
              <w:t>$</w:t>
            </w:r>
            <w:r w:rsidR="00071965">
              <w:rPr>
                <w:noProof/>
                <w:color w:val="000000"/>
                <w:highlight w:val="black"/>
              </w:rPr>
              <w:t>''''''''''''''''</w:t>
            </w:r>
          </w:p>
        </w:tc>
        <w:tc>
          <w:tcPr>
            <w:tcW w:w="1310" w:type="pct"/>
          </w:tcPr>
          <w:p w:rsidR="00980FCA" w:rsidRPr="006F307B" w:rsidRDefault="00980FCA" w:rsidP="00980FCA">
            <w:pPr>
              <w:pStyle w:val="TableNumber"/>
              <w:keepNext/>
              <w:keepLines/>
              <w:spacing w:before="0" w:after="0" w:line="240" w:lineRule="auto"/>
            </w:pPr>
            <w:r w:rsidRPr="006F307B">
              <w:t>$30,972</w:t>
            </w:r>
          </w:p>
        </w:tc>
        <w:tc>
          <w:tcPr>
            <w:tcW w:w="1130" w:type="pct"/>
          </w:tcPr>
          <w:p w:rsidR="00980FCA" w:rsidRPr="006F307B" w:rsidRDefault="00980FCA" w:rsidP="00980FCA">
            <w:pPr>
              <w:pStyle w:val="TableNumber"/>
              <w:keepNext/>
              <w:keepLines/>
              <w:spacing w:before="0" w:after="0" w:line="240" w:lineRule="auto"/>
            </w:pPr>
            <w:r w:rsidRPr="006F307B">
              <w:t>$</w:t>
            </w:r>
            <w:r w:rsidR="00071965">
              <w:rPr>
                <w:noProof/>
                <w:color w:val="000000"/>
                <w:highlight w:val="black"/>
              </w:rPr>
              <w:t>''''''''''''''''</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QALY</w:t>
            </w:r>
          </w:p>
        </w:tc>
        <w:tc>
          <w:tcPr>
            <w:tcW w:w="1310" w:type="pct"/>
          </w:tcPr>
          <w:p w:rsidR="00980FCA" w:rsidRPr="006F307B" w:rsidRDefault="00980FCA" w:rsidP="00980FCA">
            <w:pPr>
              <w:pStyle w:val="TableNumber"/>
              <w:keepNext/>
              <w:keepLines/>
              <w:tabs>
                <w:tab w:val="clear" w:pos="396"/>
                <w:tab w:val="decimal" w:pos="119"/>
              </w:tabs>
              <w:spacing w:before="0" w:after="0" w:line="240" w:lineRule="auto"/>
            </w:pPr>
            <w:r w:rsidRPr="006F307B">
              <w:t>1.28</w:t>
            </w:r>
          </w:p>
        </w:tc>
        <w:tc>
          <w:tcPr>
            <w:tcW w:w="1310" w:type="pct"/>
          </w:tcPr>
          <w:p w:rsidR="00980FCA" w:rsidRPr="006F307B" w:rsidRDefault="00980FCA" w:rsidP="00980FCA">
            <w:pPr>
              <w:pStyle w:val="TableNumber"/>
              <w:keepNext/>
              <w:keepLines/>
              <w:tabs>
                <w:tab w:val="clear" w:pos="396"/>
                <w:tab w:val="decimal" w:pos="33"/>
              </w:tabs>
              <w:spacing w:before="0" w:after="0" w:line="240" w:lineRule="auto"/>
            </w:pPr>
            <w:r w:rsidRPr="006F307B">
              <w:t>0.83</w:t>
            </w:r>
          </w:p>
        </w:tc>
        <w:tc>
          <w:tcPr>
            <w:tcW w:w="1130" w:type="pct"/>
          </w:tcPr>
          <w:p w:rsidR="00980FCA" w:rsidRPr="006F307B" w:rsidRDefault="00980FCA" w:rsidP="00980FCA">
            <w:pPr>
              <w:pStyle w:val="TableNumber"/>
              <w:keepNext/>
              <w:keepLines/>
              <w:tabs>
                <w:tab w:val="clear" w:pos="396"/>
                <w:tab w:val="decimal" w:pos="76"/>
              </w:tabs>
              <w:spacing w:before="0" w:after="0" w:line="240" w:lineRule="auto"/>
            </w:pPr>
            <w:r w:rsidRPr="006F307B">
              <w:t>0.45</w:t>
            </w:r>
          </w:p>
        </w:tc>
      </w:tr>
      <w:tr w:rsidR="00980FCA" w:rsidRPr="006F307B" w:rsidTr="00980FCA">
        <w:tc>
          <w:tcPr>
            <w:tcW w:w="3870" w:type="pct"/>
            <w:gridSpan w:val="3"/>
          </w:tcPr>
          <w:p w:rsidR="00980FCA" w:rsidRPr="006F307B" w:rsidRDefault="00980FCA" w:rsidP="00980FCA">
            <w:pPr>
              <w:pStyle w:val="TableNumber"/>
              <w:keepNext/>
              <w:keepLines/>
              <w:spacing w:before="0" w:after="0" w:line="240" w:lineRule="auto"/>
              <w:jc w:val="right"/>
            </w:pPr>
            <w:r w:rsidRPr="006F307B">
              <w:t>Incremental cost per QALY gained</w:t>
            </w:r>
          </w:p>
        </w:tc>
        <w:tc>
          <w:tcPr>
            <w:tcW w:w="1130" w:type="pct"/>
          </w:tcPr>
          <w:p w:rsidR="00980FCA" w:rsidRPr="006F307B" w:rsidRDefault="00980FCA" w:rsidP="00980FCA">
            <w:pPr>
              <w:pStyle w:val="TableNumber"/>
              <w:keepNext/>
              <w:keepLines/>
              <w:spacing w:before="0" w:after="0" w:line="240" w:lineRule="auto"/>
            </w:pPr>
            <w:r w:rsidRPr="006F307B">
              <w:t>$</w:t>
            </w:r>
            <w:r w:rsidR="00071965">
              <w:rPr>
                <w:noProof/>
                <w:color w:val="000000"/>
                <w:highlight w:val="black"/>
              </w:rPr>
              <w:t>'''''''''''''''''</w:t>
            </w:r>
            <w:r w:rsidR="004B7806">
              <w:rPr>
                <w:vertAlign w:val="superscript"/>
              </w:rPr>
              <w:t>1</w:t>
            </w:r>
          </w:p>
        </w:tc>
      </w:tr>
      <w:tr w:rsidR="00980FCA" w:rsidRPr="006F307B" w:rsidTr="00980FCA">
        <w:tc>
          <w:tcPr>
            <w:tcW w:w="5000" w:type="pct"/>
            <w:gridSpan w:val="4"/>
          </w:tcPr>
          <w:p w:rsidR="00980FCA" w:rsidRPr="006F307B" w:rsidRDefault="00980FCA" w:rsidP="00980FCA">
            <w:pPr>
              <w:pStyle w:val="TableNumber"/>
              <w:keepNext/>
              <w:keepLines/>
              <w:tabs>
                <w:tab w:val="clear" w:pos="396"/>
                <w:tab w:val="decimal" w:pos="0"/>
              </w:tabs>
              <w:spacing w:before="0" w:after="0" w:line="240" w:lineRule="auto"/>
              <w:jc w:val="left"/>
            </w:pPr>
            <w:r w:rsidRPr="006F307B">
              <w:t>Pembrolizumab plus chemotherapy vs SoC (PD-L1 all comers, ITT)</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Cost</w:t>
            </w:r>
          </w:p>
        </w:tc>
        <w:tc>
          <w:tcPr>
            <w:tcW w:w="1310" w:type="pct"/>
          </w:tcPr>
          <w:p w:rsidR="00980FCA" w:rsidRPr="006F307B" w:rsidRDefault="00980FCA" w:rsidP="00980FCA">
            <w:pPr>
              <w:pStyle w:val="TableNumber"/>
              <w:keepNext/>
              <w:keepLines/>
              <w:tabs>
                <w:tab w:val="clear" w:pos="396"/>
                <w:tab w:val="decimal" w:pos="0"/>
              </w:tabs>
              <w:spacing w:before="0" w:after="0" w:line="240" w:lineRule="auto"/>
            </w:pPr>
            <w:r w:rsidRPr="006F307B">
              <w:t>$</w:t>
            </w:r>
            <w:r w:rsidR="00071965">
              <w:rPr>
                <w:noProof/>
                <w:color w:val="000000"/>
                <w:highlight w:val="black"/>
              </w:rPr>
              <w:t>'''''''''''''''</w:t>
            </w:r>
          </w:p>
        </w:tc>
        <w:tc>
          <w:tcPr>
            <w:tcW w:w="1310" w:type="pct"/>
          </w:tcPr>
          <w:p w:rsidR="00980FCA" w:rsidRPr="006F307B" w:rsidRDefault="00980FCA" w:rsidP="00980FCA">
            <w:pPr>
              <w:pStyle w:val="TableNumber"/>
              <w:keepNext/>
              <w:keepLines/>
              <w:tabs>
                <w:tab w:val="clear" w:pos="396"/>
                <w:tab w:val="decimal" w:pos="0"/>
              </w:tabs>
              <w:spacing w:before="0" w:after="0" w:line="240" w:lineRule="auto"/>
            </w:pPr>
            <w:r w:rsidRPr="006F307B">
              <w:t>$30,679</w:t>
            </w:r>
          </w:p>
        </w:tc>
        <w:tc>
          <w:tcPr>
            <w:tcW w:w="1130" w:type="pct"/>
          </w:tcPr>
          <w:p w:rsidR="00980FCA" w:rsidRPr="006F307B" w:rsidRDefault="00980FCA" w:rsidP="00980FCA">
            <w:pPr>
              <w:pStyle w:val="TableNumber"/>
              <w:keepNext/>
              <w:keepLines/>
              <w:tabs>
                <w:tab w:val="clear" w:pos="396"/>
                <w:tab w:val="decimal" w:pos="0"/>
              </w:tabs>
              <w:spacing w:before="0" w:after="0" w:line="240" w:lineRule="auto"/>
            </w:pPr>
            <w:r w:rsidRPr="006F307B">
              <w:t>$</w:t>
            </w:r>
            <w:r w:rsidR="00071965">
              <w:rPr>
                <w:noProof/>
                <w:color w:val="000000"/>
                <w:highlight w:val="black"/>
              </w:rPr>
              <w:t>''''''''''''''''</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QALY</w:t>
            </w:r>
          </w:p>
        </w:tc>
        <w:tc>
          <w:tcPr>
            <w:tcW w:w="1310" w:type="pct"/>
          </w:tcPr>
          <w:p w:rsidR="00980FCA" w:rsidRPr="006F307B" w:rsidRDefault="00980FCA" w:rsidP="00980FCA">
            <w:pPr>
              <w:pStyle w:val="TableNumber"/>
              <w:keepNext/>
              <w:keepLines/>
              <w:tabs>
                <w:tab w:val="clear" w:pos="396"/>
                <w:tab w:val="decimal" w:pos="0"/>
              </w:tabs>
              <w:spacing w:before="0" w:after="0" w:line="240" w:lineRule="auto"/>
              <w:rPr>
                <w:rFonts w:eastAsia="Times New Roman" w:cs="Times New Roman"/>
              </w:rPr>
            </w:pPr>
            <w:r w:rsidRPr="006F307B">
              <w:rPr>
                <w:rFonts w:eastAsia="Times New Roman" w:cs="Times New Roman"/>
              </w:rPr>
              <w:t>1.35</w:t>
            </w:r>
          </w:p>
        </w:tc>
        <w:tc>
          <w:tcPr>
            <w:tcW w:w="1310" w:type="pct"/>
          </w:tcPr>
          <w:p w:rsidR="00980FCA" w:rsidRPr="006F307B" w:rsidRDefault="00980FCA" w:rsidP="00980FCA">
            <w:pPr>
              <w:pStyle w:val="TableNumber"/>
              <w:keepNext/>
              <w:keepLines/>
              <w:tabs>
                <w:tab w:val="clear" w:pos="396"/>
                <w:tab w:val="decimal" w:pos="0"/>
              </w:tabs>
              <w:spacing w:before="0" w:after="0" w:line="240" w:lineRule="auto"/>
              <w:rPr>
                <w:rFonts w:eastAsia="Times New Roman" w:cs="Times New Roman"/>
              </w:rPr>
            </w:pPr>
            <w:r w:rsidRPr="006F307B">
              <w:rPr>
                <w:rFonts w:eastAsia="Times New Roman" w:cs="Times New Roman"/>
              </w:rPr>
              <w:t>0.76</w:t>
            </w:r>
          </w:p>
        </w:tc>
        <w:tc>
          <w:tcPr>
            <w:tcW w:w="1130" w:type="pct"/>
          </w:tcPr>
          <w:p w:rsidR="00980FCA" w:rsidRPr="006F307B" w:rsidRDefault="00980FCA" w:rsidP="00980FCA">
            <w:pPr>
              <w:pStyle w:val="TableNumber"/>
              <w:keepNext/>
              <w:keepLines/>
              <w:tabs>
                <w:tab w:val="clear" w:pos="396"/>
                <w:tab w:val="decimal" w:pos="0"/>
              </w:tabs>
              <w:spacing w:before="0" w:after="0" w:line="240" w:lineRule="auto"/>
              <w:rPr>
                <w:rFonts w:eastAsia="Times New Roman" w:cs="Times New Roman"/>
              </w:rPr>
            </w:pPr>
            <w:r w:rsidRPr="006F307B">
              <w:rPr>
                <w:rFonts w:eastAsia="Times New Roman" w:cs="Times New Roman"/>
              </w:rPr>
              <w:t>0.58</w:t>
            </w:r>
          </w:p>
        </w:tc>
      </w:tr>
      <w:tr w:rsidR="00980FCA" w:rsidRPr="006F307B" w:rsidTr="00980FCA">
        <w:tc>
          <w:tcPr>
            <w:tcW w:w="3870" w:type="pct"/>
            <w:gridSpan w:val="3"/>
          </w:tcPr>
          <w:p w:rsidR="00980FCA" w:rsidRPr="006F307B" w:rsidRDefault="00980FCA" w:rsidP="00980FCA">
            <w:pPr>
              <w:pStyle w:val="TableNumber"/>
              <w:keepNext/>
              <w:keepLines/>
              <w:spacing w:before="0" w:after="0" w:line="240" w:lineRule="auto"/>
              <w:jc w:val="right"/>
            </w:pPr>
            <w:r w:rsidRPr="006F307B">
              <w:t>Incremental cost per QALY gained</w:t>
            </w:r>
          </w:p>
        </w:tc>
        <w:tc>
          <w:tcPr>
            <w:tcW w:w="1130" w:type="pct"/>
          </w:tcPr>
          <w:p w:rsidR="00980FCA" w:rsidRPr="006F307B" w:rsidRDefault="00980FCA" w:rsidP="00980FCA">
            <w:pPr>
              <w:pStyle w:val="TableNumber"/>
              <w:keepNext/>
              <w:keepLines/>
              <w:tabs>
                <w:tab w:val="clear" w:pos="396"/>
                <w:tab w:val="decimal" w:pos="0"/>
              </w:tabs>
              <w:spacing w:before="0" w:after="0" w:line="240" w:lineRule="auto"/>
            </w:pPr>
            <w:r w:rsidRPr="006F307B">
              <w:t>$</w:t>
            </w:r>
            <w:r w:rsidR="00071965">
              <w:rPr>
                <w:noProof/>
                <w:color w:val="000000"/>
                <w:highlight w:val="black"/>
              </w:rPr>
              <w:t>'''''''''''''''</w:t>
            </w:r>
            <w:r w:rsidR="004B7806">
              <w:rPr>
                <w:vertAlign w:val="superscript"/>
              </w:rPr>
              <w:t>1</w:t>
            </w:r>
          </w:p>
        </w:tc>
      </w:tr>
      <w:tr w:rsidR="00980FCA" w:rsidRPr="006F307B" w:rsidTr="00980FCA">
        <w:tc>
          <w:tcPr>
            <w:tcW w:w="5000" w:type="pct"/>
            <w:gridSpan w:val="4"/>
          </w:tcPr>
          <w:p w:rsidR="00980FCA" w:rsidRPr="006F307B" w:rsidRDefault="00980FCA" w:rsidP="00980FCA">
            <w:pPr>
              <w:pStyle w:val="TableNumber"/>
              <w:keepNext/>
              <w:keepLines/>
              <w:tabs>
                <w:tab w:val="clear" w:pos="396"/>
                <w:tab w:val="decimal" w:pos="0"/>
              </w:tabs>
              <w:spacing w:before="0" w:after="0" w:line="240" w:lineRule="auto"/>
              <w:jc w:val="left"/>
              <w:rPr>
                <w:vertAlign w:val="superscript"/>
              </w:rPr>
            </w:pPr>
            <w:r w:rsidRPr="006F307B">
              <w:t>Weighted pembrolizumab monotherapy (80%) and pembrolizumab plus chemotherapy (20%)</w:t>
            </w:r>
            <w:r w:rsidRPr="006F307B">
              <w:rPr>
                <w:vertAlign w:val="superscript"/>
              </w:rPr>
              <w:t xml:space="preserve">a </w:t>
            </w:r>
            <w:r w:rsidRPr="006F307B">
              <w:t>(PD-L1 all comers, ITT)</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Cost</w:t>
            </w:r>
          </w:p>
        </w:tc>
        <w:tc>
          <w:tcPr>
            <w:tcW w:w="1310" w:type="pct"/>
          </w:tcPr>
          <w:p w:rsidR="00980FCA" w:rsidRPr="006F307B" w:rsidRDefault="00980FCA" w:rsidP="00980FCA">
            <w:pPr>
              <w:pStyle w:val="TableNumber"/>
              <w:keepNext/>
              <w:keepLines/>
              <w:tabs>
                <w:tab w:val="clear" w:pos="396"/>
              </w:tabs>
              <w:spacing w:before="0" w:after="0" w:line="240" w:lineRule="auto"/>
            </w:pPr>
            <w:r w:rsidRPr="006F307B">
              <w:t>$</w:t>
            </w:r>
            <w:r w:rsidR="00071965">
              <w:rPr>
                <w:noProof/>
                <w:color w:val="000000"/>
                <w:highlight w:val="black"/>
              </w:rPr>
              <w:t>'''''''''''''''</w:t>
            </w:r>
          </w:p>
        </w:tc>
        <w:tc>
          <w:tcPr>
            <w:tcW w:w="1310" w:type="pct"/>
          </w:tcPr>
          <w:p w:rsidR="00980FCA" w:rsidRPr="006F307B" w:rsidRDefault="00980FCA" w:rsidP="00980FCA">
            <w:pPr>
              <w:pStyle w:val="TableNumber"/>
              <w:keepNext/>
              <w:keepLines/>
              <w:tabs>
                <w:tab w:val="clear" w:pos="396"/>
              </w:tabs>
              <w:spacing w:before="0" w:after="0" w:line="240" w:lineRule="auto"/>
            </w:pPr>
            <w:r w:rsidRPr="006F307B">
              <w:t>$30,914</w:t>
            </w:r>
          </w:p>
        </w:tc>
        <w:tc>
          <w:tcPr>
            <w:tcW w:w="1130" w:type="pct"/>
          </w:tcPr>
          <w:p w:rsidR="00980FCA" w:rsidRPr="006F307B" w:rsidRDefault="00980FCA" w:rsidP="00980FCA">
            <w:pPr>
              <w:pStyle w:val="TableNumber"/>
              <w:keepNext/>
              <w:keepLines/>
              <w:tabs>
                <w:tab w:val="clear" w:pos="396"/>
              </w:tabs>
              <w:spacing w:before="0" w:after="0" w:line="240" w:lineRule="auto"/>
            </w:pPr>
            <w:r w:rsidRPr="006F307B">
              <w:t>$</w:t>
            </w:r>
            <w:r w:rsidR="00071965">
              <w:rPr>
                <w:noProof/>
                <w:color w:val="000000"/>
                <w:highlight w:val="black"/>
              </w:rPr>
              <w:t>'''''''''''''''</w:t>
            </w:r>
          </w:p>
        </w:tc>
      </w:tr>
      <w:tr w:rsidR="00980FCA" w:rsidRPr="006F307B" w:rsidTr="00980FCA">
        <w:tc>
          <w:tcPr>
            <w:tcW w:w="1250" w:type="pct"/>
          </w:tcPr>
          <w:p w:rsidR="00980FCA" w:rsidRPr="006F307B" w:rsidRDefault="00980FCA" w:rsidP="00980FCA">
            <w:pPr>
              <w:pStyle w:val="TableText"/>
              <w:keepNext/>
              <w:keepLines/>
              <w:spacing w:before="0" w:after="0" w:line="240" w:lineRule="auto"/>
            </w:pPr>
            <w:r w:rsidRPr="006F307B">
              <w:t>QALY</w:t>
            </w:r>
          </w:p>
        </w:tc>
        <w:tc>
          <w:tcPr>
            <w:tcW w:w="1310" w:type="pct"/>
          </w:tcPr>
          <w:p w:rsidR="00980FCA" w:rsidRPr="006F307B" w:rsidRDefault="00980FCA" w:rsidP="00980FCA">
            <w:pPr>
              <w:pStyle w:val="TableNumber"/>
              <w:keepNext/>
              <w:keepLines/>
              <w:tabs>
                <w:tab w:val="clear" w:pos="396"/>
              </w:tabs>
              <w:spacing w:before="0" w:after="0" w:line="240" w:lineRule="auto"/>
            </w:pPr>
            <w:r w:rsidRPr="006F307B">
              <w:t>1.30</w:t>
            </w:r>
          </w:p>
        </w:tc>
        <w:tc>
          <w:tcPr>
            <w:tcW w:w="1310" w:type="pct"/>
          </w:tcPr>
          <w:p w:rsidR="00980FCA" w:rsidRPr="006F307B" w:rsidRDefault="00980FCA" w:rsidP="00980FCA">
            <w:pPr>
              <w:pStyle w:val="TableNumber"/>
              <w:keepNext/>
              <w:keepLines/>
              <w:tabs>
                <w:tab w:val="clear" w:pos="396"/>
              </w:tabs>
              <w:spacing w:before="0" w:after="0" w:line="240" w:lineRule="auto"/>
            </w:pPr>
            <w:r w:rsidRPr="006F307B">
              <w:t>0.82</w:t>
            </w:r>
          </w:p>
        </w:tc>
        <w:tc>
          <w:tcPr>
            <w:tcW w:w="1130" w:type="pct"/>
          </w:tcPr>
          <w:p w:rsidR="00980FCA" w:rsidRPr="006F307B" w:rsidRDefault="00980FCA" w:rsidP="00980FCA">
            <w:pPr>
              <w:pStyle w:val="TableNumber"/>
              <w:keepNext/>
              <w:keepLines/>
              <w:tabs>
                <w:tab w:val="clear" w:pos="396"/>
              </w:tabs>
              <w:spacing w:before="0" w:after="0" w:line="240" w:lineRule="auto"/>
            </w:pPr>
            <w:r w:rsidRPr="006F307B">
              <w:t>0.48</w:t>
            </w:r>
          </w:p>
        </w:tc>
      </w:tr>
      <w:tr w:rsidR="00980FCA" w:rsidRPr="006F307B" w:rsidTr="00980FCA">
        <w:tc>
          <w:tcPr>
            <w:tcW w:w="3870" w:type="pct"/>
            <w:gridSpan w:val="3"/>
          </w:tcPr>
          <w:p w:rsidR="00980FCA" w:rsidRPr="006F307B" w:rsidRDefault="00980FCA" w:rsidP="00980FCA">
            <w:pPr>
              <w:pStyle w:val="TableText"/>
              <w:keepNext/>
              <w:keepLines/>
              <w:spacing w:before="0" w:after="0" w:line="240" w:lineRule="auto"/>
              <w:jc w:val="right"/>
            </w:pPr>
            <w:r w:rsidRPr="006F307B">
              <w:t>Weighted incremental cost per QALY gained</w:t>
            </w:r>
          </w:p>
        </w:tc>
        <w:tc>
          <w:tcPr>
            <w:tcW w:w="1130" w:type="pct"/>
          </w:tcPr>
          <w:p w:rsidR="00980FCA" w:rsidRPr="006F307B" w:rsidRDefault="00980FCA" w:rsidP="00980FCA">
            <w:pPr>
              <w:pStyle w:val="TableNumber"/>
              <w:keepNext/>
              <w:keepLines/>
              <w:tabs>
                <w:tab w:val="clear" w:pos="396"/>
                <w:tab w:val="decimal" w:pos="0"/>
              </w:tabs>
              <w:spacing w:before="0" w:after="0" w:line="240" w:lineRule="auto"/>
            </w:pPr>
            <w:r w:rsidRPr="006F307B">
              <w:t>$</w:t>
            </w:r>
            <w:r w:rsidR="00071965">
              <w:rPr>
                <w:noProof/>
                <w:color w:val="000000"/>
                <w:highlight w:val="black"/>
              </w:rPr>
              <w:t>'''''''''''''''</w:t>
            </w:r>
            <w:r w:rsidR="004B7806">
              <w:rPr>
                <w:vertAlign w:val="superscript"/>
              </w:rPr>
              <w:t>1</w:t>
            </w:r>
          </w:p>
        </w:tc>
      </w:tr>
    </w:tbl>
    <w:p w:rsidR="00980FCA" w:rsidRPr="006F307B" w:rsidRDefault="00980FCA" w:rsidP="00980FCA">
      <w:pPr>
        <w:pStyle w:val="TableFooter"/>
        <w:keepNext/>
        <w:keepLines/>
      </w:pPr>
      <w:r w:rsidRPr="006F307B">
        <w:rPr>
          <w:vertAlign w:val="superscript"/>
        </w:rPr>
        <w:t>a</w:t>
      </w:r>
      <w:r w:rsidRPr="006F307B">
        <w:t xml:space="preserve"> values calculated as weighted 80% of pembrolizumab monotherapy cost, life year and quality adjusted life year from pembrolizumab monotherapy model and 20% of </w:t>
      </w:r>
      <w:r w:rsidR="004C46AE" w:rsidRPr="006F307B">
        <w:t>pembrolizumab</w:t>
      </w:r>
      <w:r w:rsidRPr="006F307B">
        <w:t xml:space="preserve"> plus chemotherapy model</w:t>
      </w:r>
    </w:p>
    <w:p w:rsidR="00980FCA" w:rsidRPr="006F307B" w:rsidRDefault="00E9137E" w:rsidP="00980FCA">
      <w:pPr>
        <w:pStyle w:val="TableFooter"/>
        <w:keepNext/>
        <w:keepLines/>
      </w:pPr>
      <w:r w:rsidRPr="00ED436C">
        <w:rPr>
          <w:szCs w:val="18"/>
        </w:rPr>
        <w:t xml:space="preserve">Abbreviations: </w:t>
      </w:r>
      <w:r w:rsidR="00980FCA" w:rsidRPr="006F307B">
        <w:t xml:space="preserve">LY = life year, QALY = quality adjusted life year, ITT </w:t>
      </w:r>
      <w:r>
        <w:t>= intention to treat</w:t>
      </w:r>
    </w:p>
    <w:p w:rsidR="00980FCA" w:rsidRDefault="00980FCA" w:rsidP="00980FCA">
      <w:pPr>
        <w:pStyle w:val="TableFooter"/>
        <w:keepNext/>
        <w:keepLines/>
      </w:pPr>
      <w:r w:rsidRPr="006F307B">
        <w:t>Source: Section 3 Diag. Sens. Wkbk.xlsx using inputs from Section 3 workbook.xslm</w:t>
      </w:r>
    </w:p>
    <w:p w:rsidR="004B7806" w:rsidRPr="0072002E" w:rsidRDefault="004B7806" w:rsidP="00980FCA">
      <w:pPr>
        <w:pStyle w:val="TableFooter"/>
        <w:keepNext/>
        <w:keepLines/>
        <w:rPr>
          <w:i/>
        </w:rPr>
      </w:pPr>
      <w:r w:rsidRPr="0072002E">
        <w:rPr>
          <w:i/>
        </w:rPr>
        <w:t>The redacted values correspond to the following ranges:</w:t>
      </w:r>
    </w:p>
    <w:p w:rsidR="004B7806" w:rsidRPr="0072002E" w:rsidRDefault="004B7806" w:rsidP="00980FCA">
      <w:pPr>
        <w:pStyle w:val="TableFooter"/>
        <w:keepNext/>
        <w:keepLines/>
        <w:rPr>
          <w:i/>
        </w:rPr>
      </w:pPr>
      <w:r w:rsidRPr="0072002E">
        <w:rPr>
          <w:i/>
          <w:vertAlign w:val="superscript"/>
        </w:rPr>
        <w:t>1</w:t>
      </w:r>
      <w:r w:rsidRPr="0072002E">
        <w:rPr>
          <w:i/>
        </w:rPr>
        <w:t>$55,000 to &lt;$75,000/QALY gained</w:t>
      </w:r>
    </w:p>
    <w:p w:rsidR="004B7806" w:rsidRPr="00B379DC" w:rsidRDefault="004B7806" w:rsidP="00980FCA">
      <w:pPr>
        <w:pStyle w:val="TableFooter"/>
        <w:keepNext/>
        <w:keepLines/>
      </w:pPr>
    </w:p>
    <w:p w:rsidR="00980FCA" w:rsidRPr="006F307B" w:rsidRDefault="00712AD1" w:rsidP="00980FCA">
      <w:pPr>
        <w:pStyle w:val="ListParagraph"/>
        <w:numPr>
          <w:ilvl w:val="4"/>
          <w:numId w:val="1"/>
        </w:numPr>
        <w:rPr>
          <w:color w:val="auto"/>
        </w:rPr>
      </w:pPr>
      <w:r w:rsidRPr="006F307B">
        <w:t>The ESC</w:t>
      </w:r>
      <w:r w:rsidR="000D7C8A" w:rsidRPr="006F307B">
        <w:t>s</w:t>
      </w:r>
      <w:r w:rsidRPr="006F307B">
        <w:t xml:space="preserve"> noted that t</w:t>
      </w:r>
      <w:r w:rsidR="00980FCA" w:rsidRPr="006F307B">
        <w:t xml:space="preserve">he ICER in the CPS </w:t>
      </w:r>
      <w:r w:rsidR="00980FCA" w:rsidRPr="006F307B">
        <w:rPr>
          <w:rFonts w:cstheme="minorHAnsi"/>
        </w:rPr>
        <w:t>≥</w:t>
      </w:r>
      <w:r w:rsidR="00980FCA" w:rsidRPr="006F307B">
        <w:t xml:space="preserve">1 and the whole population </w:t>
      </w:r>
      <w:r w:rsidR="00CC0EA0" w:rsidRPr="006F307B">
        <w:t xml:space="preserve">models </w:t>
      </w:r>
      <w:r w:rsidR="00980FCA" w:rsidRPr="006F307B">
        <w:t xml:space="preserve">was very similar because the submission did not consider false negative and false </w:t>
      </w:r>
      <w:r w:rsidR="00980FCA" w:rsidRPr="006F307B">
        <w:rPr>
          <w:color w:val="auto"/>
        </w:rPr>
        <w:t xml:space="preserve">positive results (i.e. assumed 100% sensitivity and specificity), and the high prevalence of the CPS </w:t>
      </w:r>
      <w:r w:rsidR="00980FCA" w:rsidRPr="006F307B">
        <w:rPr>
          <w:rFonts w:cstheme="minorHAnsi"/>
          <w:color w:val="auto"/>
        </w:rPr>
        <w:t>≥</w:t>
      </w:r>
      <w:r w:rsidR="00980FCA" w:rsidRPr="006F307B">
        <w:rPr>
          <w:color w:val="auto"/>
        </w:rPr>
        <w:t>1 population. Given that pembrolizumab is dominated by chemotherapy in CPS</w:t>
      </w:r>
      <w:r w:rsidR="001F5FB6">
        <w:rPr>
          <w:color w:val="auto"/>
        </w:rPr>
        <w:t> </w:t>
      </w:r>
      <w:r w:rsidR="00980FCA" w:rsidRPr="006F307B">
        <w:rPr>
          <w:color w:val="auto"/>
        </w:rPr>
        <w:t xml:space="preserve">&lt;1 based on the submission’s calculations, </w:t>
      </w:r>
      <w:r w:rsidRPr="006F307B">
        <w:rPr>
          <w:color w:val="auto"/>
        </w:rPr>
        <w:t>the ESC</w:t>
      </w:r>
      <w:r w:rsidR="000D7C8A" w:rsidRPr="006F307B">
        <w:rPr>
          <w:color w:val="auto"/>
        </w:rPr>
        <w:t>s</w:t>
      </w:r>
      <w:r w:rsidRPr="006F307B">
        <w:rPr>
          <w:color w:val="auto"/>
        </w:rPr>
        <w:t xml:space="preserve"> considered that </w:t>
      </w:r>
      <w:r w:rsidR="00980FCA" w:rsidRPr="006F307B">
        <w:rPr>
          <w:color w:val="auto"/>
        </w:rPr>
        <w:t>any decrease in specificity (more false positives) will significantly increase the ICER. A decrease in the sensitivity of the test (more false negatives) has a smaller impact on the ICER, but with a higher opportunity cost which was not captured by the economic evaluation due to potential benefit from pembrolizumab foregone.</w:t>
      </w:r>
      <w:r w:rsidR="00A033C9" w:rsidRPr="006F307B">
        <w:rPr>
          <w:color w:val="auto"/>
        </w:rPr>
        <w:t xml:space="preserve"> The ESC</w:t>
      </w:r>
      <w:r w:rsidR="000D7C8A" w:rsidRPr="006F307B">
        <w:rPr>
          <w:color w:val="auto"/>
        </w:rPr>
        <w:t>s</w:t>
      </w:r>
      <w:r w:rsidR="00A033C9" w:rsidRPr="006F307B">
        <w:rPr>
          <w:color w:val="auto"/>
        </w:rPr>
        <w:t xml:space="preserve"> considered it was unreasonable to assume no false negative or false positive results, and that the base case model is optimistic with regards to testing accuracy.</w:t>
      </w:r>
    </w:p>
    <w:p w:rsidR="000C51D4" w:rsidRPr="006F307B" w:rsidRDefault="000C51D4" w:rsidP="00980FCA">
      <w:pPr>
        <w:pStyle w:val="ListParagraph"/>
        <w:numPr>
          <w:ilvl w:val="4"/>
          <w:numId w:val="1"/>
        </w:numPr>
        <w:rPr>
          <w:color w:val="auto"/>
        </w:rPr>
      </w:pPr>
      <w:r w:rsidRPr="006F307B">
        <w:t>Additionally, t</w:t>
      </w:r>
      <w:r w:rsidR="000F1F69" w:rsidRPr="006F307B">
        <w:t xml:space="preserve">he PBAC noted in the </w:t>
      </w:r>
      <w:r w:rsidRPr="006F307B">
        <w:t xml:space="preserve">scenario where all patients are treated with pembrolizumab </w:t>
      </w:r>
      <w:r w:rsidRPr="006F307B">
        <w:rPr>
          <w:rFonts w:cstheme="minorHAnsi"/>
        </w:rPr>
        <w:t>±</w:t>
      </w:r>
      <w:r w:rsidRPr="006F307B">
        <w:t xml:space="preserve"> chemotherapy regardless of </w:t>
      </w:r>
      <w:r w:rsidR="00C11E6D">
        <w:t>CPS</w:t>
      </w:r>
      <w:r w:rsidRPr="006F307B">
        <w:t xml:space="preserve"> status, </w:t>
      </w:r>
      <w:r w:rsidR="000F1F69" w:rsidRPr="006F307B">
        <w:t>the</w:t>
      </w:r>
      <w:r w:rsidRPr="006F307B">
        <w:t xml:space="preserve"> ICER </w:t>
      </w:r>
      <w:r w:rsidR="000F1F69" w:rsidRPr="006F307B">
        <w:t xml:space="preserve">increased to </w:t>
      </w:r>
      <w:r w:rsidRPr="006F307B">
        <w:t>$</w:t>
      </w:r>
      <w:r w:rsidR="001A3C06">
        <w:t>55,000 to &lt;$75,000</w:t>
      </w:r>
      <w:r w:rsidRPr="006F307B">
        <w:t>/QALY for pembrolizumab + chemotherapy</w:t>
      </w:r>
      <w:r w:rsidR="000F1F69" w:rsidRPr="006F307B">
        <w:t>.</w:t>
      </w:r>
    </w:p>
    <w:p w:rsidR="001C6C91" w:rsidRPr="006F307B" w:rsidRDefault="001C6C91" w:rsidP="001C6C91">
      <w:pPr>
        <w:pStyle w:val="ListParagraph"/>
        <w:numPr>
          <w:ilvl w:val="4"/>
          <w:numId w:val="1"/>
        </w:numPr>
      </w:pPr>
      <w:r w:rsidRPr="006F307B">
        <w:t>Overall, the</w:t>
      </w:r>
      <w:r w:rsidR="00A033C9" w:rsidRPr="006F307B">
        <w:t xml:space="preserve"> ESC</w:t>
      </w:r>
      <w:r w:rsidR="000D7C8A" w:rsidRPr="006F307B">
        <w:t>s</w:t>
      </w:r>
      <w:r w:rsidR="00A033C9" w:rsidRPr="006F307B">
        <w:t xml:space="preserve"> considered the</w:t>
      </w:r>
      <w:r w:rsidRPr="006F307B">
        <w:t xml:space="preserve"> ICER presented in the submission was underestimated as:</w:t>
      </w:r>
    </w:p>
    <w:p w:rsidR="001C6C91" w:rsidRPr="006F307B" w:rsidRDefault="001C6C91" w:rsidP="00CA41B6">
      <w:pPr>
        <w:pStyle w:val="ListParagraph"/>
        <w:numPr>
          <w:ilvl w:val="0"/>
          <w:numId w:val="17"/>
        </w:numPr>
        <w:ind w:left="993" w:hanging="284"/>
      </w:pPr>
      <w:r w:rsidRPr="006F307B">
        <w:t xml:space="preserve">The efficacy of 2L nivolumab was not included as part of the model, </w:t>
      </w:r>
      <w:r w:rsidR="00316508" w:rsidRPr="006F307B">
        <w:t xml:space="preserve">significantly </w:t>
      </w:r>
      <w:r w:rsidRPr="006F307B">
        <w:t>underestimating the survival of SoC</w:t>
      </w:r>
      <w:r w:rsidR="00E7332A" w:rsidRPr="006F307B">
        <w:t xml:space="preserve">. </w:t>
      </w:r>
      <w:r w:rsidR="00CC0EA0" w:rsidRPr="006F307B">
        <w:t>T</w:t>
      </w:r>
      <w:r w:rsidR="00E7332A" w:rsidRPr="006F307B">
        <w:t xml:space="preserve">he PSCR argued that the impact of 2L nivolumab is similar to the OS benefit shown in the 1L SoC arm from the EXTREME trial, and therefore any underestimate OS benefit in the comparator arm is negligible. The </w:t>
      </w:r>
      <w:r w:rsidR="00CC0EA0" w:rsidRPr="006F307B">
        <w:t>PBAC agreed with the ESCs that</w:t>
      </w:r>
      <w:r w:rsidR="00E7332A" w:rsidRPr="006F307B">
        <w:t xml:space="preserve"> this was not a reasonable claim</w:t>
      </w:r>
      <w:r w:rsidRPr="006F307B">
        <w:t>;</w:t>
      </w:r>
    </w:p>
    <w:p w:rsidR="00F31F63" w:rsidRPr="006F307B" w:rsidRDefault="00F31F63" w:rsidP="00CA41B6">
      <w:pPr>
        <w:pStyle w:val="ListParagraph"/>
        <w:numPr>
          <w:ilvl w:val="0"/>
          <w:numId w:val="17"/>
        </w:numPr>
        <w:ind w:left="993" w:hanging="284"/>
      </w:pPr>
      <w:r w:rsidRPr="006F307B">
        <w:t>The lack of recognition of 2L anti-PD-L1 and anti EGFR from the pembrolizumab arms likely overestimated the surv</w:t>
      </w:r>
      <w:r w:rsidR="00967868">
        <w:t>ival in the pembrolizumab arms;</w:t>
      </w:r>
    </w:p>
    <w:p w:rsidR="001C6C91" w:rsidRPr="006F307B" w:rsidRDefault="001C6C91" w:rsidP="00CA41B6">
      <w:pPr>
        <w:pStyle w:val="ListParagraph"/>
        <w:numPr>
          <w:ilvl w:val="0"/>
          <w:numId w:val="17"/>
        </w:numPr>
        <w:ind w:left="993" w:hanging="284"/>
        <w:rPr>
          <w:iCs/>
        </w:rPr>
      </w:pPr>
      <w:r w:rsidRPr="006F307B">
        <w:lastRenderedPageBreak/>
        <w:t xml:space="preserve">The time horizon (7.5 years) was likely optimistic and </w:t>
      </w:r>
      <w:r w:rsidR="000B14B3" w:rsidRPr="006F307B">
        <w:t xml:space="preserve">may </w:t>
      </w:r>
      <w:r w:rsidRPr="006F307B">
        <w:t xml:space="preserve">overestimate the benefit of </w:t>
      </w:r>
      <w:r w:rsidR="00E449D5" w:rsidRPr="006F307B">
        <w:t>pembrolizumab</w:t>
      </w:r>
      <w:r w:rsidR="00E449D5" w:rsidRPr="006F307B">
        <w:rPr>
          <w:iCs/>
        </w:rPr>
        <w:t>.</w:t>
      </w:r>
      <w:r w:rsidR="00E449D5" w:rsidRPr="006F307B">
        <w:t xml:space="preserve"> The</w:t>
      </w:r>
      <w:r w:rsidRPr="006F307B">
        <w:t xml:space="preserve"> PBAC has previously stated that a 5</w:t>
      </w:r>
      <w:r w:rsidR="008C6FB3" w:rsidRPr="006F307B">
        <w:t>-</w:t>
      </w:r>
      <w:r w:rsidRPr="006F307B">
        <w:t>year time horizon in 1L R/M HNSCC was appropriate (</w:t>
      </w:r>
      <w:r w:rsidRPr="006F307B">
        <w:rPr>
          <w:color w:val="auto"/>
        </w:rPr>
        <w:t>Para 7.8, p30 Cetuximab PSD March 2018)</w:t>
      </w:r>
      <w:r w:rsidR="007536B9" w:rsidRPr="006F307B">
        <w:rPr>
          <w:color w:val="auto"/>
        </w:rPr>
        <w:t>.</w:t>
      </w:r>
      <w:r w:rsidR="007536B9" w:rsidRPr="006F307B">
        <w:t xml:space="preserve"> As did the PSCR, the pre-PBAC response noted the 4-year data from KN048 presented at ESMO and maintained that 7.5 years is appropriate</w:t>
      </w:r>
      <w:r w:rsidR="00CC0EA0" w:rsidRPr="006F307B">
        <w:t xml:space="preserve">. The PBAC considered that a time horizon longer than 5 years may be reasonable, but needs to be considered in the context of uncertain </w:t>
      </w:r>
      <w:r w:rsidR="00335C65" w:rsidRPr="006F307B">
        <w:t xml:space="preserve">magnitude of </w:t>
      </w:r>
      <w:r w:rsidR="00CC0EA0" w:rsidRPr="006F307B">
        <w:t>clinical benefit</w:t>
      </w:r>
      <w:r w:rsidRPr="006F307B">
        <w:rPr>
          <w:color w:val="auto"/>
        </w:rPr>
        <w:t>;</w:t>
      </w:r>
    </w:p>
    <w:p w:rsidR="001C6C91" w:rsidRPr="006F307B" w:rsidRDefault="001C6C91" w:rsidP="00CA41B6">
      <w:pPr>
        <w:pStyle w:val="ListParagraph"/>
        <w:numPr>
          <w:ilvl w:val="0"/>
          <w:numId w:val="17"/>
        </w:numPr>
        <w:ind w:left="993" w:hanging="284"/>
      </w:pPr>
      <w:r w:rsidRPr="006F307B">
        <w:t xml:space="preserve">The submission overestimated the rate of adverse events in the SoC arm, as all cause grade 3-4 adverse events from EXTREME was applied to SoC, whereas only grade 3-5 adverse events which were treatment related and led to </w:t>
      </w:r>
      <w:r w:rsidR="004C46AE" w:rsidRPr="006F307B">
        <w:t>hospitalisation</w:t>
      </w:r>
      <w:r w:rsidRPr="006F307B">
        <w:t xml:space="preserve"> were applied to the pembrolizumab arms. This led to an overestimate of the cost of management of adverse events in the SoC arm; and</w:t>
      </w:r>
    </w:p>
    <w:p w:rsidR="001C6C91" w:rsidRPr="006F307B" w:rsidRDefault="001C6C91" w:rsidP="00CA41B6">
      <w:pPr>
        <w:pStyle w:val="ListParagraph"/>
        <w:numPr>
          <w:ilvl w:val="0"/>
          <w:numId w:val="17"/>
        </w:numPr>
        <w:ind w:left="993" w:hanging="284"/>
      </w:pPr>
      <w:r w:rsidRPr="006F307B">
        <w:t xml:space="preserve">The assumption of 100% sensitivity and specificity of CPS </w:t>
      </w:r>
      <w:r w:rsidRPr="006F307B">
        <w:rPr>
          <w:rFonts w:cstheme="minorHAnsi"/>
        </w:rPr>
        <w:t>≥</w:t>
      </w:r>
      <w:r w:rsidRPr="006F307B">
        <w:t>1 test was optimistic and not s</w:t>
      </w:r>
      <w:r w:rsidR="00967868">
        <w:t>upported by available evidence.</w:t>
      </w:r>
    </w:p>
    <w:p w:rsidR="00544F39" w:rsidRPr="006F307B" w:rsidRDefault="001C6C91" w:rsidP="001C6C91">
      <w:pPr>
        <w:pStyle w:val="ListParagraph"/>
        <w:numPr>
          <w:ilvl w:val="4"/>
          <w:numId w:val="1"/>
        </w:numPr>
        <w:rPr>
          <w:color w:val="auto"/>
        </w:rPr>
      </w:pPr>
      <w:r w:rsidRPr="006F307B">
        <w:t xml:space="preserve">Additionally, </w:t>
      </w:r>
      <w:r w:rsidR="00642262" w:rsidRPr="006F307B">
        <w:t>the ESC</w:t>
      </w:r>
      <w:r w:rsidR="000D7C8A" w:rsidRPr="006F307B">
        <w:t>s</w:t>
      </w:r>
      <w:r w:rsidR="00642262" w:rsidRPr="006F307B">
        <w:t xml:space="preserve"> considered </w:t>
      </w:r>
      <w:r w:rsidRPr="006F307B">
        <w:t>there were uncertainties with the ICER presented due to:</w:t>
      </w:r>
    </w:p>
    <w:p w:rsidR="001C6C91" w:rsidRPr="006F307B" w:rsidRDefault="00335C65" w:rsidP="00CA41B6">
      <w:pPr>
        <w:pStyle w:val="ListParagraph"/>
        <w:numPr>
          <w:ilvl w:val="0"/>
          <w:numId w:val="23"/>
        </w:numPr>
        <w:ind w:left="1134" w:hanging="425"/>
        <w:rPr>
          <w:iCs/>
        </w:rPr>
      </w:pPr>
      <w:r w:rsidRPr="006F307B">
        <w:rPr>
          <w:iCs/>
        </w:rPr>
        <w:t>The m</w:t>
      </w:r>
      <w:r w:rsidR="001C6C91" w:rsidRPr="006F307B">
        <w:rPr>
          <w:iCs/>
        </w:rPr>
        <w:t>ethod of estimation of SoC survival based on applying an inverse hazard ratio</w:t>
      </w:r>
      <w:r w:rsidR="006D31CF" w:rsidRPr="006F307B">
        <w:rPr>
          <w:iCs/>
        </w:rPr>
        <w:t xml:space="preserve"> from the FP NMA</w:t>
      </w:r>
      <w:r w:rsidR="001C6C91" w:rsidRPr="006F307B">
        <w:rPr>
          <w:iCs/>
        </w:rPr>
        <w:t xml:space="preserve"> to the pembrolizumab data, resulting in SoC survival which differed by up to 28% depending on the comparison treatment and by CPS, which was implausible;</w:t>
      </w:r>
    </w:p>
    <w:p w:rsidR="001C6C91" w:rsidRPr="006F307B" w:rsidRDefault="001C6C91" w:rsidP="00CA41B6">
      <w:pPr>
        <w:pStyle w:val="ListParagraph"/>
        <w:numPr>
          <w:ilvl w:val="0"/>
          <w:numId w:val="23"/>
        </w:numPr>
        <w:ind w:left="1134" w:hanging="425"/>
        <w:rPr>
          <w:iCs/>
        </w:rPr>
      </w:pPr>
      <w:r w:rsidRPr="006F307B">
        <w:rPr>
          <w:iCs/>
        </w:rPr>
        <w:t>A different price for pembrolizumab when used as monotherapy ($</w:t>
      </w:r>
      <w:r w:rsidR="00071965">
        <w:rPr>
          <w:iCs/>
          <w:noProof/>
          <w:color w:val="000000"/>
          <w:highlight w:val="black"/>
        </w:rPr>
        <w:t>''''''''''''''''''</w:t>
      </w:r>
      <w:r w:rsidRPr="006F307B">
        <w:rPr>
          <w:iCs/>
        </w:rPr>
        <w:t>/100mg) and when used in combination with chemotherapy ($</w:t>
      </w:r>
      <w:r w:rsidR="00071965">
        <w:rPr>
          <w:iCs/>
          <w:noProof/>
          <w:color w:val="000000"/>
          <w:highlight w:val="black"/>
        </w:rPr>
        <w:t>'''''''''''''''''</w:t>
      </w:r>
      <w:r w:rsidRPr="006F307B">
        <w:rPr>
          <w:iCs/>
        </w:rPr>
        <w:t>/100mg)</w:t>
      </w:r>
      <w:r w:rsidR="00231A54" w:rsidRPr="006F307B">
        <w:rPr>
          <w:iCs/>
        </w:rPr>
        <w:t xml:space="preserve"> and uncertainty in the split for the two regimens</w:t>
      </w:r>
      <w:r w:rsidRPr="006F307B">
        <w:rPr>
          <w:iCs/>
        </w:rPr>
        <w:t>;</w:t>
      </w:r>
    </w:p>
    <w:p w:rsidR="00EE087B" w:rsidRPr="006F307B" w:rsidRDefault="001C6C91" w:rsidP="00CA41B6">
      <w:pPr>
        <w:pStyle w:val="ListParagraph"/>
        <w:numPr>
          <w:ilvl w:val="0"/>
          <w:numId w:val="23"/>
        </w:numPr>
        <w:ind w:left="1134" w:hanging="425"/>
        <w:rPr>
          <w:iCs/>
        </w:rPr>
      </w:pPr>
      <w:r w:rsidRPr="006F307B">
        <w:rPr>
          <w:iCs/>
        </w:rPr>
        <w:t>Using a time</w:t>
      </w:r>
      <w:r w:rsidR="008C6FB3" w:rsidRPr="006F307B">
        <w:rPr>
          <w:iCs/>
        </w:rPr>
        <w:t>-</w:t>
      </w:r>
      <w:r w:rsidRPr="006F307B">
        <w:rPr>
          <w:iCs/>
        </w:rPr>
        <w:t xml:space="preserve">dependent HR from the FP NMA instead of a constant HR from the Bucher indirect comparison. External validation conducted during the evaluation showed that the FP NMA method produced </w:t>
      </w:r>
      <w:r w:rsidR="009369E6" w:rsidRPr="006F307B">
        <w:rPr>
          <w:iCs/>
        </w:rPr>
        <w:t xml:space="preserve">a </w:t>
      </w:r>
      <w:r w:rsidRPr="006F307B">
        <w:rPr>
          <w:iCs/>
        </w:rPr>
        <w:t xml:space="preserve">poor fit to empirical data in the SoC arm. </w:t>
      </w:r>
      <w:r w:rsidR="006B57AD" w:rsidRPr="006F307B">
        <w:rPr>
          <w:iCs/>
        </w:rPr>
        <w:t>The ESC</w:t>
      </w:r>
      <w:r w:rsidR="00195670" w:rsidRPr="006F307B">
        <w:rPr>
          <w:iCs/>
        </w:rPr>
        <w:t>s</w:t>
      </w:r>
      <w:r w:rsidR="006B57AD" w:rsidRPr="006F307B">
        <w:rPr>
          <w:iCs/>
        </w:rPr>
        <w:t xml:space="preserve"> noted that this f</w:t>
      </w:r>
      <w:r w:rsidRPr="006F307B">
        <w:rPr>
          <w:iCs/>
        </w:rPr>
        <w:t>avours pembrolizumab at a 7.5 year time horizon but favours SoC at a 5 year time horizon</w:t>
      </w:r>
      <w:r w:rsidR="00FF6D7C" w:rsidRPr="006F307B">
        <w:rPr>
          <w:iCs/>
        </w:rPr>
        <w:t xml:space="preserve">. </w:t>
      </w:r>
      <w:r w:rsidR="00DC5869" w:rsidRPr="006F307B">
        <w:rPr>
          <w:iCs/>
        </w:rPr>
        <w:t>The ESC</w:t>
      </w:r>
      <w:r w:rsidR="000D7C8A" w:rsidRPr="006F307B">
        <w:rPr>
          <w:iCs/>
        </w:rPr>
        <w:t>s</w:t>
      </w:r>
      <w:r w:rsidR="00DC5869" w:rsidRPr="006F307B">
        <w:rPr>
          <w:iCs/>
        </w:rPr>
        <w:t xml:space="preserve"> considered that </w:t>
      </w:r>
      <w:r w:rsidR="003A74A7" w:rsidRPr="006F307B">
        <w:rPr>
          <w:iCs/>
        </w:rPr>
        <w:t>use of the</w:t>
      </w:r>
      <w:r w:rsidR="00DC5869" w:rsidRPr="006F307B">
        <w:rPr>
          <w:iCs/>
        </w:rPr>
        <w:t xml:space="preserve"> </w:t>
      </w:r>
      <w:r w:rsidR="003A74A7" w:rsidRPr="006F307B">
        <w:rPr>
          <w:iCs/>
        </w:rPr>
        <w:t xml:space="preserve">constant HR from the </w:t>
      </w:r>
      <w:r w:rsidR="00DC5869" w:rsidRPr="006F307B">
        <w:rPr>
          <w:iCs/>
        </w:rPr>
        <w:t xml:space="preserve">Bucher </w:t>
      </w:r>
      <w:r w:rsidR="003A74A7" w:rsidRPr="006F307B">
        <w:rPr>
          <w:iCs/>
        </w:rPr>
        <w:t>indirect comparison would be</w:t>
      </w:r>
      <w:r w:rsidR="00967868">
        <w:rPr>
          <w:iCs/>
        </w:rPr>
        <w:t xml:space="preserve"> the most appropriate approach;</w:t>
      </w:r>
    </w:p>
    <w:p w:rsidR="001C6C91" w:rsidRPr="006F307B" w:rsidRDefault="001C6C91" w:rsidP="00CA41B6">
      <w:pPr>
        <w:pStyle w:val="ListParagraph"/>
        <w:numPr>
          <w:ilvl w:val="0"/>
          <w:numId w:val="23"/>
        </w:numPr>
        <w:ind w:left="1134" w:hanging="425"/>
        <w:rPr>
          <w:iCs/>
        </w:rPr>
      </w:pPr>
      <w:r w:rsidRPr="006F307B">
        <w:rPr>
          <w:iCs/>
        </w:rPr>
        <w:t>Higher utilities applied than the PBAC had previously considered for cetuximab in 1L</w:t>
      </w:r>
      <w:r w:rsidR="00593978">
        <w:rPr>
          <w:iCs/>
        </w:rPr>
        <w:t xml:space="preserve"> R/M HNSCC for both progression-</w:t>
      </w:r>
      <w:r w:rsidRPr="006F307B">
        <w:rPr>
          <w:iCs/>
        </w:rPr>
        <w:t>free (0.788 vs 0.65-0.69) and progr</w:t>
      </w:r>
      <w:r w:rsidR="00AB272B" w:rsidRPr="006F307B">
        <w:rPr>
          <w:iCs/>
        </w:rPr>
        <w:t>essed disease (0.716 vs 0.52). This f</w:t>
      </w:r>
      <w:r w:rsidRPr="006F307B">
        <w:rPr>
          <w:iCs/>
        </w:rPr>
        <w:t>avours pembrolizumab;</w:t>
      </w:r>
    </w:p>
    <w:p w:rsidR="001C6C91" w:rsidRPr="006F307B" w:rsidRDefault="001C6C91" w:rsidP="00CA41B6">
      <w:pPr>
        <w:pStyle w:val="ListParagraph"/>
        <w:numPr>
          <w:ilvl w:val="0"/>
          <w:numId w:val="23"/>
        </w:numPr>
        <w:ind w:left="1134" w:hanging="425"/>
        <w:rPr>
          <w:iCs/>
        </w:rPr>
      </w:pPr>
      <w:r w:rsidRPr="006F307B">
        <w:rPr>
          <w:iCs/>
        </w:rPr>
        <w:t>Inclusion of disease management costs (favoured SoC as patients treated with pembrolizumab lived longer) and terminal care costs (favoured pembrolizumab as more patients in SoC arm died at the end of the model) which would only be delayed, not prevented, by treatment with pembrolizumab; and</w:t>
      </w:r>
    </w:p>
    <w:p w:rsidR="001C6C91" w:rsidRPr="006F307B" w:rsidRDefault="001C6C91" w:rsidP="00CA41B6">
      <w:pPr>
        <w:pStyle w:val="ListParagraph"/>
        <w:numPr>
          <w:ilvl w:val="0"/>
          <w:numId w:val="23"/>
        </w:numPr>
        <w:ind w:left="1134" w:hanging="425"/>
        <w:rPr>
          <w:iCs/>
        </w:rPr>
      </w:pPr>
      <w:r w:rsidRPr="006F307B">
        <w:rPr>
          <w:iCs/>
        </w:rPr>
        <w:lastRenderedPageBreak/>
        <w:t>Patients in EXTREME may be less healthy than patients in KN048, based on ECOG status and location of primary tumour. This may potentially favour pembrolizumab in the indirect comparison and therefore in th</w:t>
      </w:r>
      <w:r w:rsidR="00967868">
        <w:rPr>
          <w:iCs/>
        </w:rPr>
        <w:t>e economic model.</w:t>
      </w:r>
    </w:p>
    <w:p w:rsidR="00907988" w:rsidRPr="006F307B" w:rsidRDefault="001C6C91" w:rsidP="00907988">
      <w:pPr>
        <w:pStyle w:val="ListParagraph"/>
        <w:numPr>
          <w:ilvl w:val="4"/>
          <w:numId w:val="1"/>
        </w:numPr>
      </w:pPr>
      <w:r w:rsidRPr="006F307B">
        <w:t xml:space="preserve">The results of key sensitivity analyses presented by the submission and conducted during the evaluation are presented in Table </w:t>
      </w:r>
      <w:r w:rsidR="00812630" w:rsidRPr="006F307B">
        <w:t>20</w:t>
      </w:r>
      <w:r w:rsidRPr="006F307B">
        <w:t>.</w:t>
      </w:r>
      <w:r w:rsidR="00712AD1" w:rsidRPr="006F307B">
        <w:t xml:space="preserve"> The ESC</w:t>
      </w:r>
      <w:r w:rsidR="00195670" w:rsidRPr="006F307B">
        <w:t>s</w:t>
      </w:r>
      <w:r w:rsidR="00712AD1" w:rsidRPr="006F307B">
        <w:t xml:space="preserve"> noted </w:t>
      </w:r>
      <w:r w:rsidR="00DC5869" w:rsidRPr="006F307B">
        <w:t>that the economic evaluation in the PD-L1 CPS≥1 population was presented as a base case</w:t>
      </w:r>
      <w:r w:rsidR="00712AD1" w:rsidRPr="006F307B">
        <w:t xml:space="preserve">, </w:t>
      </w:r>
      <w:r w:rsidR="00DC5869" w:rsidRPr="006F307B">
        <w:t>however the ESCs</w:t>
      </w:r>
      <w:r w:rsidR="00712AD1" w:rsidRPr="006F307B">
        <w:t xml:space="preserve"> considered that</w:t>
      </w:r>
      <w:r w:rsidR="008C6FB3" w:rsidRPr="006F307B">
        <w:t>,</w:t>
      </w:r>
      <w:r w:rsidR="00712AD1" w:rsidRPr="006F307B">
        <w:t xml:space="preserve"> </w:t>
      </w:r>
      <w:r w:rsidR="00DC5869" w:rsidRPr="006F307B">
        <w:t>as an integra</w:t>
      </w:r>
      <w:r w:rsidR="00EB2728" w:rsidRPr="006F307B">
        <w:t>ted codependent submission</w:t>
      </w:r>
      <w:r w:rsidR="008C6FB3" w:rsidRPr="006F307B">
        <w:t>,</w:t>
      </w:r>
      <w:r w:rsidR="00EB2728" w:rsidRPr="006F307B">
        <w:t xml:space="preserve"> </w:t>
      </w:r>
      <w:r w:rsidR="00712AD1" w:rsidRPr="006F307B">
        <w:t xml:space="preserve">the </w:t>
      </w:r>
      <w:r w:rsidR="00DC5869" w:rsidRPr="006F307B">
        <w:t>economic evaluation in</w:t>
      </w:r>
      <w:r w:rsidR="00712AD1" w:rsidRPr="006F307B">
        <w:t xml:space="preserve"> </w:t>
      </w:r>
      <w:r w:rsidR="00327563" w:rsidRPr="006F307B">
        <w:t xml:space="preserve">the </w:t>
      </w:r>
      <w:r w:rsidR="00712AD1" w:rsidRPr="007278E9">
        <w:rPr>
          <w:rFonts w:eastAsia="Times New Roman" w:cs="Arial"/>
          <w:bCs/>
          <w:color w:val="000000"/>
          <w:szCs w:val="20"/>
        </w:rPr>
        <w:t>whole R/M HNSCC population</w:t>
      </w:r>
      <w:r w:rsidR="00F1615E" w:rsidRPr="007278E9">
        <w:rPr>
          <w:rFonts w:eastAsia="Times New Roman" w:cs="Arial"/>
          <w:bCs/>
          <w:color w:val="000000"/>
          <w:szCs w:val="20"/>
        </w:rPr>
        <w:t>, including testing and treatment with SoC for the PD-L1 CPS&lt;1 population,</w:t>
      </w:r>
      <w:r w:rsidR="00DC5869" w:rsidRPr="007278E9">
        <w:rPr>
          <w:rFonts w:eastAsia="Times New Roman" w:cs="Arial"/>
          <w:bCs/>
          <w:color w:val="000000"/>
          <w:szCs w:val="20"/>
        </w:rPr>
        <w:t xml:space="preserve"> was the appropriate base case</w:t>
      </w:r>
      <w:r w:rsidR="00712AD1" w:rsidRPr="007278E9">
        <w:rPr>
          <w:rFonts w:eastAsia="Times New Roman" w:cs="Arial"/>
          <w:bCs/>
          <w:color w:val="000000"/>
          <w:szCs w:val="20"/>
        </w:rPr>
        <w:t xml:space="preserve"> </w:t>
      </w:r>
      <w:r w:rsidR="00327563" w:rsidRPr="007278E9">
        <w:rPr>
          <w:rFonts w:eastAsia="Times New Roman" w:cs="Arial"/>
          <w:bCs/>
          <w:color w:val="000000"/>
          <w:szCs w:val="20"/>
        </w:rPr>
        <w:t xml:space="preserve">and the </w:t>
      </w:r>
      <w:r w:rsidR="00026F98" w:rsidRPr="007278E9">
        <w:rPr>
          <w:rFonts w:eastAsia="Times New Roman" w:cs="Arial"/>
          <w:bCs/>
          <w:color w:val="000000"/>
          <w:szCs w:val="20"/>
        </w:rPr>
        <w:t>sensitives</w:t>
      </w:r>
      <w:r w:rsidR="00327563" w:rsidRPr="007278E9">
        <w:rPr>
          <w:rFonts w:eastAsia="Times New Roman" w:cs="Arial"/>
          <w:bCs/>
          <w:color w:val="000000"/>
          <w:szCs w:val="20"/>
        </w:rPr>
        <w:t xml:space="preserve"> around this</w:t>
      </w:r>
      <w:r w:rsidR="00DC5869" w:rsidRPr="007278E9">
        <w:rPr>
          <w:rFonts w:eastAsia="Times New Roman" w:cs="Arial"/>
          <w:bCs/>
          <w:color w:val="000000"/>
          <w:szCs w:val="20"/>
        </w:rPr>
        <w:t xml:space="preserve"> are the most meaningful.</w:t>
      </w:r>
    </w:p>
    <w:p w:rsidR="001C6C91" w:rsidRPr="00B74405" w:rsidRDefault="001C6C91" w:rsidP="00001421">
      <w:pPr>
        <w:pStyle w:val="InstructionalText"/>
        <w:keepNext/>
        <w:keepLines/>
        <w:tabs>
          <w:tab w:val="left" w:pos="284"/>
        </w:tabs>
        <w:spacing w:before="0" w:after="0"/>
        <w:ind w:left="284" w:hanging="284"/>
        <w:rPr>
          <w:rFonts w:ascii="Arial Narrow" w:hAnsi="Arial Narrow"/>
          <w:b/>
          <w:color w:val="auto"/>
          <w:sz w:val="20"/>
          <w:szCs w:val="20"/>
        </w:rPr>
      </w:pPr>
      <w:r w:rsidRPr="006F307B">
        <w:rPr>
          <w:rFonts w:ascii="Arial Narrow" w:hAnsi="Arial Narrow"/>
          <w:b/>
          <w:color w:val="auto"/>
          <w:sz w:val="20"/>
          <w:szCs w:val="20"/>
        </w:rPr>
        <w:t xml:space="preserve">Table </w:t>
      </w:r>
      <w:r w:rsidR="00812630" w:rsidRPr="006F307B">
        <w:rPr>
          <w:rFonts w:ascii="Arial Narrow" w:hAnsi="Arial Narrow"/>
          <w:b/>
          <w:color w:val="auto"/>
          <w:sz w:val="20"/>
          <w:szCs w:val="20"/>
        </w:rPr>
        <w:t>20</w:t>
      </w:r>
      <w:r w:rsidR="009B20BF" w:rsidRPr="006F307B">
        <w:rPr>
          <w:rFonts w:ascii="Arial Narrow" w:hAnsi="Arial Narrow"/>
          <w:b/>
          <w:color w:val="auto"/>
          <w:sz w:val="20"/>
          <w:szCs w:val="20"/>
        </w:rPr>
        <w:t>:</w:t>
      </w:r>
      <w:r w:rsidR="009B20BF" w:rsidRPr="00B74405">
        <w:rPr>
          <w:rFonts w:ascii="Arial Narrow" w:hAnsi="Arial Narrow"/>
          <w:b/>
          <w:color w:val="auto"/>
          <w:sz w:val="20"/>
          <w:szCs w:val="20"/>
        </w:rPr>
        <w:t xml:space="preserve"> </w:t>
      </w:r>
      <w:r w:rsidRPr="00B74405">
        <w:rPr>
          <w:rFonts w:ascii="Arial Narrow" w:hAnsi="Arial Narrow"/>
          <w:b/>
          <w:color w:val="auto"/>
          <w:sz w:val="20"/>
          <w:szCs w:val="20"/>
        </w:rPr>
        <w:t>Key sensitivity analyses around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90"/>
        <w:gridCol w:w="1506"/>
        <w:gridCol w:w="977"/>
        <w:gridCol w:w="1096"/>
        <w:gridCol w:w="1340"/>
        <w:gridCol w:w="1307"/>
      </w:tblGrid>
      <w:tr w:rsidR="001C6C91" w:rsidRPr="006F307B" w:rsidTr="00AB272B">
        <w:trPr>
          <w:trHeight w:val="227"/>
          <w:tblHeader/>
        </w:trPr>
        <w:tc>
          <w:tcPr>
            <w:tcW w:w="1547" w:type="pct"/>
            <w:tcBorders>
              <w:top w:val="single" w:sz="4" w:space="0" w:color="auto"/>
              <w:left w:val="single" w:sz="4" w:space="0" w:color="auto"/>
              <w:bottom w:val="single" w:sz="4" w:space="0" w:color="auto"/>
              <w:right w:val="single" w:sz="4" w:space="0" w:color="auto"/>
            </w:tcBorders>
            <w:vAlign w:val="bottom"/>
          </w:tcPr>
          <w:p w:rsidR="001C6C91" w:rsidRPr="006F307B" w:rsidRDefault="001C6C91" w:rsidP="00001421">
            <w:pPr>
              <w:pStyle w:val="TableText"/>
              <w:keepNext/>
              <w:keepLines/>
              <w:spacing w:before="0" w:after="0" w:line="240" w:lineRule="auto"/>
              <w:rPr>
                <w:b/>
                <w:szCs w:val="20"/>
              </w:rPr>
            </w:pPr>
          </w:p>
        </w:tc>
        <w:tc>
          <w:tcPr>
            <w:tcW w:w="83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Text"/>
              <w:keepNext/>
              <w:keepLines/>
              <w:spacing w:before="0" w:after="0" w:line="240" w:lineRule="auto"/>
              <w:jc w:val="center"/>
              <w:rPr>
                <w:b/>
                <w:szCs w:val="20"/>
              </w:rPr>
            </w:pPr>
            <w:r w:rsidRPr="006F307B">
              <w:rPr>
                <w:b/>
                <w:szCs w:val="20"/>
              </w:rPr>
              <w:t>Model/comparison</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Text"/>
              <w:keepNext/>
              <w:keepLines/>
              <w:spacing w:before="0" w:after="0" w:line="240" w:lineRule="auto"/>
              <w:jc w:val="center"/>
              <w:rPr>
                <w:b/>
                <w:szCs w:val="20"/>
              </w:rPr>
            </w:pPr>
            <w:r w:rsidRPr="006F307B">
              <w:rPr>
                <w:b/>
                <w:szCs w:val="20"/>
              </w:rPr>
              <w:t>Incremental costs</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Text"/>
              <w:keepNext/>
              <w:keepLines/>
              <w:spacing w:before="0" w:after="0" w:line="240" w:lineRule="auto"/>
              <w:jc w:val="center"/>
              <w:rPr>
                <w:b/>
                <w:szCs w:val="20"/>
              </w:rPr>
            </w:pPr>
            <w:r w:rsidRPr="006F307B">
              <w:rPr>
                <w:b/>
                <w:szCs w:val="20"/>
              </w:rPr>
              <w:t>Incremental effectiveness (QALY)</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Text"/>
              <w:keepNext/>
              <w:keepLines/>
              <w:spacing w:before="0" w:after="0" w:line="240" w:lineRule="auto"/>
              <w:jc w:val="center"/>
              <w:rPr>
                <w:b/>
                <w:szCs w:val="20"/>
              </w:rPr>
            </w:pPr>
            <w:r w:rsidRPr="006F307B">
              <w:rPr>
                <w:b/>
                <w:szCs w:val="20"/>
              </w:rPr>
              <w:t>Incremental cost-effectiveness ($/QALY)</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Text"/>
              <w:keepNext/>
              <w:keepLines/>
              <w:spacing w:before="0" w:after="0" w:line="240" w:lineRule="auto"/>
              <w:jc w:val="center"/>
              <w:rPr>
                <w:b/>
                <w:szCs w:val="20"/>
              </w:rPr>
            </w:pPr>
            <w:r w:rsidRPr="006F307B">
              <w:rPr>
                <w:b/>
                <w:szCs w:val="20"/>
              </w:rPr>
              <w:t>Percent change from base case</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E3203C" w:rsidP="00001421">
            <w:pPr>
              <w:pStyle w:val="TableText"/>
              <w:keepNext/>
              <w:spacing w:before="0" w:after="0" w:line="240" w:lineRule="auto"/>
              <w:rPr>
                <w:b/>
                <w:szCs w:val="20"/>
              </w:rPr>
            </w:pPr>
            <w:r w:rsidRPr="006F307B">
              <w:rPr>
                <w:b/>
                <w:szCs w:val="20"/>
              </w:rPr>
              <w:t xml:space="preserve">CPS≥1 patients only </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b/>
                <w:szCs w:val="20"/>
              </w:rPr>
            </w:pPr>
            <w:r w:rsidRPr="006F307B">
              <w:rPr>
                <w:b/>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b/>
                <w:szCs w:val="20"/>
              </w:rPr>
            </w:pPr>
            <w:r w:rsidRPr="007278E9">
              <w:rPr>
                <w:rFonts w:eastAsia="Times New Roman" w:cs="Arial"/>
                <w:b/>
                <w:bCs/>
                <w:color w:val="000000"/>
                <w:szCs w:val="20"/>
              </w:rPr>
              <w:t>$</w:t>
            </w:r>
            <w:r w:rsidR="00071965">
              <w:rPr>
                <w:rFonts w:eastAsia="Times New Roman" w:cs="Arial"/>
                <w:b/>
                <w:bCs/>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b/>
                <w:szCs w:val="20"/>
              </w:rPr>
            </w:pPr>
            <w:r w:rsidRPr="007278E9">
              <w:rPr>
                <w:rFonts w:eastAsia="Times New Roman" w:cs="Arial"/>
                <w:b/>
                <w:bCs/>
                <w:color w:val="000000"/>
                <w:szCs w:val="20"/>
              </w:rPr>
              <w:t>0.53</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72002E" w:rsidRDefault="001C6C91" w:rsidP="00001421">
            <w:pPr>
              <w:pStyle w:val="TableNumber"/>
              <w:keepNext/>
              <w:tabs>
                <w:tab w:val="clear" w:pos="396"/>
              </w:tabs>
              <w:spacing w:before="0" w:after="0" w:line="240" w:lineRule="auto"/>
              <w:rPr>
                <w:szCs w:val="20"/>
                <w:vertAlign w:val="superscript"/>
              </w:rPr>
            </w:pPr>
            <w:r w:rsidRPr="007278E9">
              <w:rPr>
                <w:rFonts w:eastAsia="Times New Roman" w:cs="Arial"/>
                <w:b/>
                <w:bCs/>
                <w:color w:val="000000"/>
                <w:szCs w:val="20"/>
              </w:rPr>
              <w:t>$</w:t>
            </w:r>
            <w:r w:rsidR="00071965">
              <w:rPr>
                <w:rFonts w:eastAsia="Times New Roman" w:cs="Arial"/>
                <w:b/>
                <w:bCs/>
                <w:noProof/>
                <w:color w:val="000000"/>
                <w:szCs w:val="20"/>
                <w:highlight w:val="black"/>
              </w:rPr>
              <w:t>''''''''''''''</w:t>
            </w:r>
            <w:r w:rsidR="001A3C06">
              <w:rPr>
                <w:rFonts w:eastAsia="Times New Roman" w:cs="Arial"/>
                <w:bCs/>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001421">
            <w:pPr>
              <w:pStyle w:val="TableText"/>
              <w:keepNext/>
              <w:spacing w:before="0" w:after="0" w:line="240" w:lineRule="auto"/>
              <w:rPr>
                <w:b/>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b/>
                <w:szCs w:val="20"/>
              </w:rPr>
            </w:pPr>
            <w:r w:rsidRPr="006F307B">
              <w:rPr>
                <w:b/>
                <w:szCs w:val="20"/>
              </w:rPr>
              <w:t xml:space="preserve">Pembro </w:t>
            </w:r>
            <w:r w:rsidR="0033663D" w:rsidRPr="006F307B">
              <w:rPr>
                <w:b/>
                <w:szCs w:val="20"/>
              </w:rPr>
              <w:t>c</w:t>
            </w:r>
            <w:r w:rsidRPr="006F307B">
              <w:rPr>
                <w:b/>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b/>
                <w:szCs w:val="20"/>
              </w:rPr>
            </w:pPr>
            <w:r w:rsidRPr="007278E9">
              <w:rPr>
                <w:rFonts w:eastAsia="Times New Roman" w:cs="Arial"/>
                <w:b/>
                <w:bCs/>
                <w:color w:val="000000"/>
                <w:szCs w:val="20"/>
              </w:rPr>
              <w:t>$</w:t>
            </w:r>
            <w:r w:rsidR="00071965">
              <w:rPr>
                <w:rFonts w:eastAsia="Times New Roman" w:cs="Arial"/>
                <w:b/>
                <w:bCs/>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b/>
                <w:szCs w:val="20"/>
              </w:rPr>
            </w:pPr>
            <w:r w:rsidRPr="007278E9">
              <w:rPr>
                <w:rFonts w:eastAsia="Times New Roman" w:cs="Arial"/>
                <w:b/>
                <w:bCs/>
                <w:color w:val="000000"/>
                <w:szCs w:val="20"/>
              </w:rPr>
              <w:t>0.69</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b/>
                <w:szCs w:val="20"/>
              </w:rPr>
            </w:pPr>
            <w:r w:rsidRPr="007278E9">
              <w:rPr>
                <w:rFonts w:eastAsia="Times New Roman" w:cs="Arial"/>
                <w:b/>
                <w:bCs/>
                <w:color w:val="000000"/>
                <w:szCs w:val="20"/>
              </w:rPr>
              <w:t>$</w:t>
            </w:r>
            <w:r w:rsidR="00071965">
              <w:rPr>
                <w:rFonts w:eastAsia="Times New Roman" w:cs="Arial"/>
                <w:b/>
                <w:bCs/>
                <w:noProof/>
                <w:color w:val="000000"/>
                <w:szCs w:val="20"/>
                <w:highlight w:val="black"/>
              </w:rPr>
              <w:t>'''''''''''''</w:t>
            </w:r>
            <w:r w:rsidR="001A3C06">
              <w:rPr>
                <w:rFonts w:eastAsia="Times New Roman" w:cs="Arial"/>
                <w:bCs/>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001421">
            <w:pPr>
              <w:pStyle w:val="TableText"/>
              <w:keepNext/>
              <w:spacing w:before="0" w:after="0" w:line="240" w:lineRule="auto"/>
              <w:rPr>
                <w:b/>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b/>
                <w:szCs w:val="20"/>
                <w:vertAlign w:val="superscript"/>
              </w:rPr>
            </w:pPr>
            <w:r w:rsidRPr="006F307B">
              <w:rPr>
                <w:b/>
                <w:szCs w:val="20"/>
              </w:rPr>
              <w:t>Weighted</w:t>
            </w:r>
            <w:r w:rsidR="00774BB0" w:rsidRPr="006F307B">
              <w:rPr>
                <w:b/>
                <w:szCs w:val="20"/>
              </w:rPr>
              <w:t xml:space="preserve"> </w:t>
            </w:r>
            <w:r w:rsidR="00774BB0" w:rsidRPr="006F307B">
              <w:rPr>
                <w:b/>
                <w:szCs w:val="20"/>
                <w:vertAlign w:val="superscript"/>
              </w:rPr>
              <w:t>a</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b/>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b/>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b/>
                <w:szCs w:val="20"/>
              </w:rPr>
            </w:pPr>
            <w:r w:rsidRPr="007278E9">
              <w:rPr>
                <w:rFonts w:eastAsia="Times New Roman" w:cs="Arial"/>
                <w:b/>
                <w:bCs/>
                <w:color w:val="000000"/>
                <w:szCs w:val="20"/>
              </w:rPr>
              <w:t>$</w:t>
            </w:r>
            <w:r w:rsidR="00071965">
              <w:rPr>
                <w:rFonts w:eastAsia="Times New Roman" w:cs="Arial"/>
                <w:b/>
                <w:bCs/>
                <w:noProof/>
                <w:color w:val="000000"/>
                <w:szCs w:val="20"/>
                <w:highlight w:val="black"/>
              </w:rPr>
              <w:t>''''''''''''''</w:t>
            </w:r>
            <w:r w:rsidR="001A3C06">
              <w:rPr>
                <w:rFonts w:eastAsia="Times New Roman" w:cs="Arial"/>
                <w:bCs/>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1C6C91" w:rsidP="00001421">
            <w:pPr>
              <w:pStyle w:val="TableText"/>
              <w:keepNext/>
              <w:spacing w:before="0" w:after="0" w:line="240" w:lineRule="auto"/>
              <w:rPr>
                <w:rFonts w:eastAsia="Times New Roman" w:cs="Times New Roman"/>
                <w:szCs w:val="20"/>
              </w:rPr>
            </w:pPr>
            <w:r w:rsidRPr="006F307B">
              <w:rPr>
                <w:szCs w:val="20"/>
              </w:rPr>
              <w:t>Time horizon decrease to 5 years (base case 7.5 years)</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0.42</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72002E" w:rsidRDefault="001C6C91" w:rsidP="00001421">
            <w:pPr>
              <w:pStyle w:val="TableNumber"/>
              <w:keepNext/>
              <w:tabs>
                <w:tab w:val="clear" w:pos="396"/>
              </w:tabs>
              <w:spacing w:before="0" w:after="0" w:line="240" w:lineRule="auto"/>
              <w:rPr>
                <w:szCs w:val="20"/>
                <w:vertAlign w:val="superscript"/>
              </w:rPr>
            </w:pPr>
            <w:r w:rsidRPr="007278E9">
              <w:rPr>
                <w:rFonts w:eastAsia="Times New Roman" w:cs="Arial"/>
                <w:color w:val="000000"/>
                <w:szCs w:val="20"/>
              </w:rPr>
              <w:t>$</w:t>
            </w:r>
            <w:r w:rsidR="00071965">
              <w:rPr>
                <w:rFonts w:eastAsia="Times New Roman" w:cs="Arial"/>
                <w:noProof/>
                <w:color w:val="000000"/>
                <w:szCs w:val="20"/>
                <w:highlight w:val="black"/>
              </w:rPr>
              <w:t>'''''''''''''''</w:t>
            </w:r>
            <w:r w:rsidR="00900DFD" w:rsidRPr="0072002E">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+21.9%</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001421">
            <w:pPr>
              <w:pStyle w:val="TableText"/>
              <w:keepN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 xml:space="preserve">Pembro </w:t>
            </w:r>
            <w:r w:rsidR="008C6FB3" w:rsidRPr="006F307B">
              <w:rPr>
                <w:szCs w:val="20"/>
              </w:rPr>
              <w:t>c</w:t>
            </w:r>
            <w:r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0.55</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900DFD">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+21.3%</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001421">
            <w:pPr>
              <w:pStyle w:val="TableText"/>
              <w:keepN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900DFD" w:rsidRPr="00D63F79">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+21.8%</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1C6C91" w:rsidP="00001421">
            <w:pPr>
              <w:pStyle w:val="TableText"/>
              <w:keepNext/>
              <w:spacing w:before="0" w:after="0" w:line="240" w:lineRule="auto"/>
              <w:rPr>
                <w:rFonts w:eastAsia="Times New Roman" w:cs="Times New Roman"/>
                <w:szCs w:val="20"/>
              </w:rPr>
            </w:pPr>
            <w:r w:rsidRPr="006F307B">
              <w:rPr>
                <w:rFonts w:eastAsia="Times New Roman" w:cs="Times New Roman"/>
                <w:szCs w:val="20"/>
              </w:rPr>
              <w:t>Use Bucher HR (base case time variant HR)</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0.56</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900DFD">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+1.9%</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001421">
            <w:pPr>
              <w:pStyle w:val="TableText"/>
              <w:keepN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8C6FB3" w:rsidP="00001421">
            <w:pPr>
              <w:pStyle w:val="TableNumber"/>
              <w:keepNext/>
              <w:tabs>
                <w:tab w:val="clear" w:pos="396"/>
              </w:tabs>
              <w:spacing w:before="0" w:after="0" w:line="240" w:lineRule="auto"/>
              <w:rPr>
                <w:szCs w:val="20"/>
              </w:rPr>
            </w:pPr>
            <w:r w:rsidRPr="006F307B">
              <w:rPr>
                <w:szCs w:val="20"/>
              </w:rPr>
              <w:t>Pembro c</w:t>
            </w:r>
            <w:r w:rsidR="001C6C91"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0.70</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900DFD">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+2.4%</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001421">
            <w:pPr>
              <w:pStyle w:val="TableText"/>
              <w:keepN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001421">
            <w:pPr>
              <w:pStyle w:val="TableNumber"/>
              <w:keepNext/>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900DFD">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001421">
            <w:pPr>
              <w:pStyle w:val="TableNumber"/>
              <w:keepNext/>
              <w:tabs>
                <w:tab w:val="clear" w:pos="396"/>
              </w:tabs>
              <w:spacing w:before="0" w:after="0" w:line="240" w:lineRule="auto"/>
              <w:rPr>
                <w:szCs w:val="20"/>
              </w:rPr>
            </w:pPr>
            <w:r w:rsidRPr="006F307B">
              <w:rPr>
                <w:szCs w:val="20"/>
              </w:rPr>
              <w:t>+2.1%</w:t>
            </w:r>
          </w:p>
        </w:tc>
      </w:tr>
      <w:tr w:rsidR="008C47A3" w:rsidRPr="006F307B" w:rsidTr="00AB272B">
        <w:trPr>
          <w:trHeight w:val="227"/>
        </w:trPr>
        <w:tc>
          <w:tcPr>
            <w:tcW w:w="1547" w:type="pct"/>
            <w:vMerge w:val="restart"/>
            <w:tcBorders>
              <w:left w:val="single" w:sz="4" w:space="0" w:color="auto"/>
              <w:right w:val="single" w:sz="4" w:space="0" w:color="auto"/>
            </w:tcBorders>
            <w:vAlign w:val="center"/>
          </w:tcPr>
          <w:p w:rsidR="008C47A3" w:rsidRPr="006F307B" w:rsidRDefault="008C47A3" w:rsidP="00C7195D">
            <w:pPr>
              <w:pStyle w:val="TableText"/>
              <w:spacing w:before="0" w:after="0" w:line="240" w:lineRule="auto"/>
              <w:rPr>
                <w:szCs w:val="20"/>
              </w:rPr>
            </w:pPr>
            <w:r w:rsidRPr="006F307B">
              <w:rPr>
                <w:szCs w:val="20"/>
              </w:rPr>
              <w:t xml:space="preserve">Use upper 95% </w:t>
            </w:r>
            <w:r w:rsidR="00C7195D">
              <w:rPr>
                <w:szCs w:val="20"/>
              </w:rPr>
              <w:t xml:space="preserve">CL of </w:t>
            </w:r>
            <w:r w:rsidRPr="006F307B">
              <w:rPr>
                <w:szCs w:val="20"/>
              </w:rPr>
              <w:t xml:space="preserve">Bucher HR (base case time variant HR) </w:t>
            </w:r>
            <w:r w:rsidR="00774BB0" w:rsidRPr="006F307B">
              <w:rPr>
                <w:szCs w:val="20"/>
                <w:vertAlign w:val="superscript"/>
              </w:rPr>
              <w:t>b</w:t>
            </w:r>
          </w:p>
        </w:tc>
        <w:tc>
          <w:tcPr>
            <w:tcW w:w="835" w:type="pct"/>
            <w:tcBorders>
              <w:top w:val="single" w:sz="4" w:space="0" w:color="auto"/>
              <w:left w:val="single" w:sz="4" w:space="0" w:color="auto"/>
              <w:bottom w:val="single" w:sz="4" w:space="0" w:color="auto"/>
              <w:right w:val="single" w:sz="4" w:space="0" w:color="auto"/>
            </w:tcBorders>
          </w:tcPr>
          <w:p w:rsidR="008C47A3" w:rsidRPr="006F307B" w:rsidRDefault="008C47A3" w:rsidP="008C47A3">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6F307B">
              <w:rPr>
                <w:szCs w:val="20"/>
              </w:rPr>
              <w:t>0.30</w:t>
            </w:r>
          </w:p>
        </w:tc>
        <w:tc>
          <w:tcPr>
            <w:tcW w:w="743" w:type="pct"/>
            <w:tcBorders>
              <w:top w:val="single" w:sz="4" w:space="0" w:color="auto"/>
              <w:left w:val="single" w:sz="4" w:space="0" w:color="auto"/>
              <w:bottom w:val="single" w:sz="4" w:space="0" w:color="auto"/>
              <w:right w:val="single" w:sz="4" w:space="0" w:color="auto"/>
            </w:tcBorders>
            <w:vAlign w:val="center"/>
          </w:tcPr>
          <w:p w:rsidR="008C47A3" w:rsidRPr="0072002E" w:rsidRDefault="008C47A3" w:rsidP="008C47A3">
            <w:pPr>
              <w:pStyle w:val="TableNumber"/>
              <w:tabs>
                <w:tab w:val="clear" w:pos="396"/>
              </w:tabs>
              <w:spacing w:before="0" w:after="0" w:line="240" w:lineRule="auto"/>
              <w:rPr>
                <w:rFonts w:eastAsia="Times New Roman" w:cs="Arial"/>
                <w:color w:val="000000"/>
                <w:szCs w:val="20"/>
                <w:vertAlign w:val="superscript"/>
              </w:rPr>
            </w:pPr>
            <w:r w:rsidRPr="007278E9">
              <w:rPr>
                <w:rFonts w:eastAsia="Times New Roman" w:cs="Arial"/>
                <w:color w:val="000000"/>
                <w:szCs w:val="20"/>
              </w:rPr>
              <w:t>$</w:t>
            </w:r>
            <w:r w:rsidR="00071965">
              <w:rPr>
                <w:rFonts w:eastAsia="Times New Roman" w:cs="Arial"/>
                <w:noProof/>
                <w:color w:val="000000"/>
                <w:szCs w:val="20"/>
                <w:highlight w:val="black"/>
              </w:rPr>
              <w:t>'''''''''''''''''''</w:t>
            </w:r>
            <w:r w:rsidR="00900DFD">
              <w:rPr>
                <w:rFonts w:eastAsia="Times New Roman" w:cs="Arial"/>
                <w:color w:val="000000"/>
                <w:szCs w:val="20"/>
                <w:vertAlign w:val="superscript"/>
              </w:rPr>
              <w:t>3</w:t>
            </w:r>
          </w:p>
        </w:tc>
        <w:tc>
          <w:tcPr>
            <w:tcW w:w="725" w:type="pct"/>
            <w:tcBorders>
              <w:top w:val="single" w:sz="4" w:space="0" w:color="auto"/>
              <w:left w:val="single" w:sz="4" w:space="0" w:color="auto"/>
              <w:bottom w:val="single" w:sz="4" w:space="0" w:color="auto"/>
              <w:right w:val="single" w:sz="4" w:space="0" w:color="auto"/>
            </w:tcBorders>
          </w:tcPr>
          <w:p w:rsidR="008C47A3" w:rsidRPr="006F307B" w:rsidRDefault="008C47A3" w:rsidP="008C47A3">
            <w:pPr>
              <w:pStyle w:val="TableNumber"/>
              <w:tabs>
                <w:tab w:val="clear" w:pos="396"/>
              </w:tabs>
              <w:spacing w:before="0" w:after="0" w:line="240" w:lineRule="auto"/>
              <w:rPr>
                <w:szCs w:val="20"/>
              </w:rPr>
            </w:pPr>
            <w:r w:rsidRPr="006F307B">
              <w:rPr>
                <w:szCs w:val="20"/>
              </w:rPr>
              <w:t>+75.0%</w:t>
            </w:r>
          </w:p>
        </w:tc>
      </w:tr>
      <w:tr w:rsidR="008C47A3" w:rsidRPr="006F307B" w:rsidTr="00AB272B">
        <w:trPr>
          <w:trHeight w:val="227"/>
        </w:trPr>
        <w:tc>
          <w:tcPr>
            <w:tcW w:w="1547" w:type="pct"/>
            <w:vMerge/>
            <w:tcBorders>
              <w:left w:val="single" w:sz="4" w:space="0" w:color="auto"/>
              <w:right w:val="single" w:sz="4" w:space="0" w:color="auto"/>
            </w:tcBorders>
            <w:vAlign w:val="center"/>
          </w:tcPr>
          <w:p w:rsidR="008C47A3" w:rsidRPr="006F307B" w:rsidRDefault="008C47A3" w:rsidP="008C47A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8C47A3" w:rsidRPr="006F307B" w:rsidRDefault="008C6FB3" w:rsidP="008C47A3">
            <w:pPr>
              <w:pStyle w:val="TableNumber"/>
              <w:tabs>
                <w:tab w:val="clear" w:pos="396"/>
              </w:tabs>
              <w:spacing w:before="0" w:after="0" w:line="240" w:lineRule="auto"/>
              <w:rPr>
                <w:szCs w:val="20"/>
              </w:rPr>
            </w:pPr>
            <w:r w:rsidRPr="006F307B">
              <w:rPr>
                <w:szCs w:val="20"/>
              </w:rPr>
              <w:t>Pembro c</w:t>
            </w:r>
            <w:r w:rsidR="008C47A3"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6F307B">
              <w:rPr>
                <w:szCs w:val="20"/>
              </w:rPr>
              <w:t>0.45</w:t>
            </w:r>
          </w:p>
        </w:tc>
        <w:tc>
          <w:tcPr>
            <w:tcW w:w="743" w:type="pct"/>
            <w:tcBorders>
              <w:top w:val="single" w:sz="4" w:space="0" w:color="auto"/>
              <w:left w:val="single" w:sz="4" w:space="0" w:color="auto"/>
              <w:bottom w:val="single" w:sz="4" w:space="0" w:color="auto"/>
              <w:right w:val="single" w:sz="4" w:space="0" w:color="auto"/>
            </w:tcBorders>
            <w:vAlign w:val="center"/>
          </w:tcPr>
          <w:p w:rsidR="008C47A3" w:rsidRPr="0072002E" w:rsidRDefault="008C47A3" w:rsidP="008C47A3">
            <w:pPr>
              <w:pStyle w:val="TableNumber"/>
              <w:tabs>
                <w:tab w:val="clear" w:pos="396"/>
              </w:tabs>
              <w:spacing w:before="0" w:after="0" w:line="240" w:lineRule="auto"/>
              <w:rPr>
                <w:rFonts w:eastAsia="Times New Roman" w:cs="Arial"/>
                <w:color w:val="000000"/>
                <w:szCs w:val="20"/>
                <w:vertAlign w:val="superscript"/>
              </w:rPr>
            </w:pPr>
            <w:r w:rsidRPr="007278E9">
              <w:rPr>
                <w:rFonts w:eastAsia="Times New Roman" w:cs="Arial"/>
                <w:color w:val="000000"/>
                <w:szCs w:val="20"/>
              </w:rPr>
              <w:t>$</w:t>
            </w:r>
            <w:r w:rsidR="00071965">
              <w:rPr>
                <w:rFonts w:eastAsia="Times New Roman" w:cs="Arial"/>
                <w:noProof/>
                <w:color w:val="000000"/>
                <w:szCs w:val="20"/>
                <w:highlight w:val="black"/>
              </w:rPr>
              <w:t>''''''''''''''''''</w:t>
            </w:r>
            <w:r w:rsidR="00900DFD">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tcPr>
          <w:p w:rsidR="008C47A3" w:rsidRPr="006F307B" w:rsidRDefault="008C47A3" w:rsidP="008C47A3">
            <w:pPr>
              <w:pStyle w:val="TableNumber"/>
              <w:tabs>
                <w:tab w:val="clear" w:pos="396"/>
              </w:tabs>
              <w:spacing w:before="0" w:after="0" w:line="240" w:lineRule="auto"/>
              <w:rPr>
                <w:szCs w:val="20"/>
              </w:rPr>
            </w:pPr>
            <w:r w:rsidRPr="006F307B">
              <w:rPr>
                <w:szCs w:val="20"/>
              </w:rPr>
              <w:t>+50.9%</w:t>
            </w:r>
          </w:p>
        </w:tc>
      </w:tr>
      <w:tr w:rsidR="008C47A3"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8C47A3" w:rsidRPr="006F307B" w:rsidRDefault="008C47A3" w:rsidP="008C47A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8C47A3" w:rsidRPr="006F307B" w:rsidRDefault="008C47A3" w:rsidP="008C47A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8C47A3" w:rsidRPr="0072002E" w:rsidRDefault="00774BB0" w:rsidP="008C47A3">
            <w:pPr>
              <w:pStyle w:val="TableNumber"/>
              <w:tabs>
                <w:tab w:val="clear" w:pos="396"/>
              </w:tabs>
              <w:spacing w:before="0" w:after="0" w:line="240" w:lineRule="auto"/>
              <w:rPr>
                <w:rFonts w:eastAsia="Times New Roman" w:cs="Arial"/>
                <w:color w:val="000000"/>
                <w:szCs w:val="20"/>
                <w:vertAlign w:val="superscript"/>
              </w:rPr>
            </w:pPr>
            <w:r w:rsidRPr="007278E9">
              <w:rPr>
                <w:rFonts w:eastAsia="Times New Roman" w:cs="Arial"/>
                <w:color w:val="000000"/>
                <w:szCs w:val="20"/>
              </w:rPr>
              <w:t>$</w:t>
            </w:r>
            <w:r w:rsidR="00071965">
              <w:rPr>
                <w:rFonts w:eastAsia="Times New Roman" w:cs="Arial"/>
                <w:noProof/>
                <w:color w:val="000000"/>
                <w:szCs w:val="20"/>
                <w:highlight w:val="black"/>
              </w:rPr>
              <w:t>'''''''''''''''''</w:t>
            </w:r>
            <w:r w:rsidR="00900DFD">
              <w:rPr>
                <w:rFonts w:eastAsia="Times New Roman" w:cs="Arial"/>
                <w:color w:val="000000"/>
                <w:szCs w:val="20"/>
                <w:vertAlign w:val="superscript"/>
              </w:rPr>
              <w:t>3</w:t>
            </w:r>
          </w:p>
        </w:tc>
        <w:tc>
          <w:tcPr>
            <w:tcW w:w="725" w:type="pct"/>
            <w:tcBorders>
              <w:top w:val="single" w:sz="4" w:space="0" w:color="auto"/>
              <w:left w:val="single" w:sz="4" w:space="0" w:color="auto"/>
              <w:bottom w:val="single" w:sz="4" w:space="0" w:color="auto"/>
              <w:right w:val="single" w:sz="4" w:space="0" w:color="auto"/>
            </w:tcBorders>
          </w:tcPr>
          <w:p w:rsidR="008C47A3" w:rsidRPr="006F307B" w:rsidRDefault="00774BB0" w:rsidP="008C47A3">
            <w:pPr>
              <w:pStyle w:val="TableNumber"/>
              <w:tabs>
                <w:tab w:val="clear" w:pos="396"/>
              </w:tabs>
              <w:spacing w:before="0" w:after="0" w:line="240" w:lineRule="auto"/>
              <w:rPr>
                <w:szCs w:val="20"/>
              </w:rPr>
            </w:pPr>
            <w:r w:rsidRPr="006F307B">
              <w:rPr>
                <w:szCs w:val="20"/>
              </w:rPr>
              <w:t>+68.5%</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r w:rsidRPr="006F307B">
              <w:rPr>
                <w:szCs w:val="20"/>
              </w:rPr>
              <w:t>Increase cost of pembrolizumab by 10% (as proxy for increasing number of doses by 10%)</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0.53</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900DFD">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+16.7%</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725CF3">
            <w:pPr>
              <w:pStyle w:val="TableText"/>
              <w:spacing w:before="0" w:after="0" w:line="240" w:lineRule="auto"/>
              <w:rPr>
                <w:rFonts w:eastAsia="Times New Roman" w:cs="Times New Roman"/>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8C6FB3" w:rsidP="00725CF3">
            <w:pPr>
              <w:pStyle w:val="TableNumber"/>
              <w:tabs>
                <w:tab w:val="clear" w:pos="396"/>
              </w:tabs>
              <w:spacing w:before="0" w:after="0" w:line="240" w:lineRule="auto"/>
              <w:rPr>
                <w:szCs w:val="20"/>
              </w:rPr>
            </w:pPr>
            <w:r w:rsidRPr="006F307B">
              <w:rPr>
                <w:szCs w:val="20"/>
              </w:rPr>
              <w:t>Pembro c</w:t>
            </w:r>
            <w:r w:rsidR="001C6C91"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0.69</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900DFD">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+7.2%</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725CF3">
            <w:pPr>
              <w:pStyle w:val="TableText"/>
              <w:spacing w:before="0" w:after="0" w:line="240" w:lineRule="auto"/>
              <w:rPr>
                <w:rFonts w:eastAsia="Times New Roman" w:cs="Times New Roman"/>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900DFD">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+12.7%</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r w:rsidRPr="006F307B">
              <w:rPr>
                <w:szCs w:val="20"/>
              </w:rPr>
              <w:t>Use utilities from cetuximab Mar</w:t>
            </w:r>
            <w:r w:rsidR="00593978">
              <w:rPr>
                <w:szCs w:val="20"/>
              </w:rPr>
              <w:t>ch 2018 submission (progression-</w:t>
            </w:r>
            <w:r w:rsidRPr="006F307B">
              <w:rPr>
                <w:szCs w:val="20"/>
              </w:rPr>
              <w:t>free 0.69, progressed 0.52)</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0.43</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900DFD">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+24.0%</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725CF3">
            <w:pPr>
              <w:pStyle w:val="TableText"/>
              <w:spacing w:before="0" w:after="0" w:line="240" w:lineRule="auto"/>
              <w:rPr>
                <w:rFonts w:eastAsia="Times New Roman" w:cs="Times New Roman"/>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8C6FB3" w:rsidP="00725CF3">
            <w:pPr>
              <w:pStyle w:val="TableNumber"/>
              <w:tabs>
                <w:tab w:val="clear" w:pos="396"/>
              </w:tabs>
              <w:spacing w:before="0" w:after="0" w:line="240" w:lineRule="auto"/>
              <w:rPr>
                <w:szCs w:val="20"/>
              </w:rPr>
            </w:pPr>
            <w:r w:rsidRPr="006F307B">
              <w:rPr>
                <w:szCs w:val="20"/>
              </w:rPr>
              <w:t>Pembro c</w:t>
            </w:r>
            <w:r w:rsidR="001C6C91"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0.55</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900DFD">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+24.8%</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725CF3">
            <w:pPr>
              <w:pStyle w:val="TableText"/>
              <w:spacing w:before="0" w:after="0" w:line="240" w:lineRule="auto"/>
              <w:rPr>
                <w:rFonts w:eastAsia="Times New Roman" w:cs="Times New Roman"/>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+24.1%</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1C6C91" w:rsidP="00725CF3">
            <w:pPr>
              <w:pStyle w:val="TableText"/>
              <w:spacing w:before="0" w:after="0" w:line="240" w:lineRule="auto"/>
              <w:rPr>
                <w:rFonts w:eastAsia="Times New Roman" w:cs="Times New Roman"/>
                <w:szCs w:val="20"/>
                <w:vertAlign w:val="superscript"/>
              </w:rPr>
            </w:pPr>
            <w:r w:rsidRPr="006F307B">
              <w:rPr>
                <w:rFonts w:eastAsia="Times New Roman" w:cs="Times New Roman"/>
                <w:szCs w:val="20"/>
              </w:rPr>
              <w:t xml:space="preserve">Assume no 2L nivolumab use in SoC (base case 66.67%) </w:t>
            </w:r>
            <w:r w:rsidR="00774BB0" w:rsidRPr="006F307B">
              <w:rPr>
                <w:rFonts w:eastAsia="Times New Roman" w:cs="Times New Roman"/>
                <w:szCs w:val="20"/>
                <w:vertAlign w:val="superscript"/>
              </w:rPr>
              <w:t>c</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0.53</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+31.1%</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8C6FB3" w:rsidP="00725CF3">
            <w:pPr>
              <w:pStyle w:val="TableNumber"/>
              <w:tabs>
                <w:tab w:val="clear" w:pos="396"/>
              </w:tabs>
              <w:spacing w:before="0" w:after="0" w:line="240" w:lineRule="auto"/>
              <w:rPr>
                <w:szCs w:val="20"/>
              </w:rPr>
            </w:pPr>
            <w:r w:rsidRPr="006F307B">
              <w:rPr>
                <w:szCs w:val="20"/>
              </w:rPr>
              <w:t>Pembro c</w:t>
            </w:r>
            <w:r w:rsidR="001C6C91"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0.69</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+24.8%</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+29.6%</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vertAlign w:val="superscript"/>
              </w:rPr>
            </w:pPr>
            <w:r w:rsidRPr="006F307B">
              <w:rPr>
                <w:szCs w:val="20"/>
              </w:rPr>
              <w:t xml:space="preserve">Assume $45,000/QALY gain with 2L nivolumab added to SoC </w:t>
            </w:r>
            <w:r w:rsidR="00774BB0" w:rsidRPr="006F307B">
              <w:rPr>
                <w:szCs w:val="20"/>
                <w:vertAlign w:val="superscript"/>
              </w:rPr>
              <w:t>d</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0.29</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72002E" w:rsidRDefault="001C6C91" w:rsidP="00725CF3">
            <w:pPr>
              <w:pStyle w:val="TableNumber"/>
              <w:tabs>
                <w:tab w:val="clear" w:pos="396"/>
              </w:tabs>
              <w:spacing w:before="0" w:after="0" w:line="240" w:lineRule="auto"/>
              <w:rPr>
                <w:szCs w:val="20"/>
                <w:vertAlign w:val="superscript"/>
              </w:rPr>
            </w:pPr>
            <w:r w:rsidRPr="006F307B">
              <w:rPr>
                <w:szCs w:val="20"/>
              </w:rPr>
              <w:t>$</w:t>
            </w:r>
            <w:r w:rsidR="00071965">
              <w:rPr>
                <w:noProof/>
                <w:color w:val="000000"/>
                <w:szCs w:val="20"/>
                <w:highlight w:val="black"/>
              </w:rPr>
              <w:t>'''''''''''''''''''''</w:t>
            </w:r>
            <w:r w:rsidR="005A2CDB">
              <w:rPr>
                <w:szCs w:val="20"/>
                <w:vertAlign w:val="superscript"/>
              </w:rPr>
              <w:t>4</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+84.3%</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8C6FB3" w:rsidP="00725CF3">
            <w:pPr>
              <w:pStyle w:val="TableNumber"/>
              <w:tabs>
                <w:tab w:val="clear" w:pos="396"/>
              </w:tabs>
              <w:spacing w:before="0" w:after="0" w:line="240" w:lineRule="auto"/>
              <w:rPr>
                <w:szCs w:val="20"/>
              </w:rPr>
            </w:pPr>
            <w:r w:rsidRPr="006F307B">
              <w:rPr>
                <w:szCs w:val="20"/>
              </w:rPr>
              <w:t>Pembro c</w:t>
            </w:r>
            <w:r w:rsidR="001C6C91"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0.44</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3</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+56.5%</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3</w:t>
            </w:r>
          </w:p>
        </w:tc>
        <w:tc>
          <w:tcPr>
            <w:tcW w:w="72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+76.6%</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vertAlign w:val="superscript"/>
              </w:rPr>
            </w:pPr>
            <w:r w:rsidRPr="006F307B">
              <w:rPr>
                <w:szCs w:val="20"/>
              </w:rPr>
              <w:t xml:space="preserve">Assume $75,000/QALY gain with 2L nivolumab added to SoC </w:t>
            </w:r>
            <w:r w:rsidR="00774BB0" w:rsidRPr="006F307B">
              <w:rPr>
                <w:szCs w:val="20"/>
                <w:vertAlign w:val="superscript"/>
              </w:rPr>
              <w:t>d</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0.39</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+37.8%</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8C6FB3" w:rsidP="00725CF3">
            <w:pPr>
              <w:pStyle w:val="TableNumber"/>
              <w:tabs>
                <w:tab w:val="clear" w:pos="396"/>
              </w:tabs>
              <w:spacing w:before="0" w:after="0" w:line="240" w:lineRule="auto"/>
              <w:rPr>
                <w:szCs w:val="20"/>
              </w:rPr>
            </w:pPr>
            <w:r w:rsidRPr="006F307B">
              <w:rPr>
                <w:szCs w:val="20"/>
              </w:rPr>
              <w:t>Pembro c</w:t>
            </w:r>
            <w:r w:rsidR="001C6C91"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0.54</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+27.6%</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2</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+35.2%</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B0557F" w:rsidP="00B0557F">
            <w:pPr>
              <w:pStyle w:val="TableText"/>
              <w:spacing w:before="0" w:after="0" w:line="240" w:lineRule="auto"/>
              <w:rPr>
                <w:szCs w:val="20"/>
              </w:rPr>
            </w:pPr>
            <w:r w:rsidRPr="007278E9">
              <w:rPr>
                <w:rFonts w:eastAsia="Times New Roman" w:cs="Arial"/>
                <w:b/>
                <w:bCs/>
                <w:color w:val="000000"/>
                <w:szCs w:val="20"/>
              </w:rPr>
              <w:t>Base case</w:t>
            </w:r>
            <w:r w:rsidR="001C6C91" w:rsidRPr="007278E9">
              <w:rPr>
                <w:rFonts w:eastAsia="Times New Roman" w:cs="Arial"/>
                <w:b/>
                <w:bCs/>
                <w:color w:val="000000"/>
                <w:szCs w:val="20"/>
              </w:rPr>
              <w:t>– whole R/M HNSCC population</w:t>
            </w:r>
            <w:r w:rsidRPr="007278E9">
              <w:rPr>
                <w:rFonts w:eastAsia="Times New Roman" w:cs="Arial"/>
                <w:b/>
                <w:bCs/>
                <w:color w:val="000000"/>
                <w:szCs w:val="20"/>
              </w:rPr>
              <w:t>.</w:t>
            </w:r>
            <w:r w:rsidR="001C6C91" w:rsidRPr="007278E9">
              <w:rPr>
                <w:rFonts w:eastAsia="Times New Roman" w:cs="Arial"/>
                <w:b/>
                <w:bCs/>
                <w:color w:val="000000"/>
                <w:szCs w:val="20"/>
              </w:rPr>
              <w:t xml:space="preserve"> </w:t>
            </w:r>
            <w:r w:rsidRPr="007278E9">
              <w:rPr>
                <w:rFonts w:eastAsia="Times New Roman" w:cs="Arial"/>
                <w:b/>
                <w:bCs/>
                <w:color w:val="000000"/>
                <w:szCs w:val="20"/>
              </w:rPr>
              <w:t>Sensitivity and specificity of test 100%</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B0557F">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B0557F">
            <w:pPr>
              <w:pStyle w:val="TableNumber"/>
              <w:tabs>
                <w:tab w:val="clear" w:pos="396"/>
              </w:tabs>
              <w:spacing w:before="0" w:after="0" w:line="240" w:lineRule="auto"/>
              <w:rPr>
                <w:szCs w:val="20"/>
              </w:rPr>
            </w:pPr>
            <w:r w:rsidRPr="007278E9">
              <w:rPr>
                <w:rFonts w:eastAsia="Times New Roman" w:cs="Arial"/>
                <w:b/>
                <w:color w:val="000000"/>
                <w:szCs w:val="20"/>
              </w:rPr>
              <w:t>$</w:t>
            </w:r>
            <w:r w:rsidR="00071965">
              <w:rPr>
                <w:rFonts w:eastAsia="Times New Roman" w:cs="Arial"/>
                <w:b/>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B0557F">
            <w:pPr>
              <w:pStyle w:val="TableNumber"/>
              <w:tabs>
                <w:tab w:val="clear" w:pos="396"/>
              </w:tabs>
              <w:spacing w:before="0" w:after="0" w:line="240" w:lineRule="auto"/>
              <w:rPr>
                <w:szCs w:val="20"/>
              </w:rPr>
            </w:pPr>
            <w:r w:rsidRPr="007278E9">
              <w:rPr>
                <w:rFonts w:eastAsia="Times New Roman" w:cs="Arial"/>
                <w:b/>
                <w:color w:val="000000"/>
                <w:szCs w:val="20"/>
              </w:rPr>
              <w:t>0.45</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B0557F">
            <w:pPr>
              <w:pStyle w:val="TableNumber"/>
              <w:tabs>
                <w:tab w:val="clear" w:pos="396"/>
              </w:tabs>
              <w:spacing w:before="0" w:after="0" w:line="240" w:lineRule="auto"/>
              <w:rPr>
                <w:szCs w:val="20"/>
              </w:rPr>
            </w:pPr>
            <w:r w:rsidRPr="007278E9">
              <w:rPr>
                <w:rFonts w:eastAsia="Times New Roman" w:cs="Arial"/>
                <w:b/>
                <w:color w:val="000000"/>
                <w:szCs w:val="20"/>
              </w:rPr>
              <w:t>$</w:t>
            </w:r>
            <w:r w:rsidR="00071965">
              <w:rPr>
                <w:rFonts w:eastAsia="Times New Roman" w:cs="Arial"/>
                <w:b/>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B0557F">
            <w:pPr>
              <w:pStyle w:val="TableNumber"/>
              <w:tabs>
                <w:tab w:val="clear" w:pos="396"/>
              </w:tabs>
              <w:spacing w:before="0" w:after="0" w:line="240" w:lineRule="auto"/>
              <w:rPr>
                <w:szCs w:val="20"/>
              </w:rPr>
            </w:pPr>
            <w:r w:rsidRPr="007278E9">
              <w:rPr>
                <w:rFonts w:eastAsia="Times New Roman" w:cs="Arial"/>
                <w:b/>
                <w:color w:val="000000"/>
                <w:szCs w:val="20"/>
              </w:rPr>
              <w:t>-</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B0557F">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8C6FB3" w:rsidP="00B0557F">
            <w:pPr>
              <w:pStyle w:val="TableNumber"/>
              <w:tabs>
                <w:tab w:val="clear" w:pos="396"/>
              </w:tabs>
              <w:spacing w:before="0" w:after="0" w:line="240" w:lineRule="auto"/>
              <w:rPr>
                <w:szCs w:val="20"/>
              </w:rPr>
            </w:pPr>
            <w:r w:rsidRPr="006F307B">
              <w:rPr>
                <w:szCs w:val="20"/>
              </w:rPr>
              <w:t>Pembro c</w:t>
            </w:r>
            <w:r w:rsidR="001C6C91"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B0557F">
            <w:pPr>
              <w:pStyle w:val="TableNumber"/>
              <w:tabs>
                <w:tab w:val="clear" w:pos="396"/>
              </w:tabs>
              <w:spacing w:before="0" w:after="0" w:line="240" w:lineRule="auto"/>
              <w:rPr>
                <w:szCs w:val="20"/>
              </w:rPr>
            </w:pPr>
            <w:r w:rsidRPr="007278E9">
              <w:rPr>
                <w:rFonts w:eastAsia="Times New Roman" w:cs="Arial"/>
                <w:b/>
                <w:color w:val="000000"/>
                <w:szCs w:val="20"/>
              </w:rPr>
              <w:t>$</w:t>
            </w:r>
            <w:r w:rsidR="00071965">
              <w:rPr>
                <w:rFonts w:eastAsia="Times New Roman" w:cs="Arial"/>
                <w:b/>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7278E9">
              <w:rPr>
                <w:rFonts w:eastAsia="Times New Roman" w:cs="Arial"/>
                <w:b/>
                <w:color w:val="000000"/>
                <w:szCs w:val="20"/>
              </w:rPr>
              <w:t>0.58</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7278E9">
              <w:rPr>
                <w:rFonts w:eastAsia="Times New Roman" w:cs="Arial"/>
                <w:b/>
                <w:color w:val="000000"/>
                <w:szCs w:val="20"/>
              </w:rPr>
              <w:t>$</w:t>
            </w:r>
            <w:r w:rsidR="00071965">
              <w:rPr>
                <w:rFonts w:eastAsia="Times New Roman" w:cs="Arial"/>
                <w:b/>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7278E9">
              <w:rPr>
                <w:rFonts w:eastAsia="Times New Roman" w:cs="Arial"/>
                <w:b/>
                <w:color w:val="000000"/>
                <w:szCs w:val="20"/>
              </w:rPr>
              <w:t>-</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7278E9">
              <w:rPr>
                <w:rFonts w:eastAsia="Times New Roman" w:cs="Arial"/>
                <w:b/>
                <w:color w:val="000000"/>
                <w:szCs w:val="20"/>
              </w:rPr>
              <w:t>$</w:t>
            </w:r>
            <w:r w:rsidR="00071965">
              <w:rPr>
                <w:rFonts w:eastAsia="Times New Roman" w:cs="Arial"/>
                <w:b/>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7278E9">
              <w:rPr>
                <w:rFonts w:eastAsia="Times New Roman" w:cs="Arial"/>
                <w:b/>
                <w:color w:val="000000"/>
                <w:szCs w:val="20"/>
              </w:rPr>
              <w:t>-</w:t>
            </w:r>
          </w:p>
        </w:tc>
      </w:tr>
      <w:tr w:rsidR="008C47A3"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8C47A3" w:rsidRPr="007278E9" w:rsidRDefault="008C47A3" w:rsidP="008C47A3">
            <w:pPr>
              <w:pStyle w:val="TableText"/>
              <w:spacing w:before="0" w:after="0" w:line="240" w:lineRule="auto"/>
              <w:rPr>
                <w:rFonts w:eastAsia="Times New Roman" w:cs="Arial"/>
                <w:bCs/>
                <w:color w:val="000000"/>
                <w:szCs w:val="20"/>
              </w:rPr>
            </w:pPr>
            <w:r w:rsidRPr="007278E9">
              <w:rPr>
                <w:rFonts w:eastAsia="Times New Roman" w:cs="Arial"/>
                <w:bCs/>
                <w:color w:val="000000"/>
                <w:szCs w:val="20"/>
              </w:rPr>
              <w:t xml:space="preserve">Sensitivity of PD-L1 test used in Australia assumed to be 75% of that used in KN048 (base case 100%) </w:t>
            </w:r>
            <w:r w:rsidR="00774BB0" w:rsidRPr="007278E9">
              <w:rPr>
                <w:rFonts w:eastAsia="Times New Roman" w:cs="Arial"/>
                <w:bCs/>
                <w:color w:val="000000"/>
                <w:szCs w:val="20"/>
                <w:vertAlign w:val="superscript"/>
              </w:rPr>
              <w:t>e</w:t>
            </w:r>
            <w:r w:rsidRPr="007278E9">
              <w:rPr>
                <w:rFonts w:eastAsia="Times New Roman" w:cs="Arial"/>
                <w:bCs/>
                <w:color w:val="000000"/>
                <w:szCs w:val="20"/>
                <w:vertAlign w:val="superscript"/>
              </w:rPr>
              <w:t xml:space="preserve"> </w:t>
            </w:r>
          </w:p>
        </w:tc>
        <w:tc>
          <w:tcPr>
            <w:tcW w:w="835" w:type="pct"/>
            <w:tcBorders>
              <w:top w:val="single" w:sz="4" w:space="0" w:color="auto"/>
              <w:left w:val="single" w:sz="4" w:space="0" w:color="auto"/>
              <w:bottom w:val="single" w:sz="4" w:space="0" w:color="auto"/>
              <w:right w:val="single" w:sz="4" w:space="0" w:color="auto"/>
            </w:tcBorders>
          </w:tcPr>
          <w:p w:rsidR="008C47A3" w:rsidRPr="006F307B" w:rsidRDefault="008C47A3" w:rsidP="008C47A3">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0.34</w:t>
            </w:r>
          </w:p>
        </w:tc>
        <w:tc>
          <w:tcPr>
            <w:tcW w:w="743"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+0.1%</w:t>
            </w:r>
          </w:p>
        </w:tc>
      </w:tr>
      <w:tr w:rsidR="008C47A3" w:rsidRPr="006F307B" w:rsidTr="00AB272B">
        <w:trPr>
          <w:trHeight w:val="227"/>
        </w:trPr>
        <w:tc>
          <w:tcPr>
            <w:tcW w:w="1547" w:type="pct"/>
            <w:vMerge/>
            <w:tcBorders>
              <w:left w:val="single" w:sz="4" w:space="0" w:color="auto"/>
              <w:right w:val="single" w:sz="4" w:space="0" w:color="auto"/>
            </w:tcBorders>
            <w:vAlign w:val="center"/>
          </w:tcPr>
          <w:p w:rsidR="008C47A3" w:rsidRPr="007278E9" w:rsidRDefault="008C47A3" w:rsidP="008C47A3">
            <w:pPr>
              <w:pStyle w:val="TableText"/>
              <w:spacing w:before="0" w:after="0" w:line="240" w:lineRule="auto"/>
              <w:rPr>
                <w:rFonts w:eastAsia="Times New Roman" w:cs="Arial"/>
                <w:bCs/>
                <w:color w:val="000000"/>
                <w:szCs w:val="20"/>
              </w:rPr>
            </w:pPr>
          </w:p>
        </w:tc>
        <w:tc>
          <w:tcPr>
            <w:tcW w:w="835" w:type="pct"/>
            <w:tcBorders>
              <w:top w:val="single" w:sz="4" w:space="0" w:color="auto"/>
              <w:left w:val="single" w:sz="4" w:space="0" w:color="auto"/>
              <w:bottom w:val="single" w:sz="4" w:space="0" w:color="auto"/>
              <w:right w:val="single" w:sz="4" w:space="0" w:color="auto"/>
            </w:tcBorders>
          </w:tcPr>
          <w:p w:rsidR="008C47A3" w:rsidRPr="006F307B" w:rsidRDefault="008C6FB3" w:rsidP="008C47A3">
            <w:pPr>
              <w:pStyle w:val="TableNumber"/>
              <w:tabs>
                <w:tab w:val="clear" w:pos="396"/>
              </w:tabs>
              <w:spacing w:before="0" w:after="0" w:line="240" w:lineRule="auto"/>
              <w:rPr>
                <w:szCs w:val="20"/>
              </w:rPr>
            </w:pPr>
            <w:r w:rsidRPr="006F307B">
              <w:rPr>
                <w:szCs w:val="20"/>
              </w:rPr>
              <w:t>Pembro c</w:t>
            </w:r>
            <w:r w:rsidR="008C47A3"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0.44</w:t>
            </w:r>
          </w:p>
        </w:tc>
        <w:tc>
          <w:tcPr>
            <w:tcW w:w="743"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+0.1%</w:t>
            </w:r>
          </w:p>
        </w:tc>
      </w:tr>
      <w:tr w:rsidR="008C47A3" w:rsidRPr="006F307B" w:rsidTr="00AB272B">
        <w:trPr>
          <w:trHeight w:val="227"/>
        </w:trPr>
        <w:tc>
          <w:tcPr>
            <w:tcW w:w="1547" w:type="pct"/>
            <w:vMerge/>
            <w:tcBorders>
              <w:left w:val="single" w:sz="4" w:space="0" w:color="auto"/>
              <w:right w:val="single" w:sz="4" w:space="0" w:color="auto"/>
            </w:tcBorders>
            <w:vAlign w:val="center"/>
          </w:tcPr>
          <w:p w:rsidR="008C47A3" w:rsidRPr="007278E9" w:rsidRDefault="008C47A3" w:rsidP="008C47A3">
            <w:pPr>
              <w:pStyle w:val="TableText"/>
              <w:spacing w:before="0" w:after="0" w:line="240" w:lineRule="auto"/>
              <w:rPr>
                <w:rFonts w:eastAsia="Times New Roman" w:cs="Arial"/>
                <w:bCs/>
                <w:color w:val="000000"/>
                <w:szCs w:val="20"/>
              </w:rPr>
            </w:pPr>
          </w:p>
        </w:tc>
        <w:tc>
          <w:tcPr>
            <w:tcW w:w="835" w:type="pct"/>
            <w:tcBorders>
              <w:top w:val="single" w:sz="4" w:space="0" w:color="auto"/>
              <w:left w:val="single" w:sz="4" w:space="0" w:color="auto"/>
              <w:bottom w:val="single" w:sz="4" w:space="0" w:color="auto"/>
              <w:right w:val="single" w:sz="4" w:space="0" w:color="auto"/>
            </w:tcBorders>
          </w:tcPr>
          <w:p w:rsidR="008C47A3" w:rsidRPr="006F307B" w:rsidRDefault="008C47A3" w:rsidP="008C47A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8C47A3" w:rsidRPr="00B74405" w:rsidRDefault="008C47A3" w:rsidP="008C47A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+0.1%</w:t>
            </w:r>
          </w:p>
        </w:tc>
      </w:tr>
      <w:tr w:rsidR="008C47A3" w:rsidRPr="006F307B" w:rsidTr="00AB272B">
        <w:trPr>
          <w:trHeight w:val="227"/>
        </w:trPr>
        <w:tc>
          <w:tcPr>
            <w:tcW w:w="1547" w:type="pct"/>
            <w:vMerge w:val="restart"/>
            <w:tcBorders>
              <w:left w:val="single" w:sz="4" w:space="0" w:color="auto"/>
              <w:right w:val="single" w:sz="4" w:space="0" w:color="auto"/>
            </w:tcBorders>
            <w:vAlign w:val="center"/>
          </w:tcPr>
          <w:p w:rsidR="008C47A3" w:rsidRPr="007278E9" w:rsidRDefault="008C47A3" w:rsidP="008C47A3">
            <w:pPr>
              <w:pStyle w:val="TableText"/>
              <w:spacing w:before="0" w:after="0" w:line="240" w:lineRule="auto"/>
              <w:rPr>
                <w:rFonts w:eastAsia="Times New Roman" w:cs="Arial"/>
                <w:bCs/>
                <w:color w:val="000000"/>
                <w:szCs w:val="20"/>
              </w:rPr>
            </w:pPr>
            <w:r w:rsidRPr="007278E9">
              <w:rPr>
                <w:rFonts w:eastAsia="Times New Roman" w:cs="Arial"/>
                <w:bCs/>
                <w:color w:val="000000"/>
                <w:szCs w:val="20"/>
              </w:rPr>
              <w:t xml:space="preserve">Specificity of PD-L1 test used in </w:t>
            </w:r>
            <w:r w:rsidRPr="007278E9">
              <w:rPr>
                <w:rFonts w:eastAsia="Times New Roman" w:cs="Arial"/>
                <w:bCs/>
                <w:color w:val="000000"/>
                <w:szCs w:val="20"/>
              </w:rPr>
              <w:lastRenderedPageBreak/>
              <w:t xml:space="preserve">Australia assumed to be 75% of that used in KN048 (base case 100%) </w:t>
            </w:r>
            <w:r w:rsidR="00774BB0" w:rsidRPr="007278E9">
              <w:rPr>
                <w:rFonts w:eastAsia="Times New Roman" w:cs="Arial"/>
                <w:bCs/>
                <w:color w:val="000000"/>
                <w:szCs w:val="20"/>
                <w:vertAlign w:val="superscript"/>
              </w:rPr>
              <w:t>e</w:t>
            </w:r>
            <w:r w:rsidRPr="007278E9">
              <w:rPr>
                <w:rFonts w:eastAsia="Times New Roman" w:cs="Arial"/>
                <w:bCs/>
                <w:color w:val="000000"/>
                <w:szCs w:val="20"/>
                <w:vertAlign w:val="superscript"/>
              </w:rPr>
              <w:t xml:space="preserve"> </w:t>
            </w:r>
          </w:p>
        </w:tc>
        <w:tc>
          <w:tcPr>
            <w:tcW w:w="835" w:type="pct"/>
            <w:tcBorders>
              <w:top w:val="single" w:sz="4" w:space="0" w:color="auto"/>
              <w:left w:val="single" w:sz="4" w:space="0" w:color="auto"/>
              <w:bottom w:val="single" w:sz="4" w:space="0" w:color="auto"/>
              <w:right w:val="single" w:sz="4" w:space="0" w:color="auto"/>
            </w:tcBorders>
          </w:tcPr>
          <w:p w:rsidR="008C47A3" w:rsidRPr="006F307B" w:rsidRDefault="008C47A3" w:rsidP="008C47A3">
            <w:pPr>
              <w:pStyle w:val="TableNumber"/>
              <w:tabs>
                <w:tab w:val="clear" w:pos="396"/>
              </w:tabs>
              <w:spacing w:before="0" w:after="0" w:line="240" w:lineRule="auto"/>
              <w:rPr>
                <w:szCs w:val="20"/>
              </w:rPr>
            </w:pPr>
            <w:r w:rsidRPr="006F307B">
              <w:rPr>
                <w:szCs w:val="20"/>
              </w:rPr>
              <w:lastRenderedPageBreak/>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0.44</w:t>
            </w:r>
          </w:p>
        </w:tc>
        <w:tc>
          <w:tcPr>
            <w:tcW w:w="743"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+4.2%</w:t>
            </w:r>
          </w:p>
        </w:tc>
      </w:tr>
      <w:tr w:rsidR="008C47A3" w:rsidRPr="006F307B" w:rsidTr="00AB272B">
        <w:trPr>
          <w:trHeight w:val="227"/>
        </w:trPr>
        <w:tc>
          <w:tcPr>
            <w:tcW w:w="1547" w:type="pct"/>
            <w:vMerge/>
            <w:tcBorders>
              <w:left w:val="single" w:sz="4" w:space="0" w:color="auto"/>
              <w:right w:val="single" w:sz="4" w:space="0" w:color="auto"/>
            </w:tcBorders>
            <w:vAlign w:val="center"/>
          </w:tcPr>
          <w:p w:rsidR="008C47A3" w:rsidRPr="007278E9" w:rsidRDefault="008C47A3" w:rsidP="008C47A3">
            <w:pPr>
              <w:pStyle w:val="TableText"/>
              <w:spacing w:before="0" w:after="0" w:line="240" w:lineRule="auto"/>
              <w:rPr>
                <w:rFonts w:eastAsia="Times New Roman" w:cs="Arial"/>
                <w:bCs/>
                <w:color w:val="000000"/>
                <w:szCs w:val="20"/>
              </w:rPr>
            </w:pPr>
          </w:p>
        </w:tc>
        <w:tc>
          <w:tcPr>
            <w:tcW w:w="835" w:type="pct"/>
            <w:tcBorders>
              <w:top w:val="single" w:sz="4" w:space="0" w:color="auto"/>
              <w:left w:val="single" w:sz="4" w:space="0" w:color="auto"/>
              <w:bottom w:val="single" w:sz="4" w:space="0" w:color="auto"/>
              <w:right w:val="single" w:sz="4" w:space="0" w:color="auto"/>
            </w:tcBorders>
          </w:tcPr>
          <w:p w:rsidR="008C47A3" w:rsidRPr="006F307B" w:rsidRDefault="008C6FB3" w:rsidP="008C47A3">
            <w:pPr>
              <w:pStyle w:val="TableNumber"/>
              <w:tabs>
                <w:tab w:val="clear" w:pos="396"/>
              </w:tabs>
              <w:spacing w:before="0" w:after="0" w:line="240" w:lineRule="auto"/>
              <w:rPr>
                <w:szCs w:val="20"/>
              </w:rPr>
            </w:pPr>
            <w:r w:rsidRPr="006F307B">
              <w:rPr>
                <w:szCs w:val="20"/>
              </w:rPr>
              <w:t>Pembro c</w:t>
            </w:r>
            <w:r w:rsidR="008C47A3"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0.58</w:t>
            </w:r>
          </w:p>
        </w:tc>
        <w:tc>
          <w:tcPr>
            <w:tcW w:w="743"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+3.3%</w:t>
            </w:r>
          </w:p>
        </w:tc>
      </w:tr>
      <w:tr w:rsidR="008C47A3" w:rsidRPr="006F307B" w:rsidTr="00AB272B">
        <w:trPr>
          <w:trHeight w:val="227"/>
        </w:trPr>
        <w:tc>
          <w:tcPr>
            <w:tcW w:w="1547" w:type="pct"/>
            <w:vMerge/>
            <w:tcBorders>
              <w:left w:val="single" w:sz="4" w:space="0" w:color="auto"/>
              <w:right w:val="single" w:sz="4" w:space="0" w:color="auto"/>
            </w:tcBorders>
            <w:vAlign w:val="center"/>
          </w:tcPr>
          <w:p w:rsidR="008C47A3" w:rsidRPr="007278E9" w:rsidRDefault="008C47A3" w:rsidP="008C47A3">
            <w:pPr>
              <w:pStyle w:val="TableText"/>
              <w:spacing w:before="0" w:after="0" w:line="240" w:lineRule="auto"/>
              <w:rPr>
                <w:rFonts w:eastAsia="Times New Roman" w:cs="Arial"/>
                <w:bCs/>
                <w:color w:val="000000"/>
                <w:szCs w:val="20"/>
              </w:rPr>
            </w:pPr>
          </w:p>
        </w:tc>
        <w:tc>
          <w:tcPr>
            <w:tcW w:w="835" w:type="pct"/>
            <w:tcBorders>
              <w:top w:val="single" w:sz="4" w:space="0" w:color="auto"/>
              <w:left w:val="single" w:sz="4" w:space="0" w:color="auto"/>
              <w:bottom w:val="single" w:sz="4" w:space="0" w:color="auto"/>
              <w:right w:val="single" w:sz="4" w:space="0" w:color="auto"/>
            </w:tcBorders>
          </w:tcPr>
          <w:p w:rsidR="008C47A3" w:rsidRPr="006F307B" w:rsidRDefault="008C47A3" w:rsidP="008C47A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8C47A3" w:rsidRPr="00B74405" w:rsidRDefault="008C47A3" w:rsidP="008C47A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w:t>
            </w:r>
            <w:r w:rsidR="00071965">
              <w:rPr>
                <w:rFonts w:eastAsia="Times New Roman" w:cs="Arial"/>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8C47A3" w:rsidRPr="006F307B" w:rsidRDefault="008C47A3" w:rsidP="008C47A3">
            <w:pPr>
              <w:pStyle w:val="TableNumber"/>
              <w:tabs>
                <w:tab w:val="clear" w:pos="396"/>
              </w:tabs>
              <w:spacing w:before="0" w:after="0" w:line="240" w:lineRule="auto"/>
              <w:rPr>
                <w:szCs w:val="20"/>
              </w:rPr>
            </w:pPr>
            <w:r w:rsidRPr="007278E9">
              <w:rPr>
                <w:rFonts w:eastAsia="Times New Roman" w:cs="Arial"/>
                <w:color w:val="000000"/>
                <w:szCs w:val="20"/>
              </w:rPr>
              <w:t>+4.0%</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r w:rsidRPr="007278E9">
              <w:rPr>
                <w:rFonts w:eastAsia="Times New Roman" w:cs="Arial"/>
                <w:bCs/>
                <w:color w:val="000000"/>
                <w:szCs w:val="20"/>
              </w:rPr>
              <w:t>Use results from Emancipator 2020 (92.2% sensitivity and 18.9% specificity)</w:t>
            </w:r>
            <w:r w:rsidRPr="007278E9">
              <w:rPr>
                <w:rFonts w:eastAsia="Times New Roman" w:cs="Arial"/>
                <w:bCs/>
                <w:color w:val="000000"/>
                <w:szCs w:val="20"/>
                <w:vertAlign w:val="superscript"/>
              </w:rPr>
              <w:t xml:space="preserve"> </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B74405"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0.38</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+15.9%</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8C6FB3" w:rsidP="00725CF3">
            <w:pPr>
              <w:pStyle w:val="TableNumber"/>
              <w:tabs>
                <w:tab w:val="clear" w:pos="396"/>
              </w:tabs>
              <w:spacing w:before="0" w:after="0" w:line="240" w:lineRule="auto"/>
              <w:rPr>
                <w:szCs w:val="20"/>
              </w:rPr>
            </w:pPr>
            <w:r w:rsidRPr="006F307B">
              <w:rPr>
                <w:szCs w:val="20"/>
              </w:rPr>
              <w:t>Pembro c</w:t>
            </w:r>
            <w:r w:rsidR="001C6C91"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0.54</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+11.7%</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+14.8%</w:t>
            </w:r>
          </w:p>
        </w:tc>
      </w:tr>
      <w:tr w:rsidR="001C6C91" w:rsidRPr="006F307B" w:rsidTr="00AB272B">
        <w:trPr>
          <w:trHeight w:val="227"/>
        </w:trPr>
        <w:tc>
          <w:tcPr>
            <w:tcW w:w="1547" w:type="pct"/>
            <w:vMerge w:val="restart"/>
            <w:tcBorders>
              <w:top w:val="single" w:sz="4" w:space="0" w:color="auto"/>
              <w:left w:val="single" w:sz="4" w:space="0" w:color="auto"/>
              <w:right w:val="single" w:sz="4" w:space="0" w:color="auto"/>
            </w:tcBorders>
            <w:vAlign w:val="center"/>
          </w:tcPr>
          <w:p w:rsidR="001C6C91" w:rsidRPr="006F307B" w:rsidRDefault="001C6C91" w:rsidP="009312CE">
            <w:pPr>
              <w:pStyle w:val="TableText"/>
              <w:spacing w:before="0" w:after="0" w:line="240" w:lineRule="auto"/>
              <w:rPr>
                <w:szCs w:val="20"/>
              </w:rPr>
            </w:pPr>
            <w:r w:rsidRPr="007278E9">
              <w:rPr>
                <w:rFonts w:eastAsia="Times New Roman" w:cs="Arial"/>
                <w:bCs/>
                <w:color w:val="000000"/>
                <w:szCs w:val="20"/>
              </w:rPr>
              <w:t xml:space="preserve">Use results from Cohen </w:t>
            </w:r>
            <w:r w:rsidR="009312CE" w:rsidRPr="007278E9">
              <w:rPr>
                <w:rFonts w:eastAsia="Times New Roman" w:cs="Arial"/>
                <w:bCs/>
                <w:color w:val="000000"/>
                <w:szCs w:val="20"/>
              </w:rPr>
              <w:t xml:space="preserve">2019 </w:t>
            </w:r>
            <w:r w:rsidRPr="007278E9">
              <w:rPr>
                <w:rFonts w:eastAsia="Times New Roman" w:cs="Arial"/>
                <w:bCs/>
                <w:color w:val="000000"/>
                <w:szCs w:val="20"/>
              </w:rPr>
              <w:t>(94.0% sensitivity and 23% specificity)</w:t>
            </w:r>
            <w:r w:rsidRPr="007278E9">
              <w:rPr>
                <w:rFonts w:eastAsia="Times New Roman" w:cs="Arial"/>
                <w:bCs/>
                <w:color w:val="000000"/>
                <w:szCs w:val="20"/>
                <w:vertAlign w:val="superscript"/>
              </w:rPr>
              <w:t xml:space="preserve"> </w:t>
            </w: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Pembro mono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B74405"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0.39</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+12.7%</w:t>
            </w:r>
          </w:p>
        </w:tc>
      </w:tr>
      <w:tr w:rsidR="001C6C91" w:rsidRPr="006F307B" w:rsidTr="00AB272B">
        <w:trPr>
          <w:trHeight w:val="227"/>
        </w:trPr>
        <w:tc>
          <w:tcPr>
            <w:tcW w:w="1547" w:type="pct"/>
            <w:vMerge/>
            <w:tcBorders>
              <w:left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8C6FB3" w:rsidP="00725CF3">
            <w:pPr>
              <w:pStyle w:val="TableNumber"/>
              <w:tabs>
                <w:tab w:val="clear" w:pos="396"/>
              </w:tabs>
              <w:spacing w:before="0" w:after="0" w:line="240" w:lineRule="auto"/>
              <w:rPr>
                <w:szCs w:val="20"/>
              </w:rPr>
            </w:pPr>
            <w:r w:rsidRPr="006F307B">
              <w:rPr>
                <w:szCs w:val="20"/>
              </w:rPr>
              <w:t>Pembro c</w:t>
            </w:r>
            <w:r w:rsidR="001C6C91" w:rsidRPr="006F307B">
              <w:rPr>
                <w:szCs w:val="20"/>
              </w:rPr>
              <w:t>hemo</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0.55</w:t>
            </w: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+9.7%</w:t>
            </w:r>
          </w:p>
        </w:tc>
      </w:tr>
      <w:tr w:rsidR="001C6C91" w:rsidRPr="006F307B" w:rsidTr="00AB272B">
        <w:trPr>
          <w:trHeight w:val="227"/>
        </w:trPr>
        <w:tc>
          <w:tcPr>
            <w:tcW w:w="1547" w:type="pct"/>
            <w:vMerge/>
            <w:tcBorders>
              <w:left w:val="single" w:sz="4" w:space="0" w:color="auto"/>
              <w:bottom w:val="single" w:sz="4" w:space="0" w:color="auto"/>
              <w:right w:val="single" w:sz="4" w:space="0" w:color="auto"/>
            </w:tcBorders>
            <w:vAlign w:val="center"/>
          </w:tcPr>
          <w:p w:rsidR="001C6C91" w:rsidRPr="006F307B" w:rsidRDefault="001C6C91" w:rsidP="00725CF3">
            <w:pPr>
              <w:pStyle w:val="TableText"/>
              <w:spacing w:before="0" w:after="0" w:line="240" w:lineRule="auto"/>
              <w:rPr>
                <w:szCs w:val="20"/>
              </w:rPr>
            </w:pPr>
          </w:p>
        </w:tc>
        <w:tc>
          <w:tcPr>
            <w:tcW w:w="835" w:type="pct"/>
            <w:tcBorders>
              <w:top w:val="single" w:sz="4" w:space="0" w:color="auto"/>
              <w:left w:val="single" w:sz="4" w:space="0" w:color="auto"/>
              <w:bottom w:val="single" w:sz="4" w:space="0" w:color="auto"/>
              <w:right w:val="single" w:sz="4" w:space="0" w:color="auto"/>
            </w:tcBorders>
          </w:tcPr>
          <w:p w:rsidR="001C6C91" w:rsidRPr="006F307B" w:rsidRDefault="001C6C91" w:rsidP="00725CF3">
            <w:pPr>
              <w:pStyle w:val="TableNumber"/>
              <w:tabs>
                <w:tab w:val="clear" w:pos="396"/>
              </w:tabs>
              <w:spacing w:before="0" w:after="0" w:line="240" w:lineRule="auto"/>
              <w:rPr>
                <w:szCs w:val="20"/>
              </w:rPr>
            </w:pPr>
            <w:r w:rsidRPr="006F307B">
              <w:rPr>
                <w:szCs w:val="20"/>
              </w:rPr>
              <w:t>Weighted</w:t>
            </w:r>
          </w:p>
        </w:tc>
        <w:tc>
          <w:tcPr>
            <w:tcW w:w="542"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608"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p>
        </w:tc>
        <w:tc>
          <w:tcPr>
            <w:tcW w:w="743"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w:t>
            </w:r>
            <w:r w:rsidR="00071965">
              <w:rPr>
                <w:noProof/>
                <w:color w:val="000000"/>
                <w:szCs w:val="20"/>
                <w:highlight w:val="black"/>
              </w:rPr>
              <w:t>'''''''''''''''</w:t>
            </w:r>
            <w:r w:rsidR="005A2CDB">
              <w:rPr>
                <w:rFonts w:eastAsia="Times New Roman" w:cs="Arial"/>
                <w:color w:val="000000"/>
                <w:szCs w:val="20"/>
                <w:vertAlign w:val="superscript"/>
              </w:rPr>
              <w:t>1</w:t>
            </w:r>
          </w:p>
        </w:tc>
        <w:tc>
          <w:tcPr>
            <w:tcW w:w="725" w:type="pct"/>
            <w:tcBorders>
              <w:top w:val="single" w:sz="4" w:space="0" w:color="auto"/>
              <w:left w:val="single" w:sz="4" w:space="0" w:color="auto"/>
              <w:bottom w:val="single" w:sz="4" w:space="0" w:color="auto"/>
              <w:right w:val="single" w:sz="4" w:space="0" w:color="auto"/>
            </w:tcBorders>
            <w:vAlign w:val="center"/>
          </w:tcPr>
          <w:p w:rsidR="001C6C91" w:rsidRPr="006F307B" w:rsidRDefault="001C6C91" w:rsidP="00725CF3">
            <w:pPr>
              <w:pStyle w:val="TableNumber"/>
              <w:tabs>
                <w:tab w:val="clear" w:pos="396"/>
              </w:tabs>
              <w:spacing w:before="0" w:after="0" w:line="240" w:lineRule="auto"/>
              <w:rPr>
                <w:szCs w:val="20"/>
              </w:rPr>
            </w:pPr>
            <w:r w:rsidRPr="006F307B">
              <w:rPr>
                <w:szCs w:val="20"/>
              </w:rPr>
              <w:t>+11.9%</w:t>
            </w:r>
          </w:p>
        </w:tc>
      </w:tr>
    </w:tbl>
    <w:p w:rsidR="00774BB0" w:rsidRPr="006F307B" w:rsidRDefault="001C6C91" w:rsidP="001C6C91">
      <w:pPr>
        <w:pStyle w:val="InstructionalText"/>
        <w:tabs>
          <w:tab w:val="left" w:pos="284"/>
        </w:tabs>
        <w:spacing w:before="0" w:after="0"/>
        <w:ind w:left="284" w:hanging="284"/>
        <w:rPr>
          <w:rFonts w:ascii="Arial Narrow" w:hAnsi="Arial Narrow"/>
          <w:color w:val="auto"/>
          <w:sz w:val="18"/>
          <w:szCs w:val="18"/>
        </w:rPr>
      </w:pPr>
      <w:r w:rsidRPr="006F307B">
        <w:rPr>
          <w:rFonts w:ascii="Arial Narrow" w:hAnsi="Arial Narrow"/>
          <w:color w:val="auto"/>
          <w:sz w:val="18"/>
          <w:szCs w:val="18"/>
          <w:vertAlign w:val="superscript"/>
        </w:rPr>
        <w:t>a</w:t>
      </w:r>
      <w:r w:rsidRPr="006F307B">
        <w:rPr>
          <w:rFonts w:ascii="Arial Narrow" w:hAnsi="Arial Narrow"/>
          <w:color w:val="auto"/>
          <w:sz w:val="18"/>
          <w:szCs w:val="18"/>
        </w:rPr>
        <w:tab/>
      </w:r>
      <w:r w:rsidR="00774BB0" w:rsidRPr="006F307B">
        <w:rPr>
          <w:rFonts w:ascii="Arial Narrow" w:hAnsi="Arial Narrow"/>
          <w:color w:val="auto"/>
          <w:sz w:val="18"/>
          <w:szCs w:val="18"/>
        </w:rPr>
        <w:t>assume 20% pembrolizumab + chemotherapy and 80% pembrolizumab monotherapy</w:t>
      </w:r>
    </w:p>
    <w:p w:rsidR="00774BB0" w:rsidRPr="006F307B" w:rsidRDefault="00774BB0" w:rsidP="001C6C91">
      <w:pPr>
        <w:pStyle w:val="InstructionalText"/>
        <w:tabs>
          <w:tab w:val="left" w:pos="284"/>
        </w:tabs>
        <w:spacing w:before="0" w:after="0"/>
        <w:ind w:left="284" w:hanging="284"/>
        <w:rPr>
          <w:rFonts w:ascii="Arial Narrow" w:hAnsi="Arial Narrow"/>
          <w:color w:val="auto"/>
          <w:sz w:val="18"/>
          <w:szCs w:val="18"/>
        </w:rPr>
      </w:pPr>
      <w:r w:rsidRPr="006F307B">
        <w:rPr>
          <w:rFonts w:ascii="Arial Narrow" w:hAnsi="Arial Narrow"/>
          <w:color w:val="auto"/>
          <w:sz w:val="18"/>
          <w:szCs w:val="18"/>
          <w:vertAlign w:val="superscript"/>
        </w:rPr>
        <w:t>b</w:t>
      </w:r>
      <w:r w:rsidRPr="006F307B">
        <w:rPr>
          <w:rFonts w:ascii="Arial Narrow" w:hAnsi="Arial Narrow"/>
          <w:color w:val="auto"/>
          <w:sz w:val="18"/>
          <w:szCs w:val="18"/>
          <w:vertAlign w:val="superscript"/>
        </w:rPr>
        <w:tab/>
      </w:r>
      <w:r w:rsidRPr="006F307B">
        <w:rPr>
          <w:rFonts w:ascii="Arial Narrow" w:hAnsi="Arial Narrow"/>
          <w:color w:val="auto"/>
          <w:sz w:val="18"/>
          <w:szCs w:val="18"/>
        </w:rPr>
        <w:t>change cell G30 in Sheet ‘survival’ to Constant HR (Bucher’s Method) and change cell C34 in sheet ‘NMA_data(Bucher)’ to ‘=1/0.79’ cell C38 in sheet ‘NMA_data(Bucher)’ to ‘=1/0.70’</w:t>
      </w:r>
    </w:p>
    <w:p w:rsidR="001C6C91" w:rsidRPr="006F307B" w:rsidRDefault="00774BB0" w:rsidP="001C6C91">
      <w:pPr>
        <w:pStyle w:val="InstructionalText"/>
        <w:tabs>
          <w:tab w:val="left" w:pos="284"/>
        </w:tabs>
        <w:spacing w:before="0" w:after="0"/>
        <w:ind w:left="284" w:hanging="284"/>
        <w:rPr>
          <w:rFonts w:ascii="Arial Narrow" w:hAnsi="Arial Narrow"/>
          <w:color w:val="auto"/>
          <w:sz w:val="18"/>
          <w:szCs w:val="18"/>
        </w:rPr>
      </w:pPr>
      <w:r w:rsidRPr="006F307B">
        <w:rPr>
          <w:rFonts w:ascii="Arial Narrow" w:hAnsi="Arial Narrow"/>
          <w:color w:val="auto"/>
          <w:sz w:val="18"/>
          <w:szCs w:val="18"/>
          <w:vertAlign w:val="superscript"/>
        </w:rPr>
        <w:t>c</w:t>
      </w:r>
      <w:r w:rsidRPr="006F307B">
        <w:rPr>
          <w:rFonts w:ascii="Arial Narrow" w:hAnsi="Arial Narrow"/>
          <w:color w:val="auto"/>
          <w:sz w:val="18"/>
          <w:szCs w:val="18"/>
        </w:rPr>
        <w:tab/>
      </w:r>
      <w:r w:rsidR="001C6C91" w:rsidRPr="006F307B">
        <w:rPr>
          <w:rFonts w:ascii="Arial Narrow" w:hAnsi="Arial Narrow"/>
          <w:color w:val="auto"/>
          <w:sz w:val="18"/>
          <w:szCs w:val="18"/>
        </w:rPr>
        <w:t>Change toggle in cell H12 in sheet ‘Costs3’ to ‘No’</w:t>
      </w:r>
    </w:p>
    <w:p w:rsidR="001C6C91" w:rsidRPr="006F307B" w:rsidRDefault="00774BB0" w:rsidP="00DF31A9">
      <w:pPr>
        <w:pStyle w:val="InstructionalText"/>
        <w:tabs>
          <w:tab w:val="left" w:pos="284"/>
        </w:tabs>
        <w:spacing w:before="0" w:after="0"/>
        <w:rPr>
          <w:rFonts w:ascii="Arial Narrow" w:hAnsi="Arial Narrow"/>
          <w:color w:val="auto"/>
          <w:sz w:val="18"/>
          <w:szCs w:val="18"/>
        </w:rPr>
      </w:pPr>
      <w:r w:rsidRPr="006F307B">
        <w:rPr>
          <w:rFonts w:ascii="Arial Narrow" w:hAnsi="Arial Narrow"/>
          <w:color w:val="auto"/>
          <w:sz w:val="18"/>
          <w:szCs w:val="18"/>
          <w:vertAlign w:val="superscript"/>
        </w:rPr>
        <w:t>d</w:t>
      </w:r>
      <w:r w:rsidR="001C6C91" w:rsidRPr="006F307B">
        <w:rPr>
          <w:rFonts w:ascii="Arial Narrow" w:hAnsi="Arial Narrow"/>
          <w:color w:val="auto"/>
          <w:sz w:val="18"/>
          <w:szCs w:val="18"/>
        </w:rPr>
        <w:tab/>
        <w:t>Assumed $</w:t>
      </w:r>
      <w:r w:rsidR="00071965">
        <w:rPr>
          <w:rFonts w:ascii="Arial Narrow" w:hAnsi="Arial Narrow"/>
          <w:noProof/>
          <w:color w:val="000000"/>
          <w:sz w:val="18"/>
          <w:szCs w:val="18"/>
          <w:highlight w:val="black"/>
        </w:rPr>
        <w:t>'''''''''''''''''''''''</w:t>
      </w:r>
      <w:r w:rsidR="001C6C91" w:rsidRPr="006F307B">
        <w:rPr>
          <w:rFonts w:ascii="Arial Narrow" w:hAnsi="Arial Narrow"/>
          <w:color w:val="auto"/>
          <w:sz w:val="18"/>
          <w:szCs w:val="18"/>
        </w:rPr>
        <w:t xml:space="preserve"> (in pembrolizumab monotherapy model) and $</w:t>
      </w:r>
      <w:r w:rsidR="00071965">
        <w:rPr>
          <w:rFonts w:ascii="Arial Narrow" w:hAnsi="Arial Narrow"/>
          <w:noProof/>
          <w:color w:val="000000"/>
          <w:sz w:val="18"/>
          <w:szCs w:val="18"/>
          <w:highlight w:val="black"/>
        </w:rPr>
        <w:t>'''''''''''''''''''''''</w:t>
      </w:r>
      <w:r w:rsidR="001C6C91" w:rsidRPr="006F307B">
        <w:rPr>
          <w:rFonts w:ascii="Arial Narrow" w:hAnsi="Arial Narrow"/>
          <w:color w:val="auto"/>
          <w:sz w:val="18"/>
          <w:szCs w:val="18"/>
        </w:rPr>
        <w:t xml:space="preserve"> (pembrolizumab chemotherapy model) spent on 2L nivolumab, then divided by ICER (based on to estimate QALY for price paid for 2L nivolumab. This QALY gain is added to cell H59 in sheet ‘Result_tables’</w:t>
      </w:r>
    </w:p>
    <w:p w:rsidR="008C47A3" w:rsidRPr="006F307B" w:rsidRDefault="00774BB0" w:rsidP="008C47A3">
      <w:pPr>
        <w:pStyle w:val="InstructionalText"/>
        <w:tabs>
          <w:tab w:val="left" w:pos="284"/>
        </w:tabs>
        <w:spacing w:before="0" w:after="0"/>
        <w:rPr>
          <w:rFonts w:ascii="Arial Narrow" w:hAnsi="Arial Narrow"/>
          <w:color w:val="auto"/>
          <w:sz w:val="18"/>
          <w:szCs w:val="18"/>
        </w:rPr>
      </w:pPr>
      <w:r w:rsidRPr="006F307B">
        <w:rPr>
          <w:rFonts w:ascii="Arial Narrow" w:hAnsi="Arial Narrow"/>
          <w:color w:val="auto"/>
          <w:sz w:val="18"/>
          <w:szCs w:val="18"/>
          <w:vertAlign w:val="superscript"/>
        </w:rPr>
        <w:t>e</w:t>
      </w:r>
      <w:r w:rsidR="008C47A3" w:rsidRPr="006F307B">
        <w:rPr>
          <w:rFonts w:ascii="Arial Narrow" w:hAnsi="Arial Narrow"/>
          <w:color w:val="auto"/>
          <w:sz w:val="18"/>
          <w:szCs w:val="18"/>
        </w:rPr>
        <w:tab/>
        <w:t xml:space="preserve">Submission results could not be duplicated during evaluation </w:t>
      </w:r>
    </w:p>
    <w:p w:rsidR="00166931" w:rsidRDefault="001C6C91" w:rsidP="0033663D">
      <w:pPr>
        <w:pStyle w:val="InstructionalText"/>
        <w:spacing w:before="0" w:after="0"/>
        <w:rPr>
          <w:rFonts w:ascii="Arial Narrow" w:hAnsi="Arial Narrow"/>
          <w:color w:val="auto"/>
          <w:sz w:val="18"/>
          <w:szCs w:val="18"/>
        </w:rPr>
      </w:pPr>
      <w:r w:rsidRPr="006F307B">
        <w:rPr>
          <w:rFonts w:ascii="Arial Narrow" w:hAnsi="Arial Narrow"/>
          <w:color w:val="auto"/>
          <w:sz w:val="18"/>
          <w:szCs w:val="18"/>
        </w:rPr>
        <w:t xml:space="preserve">Abbreviations: </w:t>
      </w:r>
      <w:r w:rsidR="00C7195D">
        <w:rPr>
          <w:rFonts w:ascii="Arial Narrow" w:hAnsi="Arial Narrow"/>
          <w:color w:val="auto"/>
          <w:sz w:val="18"/>
          <w:szCs w:val="18"/>
        </w:rPr>
        <w:t xml:space="preserve">CL = confidence limit, </w:t>
      </w:r>
      <w:r w:rsidRPr="006F307B">
        <w:rPr>
          <w:rFonts w:ascii="Arial Narrow" w:hAnsi="Arial Narrow"/>
          <w:color w:val="auto"/>
          <w:sz w:val="18"/>
          <w:szCs w:val="18"/>
        </w:rPr>
        <w:t>ICER</w:t>
      </w:r>
      <w:r w:rsidR="00C7195D">
        <w:rPr>
          <w:rFonts w:ascii="Arial Narrow" w:hAnsi="Arial Narrow"/>
          <w:color w:val="auto"/>
          <w:sz w:val="18"/>
          <w:szCs w:val="18"/>
        </w:rPr>
        <w:t xml:space="preserve"> =</w:t>
      </w:r>
      <w:r w:rsidRPr="006F307B">
        <w:rPr>
          <w:rFonts w:ascii="Arial Narrow" w:hAnsi="Arial Narrow"/>
          <w:color w:val="auto"/>
          <w:sz w:val="18"/>
          <w:szCs w:val="18"/>
        </w:rPr>
        <w:t xml:space="preserve"> incremental cost-effectiveness ratio</w:t>
      </w:r>
      <w:r w:rsidR="00E9137E">
        <w:rPr>
          <w:rFonts w:ascii="Arial Narrow" w:hAnsi="Arial Narrow"/>
          <w:color w:val="auto"/>
          <w:sz w:val="18"/>
          <w:szCs w:val="18"/>
        </w:rPr>
        <w:t>,</w:t>
      </w:r>
      <w:r w:rsidRPr="006F307B">
        <w:rPr>
          <w:rFonts w:ascii="Arial Narrow" w:hAnsi="Arial Narrow"/>
          <w:color w:val="auto"/>
          <w:sz w:val="18"/>
          <w:szCs w:val="18"/>
        </w:rPr>
        <w:t xml:space="preserve"> OS</w:t>
      </w:r>
      <w:r w:rsidR="00C7195D">
        <w:rPr>
          <w:rFonts w:ascii="Arial Narrow" w:hAnsi="Arial Narrow"/>
          <w:color w:val="auto"/>
          <w:sz w:val="18"/>
          <w:szCs w:val="18"/>
        </w:rPr>
        <w:t xml:space="preserve"> =</w:t>
      </w:r>
      <w:r w:rsidRPr="006F307B">
        <w:rPr>
          <w:rFonts w:ascii="Arial Narrow" w:hAnsi="Arial Narrow"/>
          <w:color w:val="auto"/>
          <w:sz w:val="18"/>
          <w:szCs w:val="18"/>
        </w:rPr>
        <w:t xml:space="preserve"> overall survival</w:t>
      </w:r>
      <w:r w:rsidR="00E9137E">
        <w:rPr>
          <w:rFonts w:ascii="Arial Narrow" w:hAnsi="Arial Narrow"/>
          <w:color w:val="auto"/>
          <w:sz w:val="18"/>
          <w:szCs w:val="18"/>
        </w:rPr>
        <w:t>,</w:t>
      </w:r>
      <w:r w:rsidRPr="006F307B">
        <w:rPr>
          <w:rFonts w:ascii="Arial Narrow" w:hAnsi="Arial Narrow"/>
          <w:color w:val="auto"/>
          <w:sz w:val="18"/>
          <w:szCs w:val="18"/>
        </w:rPr>
        <w:t xml:space="preserve"> Pembro = pembrolizumab, mono = monotherapy, chemo = chemotherapy</w:t>
      </w:r>
      <w:r w:rsidR="00E9137E">
        <w:rPr>
          <w:rFonts w:ascii="Arial Narrow" w:hAnsi="Arial Narrow"/>
          <w:color w:val="auto"/>
          <w:sz w:val="18"/>
          <w:szCs w:val="18"/>
        </w:rPr>
        <w:t>,</w:t>
      </w:r>
      <w:r w:rsidRPr="006F307B">
        <w:rPr>
          <w:rFonts w:ascii="Arial Narrow" w:hAnsi="Arial Narrow"/>
          <w:color w:val="auto"/>
          <w:sz w:val="18"/>
          <w:szCs w:val="18"/>
        </w:rPr>
        <w:t xml:space="preserve"> PFS</w:t>
      </w:r>
      <w:r w:rsidR="00C7195D">
        <w:rPr>
          <w:rFonts w:ascii="Arial Narrow" w:hAnsi="Arial Narrow"/>
          <w:color w:val="auto"/>
          <w:sz w:val="18"/>
          <w:szCs w:val="18"/>
        </w:rPr>
        <w:t xml:space="preserve"> =</w:t>
      </w:r>
      <w:r w:rsidRPr="006F307B">
        <w:rPr>
          <w:rFonts w:ascii="Arial Narrow" w:hAnsi="Arial Narrow"/>
          <w:color w:val="auto"/>
          <w:sz w:val="18"/>
          <w:szCs w:val="18"/>
        </w:rPr>
        <w:t xml:space="preserve"> progression-free survival</w:t>
      </w:r>
      <w:r w:rsidR="00E9137E">
        <w:rPr>
          <w:rFonts w:ascii="Arial Narrow" w:hAnsi="Arial Narrow"/>
          <w:color w:val="auto"/>
          <w:sz w:val="18"/>
          <w:szCs w:val="18"/>
        </w:rPr>
        <w:t>,</w:t>
      </w:r>
      <w:r w:rsidRPr="006F307B">
        <w:rPr>
          <w:rFonts w:ascii="Arial Narrow" w:hAnsi="Arial Narrow"/>
          <w:color w:val="auto"/>
          <w:sz w:val="18"/>
          <w:szCs w:val="18"/>
        </w:rPr>
        <w:t xml:space="preserve"> QALY</w:t>
      </w:r>
      <w:r w:rsidR="00C7195D">
        <w:rPr>
          <w:rFonts w:ascii="Arial Narrow" w:hAnsi="Arial Narrow"/>
          <w:color w:val="auto"/>
          <w:sz w:val="18"/>
          <w:szCs w:val="18"/>
        </w:rPr>
        <w:t xml:space="preserve"> =</w:t>
      </w:r>
      <w:r w:rsidRPr="006F307B">
        <w:rPr>
          <w:rFonts w:ascii="Arial Narrow" w:hAnsi="Arial Narrow"/>
          <w:color w:val="auto"/>
          <w:sz w:val="18"/>
          <w:szCs w:val="18"/>
        </w:rPr>
        <w:t xml:space="preserve"> quality-adjusted life-year</w:t>
      </w:r>
      <w:r w:rsidR="00E9137E">
        <w:rPr>
          <w:rFonts w:ascii="Arial Narrow" w:hAnsi="Arial Narrow"/>
          <w:color w:val="auto"/>
          <w:sz w:val="18"/>
          <w:szCs w:val="18"/>
        </w:rPr>
        <w:t>,</w:t>
      </w:r>
      <w:r w:rsidRPr="006F307B">
        <w:rPr>
          <w:rFonts w:ascii="Arial Narrow" w:hAnsi="Arial Narrow"/>
          <w:color w:val="auto"/>
          <w:sz w:val="18"/>
          <w:szCs w:val="18"/>
        </w:rPr>
        <w:t xml:space="preserve"> SOC</w:t>
      </w:r>
      <w:r w:rsidR="00C7195D">
        <w:rPr>
          <w:rFonts w:ascii="Arial Narrow" w:hAnsi="Arial Narrow"/>
          <w:color w:val="auto"/>
          <w:sz w:val="18"/>
          <w:szCs w:val="18"/>
        </w:rPr>
        <w:t xml:space="preserve"> =</w:t>
      </w:r>
      <w:r w:rsidRPr="006F307B">
        <w:rPr>
          <w:rFonts w:ascii="Arial Narrow" w:hAnsi="Arial Narrow"/>
          <w:color w:val="auto"/>
          <w:sz w:val="18"/>
          <w:szCs w:val="18"/>
        </w:rPr>
        <w:t xml:space="preserve"> standard of care, R/M HNSCC = recurrent or metastatic head and neck carcinoma, 2L = second line, HR = hazard ratio</w:t>
      </w:r>
    </w:p>
    <w:p w:rsidR="00166931" w:rsidRPr="0072002E" w:rsidRDefault="00166931" w:rsidP="0033663D">
      <w:pPr>
        <w:pStyle w:val="InstructionalText"/>
        <w:spacing w:before="0" w:after="0"/>
        <w:rPr>
          <w:rFonts w:ascii="Arial Narrow" w:hAnsi="Arial Narrow"/>
          <w:i/>
          <w:color w:val="auto"/>
          <w:sz w:val="18"/>
          <w:szCs w:val="18"/>
        </w:rPr>
      </w:pPr>
      <w:r w:rsidRPr="0072002E">
        <w:rPr>
          <w:rFonts w:ascii="Arial Narrow" w:hAnsi="Arial Narrow"/>
          <w:i/>
          <w:color w:val="auto"/>
          <w:sz w:val="18"/>
          <w:szCs w:val="18"/>
        </w:rPr>
        <w:t>The redacted values correspond to the following ranges:</w:t>
      </w:r>
    </w:p>
    <w:p w:rsidR="00166931" w:rsidRPr="0072002E" w:rsidRDefault="00166931" w:rsidP="0033663D">
      <w:pPr>
        <w:pStyle w:val="InstructionalText"/>
        <w:spacing w:before="0" w:after="0"/>
        <w:rPr>
          <w:rFonts w:ascii="Arial Narrow" w:hAnsi="Arial Narrow"/>
          <w:i/>
          <w:color w:val="auto"/>
          <w:sz w:val="18"/>
          <w:szCs w:val="18"/>
        </w:rPr>
      </w:pPr>
      <w:r w:rsidRPr="0072002E">
        <w:rPr>
          <w:rFonts w:ascii="Arial Narrow" w:hAnsi="Arial Narrow"/>
          <w:i/>
          <w:color w:val="auto"/>
          <w:sz w:val="18"/>
          <w:szCs w:val="18"/>
          <w:vertAlign w:val="superscript"/>
        </w:rPr>
        <w:t>1</w:t>
      </w:r>
      <w:r w:rsidRPr="0072002E">
        <w:rPr>
          <w:rFonts w:ascii="Arial Narrow" w:hAnsi="Arial Narrow"/>
          <w:i/>
          <w:color w:val="auto"/>
          <w:sz w:val="18"/>
          <w:szCs w:val="18"/>
        </w:rPr>
        <w:t>$55,000 to &lt;$75,000/QALY gained</w:t>
      </w:r>
    </w:p>
    <w:p w:rsidR="00166931" w:rsidRPr="0072002E" w:rsidRDefault="00166931" w:rsidP="0033663D">
      <w:pPr>
        <w:pStyle w:val="InstructionalText"/>
        <w:spacing w:before="0" w:after="0"/>
        <w:rPr>
          <w:rFonts w:ascii="Arial Narrow" w:hAnsi="Arial Narrow"/>
          <w:i/>
          <w:color w:val="auto"/>
          <w:sz w:val="18"/>
          <w:szCs w:val="18"/>
        </w:rPr>
      </w:pPr>
      <w:r w:rsidRPr="0072002E">
        <w:rPr>
          <w:rFonts w:ascii="Arial Narrow" w:hAnsi="Arial Narrow"/>
          <w:i/>
          <w:color w:val="auto"/>
          <w:sz w:val="18"/>
          <w:szCs w:val="18"/>
          <w:vertAlign w:val="superscript"/>
        </w:rPr>
        <w:t>2</w:t>
      </w:r>
      <w:r w:rsidRPr="0072002E">
        <w:rPr>
          <w:rFonts w:ascii="Arial Narrow" w:hAnsi="Arial Narrow"/>
          <w:i/>
          <w:color w:val="auto"/>
          <w:sz w:val="18"/>
          <w:szCs w:val="18"/>
        </w:rPr>
        <w:t>$75,000 to &lt;$95,000/QALY gained</w:t>
      </w:r>
    </w:p>
    <w:p w:rsidR="00166931" w:rsidRPr="0072002E" w:rsidRDefault="00166931" w:rsidP="0033663D">
      <w:pPr>
        <w:pStyle w:val="InstructionalText"/>
        <w:spacing w:before="0" w:after="0"/>
        <w:rPr>
          <w:rFonts w:ascii="Arial Narrow" w:hAnsi="Arial Narrow"/>
          <w:i/>
          <w:color w:val="auto"/>
          <w:sz w:val="18"/>
          <w:szCs w:val="18"/>
        </w:rPr>
      </w:pPr>
      <w:r w:rsidRPr="0072002E">
        <w:rPr>
          <w:rFonts w:ascii="Arial Narrow" w:hAnsi="Arial Narrow"/>
          <w:i/>
          <w:color w:val="auto"/>
          <w:sz w:val="18"/>
          <w:szCs w:val="18"/>
          <w:vertAlign w:val="superscript"/>
        </w:rPr>
        <w:t>3</w:t>
      </w:r>
      <w:r w:rsidRPr="0072002E">
        <w:rPr>
          <w:rFonts w:ascii="Arial Narrow" w:hAnsi="Arial Narrow"/>
          <w:i/>
          <w:color w:val="auto"/>
          <w:sz w:val="18"/>
          <w:szCs w:val="18"/>
        </w:rPr>
        <w:t>$95,000 to &lt;$115,000/QALY gained</w:t>
      </w:r>
    </w:p>
    <w:p w:rsidR="00166931" w:rsidRPr="0072002E" w:rsidRDefault="00166931" w:rsidP="0033663D">
      <w:pPr>
        <w:pStyle w:val="InstructionalText"/>
        <w:spacing w:before="0" w:after="0"/>
        <w:rPr>
          <w:rFonts w:ascii="Arial Narrow" w:hAnsi="Arial Narrow"/>
          <w:i/>
          <w:color w:val="auto"/>
          <w:sz w:val="18"/>
          <w:szCs w:val="18"/>
        </w:rPr>
      </w:pPr>
      <w:r w:rsidRPr="0072002E">
        <w:rPr>
          <w:rFonts w:ascii="Arial Narrow" w:hAnsi="Arial Narrow"/>
          <w:i/>
          <w:color w:val="auto"/>
          <w:sz w:val="18"/>
          <w:szCs w:val="18"/>
          <w:vertAlign w:val="superscript"/>
        </w:rPr>
        <w:t>4</w:t>
      </w:r>
      <w:r w:rsidRPr="0072002E">
        <w:rPr>
          <w:rFonts w:ascii="Arial Narrow" w:hAnsi="Arial Narrow"/>
          <w:i/>
          <w:color w:val="auto"/>
          <w:sz w:val="18"/>
          <w:szCs w:val="18"/>
        </w:rPr>
        <w:t>$115,000 to &lt;$135,000/QALY gained</w:t>
      </w:r>
    </w:p>
    <w:p w:rsidR="00DC5869" w:rsidRPr="006F307B" w:rsidRDefault="00907988" w:rsidP="0033663D">
      <w:pPr>
        <w:pStyle w:val="ListParagraph"/>
        <w:spacing w:before="240"/>
        <w:rPr>
          <w:rFonts w:cs="Arial"/>
          <w:szCs w:val="24"/>
        </w:rPr>
      </w:pPr>
      <w:r w:rsidRPr="006F307B">
        <w:t>The ESC</w:t>
      </w:r>
      <w:r w:rsidR="000D7C8A" w:rsidRPr="006F307B">
        <w:t>s</w:t>
      </w:r>
      <w:r w:rsidRPr="006F307B">
        <w:t xml:space="preserve"> considered that the current model </w:t>
      </w:r>
      <w:r w:rsidR="003A74A7" w:rsidRPr="006F307B">
        <w:t>may be</w:t>
      </w:r>
      <w:r w:rsidRPr="006F307B">
        <w:t xml:space="preserve"> inadequate to support decision making </w:t>
      </w:r>
      <w:r w:rsidR="00DC5869" w:rsidRPr="006F307B">
        <w:t>due to the exclusion of benefits expected from patients who would be expected to be treated with 2L nivolumab. The ESC</w:t>
      </w:r>
      <w:r w:rsidR="000D7C8A" w:rsidRPr="006F307B">
        <w:t>s</w:t>
      </w:r>
      <w:r w:rsidR="00DC5869" w:rsidRPr="006F307B">
        <w:t xml:space="preserve"> did not agree with the sponsors statement </w:t>
      </w:r>
      <w:r w:rsidR="00DC5869" w:rsidRPr="006F307B">
        <w:rPr>
          <w:szCs w:val="24"/>
        </w:rPr>
        <w:t xml:space="preserve">that </w:t>
      </w:r>
      <w:r w:rsidR="00DC5869" w:rsidRPr="006F307B">
        <w:rPr>
          <w:rFonts w:cs="Arial"/>
          <w:szCs w:val="24"/>
        </w:rPr>
        <w:t>“the SoC overall survival curve used in the economic model reasonably accounts for most</w:t>
      </w:r>
      <w:r w:rsidR="00F31CC7" w:rsidRPr="006F307B">
        <w:rPr>
          <w:rFonts w:cs="Arial"/>
          <w:szCs w:val="24"/>
        </w:rPr>
        <w:t xml:space="preserve"> of</w:t>
      </w:r>
      <w:r w:rsidR="00DC5869" w:rsidRPr="006F307B">
        <w:rPr>
          <w:rFonts w:cs="Arial"/>
          <w:szCs w:val="24"/>
        </w:rPr>
        <w:t xml:space="preserve"> the benefits of 2</w:t>
      </w:r>
      <w:r w:rsidR="00C7195D">
        <w:rPr>
          <w:rFonts w:cs="Arial"/>
          <w:szCs w:val="24"/>
        </w:rPr>
        <w:t xml:space="preserve">L </w:t>
      </w:r>
      <w:r w:rsidR="00DC5869" w:rsidRPr="006F307B">
        <w:rPr>
          <w:rFonts w:cs="Arial"/>
          <w:szCs w:val="24"/>
        </w:rPr>
        <w:t>nivolumab in a sub</w:t>
      </w:r>
      <w:r w:rsidR="008C6FB3" w:rsidRPr="006F307B">
        <w:rPr>
          <w:rFonts w:cs="Arial"/>
          <w:szCs w:val="24"/>
        </w:rPr>
        <w:t>group</w:t>
      </w:r>
      <w:r w:rsidR="00DC5869" w:rsidRPr="006F307B">
        <w:rPr>
          <w:rFonts w:cs="Arial"/>
          <w:szCs w:val="24"/>
        </w:rPr>
        <w:t xml:space="preserve"> who progress on platinum based initial therapy within 6 months, since any incremental benefit of nivolumab in the context of the whole first-line population is reduced”</w:t>
      </w:r>
      <w:r w:rsidR="003A74A7" w:rsidRPr="006F307B">
        <w:rPr>
          <w:rFonts w:cs="Arial"/>
          <w:szCs w:val="24"/>
        </w:rPr>
        <w:t xml:space="preserve"> (</w:t>
      </w:r>
      <w:r w:rsidR="00931371" w:rsidRPr="006F307B">
        <w:rPr>
          <w:rFonts w:cs="Arial"/>
          <w:szCs w:val="24"/>
        </w:rPr>
        <w:t>PSCR, and pre-PBAC response</w:t>
      </w:r>
      <w:r w:rsidR="003A74A7" w:rsidRPr="006F307B">
        <w:rPr>
          <w:rFonts w:cs="Arial"/>
          <w:szCs w:val="24"/>
        </w:rPr>
        <w:t>)</w:t>
      </w:r>
      <w:r w:rsidR="00DC5869" w:rsidRPr="006F307B">
        <w:rPr>
          <w:rFonts w:cs="Arial"/>
          <w:szCs w:val="24"/>
        </w:rPr>
        <w:t xml:space="preserve">. </w:t>
      </w:r>
      <w:r w:rsidR="00931371" w:rsidRPr="006F307B">
        <w:rPr>
          <w:rFonts w:cs="Arial"/>
          <w:szCs w:val="24"/>
        </w:rPr>
        <w:t>The PBAC agreed with t</w:t>
      </w:r>
      <w:r w:rsidR="003A74A7" w:rsidRPr="006F307B">
        <w:rPr>
          <w:rFonts w:cs="Arial"/>
          <w:szCs w:val="24"/>
        </w:rPr>
        <w:t>he ESC</w:t>
      </w:r>
      <w:r w:rsidR="000D7C8A" w:rsidRPr="006F307B">
        <w:rPr>
          <w:rFonts w:cs="Arial"/>
          <w:szCs w:val="24"/>
        </w:rPr>
        <w:t>s</w:t>
      </w:r>
      <w:r w:rsidR="00931371" w:rsidRPr="006F307B">
        <w:rPr>
          <w:rFonts w:cs="Arial"/>
          <w:szCs w:val="24"/>
        </w:rPr>
        <w:t xml:space="preserve"> and</w:t>
      </w:r>
      <w:r w:rsidR="003A74A7" w:rsidRPr="006F307B">
        <w:rPr>
          <w:rFonts w:cs="Arial"/>
          <w:szCs w:val="24"/>
        </w:rPr>
        <w:t xml:space="preserve"> considered that it was </w:t>
      </w:r>
      <w:r w:rsidR="00E449D5" w:rsidRPr="006F307B">
        <w:rPr>
          <w:rFonts w:cs="Arial"/>
          <w:szCs w:val="24"/>
        </w:rPr>
        <w:t>inconsistent</w:t>
      </w:r>
      <w:r w:rsidR="003A74A7" w:rsidRPr="006F307B">
        <w:rPr>
          <w:rFonts w:cs="Arial"/>
          <w:szCs w:val="24"/>
        </w:rPr>
        <w:t xml:space="preserve"> to apply costs for 2L nivolumab without attempting to model the benefit </w:t>
      </w:r>
      <w:r w:rsidR="00F31CC7" w:rsidRPr="006F307B">
        <w:rPr>
          <w:rFonts w:cs="Arial"/>
          <w:szCs w:val="24"/>
        </w:rPr>
        <w:t xml:space="preserve">and </w:t>
      </w:r>
      <w:r w:rsidR="003A74A7" w:rsidRPr="006F307B">
        <w:rPr>
          <w:rFonts w:cs="Arial"/>
          <w:szCs w:val="24"/>
        </w:rPr>
        <w:t>considered that it was reasonable to expect a benefit for the proportion of patients who would receive 2L treatment with ni</w:t>
      </w:r>
      <w:r w:rsidR="00967868">
        <w:rPr>
          <w:rFonts w:cs="Arial"/>
          <w:szCs w:val="24"/>
        </w:rPr>
        <w:t>volumab.</w:t>
      </w:r>
    </w:p>
    <w:p w:rsidR="00C317F3" w:rsidRPr="006F307B" w:rsidRDefault="001C6C91" w:rsidP="0033663D">
      <w:pPr>
        <w:pStyle w:val="PBACESHeading2"/>
        <w:spacing w:before="240"/>
        <w:ind w:left="0" w:firstLine="0"/>
        <w:rPr>
          <w:rFonts w:asciiTheme="minorHAnsi" w:hAnsiTheme="minorHAnsi" w:cstheme="minorHAnsi"/>
        </w:rPr>
      </w:pPr>
      <w:bookmarkStart w:id="30" w:name="_Toc413139283"/>
      <w:bookmarkStart w:id="31" w:name="_Toc51080592"/>
      <w:r w:rsidRPr="006F307B">
        <w:rPr>
          <w:rFonts w:asciiTheme="minorHAnsi" w:hAnsiTheme="minorHAnsi" w:cstheme="minorHAnsi"/>
        </w:rPr>
        <w:t>Drug cost/patient/course: $</w:t>
      </w:r>
      <w:bookmarkEnd w:id="30"/>
      <w:r w:rsidR="00071965">
        <w:rPr>
          <w:rFonts w:asciiTheme="minorHAnsi" w:hAnsiTheme="minorHAnsi" w:cstheme="minorHAnsi"/>
          <w:noProof/>
          <w:color w:val="000000"/>
          <w:highlight w:val="black"/>
        </w:rPr>
        <w:t>'''''''''''''''''</w:t>
      </w:r>
      <w:r w:rsidRPr="006F307B">
        <w:rPr>
          <w:rFonts w:asciiTheme="minorHAnsi" w:hAnsiTheme="minorHAnsi" w:cstheme="minorHAnsi"/>
        </w:rPr>
        <w:t xml:space="preserve"> (pembrolizumab as monotherapy), $</w:t>
      </w:r>
      <w:r w:rsidR="00071965">
        <w:rPr>
          <w:rFonts w:asciiTheme="minorHAnsi" w:hAnsiTheme="minorHAnsi" w:cstheme="minorHAnsi"/>
          <w:noProof/>
          <w:color w:val="000000"/>
          <w:highlight w:val="black"/>
        </w:rPr>
        <w:t>'''''''''''''''''''</w:t>
      </w:r>
      <w:r w:rsidRPr="006F307B">
        <w:rPr>
          <w:rFonts w:asciiTheme="minorHAnsi" w:hAnsiTheme="minorHAnsi" w:cstheme="minorHAnsi"/>
        </w:rPr>
        <w:t xml:space="preserve"> (pembrolizumab when used with chemotherapy)</w:t>
      </w:r>
      <w:bookmarkEnd w:id="31"/>
    </w:p>
    <w:p w:rsidR="00C317F3" w:rsidRPr="006F307B" w:rsidRDefault="001C6C91" w:rsidP="0076446C">
      <w:pPr>
        <w:pStyle w:val="ListParagraph"/>
        <w:rPr>
          <w:color w:val="auto"/>
        </w:rPr>
      </w:pPr>
      <w:r w:rsidRPr="006F307B">
        <w:rPr>
          <w:color w:val="auto"/>
        </w:rPr>
        <w:t>The number of doses per course was 10.49 for pembrolizumab monotherapy (at $</w:t>
      </w:r>
      <w:r w:rsidR="00071965">
        <w:rPr>
          <w:noProof/>
          <w:color w:val="000000"/>
          <w:highlight w:val="black"/>
        </w:rPr>
        <w:t>''''''''''''''''''</w:t>
      </w:r>
      <w:r w:rsidRPr="006F307B">
        <w:rPr>
          <w:color w:val="auto"/>
        </w:rPr>
        <w:t>/200mg) and 11.71 for pembrolizumab plus chemotherapy (at $</w:t>
      </w:r>
      <w:r w:rsidR="00071965">
        <w:rPr>
          <w:noProof/>
          <w:color w:val="000000"/>
          <w:highlight w:val="black"/>
        </w:rPr>
        <w:t>'''''''''''''''''</w:t>
      </w:r>
      <w:r w:rsidRPr="006F307B">
        <w:rPr>
          <w:color w:val="auto"/>
        </w:rPr>
        <w:t>/200mg).</w:t>
      </w:r>
    </w:p>
    <w:p w:rsidR="00460B6A" w:rsidRPr="006F307B" w:rsidRDefault="00460B6A" w:rsidP="0033663D">
      <w:pPr>
        <w:pStyle w:val="PBACESHeading2"/>
        <w:spacing w:before="240"/>
        <w:rPr>
          <w:rFonts w:asciiTheme="minorHAnsi" w:hAnsiTheme="minorHAnsi" w:cstheme="minorHAnsi"/>
        </w:rPr>
      </w:pPr>
      <w:bookmarkStart w:id="32" w:name="_Toc413139284"/>
      <w:bookmarkStart w:id="33" w:name="_Toc51080593"/>
      <w:bookmarkStart w:id="34" w:name="_Toc413139286"/>
      <w:r w:rsidRPr="006F307B">
        <w:rPr>
          <w:rFonts w:asciiTheme="minorHAnsi" w:hAnsiTheme="minorHAnsi" w:cstheme="minorHAnsi"/>
        </w:rPr>
        <w:t xml:space="preserve">Estimated PBS </w:t>
      </w:r>
      <w:r w:rsidR="003C54D2" w:rsidRPr="006F307B">
        <w:rPr>
          <w:rFonts w:asciiTheme="minorHAnsi" w:hAnsiTheme="minorHAnsi" w:cstheme="minorHAnsi"/>
        </w:rPr>
        <w:t xml:space="preserve">&amp; </w:t>
      </w:r>
      <w:r w:rsidRPr="006F307B">
        <w:rPr>
          <w:rFonts w:asciiTheme="minorHAnsi" w:hAnsiTheme="minorHAnsi" w:cstheme="minorHAnsi"/>
        </w:rPr>
        <w:t>financial implications</w:t>
      </w:r>
      <w:bookmarkEnd w:id="32"/>
      <w:bookmarkEnd w:id="33"/>
    </w:p>
    <w:p w:rsidR="00460B6A" w:rsidRPr="006F307B" w:rsidRDefault="00460B6A" w:rsidP="0076446C">
      <w:pPr>
        <w:pStyle w:val="ListParagraph"/>
      </w:pPr>
      <w:r w:rsidRPr="006F307B">
        <w:t xml:space="preserve">This submission </w:t>
      </w:r>
      <w:r w:rsidR="001D5317" w:rsidRPr="006F307B">
        <w:t>was not</w:t>
      </w:r>
      <w:r w:rsidRPr="006F307B">
        <w:t xml:space="preserve"> considered by DUSC</w:t>
      </w:r>
      <w:r w:rsidR="00967868">
        <w:t>.</w:t>
      </w:r>
    </w:p>
    <w:p w:rsidR="001C6C91" w:rsidRPr="006F307B" w:rsidRDefault="001C6C91" w:rsidP="001C6C91">
      <w:pPr>
        <w:pStyle w:val="ListParagraph"/>
        <w:numPr>
          <w:ilvl w:val="4"/>
          <w:numId w:val="1"/>
        </w:numPr>
        <w:rPr>
          <w:color w:val="auto"/>
        </w:rPr>
      </w:pPr>
      <w:r w:rsidRPr="006F307B">
        <w:lastRenderedPageBreak/>
        <w:t>A</w:t>
      </w:r>
      <w:r w:rsidR="000D27B5" w:rsidRPr="006F307B">
        <w:t xml:space="preserve"> complex</w:t>
      </w:r>
      <w:r w:rsidRPr="006F307B">
        <w:t xml:space="preserve"> epidemiological approach was used by the submission to estimate the financial impact of listing pembrolizumab for R/M HNSCC. The submission considered a total of </w:t>
      </w:r>
      <w:r w:rsidR="00603FE3" w:rsidRPr="006F307B">
        <w:t xml:space="preserve">seven </w:t>
      </w:r>
      <w:r w:rsidRPr="006F307B">
        <w:t xml:space="preserve">pathways for patients </w:t>
      </w:r>
      <w:r w:rsidRPr="006F307B">
        <w:rPr>
          <w:color w:val="auto"/>
        </w:rPr>
        <w:t>with previously untreated recurrent or metastatic SCC of oral cavity, pharynx or larynx (but excluding patients with HPV positive oropharyngeal carcinoma (OPC)) incurable by local therapies with CPS ≥1 and ECOG 0-1 to be treated with pembrolizumab:</w:t>
      </w:r>
    </w:p>
    <w:p w:rsidR="001C6C91" w:rsidRPr="006F307B" w:rsidRDefault="001C6C91" w:rsidP="00CA41B6">
      <w:pPr>
        <w:pStyle w:val="ListParagraph"/>
        <w:numPr>
          <w:ilvl w:val="0"/>
          <w:numId w:val="30"/>
        </w:numPr>
        <w:ind w:left="993" w:hanging="284"/>
        <w:rPr>
          <w:color w:val="auto"/>
        </w:rPr>
      </w:pPr>
      <w:r w:rsidRPr="006F307B">
        <w:rPr>
          <w:color w:val="auto"/>
        </w:rPr>
        <w:t xml:space="preserve">Pathway I – </w:t>
      </w:r>
      <w:r w:rsidRPr="006F307B">
        <w:rPr>
          <w:iCs/>
          <w:color w:val="auto"/>
        </w:rPr>
        <w:t>de novo</w:t>
      </w:r>
      <w:r w:rsidRPr="006F307B">
        <w:rPr>
          <w:color w:val="auto"/>
        </w:rPr>
        <w:t xml:space="preserve"> diagnosed patients of stage IVc or metastatic squamous cell carcinoma of the oral cavity, pharynx or larynx. </w:t>
      </w:r>
    </w:p>
    <w:p w:rsidR="001C6C91" w:rsidRPr="006F307B" w:rsidRDefault="001C6C91" w:rsidP="00CA41B6">
      <w:pPr>
        <w:pStyle w:val="ListParagraph"/>
        <w:numPr>
          <w:ilvl w:val="0"/>
          <w:numId w:val="30"/>
        </w:numPr>
        <w:ind w:left="993" w:hanging="284"/>
        <w:rPr>
          <w:color w:val="auto"/>
        </w:rPr>
      </w:pPr>
      <w:r w:rsidRPr="006F307B">
        <w:rPr>
          <w:color w:val="auto"/>
        </w:rPr>
        <w:t>Pathway II – patients initially diagnosed with localised primary tumours, i.e. stage I or II, and have had a recurrence following surgery and/or radiotherapy. In this case, the recurrence is no longer amenable to further local therapy with curative intent.</w:t>
      </w:r>
    </w:p>
    <w:p w:rsidR="001C6C91" w:rsidRPr="006F307B" w:rsidRDefault="001C6C91" w:rsidP="00CA41B6">
      <w:pPr>
        <w:pStyle w:val="ListParagraph"/>
        <w:numPr>
          <w:ilvl w:val="0"/>
          <w:numId w:val="30"/>
        </w:numPr>
        <w:ind w:left="993" w:hanging="284"/>
        <w:rPr>
          <w:color w:val="auto"/>
        </w:rPr>
      </w:pPr>
      <w:r w:rsidRPr="006F307B">
        <w:rPr>
          <w:color w:val="auto"/>
        </w:rPr>
        <w:t>Pathway III and Pathway IV – patients who were initially diagnosed with loco-regional (locally advanced) primary tumours, i.e. stage III-IVB. Pathway III patients were initially treated with surgery and radiotherapy or radiotherapy alone. Pathway IV patients were treated with chemoradiation, with or without surgery.</w:t>
      </w:r>
    </w:p>
    <w:p w:rsidR="001C6C91" w:rsidRPr="006F307B" w:rsidRDefault="001C6C91" w:rsidP="00CA41B6">
      <w:pPr>
        <w:pStyle w:val="ListParagraph"/>
        <w:numPr>
          <w:ilvl w:val="0"/>
          <w:numId w:val="30"/>
        </w:numPr>
        <w:ind w:left="993" w:hanging="284"/>
        <w:rPr>
          <w:color w:val="auto"/>
        </w:rPr>
      </w:pPr>
      <w:r w:rsidRPr="006F307B">
        <w:rPr>
          <w:color w:val="auto"/>
        </w:rPr>
        <w:t>Pathway V – patients who have been diagnosed with HPV +ve OPC.</w:t>
      </w:r>
    </w:p>
    <w:p w:rsidR="001C6C91" w:rsidRPr="006F307B" w:rsidRDefault="001C6C91" w:rsidP="00CA41B6">
      <w:pPr>
        <w:pStyle w:val="ListParagraph"/>
        <w:numPr>
          <w:ilvl w:val="0"/>
          <w:numId w:val="30"/>
        </w:numPr>
        <w:ind w:left="993" w:hanging="284"/>
        <w:rPr>
          <w:color w:val="auto"/>
        </w:rPr>
      </w:pPr>
      <w:r w:rsidRPr="006F307B">
        <w:rPr>
          <w:color w:val="auto"/>
        </w:rPr>
        <w:t>Pathway VI – Prevalent patient population.</w:t>
      </w:r>
    </w:p>
    <w:p w:rsidR="001C6C91" w:rsidRPr="006F307B" w:rsidRDefault="001C6C91" w:rsidP="00CA41B6">
      <w:pPr>
        <w:pStyle w:val="ListParagraph"/>
        <w:numPr>
          <w:ilvl w:val="0"/>
          <w:numId w:val="30"/>
        </w:numPr>
        <w:ind w:left="993" w:hanging="284"/>
        <w:rPr>
          <w:color w:val="auto"/>
        </w:rPr>
      </w:pPr>
      <w:r w:rsidRPr="006F307B">
        <w:rPr>
          <w:color w:val="auto"/>
        </w:rPr>
        <w:t>Pathway VII – Grandfathered patients.</w:t>
      </w:r>
    </w:p>
    <w:p w:rsidR="001C6C91" w:rsidRPr="006F307B" w:rsidRDefault="001C6C91" w:rsidP="001C6C91">
      <w:pPr>
        <w:pStyle w:val="ListParagraph"/>
        <w:numPr>
          <w:ilvl w:val="4"/>
          <w:numId w:val="1"/>
        </w:numPr>
        <w:rPr>
          <w:color w:val="auto"/>
        </w:rPr>
      </w:pPr>
      <w:r w:rsidRPr="006F307B">
        <w:rPr>
          <w:color w:val="auto"/>
        </w:rPr>
        <w:t xml:space="preserve">A brief summary of the various sources used to inform the financial impact of listing pembrolizumab is presented in Table </w:t>
      </w:r>
      <w:r w:rsidR="00812630" w:rsidRPr="006F307B">
        <w:rPr>
          <w:color w:val="auto"/>
        </w:rPr>
        <w:t>21</w:t>
      </w:r>
      <w:r w:rsidR="00967868">
        <w:rPr>
          <w:color w:val="auto"/>
        </w:rPr>
        <w:t>.</w:t>
      </w:r>
    </w:p>
    <w:p w:rsidR="001C6C91" w:rsidRPr="006F307B" w:rsidRDefault="001C6C91" w:rsidP="00F86BC8">
      <w:pPr>
        <w:pStyle w:val="Caption"/>
      </w:pPr>
      <w:r w:rsidRPr="006F307B">
        <w:t xml:space="preserve">Table </w:t>
      </w:r>
      <w:r w:rsidR="00812630" w:rsidRPr="006F307B">
        <w:t>21</w:t>
      </w:r>
      <w:r w:rsidR="000234FE" w:rsidRPr="006F307B">
        <w:t>:</w:t>
      </w:r>
      <w:r w:rsidR="00967868">
        <w:t xml:space="preserve"> </w:t>
      </w:r>
      <w:r w:rsidRPr="006F307B">
        <w:t>Data sources used to calculate the financial impact of pembrolizumab</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85" w:type="dxa"/>
          <w:right w:w="85" w:type="dxa"/>
        </w:tblCellMar>
        <w:tblLook w:val="0000" w:firstRow="0" w:lastRow="0" w:firstColumn="0" w:lastColumn="0" w:noHBand="0" w:noVBand="0"/>
      </w:tblPr>
      <w:tblGrid>
        <w:gridCol w:w="3375"/>
        <w:gridCol w:w="5635"/>
      </w:tblGrid>
      <w:tr w:rsidR="001C6C91" w:rsidRPr="006F307B" w:rsidTr="00725CF3">
        <w:trPr>
          <w:tblHeader/>
        </w:trPr>
        <w:tc>
          <w:tcPr>
            <w:tcW w:w="1873" w:type="pct"/>
            <w:tcBorders>
              <w:top w:val="single" w:sz="6" w:space="0" w:color="auto"/>
              <w:bottom w:val="single" w:sz="4" w:space="0" w:color="auto"/>
            </w:tcBorders>
            <w:vAlign w:val="center"/>
          </w:tcPr>
          <w:p w:rsidR="001C6C91" w:rsidRPr="006F307B" w:rsidRDefault="001C6C91" w:rsidP="00725CF3">
            <w:pPr>
              <w:pStyle w:val="TableText"/>
              <w:rPr>
                <w:b/>
              </w:rPr>
            </w:pPr>
            <w:r w:rsidRPr="006F307B">
              <w:rPr>
                <w:b/>
              </w:rPr>
              <w:t>Data source</w:t>
            </w:r>
          </w:p>
        </w:tc>
        <w:tc>
          <w:tcPr>
            <w:tcW w:w="3127" w:type="pct"/>
            <w:tcBorders>
              <w:top w:val="single" w:sz="6" w:space="0" w:color="auto"/>
              <w:bottom w:val="single" w:sz="4" w:space="0" w:color="auto"/>
            </w:tcBorders>
            <w:vAlign w:val="center"/>
          </w:tcPr>
          <w:p w:rsidR="001C6C91" w:rsidRPr="006F307B" w:rsidRDefault="001C6C91" w:rsidP="00725CF3">
            <w:pPr>
              <w:pStyle w:val="TableText"/>
              <w:rPr>
                <w:b/>
              </w:rPr>
            </w:pPr>
            <w:r w:rsidRPr="006F307B">
              <w:rPr>
                <w:b/>
              </w:rPr>
              <w:t>Purpose</w:t>
            </w:r>
          </w:p>
        </w:tc>
      </w:tr>
      <w:tr w:rsidR="001C6C91" w:rsidRPr="006F307B" w:rsidTr="00725CF3">
        <w:tc>
          <w:tcPr>
            <w:tcW w:w="1873" w:type="pct"/>
            <w:tcBorders>
              <w:top w:val="single" w:sz="6" w:space="0" w:color="auto"/>
              <w:bottom w:val="single" w:sz="6" w:space="0" w:color="auto"/>
            </w:tcBorders>
            <w:vAlign w:val="center"/>
          </w:tcPr>
          <w:p w:rsidR="001C6C91" w:rsidRPr="006F307B" w:rsidRDefault="001C6C91" w:rsidP="00725CF3">
            <w:pPr>
              <w:pStyle w:val="TableText"/>
            </w:pPr>
            <w:r w:rsidRPr="006F307B">
              <w:t>Cancer in Australia 2019, AIHW</w:t>
            </w:r>
          </w:p>
        </w:tc>
        <w:tc>
          <w:tcPr>
            <w:tcW w:w="3127" w:type="pct"/>
            <w:tcBorders>
              <w:top w:val="single" w:sz="6" w:space="0" w:color="auto"/>
              <w:bottom w:val="single" w:sz="6" w:space="0" w:color="auto"/>
            </w:tcBorders>
            <w:vAlign w:val="center"/>
          </w:tcPr>
          <w:p w:rsidR="001C6C91" w:rsidRPr="006F307B" w:rsidRDefault="001C6C91" w:rsidP="00725CF3">
            <w:pPr>
              <w:pStyle w:val="TableText"/>
            </w:pPr>
            <w:r w:rsidRPr="006F307B">
              <w:t>Inform incidence and prevalence of head and neck carcinoma in Australia</w:t>
            </w:r>
          </w:p>
        </w:tc>
      </w:tr>
      <w:tr w:rsidR="001C6C91" w:rsidRPr="006F307B" w:rsidTr="00725CF3">
        <w:tc>
          <w:tcPr>
            <w:tcW w:w="1873" w:type="pct"/>
            <w:tcBorders>
              <w:top w:val="single" w:sz="6" w:space="0" w:color="auto"/>
              <w:bottom w:val="single" w:sz="6" w:space="0" w:color="auto"/>
            </w:tcBorders>
            <w:vAlign w:val="center"/>
          </w:tcPr>
          <w:p w:rsidR="001C6C91" w:rsidRPr="006F307B" w:rsidRDefault="001C6C91" w:rsidP="00725CF3">
            <w:pPr>
              <w:pStyle w:val="TableText"/>
              <w:rPr>
                <w:szCs w:val="20"/>
              </w:rPr>
            </w:pPr>
            <w:r w:rsidRPr="006F307B">
              <w:rPr>
                <w:rFonts w:cs="Times New Roman"/>
                <w:szCs w:val="20"/>
              </w:rPr>
              <w:t>Review of the Cancer Medicines in the WHO List of Essential Medicines</w:t>
            </w:r>
          </w:p>
        </w:tc>
        <w:tc>
          <w:tcPr>
            <w:tcW w:w="3127" w:type="pct"/>
            <w:tcBorders>
              <w:top w:val="single" w:sz="6" w:space="0" w:color="auto"/>
              <w:bottom w:val="single" w:sz="6" w:space="0" w:color="auto"/>
            </w:tcBorders>
            <w:vAlign w:val="center"/>
          </w:tcPr>
          <w:p w:rsidR="001C6C91" w:rsidRPr="006F307B" w:rsidRDefault="00967868" w:rsidP="00725CF3">
            <w:pPr>
              <w:pStyle w:val="TableText"/>
            </w:pPr>
            <w:r>
              <w:t>Inform SCC percentage</w:t>
            </w:r>
          </w:p>
        </w:tc>
      </w:tr>
      <w:tr w:rsidR="001C6C91" w:rsidRPr="006F307B" w:rsidTr="00725CF3">
        <w:tc>
          <w:tcPr>
            <w:tcW w:w="1873" w:type="pct"/>
            <w:tcBorders>
              <w:top w:val="single" w:sz="6" w:space="0" w:color="auto"/>
              <w:bottom w:val="single" w:sz="6" w:space="0" w:color="auto"/>
            </w:tcBorders>
            <w:vAlign w:val="center"/>
          </w:tcPr>
          <w:p w:rsidR="001C6C91" w:rsidRPr="006F307B" w:rsidRDefault="001C6C91" w:rsidP="00725CF3">
            <w:pPr>
              <w:pStyle w:val="TableText"/>
              <w:rPr>
                <w:rFonts w:cs="Times New Roman"/>
                <w:szCs w:val="20"/>
              </w:rPr>
            </w:pPr>
            <w:r w:rsidRPr="006F307B">
              <w:rPr>
                <w:rFonts w:cs="Times New Roman"/>
                <w:szCs w:val="20"/>
              </w:rPr>
              <w:t>GLANCE study</w:t>
            </w:r>
          </w:p>
        </w:tc>
        <w:tc>
          <w:tcPr>
            <w:tcW w:w="3127" w:type="pct"/>
            <w:tcBorders>
              <w:top w:val="single" w:sz="6" w:space="0" w:color="auto"/>
              <w:bottom w:val="single" w:sz="6" w:space="0" w:color="auto"/>
            </w:tcBorders>
            <w:vAlign w:val="center"/>
          </w:tcPr>
          <w:p w:rsidR="001C6C91" w:rsidRPr="006F307B" w:rsidRDefault="001C6C91" w:rsidP="00967868">
            <w:pPr>
              <w:pStyle w:val="TableText"/>
            </w:pPr>
            <w:r w:rsidRPr="006F307B">
              <w:t>Proportion of ECOG 0-1</w:t>
            </w:r>
          </w:p>
        </w:tc>
      </w:tr>
      <w:tr w:rsidR="001C6C91" w:rsidRPr="006F307B" w:rsidTr="00725CF3">
        <w:tc>
          <w:tcPr>
            <w:tcW w:w="1873" w:type="pct"/>
            <w:tcBorders>
              <w:top w:val="single" w:sz="6" w:space="0" w:color="auto"/>
              <w:bottom w:val="single" w:sz="6" w:space="0" w:color="auto"/>
            </w:tcBorders>
            <w:vAlign w:val="center"/>
          </w:tcPr>
          <w:p w:rsidR="001C6C91" w:rsidRPr="006F307B" w:rsidRDefault="001C6C91" w:rsidP="00725CF3">
            <w:pPr>
              <w:pStyle w:val="TableText"/>
              <w:rPr>
                <w:rFonts w:cs="Times New Roman"/>
                <w:szCs w:val="20"/>
              </w:rPr>
            </w:pPr>
            <w:r w:rsidRPr="006F307B">
              <w:rPr>
                <w:rFonts w:cs="Times New Roman"/>
                <w:szCs w:val="20"/>
              </w:rPr>
              <w:t>KN048</w:t>
            </w:r>
          </w:p>
        </w:tc>
        <w:tc>
          <w:tcPr>
            <w:tcW w:w="3127" w:type="pct"/>
            <w:tcBorders>
              <w:top w:val="single" w:sz="6" w:space="0" w:color="auto"/>
              <w:bottom w:val="single" w:sz="6" w:space="0" w:color="auto"/>
            </w:tcBorders>
            <w:vAlign w:val="center"/>
          </w:tcPr>
          <w:p w:rsidR="001C6C91" w:rsidRPr="006F307B" w:rsidRDefault="001C6C91" w:rsidP="00725CF3">
            <w:pPr>
              <w:pStyle w:val="TableText"/>
            </w:pPr>
            <w:r w:rsidRPr="006F307B">
              <w:t>Prevalence of CPS≥1, dosage and usage of medications</w:t>
            </w:r>
          </w:p>
        </w:tc>
      </w:tr>
      <w:tr w:rsidR="001C6C91" w:rsidRPr="006F307B" w:rsidTr="00725CF3">
        <w:tc>
          <w:tcPr>
            <w:tcW w:w="1873" w:type="pct"/>
            <w:tcBorders>
              <w:top w:val="single" w:sz="6" w:space="0" w:color="auto"/>
              <w:bottom w:val="single" w:sz="6" w:space="0" w:color="auto"/>
            </w:tcBorders>
            <w:vAlign w:val="center"/>
          </w:tcPr>
          <w:p w:rsidR="001C6C91" w:rsidRPr="006F307B" w:rsidRDefault="001C6C91" w:rsidP="00725CF3">
            <w:pPr>
              <w:pStyle w:val="TableText"/>
              <w:rPr>
                <w:rFonts w:cs="Times New Roman"/>
                <w:szCs w:val="20"/>
              </w:rPr>
            </w:pPr>
            <w:r w:rsidRPr="006F307B">
              <w:rPr>
                <w:rFonts w:cs="Times New Roman"/>
                <w:szCs w:val="20"/>
              </w:rPr>
              <w:t>Expert opinion (Key Scientific Leaders)</w:t>
            </w:r>
          </w:p>
        </w:tc>
        <w:tc>
          <w:tcPr>
            <w:tcW w:w="3127" w:type="pct"/>
            <w:tcBorders>
              <w:top w:val="single" w:sz="6" w:space="0" w:color="auto"/>
              <w:bottom w:val="single" w:sz="6" w:space="0" w:color="auto"/>
            </w:tcBorders>
            <w:vAlign w:val="center"/>
          </w:tcPr>
          <w:p w:rsidR="001C6C91" w:rsidRPr="006F307B" w:rsidRDefault="001C6C91" w:rsidP="0083505E">
            <w:pPr>
              <w:pStyle w:val="TableText"/>
            </w:pPr>
            <w:r w:rsidRPr="006F307B">
              <w:t xml:space="preserve">Staging of disease at diagnosis, proportion treated with surgery ± </w:t>
            </w:r>
            <w:r w:rsidR="0083505E">
              <w:t>radiotherapy</w:t>
            </w:r>
            <w:r w:rsidRPr="006F307B">
              <w:t xml:space="preserve"> or chemo + </w:t>
            </w:r>
            <w:r w:rsidR="0083505E">
              <w:t>radiotherapy</w:t>
            </w:r>
            <w:r w:rsidRPr="006F307B">
              <w:t xml:space="preserve"> ± </w:t>
            </w:r>
            <w:r w:rsidR="00967868">
              <w:t>surgery, usage of pembrolizumab</w:t>
            </w:r>
          </w:p>
        </w:tc>
      </w:tr>
      <w:tr w:rsidR="001C6C91" w:rsidRPr="006F307B" w:rsidTr="00725CF3">
        <w:tc>
          <w:tcPr>
            <w:tcW w:w="1873" w:type="pct"/>
            <w:tcBorders>
              <w:top w:val="single" w:sz="6" w:space="0" w:color="auto"/>
              <w:bottom w:val="single" w:sz="6" w:space="0" w:color="auto"/>
            </w:tcBorders>
            <w:vAlign w:val="center"/>
          </w:tcPr>
          <w:p w:rsidR="001C6C91" w:rsidRPr="006F307B" w:rsidRDefault="001C6C91" w:rsidP="00725CF3">
            <w:pPr>
              <w:pStyle w:val="TableText"/>
              <w:rPr>
                <w:rFonts w:cs="Times New Roman"/>
                <w:szCs w:val="20"/>
              </w:rPr>
            </w:pPr>
            <w:r w:rsidRPr="006F307B">
              <w:rPr>
                <w:rFonts w:cs="Times New Roman"/>
                <w:szCs w:val="20"/>
              </w:rPr>
              <w:t>Kolli 2000, Hosal 2000</w:t>
            </w:r>
          </w:p>
        </w:tc>
        <w:tc>
          <w:tcPr>
            <w:tcW w:w="3127" w:type="pct"/>
            <w:tcBorders>
              <w:top w:val="single" w:sz="6" w:space="0" w:color="auto"/>
              <w:bottom w:val="single" w:sz="6" w:space="0" w:color="auto"/>
            </w:tcBorders>
            <w:vAlign w:val="center"/>
          </w:tcPr>
          <w:p w:rsidR="001C6C91" w:rsidRPr="006F307B" w:rsidRDefault="001C6C91" w:rsidP="00725CF3">
            <w:pPr>
              <w:pStyle w:val="TableText"/>
            </w:pPr>
            <w:r w:rsidRPr="006F307B">
              <w:t>Recurrence rate with surgery ± RT in patients with Stage III-IVb cancer</w:t>
            </w:r>
          </w:p>
        </w:tc>
      </w:tr>
      <w:tr w:rsidR="001C6C91" w:rsidRPr="006F307B" w:rsidTr="00725CF3">
        <w:tc>
          <w:tcPr>
            <w:tcW w:w="1873" w:type="pct"/>
            <w:tcBorders>
              <w:top w:val="single" w:sz="6" w:space="0" w:color="auto"/>
              <w:bottom w:val="single" w:sz="6" w:space="0" w:color="auto"/>
            </w:tcBorders>
            <w:vAlign w:val="center"/>
          </w:tcPr>
          <w:p w:rsidR="001C6C91" w:rsidRPr="006F307B" w:rsidRDefault="001C6C91" w:rsidP="00725CF3">
            <w:pPr>
              <w:pStyle w:val="TableText"/>
              <w:rPr>
                <w:rFonts w:cs="Times New Roman"/>
                <w:szCs w:val="20"/>
              </w:rPr>
            </w:pPr>
            <w:r w:rsidRPr="006F307B">
              <w:rPr>
                <w:rFonts w:cs="Times New Roman"/>
                <w:szCs w:val="20"/>
              </w:rPr>
              <w:t>PBS and MBS schedule</w:t>
            </w:r>
          </w:p>
        </w:tc>
        <w:tc>
          <w:tcPr>
            <w:tcW w:w="3127" w:type="pct"/>
            <w:tcBorders>
              <w:top w:val="single" w:sz="6" w:space="0" w:color="auto"/>
              <w:bottom w:val="single" w:sz="6" w:space="0" w:color="auto"/>
            </w:tcBorders>
            <w:vAlign w:val="center"/>
          </w:tcPr>
          <w:p w:rsidR="001C6C91" w:rsidRPr="006F307B" w:rsidRDefault="001C6C91" w:rsidP="00725CF3">
            <w:pPr>
              <w:pStyle w:val="TableText"/>
            </w:pPr>
            <w:r w:rsidRPr="006F307B">
              <w:t>Unit cos</w:t>
            </w:r>
            <w:r w:rsidR="00967868">
              <w:t>ts for drugs and administration</w:t>
            </w:r>
          </w:p>
        </w:tc>
      </w:tr>
    </w:tbl>
    <w:p w:rsidR="001C6C91" w:rsidRPr="006F307B" w:rsidRDefault="001C6C91" w:rsidP="001C6C91">
      <w:pPr>
        <w:pStyle w:val="TableFooter"/>
      </w:pPr>
      <w:r w:rsidRPr="006F307B">
        <w:t>Source: constructed during evaluation</w:t>
      </w:r>
    </w:p>
    <w:p w:rsidR="001C6C91" w:rsidRPr="006F307B" w:rsidRDefault="001C6C91" w:rsidP="001C6C91">
      <w:pPr>
        <w:pStyle w:val="ListParagraph"/>
        <w:numPr>
          <w:ilvl w:val="4"/>
          <w:numId w:val="1"/>
        </w:numPr>
        <w:rPr>
          <w:color w:val="auto"/>
        </w:rPr>
      </w:pPr>
      <w:r w:rsidRPr="006F307B">
        <w:rPr>
          <w:color w:val="auto"/>
        </w:rPr>
        <w:t xml:space="preserve">The estimated use and financial implications for listing pembrolizumab in patients with R/M HNSCC, ECOG 0-1 and CPS ≥1 is summarised in Table </w:t>
      </w:r>
      <w:r w:rsidR="00812630" w:rsidRPr="006F307B">
        <w:rPr>
          <w:color w:val="auto"/>
        </w:rPr>
        <w:t>22</w:t>
      </w:r>
      <w:r w:rsidRPr="006F307B">
        <w:rPr>
          <w:color w:val="auto"/>
        </w:rPr>
        <w:t>.</w:t>
      </w:r>
    </w:p>
    <w:p w:rsidR="005A19AA" w:rsidRDefault="005A19AA">
      <w:pPr>
        <w:spacing w:before="0" w:line="259" w:lineRule="auto"/>
        <w:jc w:val="left"/>
        <w:rPr>
          <w:rFonts w:ascii="Arial Narrow" w:hAnsi="Arial Narrow"/>
          <w:b/>
          <w:iCs/>
          <w:sz w:val="20"/>
          <w:szCs w:val="18"/>
        </w:rPr>
      </w:pPr>
      <w:r>
        <w:br w:type="page"/>
      </w:r>
    </w:p>
    <w:p w:rsidR="001C6C91" w:rsidRPr="006F307B" w:rsidRDefault="001C6C91" w:rsidP="00F86BC8">
      <w:pPr>
        <w:pStyle w:val="Caption"/>
      </w:pPr>
      <w:r w:rsidRPr="006F307B">
        <w:lastRenderedPageBreak/>
        <w:t xml:space="preserve">Table </w:t>
      </w:r>
      <w:r w:rsidR="00812630" w:rsidRPr="006F307B">
        <w:t>22</w:t>
      </w:r>
      <w:r w:rsidR="00967868">
        <w:t xml:space="preserve">: </w:t>
      </w:r>
      <w:r w:rsidRPr="006F307B">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7"/>
        <w:gridCol w:w="1079"/>
        <w:gridCol w:w="1078"/>
        <w:gridCol w:w="1078"/>
        <w:gridCol w:w="1078"/>
        <w:gridCol w:w="1078"/>
        <w:gridCol w:w="1078"/>
      </w:tblGrid>
      <w:tr w:rsidR="001C6C91" w:rsidRPr="006F307B" w:rsidTr="00082098">
        <w:trPr>
          <w:tblHeader/>
        </w:trPr>
        <w:tc>
          <w:tcPr>
            <w:tcW w:w="1412" w:type="pct"/>
            <w:shd w:val="clear" w:color="auto" w:fill="auto"/>
            <w:vAlign w:val="center"/>
          </w:tcPr>
          <w:p w:rsidR="001C6C91" w:rsidRPr="006F307B" w:rsidRDefault="001C6C91" w:rsidP="00725CF3">
            <w:pPr>
              <w:pStyle w:val="TableText"/>
              <w:spacing w:before="0" w:after="0"/>
              <w:jc w:val="center"/>
              <w:rPr>
                <w:b/>
                <w:szCs w:val="20"/>
              </w:rPr>
            </w:pPr>
          </w:p>
        </w:tc>
        <w:tc>
          <w:tcPr>
            <w:tcW w:w="598" w:type="pct"/>
            <w:shd w:val="clear" w:color="auto" w:fill="auto"/>
            <w:vAlign w:val="center"/>
          </w:tcPr>
          <w:p w:rsidR="001C6C91" w:rsidRPr="006F307B" w:rsidRDefault="001C6C91" w:rsidP="00725CF3">
            <w:pPr>
              <w:pStyle w:val="TableText"/>
              <w:spacing w:before="0" w:after="0"/>
              <w:jc w:val="center"/>
              <w:rPr>
                <w:b/>
                <w:szCs w:val="20"/>
              </w:rPr>
            </w:pPr>
            <w:r w:rsidRPr="006F307B">
              <w:rPr>
                <w:b/>
                <w:szCs w:val="20"/>
              </w:rPr>
              <w:t>Year 1</w:t>
            </w:r>
          </w:p>
        </w:tc>
        <w:tc>
          <w:tcPr>
            <w:tcW w:w="598" w:type="pct"/>
            <w:shd w:val="clear" w:color="auto" w:fill="auto"/>
            <w:vAlign w:val="center"/>
          </w:tcPr>
          <w:p w:rsidR="001C6C91" w:rsidRPr="006F307B" w:rsidRDefault="001C6C91" w:rsidP="00725CF3">
            <w:pPr>
              <w:pStyle w:val="TableText"/>
              <w:spacing w:before="0" w:after="0"/>
              <w:jc w:val="center"/>
              <w:rPr>
                <w:b/>
                <w:szCs w:val="20"/>
              </w:rPr>
            </w:pPr>
            <w:r w:rsidRPr="006F307B">
              <w:rPr>
                <w:b/>
                <w:szCs w:val="20"/>
              </w:rPr>
              <w:t>Year 2</w:t>
            </w:r>
          </w:p>
        </w:tc>
        <w:tc>
          <w:tcPr>
            <w:tcW w:w="598" w:type="pct"/>
            <w:shd w:val="clear" w:color="auto" w:fill="auto"/>
            <w:vAlign w:val="center"/>
          </w:tcPr>
          <w:p w:rsidR="001C6C91" w:rsidRPr="006F307B" w:rsidRDefault="001C6C91" w:rsidP="00725CF3">
            <w:pPr>
              <w:pStyle w:val="TableText"/>
              <w:spacing w:before="0" w:after="0"/>
              <w:jc w:val="center"/>
              <w:rPr>
                <w:b/>
                <w:szCs w:val="20"/>
              </w:rPr>
            </w:pPr>
            <w:r w:rsidRPr="006F307B">
              <w:rPr>
                <w:b/>
                <w:szCs w:val="20"/>
              </w:rPr>
              <w:t>Year 3</w:t>
            </w:r>
          </w:p>
        </w:tc>
        <w:tc>
          <w:tcPr>
            <w:tcW w:w="598" w:type="pct"/>
            <w:shd w:val="clear" w:color="auto" w:fill="auto"/>
            <w:vAlign w:val="center"/>
          </w:tcPr>
          <w:p w:rsidR="001C6C91" w:rsidRPr="006F307B" w:rsidRDefault="001C6C91" w:rsidP="00725CF3">
            <w:pPr>
              <w:pStyle w:val="TableText"/>
              <w:spacing w:before="0" w:after="0"/>
              <w:jc w:val="center"/>
              <w:rPr>
                <w:b/>
                <w:szCs w:val="20"/>
              </w:rPr>
            </w:pPr>
            <w:r w:rsidRPr="006F307B">
              <w:rPr>
                <w:b/>
                <w:szCs w:val="20"/>
              </w:rPr>
              <w:t>Year 4</w:t>
            </w:r>
          </w:p>
        </w:tc>
        <w:tc>
          <w:tcPr>
            <w:tcW w:w="598" w:type="pct"/>
            <w:shd w:val="clear" w:color="auto" w:fill="auto"/>
            <w:vAlign w:val="center"/>
          </w:tcPr>
          <w:p w:rsidR="001C6C91" w:rsidRPr="006F307B" w:rsidRDefault="001C6C91" w:rsidP="00725CF3">
            <w:pPr>
              <w:pStyle w:val="TableText"/>
              <w:spacing w:before="0" w:after="0"/>
              <w:jc w:val="center"/>
              <w:rPr>
                <w:b/>
                <w:szCs w:val="20"/>
              </w:rPr>
            </w:pPr>
            <w:r w:rsidRPr="006F307B">
              <w:rPr>
                <w:b/>
                <w:szCs w:val="20"/>
              </w:rPr>
              <w:t>Year 5</w:t>
            </w:r>
          </w:p>
        </w:tc>
        <w:tc>
          <w:tcPr>
            <w:tcW w:w="598" w:type="pct"/>
          </w:tcPr>
          <w:p w:rsidR="001C6C91" w:rsidRPr="006F307B" w:rsidRDefault="001C6C91" w:rsidP="00725CF3">
            <w:pPr>
              <w:pStyle w:val="TableText"/>
              <w:spacing w:before="0" w:after="0"/>
              <w:jc w:val="center"/>
              <w:rPr>
                <w:b/>
                <w:szCs w:val="20"/>
              </w:rPr>
            </w:pPr>
            <w:r w:rsidRPr="006F307B">
              <w:rPr>
                <w:b/>
                <w:szCs w:val="20"/>
              </w:rPr>
              <w:t>Year 6</w:t>
            </w:r>
          </w:p>
        </w:tc>
      </w:tr>
      <w:tr w:rsidR="001C6C91" w:rsidRPr="006F307B" w:rsidTr="00DF31A9">
        <w:tc>
          <w:tcPr>
            <w:tcW w:w="5000" w:type="pct"/>
            <w:gridSpan w:val="7"/>
            <w:shd w:val="clear" w:color="auto" w:fill="auto"/>
            <w:vAlign w:val="center"/>
          </w:tcPr>
          <w:p w:rsidR="001C6C91" w:rsidRPr="006F307B" w:rsidRDefault="00DF31A9" w:rsidP="00725CF3">
            <w:pPr>
              <w:pStyle w:val="TableText"/>
              <w:spacing w:before="0" w:after="0"/>
              <w:rPr>
                <w:b/>
                <w:szCs w:val="20"/>
              </w:rPr>
            </w:pPr>
            <w:r w:rsidRPr="006F307B">
              <w:rPr>
                <w:b/>
                <w:szCs w:val="20"/>
              </w:rPr>
              <w:t>Estimated extent of use of proposed test</w:t>
            </w:r>
          </w:p>
        </w:tc>
      </w:tr>
      <w:tr w:rsidR="00D15AAE" w:rsidRPr="006F307B" w:rsidTr="00082098">
        <w:tc>
          <w:tcPr>
            <w:tcW w:w="1412" w:type="pct"/>
            <w:shd w:val="clear" w:color="auto" w:fill="auto"/>
          </w:tcPr>
          <w:p w:rsidR="00D15AAE" w:rsidRPr="006F307B" w:rsidRDefault="00D15AAE" w:rsidP="00F86BC8">
            <w:pPr>
              <w:pStyle w:val="TableText"/>
              <w:spacing w:before="0" w:after="0"/>
              <w:rPr>
                <w:szCs w:val="20"/>
              </w:rPr>
            </w:pPr>
            <w:r w:rsidRPr="006F307B">
              <w:rPr>
                <w:szCs w:val="20"/>
              </w:rPr>
              <w:t>Projected SCC of the oral cavity, pharynx, larynx cancers (exclude nasopharyngeal)</w:t>
            </w:r>
          </w:p>
        </w:tc>
        <w:tc>
          <w:tcPr>
            <w:tcW w:w="598" w:type="pct"/>
            <w:shd w:val="clear" w:color="auto" w:fill="auto"/>
            <w:vAlign w:val="center"/>
          </w:tcPr>
          <w:p w:rsidR="00D15AAE" w:rsidRPr="00071965" w:rsidRDefault="00071965" w:rsidP="00D15AAE">
            <w:pPr>
              <w:pStyle w:val="TableNumber"/>
              <w:spacing w:before="0" w:after="0"/>
              <w:rPr>
                <w:szCs w:val="20"/>
                <w:vertAlign w:val="superscript"/>
              </w:rPr>
            </w:pPr>
            <w:r>
              <w:rPr>
                <w:rFonts w:cs="Arial"/>
                <w:bCs/>
                <w:noProof/>
                <w:color w:val="000000"/>
                <w:szCs w:val="20"/>
                <w:highlight w:val="black"/>
              </w:rPr>
              <w:t>'''''''''''''''</w:t>
            </w:r>
            <w:r w:rsidR="00955242" w:rsidRPr="0072002E">
              <w:rPr>
                <w:rFonts w:cs="Arial"/>
                <w:bCs/>
                <w:szCs w:val="20"/>
                <w:vertAlign w:val="superscript"/>
              </w:rPr>
              <w:t>1</w:t>
            </w:r>
          </w:p>
        </w:tc>
        <w:tc>
          <w:tcPr>
            <w:tcW w:w="598" w:type="pct"/>
            <w:shd w:val="clear" w:color="auto" w:fill="auto"/>
            <w:vAlign w:val="center"/>
          </w:tcPr>
          <w:p w:rsidR="00D15AAE" w:rsidRPr="00071965" w:rsidRDefault="00071965" w:rsidP="00D15AAE">
            <w:pPr>
              <w:pStyle w:val="TableText"/>
              <w:tabs>
                <w:tab w:val="decimal" w:pos="396"/>
              </w:tabs>
              <w:spacing w:before="0" w:after="0"/>
              <w:jc w:val="center"/>
              <w:rPr>
                <w:szCs w:val="20"/>
              </w:rPr>
            </w:pPr>
            <w:r>
              <w:rPr>
                <w:rFonts w:cs="Arial"/>
                <w:bCs/>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D15AAE" w:rsidRPr="00071965" w:rsidRDefault="00071965" w:rsidP="00D15AAE">
            <w:pPr>
              <w:pStyle w:val="TableText"/>
              <w:tabs>
                <w:tab w:val="decimal" w:pos="396"/>
              </w:tabs>
              <w:spacing w:before="0" w:after="0"/>
              <w:jc w:val="center"/>
              <w:rPr>
                <w:szCs w:val="20"/>
              </w:rPr>
            </w:pPr>
            <w:r>
              <w:rPr>
                <w:rFonts w:cs="Arial"/>
                <w:bCs/>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D15AAE" w:rsidRPr="00071965" w:rsidRDefault="00071965" w:rsidP="00D15AAE">
            <w:pPr>
              <w:pStyle w:val="TableText"/>
              <w:tabs>
                <w:tab w:val="decimal" w:pos="396"/>
              </w:tabs>
              <w:spacing w:before="0" w:after="0"/>
              <w:jc w:val="center"/>
              <w:rPr>
                <w:szCs w:val="20"/>
              </w:rPr>
            </w:pPr>
            <w:r>
              <w:rPr>
                <w:rFonts w:cs="Arial"/>
                <w:bCs/>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D15AAE" w:rsidRPr="00071965" w:rsidRDefault="00071965" w:rsidP="00D15AAE">
            <w:pPr>
              <w:pStyle w:val="TableText"/>
              <w:tabs>
                <w:tab w:val="decimal" w:pos="396"/>
              </w:tabs>
              <w:spacing w:before="0" w:after="0"/>
              <w:jc w:val="center"/>
              <w:rPr>
                <w:szCs w:val="20"/>
              </w:rPr>
            </w:pPr>
            <w:r>
              <w:rPr>
                <w:rFonts w:cs="Arial"/>
                <w:bCs/>
                <w:noProof/>
                <w:color w:val="000000"/>
                <w:szCs w:val="20"/>
                <w:highlight w:val="black"/>
              </w:rPr>
              <w:t>''''''''''''</w:t>
            </w:r>
            <w:r w:rsidR="00955242" w:rsidRPr="00D63F79">
              <w:rPr>
                <w:rFonts w:cs="Arial"/>
                <w:bCs/>
                <w:szCs w:val="20"/>
                <w:vertAlign w:val="superscript"/>
              </w:rPr>
              <w:t>1</w:t>
            </w:r>
          </w:p>
        </w:tc>
        <w:tc>
          <w:tcPr>
            <w:tcW w:w="598" w:type="pct"/>
            <w:vAlign w:val="center"/>
          </w:tcPr>
          <w:p w:rsidR="00D15AAE" w:rsidRPr="00071965" w:rsidRDefault="00071965" w:rsidP="00D15AAE">
            <w:pPr>
              <w:pStyle w:val="TableText"/>
              <w:tabs>
                <w:tab w:val="decimal" w:pos="396"/>
              </w:tabs>
              <w:spacing w:before="0" w:after="0"/>
              <w:jc w:val="center"/>
              <w:rPr>
                <w:szCs w:val="20"/>
              </w:rPr>
            </w:pPr>
            <w:r>
              <w:rPr>
                <w:rFonts w:cs="Arial"/>
                <w:bCs/>
                <w:noProof/>
                <w:color w:val="000000"/>
                <w:szCs w:val="20"/>
                <w:highlight w:val="black"/>
              </w:rPr>
              <w:t>''''''''''''''</w:t>
            </w:r>
            <w:r w:rsidR="00955242" w:rsidRPr="00D63F79">
              <w:rPr>
                <w:rFonts w:cs="Arial"/>
                <w:bCs/>
                <w:szCs w:val="20"/>
                <w:vertAlign w:val="superscript"/>
              </w:rPr>
              <w:t>1</w:t>
            </w:r>
          </w:p>
        </w:tc>
      </w:tr>
      <w:tr w:rsidR="0058502F" w:rsidRPr="006F307B" w:rsidTr="00D87CA5">
        <w:tc>
          <w:tcPr>
            <w:tcW w:w="1412" w:type="pct"/>
            <w:shd w:val="clear" w:color="auto" w:fill="auto"/>
          </w:tcPr>
          <w:p w:rsidR="0058502F" w:rsidRPr="006F307B" w:rsidRDefault="0058502F" w:rsidP="00082098">
            <w:pPr>
              <w:pStyle w:val="TableText"/>
              <w:spacing w:before="0" w:after="0"/>
              <w:rPr>
                <w:szCs w:val="20"/>
              </w:rPr>
            </w:pPr>
            <w:r w:rsidRPr="006F307B">
              <w:rPr>
                <w:szCs w:val="20"/>
              </w:rPr>
              <w:t>R/M SCC of the oral cavity, pharynx, larynx cancers (exclude</w:t>
            </w:r>
            <w:r w:rsidR="009848F6" w:rsidRPr="006F307B">
              <w:rPr>
                <w:szCs w:val="20"/>
              </w:rPr>
              <w:t>s</w:t>
            </w:r>
            <w:r w:rsidRPr="006F307B">
              <w:rPr>
                <w:szCs w:val="20"/>
              </w:rPr>
              <w:t xml:space="preserve"> nasopharyngeal) </w:t>
            </w:r>
          </w:p>
        </w:tc>
        <w:tc>
          <w:tcPr>
            <w:tcW w:w="598" w:type="pct"/>
            <w:shd w:val="clear" w:color="auto" w:fill="auto"/>
            <w:vAlign w:val="center"/>
          </w:tcPr>
          <w:p w:rsidR="0058502F" w:rsidRPr="00071965" w:rsidRDefault="00071965" w:rsidP="0058502F">
            <w:pPr>
              <w:pStyle w:val="TableNumber"/>
              <w:spacing w:before="0" w:after="0"/>
              <w:rPr>
                <w:rFonts w:cs="Arial"/>
                <w:bCs/>
                <w:szCs w:val="20"/>
              </w:rPr>
            </w:pPr>
            <w:r>
              <w:rPr>
                <w:rFonts w:cs="Arial"/>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58502F" w:rsidRPr="00071965" w:rsidRDefault="00071965" w:rsidP="0058502F">
            <w:pPr>
              <w:pStyle w:val="TableText"/>
              <w:tabs>
                <w:tab w:val="decimal" w:pos="396"/>
              </w:tabs>
              <w:spacing w:before="0" w:after="0"/>
              <w:jc w:val="center"/>
              <w:rPr>
                <w:rFonts w:cs="Arial"/>
                <w:bCs/>
                <w:szCs w:val="20"/>
              </w:rPr>
            </w:pPr>
            <w:r>
              <w:rPr>
                <w:rFonts w:cs="Arial"/>
                <w:noProof/>
                <w:color w:val="000000"/>
                <w:szCs w:val="20"/>
                <w:highlight w:val="black"/>
              </w:rPr>
              <w:t>'''''''''''''''</w:t>
            </w:r>
            <w:r w:rsidR="00955242" w:rsidRPr="00D63F79">
              <w:rPr>
                <w:rFonts w:cs="Arial"/>
                <w:bCs/>
                <w:szCs w:val="20"/>
                <w:vertAlign w:val="superscript"/>
              </w:rPr>
              <w:t>1</w:t>
            </w:r>
            <w:r>
              <w:rPr>
                <w:rFonts w:cs="Arial"/>
                <w:noProof/>
                <w:color w:val="000000"/>
                <w:szCs w:val="20"/>
                <w:highlight w:val="black"/>
              </w:rPr>
              <w:t xml:space="preserve"> </w:t>
            </w:r>
          </w:p>
        </w:tc>
        <w:tc>
          <w:tcPr>
            <w:tcW w:w="598" w:type="pct"/>
            <w:shd w:val="clear" w:color="auto" w:fill="auto"/>
            <w:vAlign w:val="center"/>
          </w:tcPr>
          <w:p w:rsidR="0058502F" w:rsidRPr="00071965" w:rsidRDefault="00071965" w:rsidP="0058502F">
            <w:pPr>
              <w:pStyle w:val="TableText"/>
              <w:tabs>
                <w:tab w:val="decimal" w:pos="396"/>
              </w:tabs>
              <w:spacing w:before="0" w:after="0"/>
              <w:jc w:val="center"/>
              <w:rPr>
                <w:rFonts w:cs="Arial"/>
                <w:bCs/>
                <w:szCs w:val="20"/>
              </w:rPr>
            </w:pPr>
            <w:r>
              <w:rPr>
                <w:rFonts w:cs="Arial"/>
                <w:noProof/>
                <w:color w:val="000000"/>
                <w:szCs w:val="20"/>
                <w:highlight w:val="black"/>
              </w:rPr>
              <w:t>'''''''''''''</w:t>
            </w:r>
            <w:r w:rsidR="00955242" w:rsidRPr="00D63F79">
              <w:rPr>
                <w:rFonts w:cs="Arial"/>
                <w:bCs/>
                <w:szCs w:val="20"/>
                <w:vertAlign w:val="superscript"/>
              </w:rPr>
              <w:t>1</w:t>
            </w:r>
            <w:r>
              <w:rPr>
                <w:rFonts w:cs="Arial"/>
                <w:noProof/>
                <w:color w:val="000000"/>
                <w:szCs w:val="20"/>
                <w:highlight w:val="black"/>
              </w:rPr>
              <w:t xml:space="preserve"> </w:t>
            </w:r>
          </w:p>
        </w:tc>
        <w:tc>
          <w:tcPr>
            <w:tcW w:w="598" w:type="pct"/>
            <w:shd w:val="clear" w:color="auto" w:fill="auto"/>
            <w:vAlign w:val="center"/>
          </w:tcPr>
          <w:p w:rsidR="0058502F" w:rsidRPr="00071965" w:rsidRDefault="00071965" w:rsidP="0058502F">
            <w:pPr>
              <w:pStyle w:val="TableText"/>
              <w:tabs>
                <w:tab w:val="decimal" w:pos="396"/>
              </w:tabs>
              <w:spacing w:before="0" w:after="0"/>
              <w:jc w:val="center"/>
              <w:rPr>
                <w:rFonts w:cs="Arial"/>
                <w:bCs/>
                <w:szCs w:val="20"/>
              </w:rPr>
            </w:pPr>
            <w:r>
              <w:rPr>
                <w:rFonts w:cs="Arial"/>
                <w:noProof/>
                <w:color w:val="000000"/>
                <w:szCs w:val="20"/>
                <w:highlight w:val="black"/>
              </w:rPr>
              <w:t>''''''''''''''</w:t>
            </w:r>
            <w:r w:rsidR="00955242" w:rsidRPr="00D63F79">
              <w:rPr>
                <w:rFonts w:cs="Arial"/>
                <w:bCs/>
                <w:szCs w:val="20"/>
                <w:vertAlign w:val="superscript"/>
              </w:rPr>
              <w:t>1</w:t>
            </w:r>
            <w:r>
              <w:rPr>
                <w:rFonts w:cs="Arial"/>
                <w:noProof/>
                <w:color w:val="000000"/>
                <w:szCs w:val="20"/>
                <w:highlight w:val="black"/>
              </w:rPr>
              <w:t xml:space="preserve"> </w:t>
            </w:r>
          </w:p>
        </w:tc>
        <w:tc>
          <w:tcPr>
            <w:tcW w:w="598" w:type="pct"/>
            <w:shd w:val="clear" w:color="auto" w:fill="auto"/>
            <w:vAlign w:val="center"/>
          </w:tcPr>
          <w:p w:rsidR="0058502F" w:rsidRPr="00071965" w:rsidRDefault="00071965" w:rsidP="0058502F">
            <w:pPr>
              <w:pStyle w:val="TableText"/>
              <w:tabs>
                <w:tab w:val="decimal" w:pos="396"/>
              </w:tabs>
              <w:spacing w:before="0" w:after="0"/>
              <w:jc w:val="center"/>
              <w:rPr>
                <w:rFonts w:cs="Arial"/>
                <w:bCs/>
                <w:szCs w:val="20"/>
              </w:rPr>
            </w:pPr>
            <w:r>
              <w:rPr>
                <w:rFonts w:cs="Arial"/>
                <w:noProof/>
                <w:color w:val="000000"/>
                <w:szCs w:val="20"/>
                <w:highlight w:val="black"/>
              </w:rPr>
              <w:t>''''''''''''</w:t>
            </w:r>
            <w:r w:rsidR="00955242" w:rsidRPr="00D63F79">
              <w:rPr>
                <w:rFonts w:cs="Arial"/>
                <w:bCs/>
                <w:szCs w:val="20"/>
                <w:vertAlign w:val="superscript"/>
              </w:rPr>
              <w:t>1</w:t>
            </w:r>
            <w:r>
              <w:rPr>
                <w:rFonts w:cs="Arial"/>
                <w:noProof/>
                <w:color w:val="000000"/>
                <w:szCs w:val="20"/>
                <w:highlight w:val="black"/>
              </w:rPr>
              <w:t xml:space="preserve"> </w:t>
            </w:r>
          </w:p>
        </w:tc>
        <w:tc>
          <w:tcPr>
            <w:tcW w:w="598" w:type="pct"/>
            <w:vAlign w:val="center"/>
          </w:tcPr>
          <w:p w:rsidR="0058502F" w:rsidRPr="00071965" w:rsidRDefault="00071965" w:rsidP="0058502F">
            <w:pPr>
              <w:pStyle w:val="TableText"/>
              <w:tabs>
                <w:tab w:val="decimal" w:pos="396"/>
              </w:tabs>
              <w:spacing w:before="0" w:after="0"/>
              <w:jc w:val="center"/>
              <w:rPr>
                <w:rFonts w:cs="Arial"/>
                <w:bCs/>
                <w:szCs w:val="20"/>
              </w:rPr>
            </w:pPr>
            <w:r>
              <w:rPr>
                <w:rFonts w:cs="Arial"/>
                <w:noProof/>
                <w:color w:val="000000"/>
                <w:szCs w:val="20"/>
                <w:highlight w:val="black"/>
              </w:rPr>
              <w:t>''''''''''''''</w:t>
            </w:r>
            <w:r w:rsidR="00955242" w:rsidRPr="00D63F79">
              <w:rPr>
                <w:rFonts w:cs="Arial"/>
                <w:bCs/>
                <w:szCs w:val="20"/>
                <w:vertAlign w:val="superscript"/>
              </w:rPr>
              <w:t>1</w:t>
            </w:r>
          </w:p>
        </w:tc>
      </w:tr>
      <w:tr w:rsidR="001C6C91" w:rsidRPr="006F307B" w:rsidTr="00DF31A9">
        <w:tc>
          <w:tcPr>
            <w:tcW w:w="5000" w:type="pct"/>
            <w:gridSpan w:val="7"/>
            <w:shd w:val="clear" w:color="auto" w:fill="auto"/>
            <w:vAlign w:val="center"/>
          </w:tcPr>
          <w:p w:rsidR="001C6C91" w:rsidRPr="006F307B" w:rsidRDefault="001C6C91" w:rsidP="00725CF3">
            <w:pPr>
              <w:pStyle w:val="TableText"/>
              <w:spacing w:before="0" w:after="0"/>
              <w:rPr>
                <w:b/>
                <w:szCs w:val="20"/>
              </w:rPr>
            </w:pPr>
            <w:r w:rsidRPr="006F307B">
              <w:rPr>
                <w:b/>
                <w:szCs w:val="20"/>
              </w:rPr>
              <w:t>Estimated extent of use of pembrolizumab (R/M SCC of oral cavity, pharynx or larynx, ECOG 0-1, CPS≥1)</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rFonts w:eastAsia="Times New Roman" w:cs="Times New Roman"/>
                <w:szCs w:val="20"/>
              </w:rPr>
            </w:pPr>
            <w:r w:rsidRPr="006F307B">
              <w:rPr>
                <w:rFonts w:eastAsia="Times New Roman" w:cs="Times New Roman"/>
                <w:szCs w:val="20"/>
              </w:rPr>
              <w:t xml:space="preserve">Pathway I – de Novo Metastatic </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rFonts w:eastAsia="Times New Roman" w:cs="Times New Roman"/>
                <w:szCs w:val="20"/>
              </w:rPr>
            </w:pPr>
            <w:r w:rsidRPr="006F307B">
              <w:rPr>
                <w:rFonts w:eastAsia="Times New Roman" w:cs="Times New Roman"/>
                <w:szCs w:val="20"/>
              </w:rPr>
              <w:t>Pathway II – recurrent stage I-II</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rPr>
            </w:pPr>
            <w:r w:rsidRPr="006F307B">
              <w:rPr>
                <w:szCs w:val="20"/>
              </w:rPr>
              <w:t>Pathway III – recurrent stage III surgery</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rPr>
            </w:pPr>
            <w:r w:rsidRPr="006F307B">
              <w:rPr>
                <w:szCs w:val="20"/>
              </w:rPr>
              <w:t>Pathway IV – recurrent stage III chemo radiotherapy</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rPr>
            </w:pPr>
            <w:r w:rsidRPr="006F307B">
              <w:rPr>
                <w:szCs w:val="20"/>
              </w:rPr>
              <w:t>Pathway V – recurrent HPV +</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c>
          <w:tcPr>
            <w:tcW w:w="598" w:type="pct"/>
            <w:vAlign w:val="center"/>
          </w:tcPr>
          <w:p w:rsidR="001C6C91" w:rsidRPr="00071965" w:rsidRDefault="00071965" w:rsidP="00725CF3">
            <w:pPr>
              <w:pStyle w:val="TableText"/>
              <w:spacing w:before="0" w:after="0"/>
              <w:jc w:val="center"/>
              <w:rPr>
                <w:szCs w:val="20"/>
              </w:rPr>
            </w:pPr>
            <w:r>
              <w:rPr>
                <w:rFonts w:cs="Arial"/>
                <w:noProof/>
                <w:color w:val="000000"/>
                <w:szCs w:val="20"/>
                <w:highlight w:val="black"/>
              </w:rPr>
              <w:t>'''''''''</w:t>
            </w:r>
            <w:r w:rsidR="00955242">
              <w:rPr>
                <w:rFonts w:cs="Arial"/>
                <w:bCs/>
                <w:szCs w:val="20"/>
                <w:vertAlign w:val="superscript"/>
              </w:rPr>
              <w:t>2</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rPr>
            </w:pPr>
            <w:r w:rsidRPr="006F307B">
              <w:rPr>
                <w:szCs w:val="20"/>
              </w:rPr>
              <w:t>Pathway VI – prevalent population (ex grandfather)</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p>
        </w:tc>
        <w:tc>
          <w:tcPr>
            <w:tcW w:w="598" w:type="pct"/>
            <w:vAlign w:val="center"/>
          </w:tcPr>
          <w:p w:rsidR="001C6C91" w:rsidRPr="006F307B" w:rsidRDefault="001C6C91" w:rsidP="00725CF3">
            <w:pPr>
              <w:pStyle w:val="TableText"/>
              <w:spacing w:before="0" w:after="0"/>
              <w:jc w:val="center"/>
              <w:rPr>
                <w:szCs w:val="20"/>
              </w:rPr>
            </w:pPr>
            <w:r w:rsidRPr="006F307B">
              <w:rPr>
                <w:szCs w:val="20"/>
              </w:rPr>
              <w:t>-</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rPr>
            </w:pPr>
            <w:r w:rsidRPr="006F307B">
              <w:rPr>
                <w:szCs w:val="20"/>
              </w:rPr>
              <w:t>Pathway VII – grandfather</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noProof/>
                <w:color w:val="000000"/>
                <w:szCs w:val="20"/>
                <w:highlight w:val="black"/>
              </w:rPr>
              <w:t>''''''</w:t>
            </w:r>
            <w:r w:rsidR="00955242">
              <w:rPr>
                <w:rFonts w:cs="Arial"/>
                <w:bCs/>
                <w:szCs w:val="20"/>
                <w:vertAlign w:val="superscript"/>
              </w:rPr>
              <w:t>2</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p>
        </w:tc>
        <w:tc>
          <w:tcPr>
            <w:tcW w:w="598" w:type="pct"/>
            <w:vAlign w:val="center"/>
          </w:tcPr>
          <w:p w:rsidR="001C6C91" w:rsidRPr="006F307B" w:rsidRDefault="001C6C91" w:rsidP="00725CF3">
            <w:pPr>
              <w:pStyle w:val="TableText"/>
              <w:spacing w:before="0" w:after="0"/>
              <w:jc w:val="center"/>
              <w:rPr>
                <w:szCs w:val="20"/>
              </w:rPr>
            </w:pPr>
            <w:r w:rsidRPr="006F307B">
              <w:rPr>
                <w:szCs w:val="20"/>
              </w:rPr>
              <w:t>-</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rPr>
            </w:pPr>
            <w:r w:rsidRPr="006F307B">
              <w:rPr>
                <w:szCs w:val="20"/>
              </w:rPr>
              <w:t>Total eligible</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b/>
                <w:noProof/>
                <w:color w:val="000000"/>
                <w:szCs w:val="20"/>
                <w:highlight w:val="black"/>
              </w:rPr>
              <w:t>''''''''</w:t>
            </w:r>
            <w:r w:rsidR="00955242" w:rsidRPr="00B379DC">
              <w:rPr>
                <w:rFonts w:cs="Arial"/>
                <w:bCs/>
                <w:szCs w:val="20"/>
                <w:vertAlign w:val="superscript"/>
              </w:rPr>
              <w:t>1</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b/>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b/>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b/>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1C6C91" w:rsidRPr="00071965" w:rsidRDefault="00071965" w:rsidP="00725CF3">
            <w:pPr>
              <w:pStyle w:val="TableText"/>
              <w:spacing w:before="0" w:after="0"/>
              <w:jc w:val="center"/>
              <w:rPr>
                <w:szCs w:val="20"/>
              </w:rPr>
            </w:pPr>
            <w:r>
              <w:rPr>
                <w:rFonts w:cs="Arial"/>
                <w:b/>
                <w:noProof/>
                <w:color w:val="000000"/>
                <w:szCs w:val="20"/>
                <w:highlight w:val="black"/>
              </w:rPr>
              <w:t>''''''''</w:t>
            </w:r>
            <w:r w:rsidR="00955242" w:rsidRPr="00D63F79">
              <w:rPr>
                <w:rFonts w:cs="Arial"/>
                <w:bCs/>
                <w:szCs w:val="20"/>
                <w:vertAlign w:val="superscript"/>
              </w:rPr>
              <w:t>1</w:t>
            </w:r>
          </w:p>
        </w:tc>
        <w:tc>
          <w:tcPr>
            <w:tcW w:w="598" w:type="pct"/>
            <w:vAlign w:val="center"/>
          </w:tcPr>
          <w:p w:rsidR="001C6C91" w:rsidRPr="00071965" w:rsidRDefault="00071965" w:rsidP="00725CF3">
            <w:pPr>
              <w:pStyle w:val="TableText"/>
              <w:spacing w:before="0" w:after="0"/>
              <w:jc w:val="center"/>
              <w:rPr>
                <w:szCs w:val="20"/>
              </w:rPr>
            </w:pPr>
            <w:r>
              <w:rPr>
                <w:rFonts w:cs="Arial"/>
                <w:b/>
                <w:noProof/>
                <w:color w:val="000000"/>
                <w:szCs w:val="20"/>
                <w:highlight w:val="black"/>
              </w:rPr>
              <w:t>''''''''</w:t>
            </w:r>
            <w:r w:rsidR="00955242" w:rsidRPr="00D63F79">
              <w:rPr>
                <w:rFonts w:cs="Arial"/>
                <w:bCs/>
                <w:szCs w:val="20"/>
                <w:vertAlign w:val="superscript"/>
              </w:rPr>
              <w:t>1</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vertAlign w:val="superscript"/>
              </w:rPr>
            </w:pPr>
            <w:r w:rsidRPr="006F307B">
              <w:rPr>
                <w:szCs w:val="20"/>
              </w:rPr>
              <w:t>Total uptake pembrolizumab</w:t>
            </w:r>
            <w:r w:rsidRPr="006F307B">
              <w:rPr>
                <w:szCs w:val="20"/>
                <w:vertAlign w:val="superscript"/>
              </w:rPr>
              <w:t xml:space="preserve">a </w:t>
            </w:r>
          </w:p>
        </w:tc>
        <w:tc>
          <w:tcPr>
            <w:tcW w:w="598" w:type="pct"/>
            <w:shd w:val="clear" w:color="auto" w:fill="auto"/>
            <w:vAlign w:val="center"/>
          </w:tcPr>
          <w:p w:rsidR="001C6C91" w:rsidRPr="00071965" w:rsidRDefault="00071965" w:rsidP="00725CF3">
            <w:pPr>
              <w:pStyle w:val="TableText"/>
              <w:spacing w:before="0" w:after="0"/>
              <w:jc w:val="center"/>
              <w:rPr>
                <w:rFonts w:cs="Arial"/>
                <w:b/>
                <w:color w:val="000000"/>
                <w:szCs w:val="20"/>
              </w:rPr>
            </w:pPr>
            <w:r>
              <w:rPr>
                <w:b/>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1C6C91" w:rsidRPr="00071965" w:rsidRDefault="00071965" w:rsidP="00725CF3">
            <w:pPr>
              <w:pStyle w:val="TableText"/>
              <w:spacing w:before="0" w:after="0"/>
              <w:jc w:val="center"/>
              <w:rPr>
                <w:rFonts w:cs="Arial"/>
                <w:b/>
                <w:color w:val="000000"/>
                <w:szCs w:val="20"/>
              </w:rPr>
            </w:pPr>
            <w:r>
              <w:rPr>
                <w:b/>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1C6C91" w:rsidRPr="00071965" w:rsidRDefault="00071965" w:rsidP="00725CF3">
            <w:pPr>
              <w:pStyle w:val="TableText"/>
              <w:spacing w:before="0" w:after="0"/>
              <w:jc w:val="center"/>
              <w:rPr>
                <w:rFonts w:cs="Arial"/>
                <w:b/>
                <w:color w:val="000000"/>
                <w:szCs w:val="20"/>
              </w:rPr>
            </w:pPr>
            <w:r>
              <w:rPr>
                <w:b/>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1C6C91" w:rsidRPr="00071965" w:rsidRDefault="00071965" w:rsidP="00725CF3">
            <w:pPr>
              <w:pStyle w:val="TableText"/>
              <w:spacing w:before="0" w:after="0"/>
              <w:jc w:val="center"/>
              <w:rPr>
                <w:rFonts w:cs="Arial"/>
                <w:b/>
                <w:color w:val="000000"/>
                <w:szCs w:val="20"/>
              </w:rPr>
            </w:pPr>
            <w:r>
              <w:rPr>
                <w:b/>
                <w:noProof/>
                <w:color w:val="000000"/>
                <w:szCs w:val="20"/>
                <w:highlight w:val="black"/>
              </w:rPr>
              <w:t>''''''''</w:t>
            </w:r>
            <w:r w:rsidR="00955242" w:rsidRPr="00D63F79">
              <w:rPr>
                <w:rFonts w:cs="Arial"/>
                <w:bCs/>
                <w:szCs w:val="20"/>
                <w:vertAlign w:val="superscript"/>
              </w:rPr>
              <w:t>1</w:t>
            </w:r>
          </w:p>
        </w:tc>
        <w:tc>
          <w:tcPr>
            <w:tcW w:w="598" w:type="pct"/>
            <w:shd w:val="clear" w:color="auto" w:fill="auto"/>
            <w:vAlign w:val="center"/>
          </w:tcPr>
          <w:p w:rsidR="001C6C91" w:rsidRPr="00071965" w:rsidRDefault="00071965" w:rsidP="00725CF3">
            <w:pPr>
              <w:pStyle w:val="TableText"/>
              <w:spacing w:before="0" w:after="0"/>
              <w:jc w:val="center"/>
              <w:rPr>
                <w:rFonts w:cs="Arial"/>
                <w:b/>
                <w:color w:val="000000"/>
                <w:szCs w:val="20"/>
              </w:rPr>
            </w:pPr>
            <w:r>
              <w:rPr>
                <w:b/>
                <w:noProof/>
                <w:color w:val="000000"/>
                <w:szCs w:val="20"/>
                <w:highlight w:val="black"/>
              </w:rPr>
              <w:t>'''''''</w:t>
            </w:r>
            <w:r w:rsidR="00955242" w:rsidRPr="00D63F79">
              <w:rPr>
                <w:rFonts w:cs="Arial"/>
                <w:bCs/>
                <w:szCs w:val="20"/>
                <w:vertAlign w:val="superscript"/>
              </w:rPr>
              <w:t>1</w:t>
            </w:r>
          </w:p>
        </w:tc>
        <w:tc>
          <w:tcPr>
            <w:tcW w:w="598" w:type="pct"/>
            <w:vAlign w:val="center"/>
          </w:tcPr>
          <w:p w:rsidR="001C6C91" w:rsidRPr="00071965" w:rsidRDefault="00071965" w:rsidP="00725CF3">
            <w:pPr>
              <w:pStyle w:val="TableText"/>
              <w:spacing w:before="0" w:after="0"/>
              <w:jc w:val="center"/>
              <w:rPr>
                <w:rFonts w:cs="Arial"/>
                <w:b/>
                <w:color w:val="000000"/>
                <w:szCs w:val="20"/>
              </w:rPr>
            </w:pPr>
            <w:r>
              <w:rPr>
                <w:b/>
                <w:noProof/>
                <w:color w:val="000000"/>
                <w:szCs w:val="20"/>
                <w:highlight w:val="black"/>
              </w:rPr>
              <w:t>'''''''</w:t>
            </w:r>
            <w:r w:rsidR="00955242" w:rsidRPr="00D63F79">
              <w:rPr>
                <w:rFonts w:cs="Arial"/>
                <w:bCs/>
                <w:szCs w:val="20"/>
                <w:vertAlign w:val="superscript"/>
              </w:rPr>
              <w:t>1</w:t>
            </w:r>
          </w:p>
        </w:tc>
      </w:tr>
      <w:tr w:rsidR="001C6C91" w:rsidRPr="006F307B" w:rsidTr="00DF31A9">
        <w:tc>
          <w:tcPr>
            <w:tcW w:w="5000" w:type="pct"/>
            <w:gridSpan w:val="7"/>
            <w:shd w:val="clear" w:color="auto" w:fill="auto"/>
            <w:vAlign w:val="center"/>
          </w:tcPr>
          <w:p w:rsidR="001C6C91" w:rsidRPr="006F307B" w:rsidRDefault="001C6C91" w:rsidP="00725CF3">
            <w:pPr>
              <w:pStyle w:val="TableText"/>
              <w:spacing w:before="0" w:after="0"/>
              <w:rPr>
                <w:b/>
                <w:bCs/>
                <w:color w:val="000000"/>
                <w:szCs w:val="20"/>
              </w:rPr>
            </w:pPr>
            <w:r w:rsidRPr="006F307B">
              <w:rPr>
                <w:b/>
                <w:szCs w:val="20"/>
              </w:rPr>
              <w:t>Estimated financial implications of the PD-L1 test to the MBS</w:t>
            </w:r>
          </w:p>
        </w:tc>
      </w:tr>
      <w:tr w:rsidR="009848F6" w:rsidRPr="006F307B" w:rsidTr="00082098">
        <w:tc>
          <w:tcPr>
            <w:tcW w:w="1412" w:type="pct"/>
            <w:shd w:val="clear" w:color="auto" w:fill="auto"/>
            <w:vAlign w:val="center"/>
          </w:tcPr>
          <w:p w:rsidR="009848F6" w:rsidRPr="006F307B" w:rsidRDefault="009848F6" w:rsidP="009848F6">
            <w:pPr>
              <w:pStyle w:val="TableText"/>
              <w:spacing w:before="0" w:after="0"/>
              <w:rPr>
                <w:szCs w:val="20"/>
              </w:rPr>
            </w:pPr>
            <w:r w:rsidRPr="006F307B">
              <w:rPr>
                <w:szCs w:val="20"/>
              </w:rPr>
              <w:t xml:space="preserve">Cost to MBS </w:t>
            </w:r>
            <w:r w:rsidRPr="006F307B">
              <w:rPr>
                <w:szCs w:val="20"/>
                <w:vertAlign w:val="superscript"/>
              </w:rPr>
              <w:t>f</w:t>
            </w:r>
          </w:p>
        </w:tc>
        <w:tc>
          <w:tcPr>
            <w:tcW w:w="598" w:type="pct"/>
            <w:shd w:val="clear" w:color="auto" w:fill="auto"/>
            <w:vAlign w:val="center"/>
          </w:tcPr>
          <w:p w:rsidR="009848F6" w:rsidRPr="0072002E" w:rsidRDefault="009848F6" w:rsidP="009848F6">
            <w:pPr>
              <w:pStyle w:val="TableText"/>
              <w:spacing w:before="0" w:after="0"/>
              <w:jc w:val="center"/>
              <w:rPr>
                <w:szCs w:val="20"/>
                <w:vertAlign w:val="superscript"/>
              </w:rPr>
            </w:pPr>
            <w:r w:rsidRPr="006F307B">
              <w:rPr>
                <w:szCs w:val="20"/>
              </w:rPr>
              <w:t>$</w:t>
            </w:r>
            <w:r w:rsidR="00071965">
              <w:rPr>
                <w:noProof/>
                <w:color w:val="000000"/>
                <w:szCs w:val="20"/>
                <w:highlight w:val="black"/>
              </w:rPr>
              <w:t>'''''''''''''''''</w:t>
            </w:r>
            <w:r w:rsidR="00580198" w:rsidRPr="00B379DC">
              <w:rPr>
                <w:szCs w:val="20"/>
                <w:vertAlign w:val="superscript"/>
              </w:rPr>
              <w:t>3</w:t>
            </w:r>
          </w:p>
        </w:tc>
        <w:tc>
          <w:tcPr>
            <w:tcW w:w="598" w:type="pct"/>
            <w:shd w:val="clear" w:color="auto" w:fill="auto"/>
            <w:vAlign w:val="center"/>
          </w:tcPr>
          <w:p w:rsidR="009848F6" w:rsidRPr="006F307B" w:rsidRDefault="009848F6" w:rsidP="009848F6">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3</w:t>
            </w:r>
          </w:p>
        </w:tc>
        <w:tc>
          <w:tcPr>
            <w:tcW w:w="598" w:type="pct"/>
            <w:shd w:val="clear" w:color="auto" w:fill="auto"/>
            <w:vAlign w:val="center"/>
          </w:tcPr>
          <w:p w:rsidR="009848F6" w:rsidRPr="006F307B" w:rsidRDefault="009848F6" w:rsidP="009848F6">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3</w:t>
            </w:r>
          </w:p>
        </w:tc>
        <w:tc>
          <w:tcPr>
            <w:tcW w:w="598" w:type="pct"/>
            <w:shd w:val="clear" w:color="auto" w:fill="auto"/>
            <w:vAlign w:val="center"/>
          </w:tcPr>
          <w:p w:rsidR="009848F6" w:rsidRPr="006F307B" w:rsidRDefault="009848F6" w:rsidP="009848F6">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3</w:t>
            </w:r>
          </w:p>
        </w:tc>
        <w:tc>
          <w:tcPr>
            <w:tcW w:w="598" w:type="pct"/>
            <w:shd w:val="clear" w:color="auto" w:fill="auto"/>
            <w:vAlign w:val="center"/>
          </w:tcPr>
          <w:p w:rsidR="009848F6" w:rsidRPr="006F307B" w:rsidRDefault="009848F6" w:rsidP="009848F6">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3</w:t>
            </w:r>
          </w:p>
        </w:tc>
        <w:tc>
          <w:tcPr>
            <w:tcW w:w="598" w:type="pct"/>
            <w:vAlign w:val="center"/>
          </w:tcPr>
          <w:p w:rsidR="009848F6" w:rsidRPr="006F307B" w:rsidRDefault="009848F6" w:rsidP="009848F6">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3</w:t>
            </w:r>
          </w:p>
        </w:tc>
      </w:tr>
      <w:tr w:rsidR="001C6C91" w:rsidRPr="006F307B" w:rsidTr="00DF31A9">
        <w:tc>
          <w:tcPr>
            <w:tcW w:w="5000" w:type="pct"/>
            <w:gridSpan w:val="7"/>
            <w:shd w:val="clear" w:color="auto" w:fill="auto"/>
            <w:vAlign w:val="center"/>
          </w:tcPr>
          <w:p w:rsidR="001C6C91" w:rsidRPr="006F307B" w:rsidRDefault="001C6C91" w:rsidP="00725CF3">
            <w:pPr>
              <w:pStyle w:val="TableText"/>
              <w:spacing w:before="0" w:after="0"/>
              <w:rPr>
                <w:b/>
                <w:szCs w:val="20"/>
              </w:rPr>
            </w:pPr>
            <w:r w:rsidRPr="006F307B">
              <w:rPr>
                <w:b/>
                <w:szCs w:val="20"/>
              </w:rPr>
              <w:t>Estimated financial implications of pembrolizumab ± chemotherapy to the PBS/RPBS</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rFonts w:eastAsia="Times New Roman" w:cs="Times New Roman"/>
                <w:szCs w:val="20"/>
              </w:rPr>
            </w:pPr>
            <w:r w:rsidRPr="006F307B">
              <w:rPr>
                <w:szCs w:val="20"/>
              </w:rPr>
              <w:t xml:space="preserve">Cost of pembrolizumab </w:t>
            </w:r>
          </w:p>
        </w:tc>
        <w:tc>
          <w:tcPr>
            <w:tcW w:w="598" w:type="pct"/>
            <w:shd w:val="clear" w:color="auto" w:fill="auto"/>
            <w:vAlign w:val="center"/>
          </w:tcPr>
          <w:p w:rsidR="001C6C91" w:rsidRPr="006F307B" w:rsidRDefault="00D15AAE"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4</w:t>
            </w:r>
          </w:p>
        </w:tc>
        <w:tc>
          <w:tcPr>
            <w:tcW w:w="598" w:type="pct"/>
            <w:shd w:val="clear" w:color="auto" w:fill="auto"/>
            <w:vAlign w:val="center"/>
          </w:tcPr>
          <w:p w:rsidR="001C6C91" w:rsidRPr="0072002E" w:rsidRDefault="001C6C91" w:rsidP="00725CF3">
            <w:pPr>
              <w:pStyle w:val="TableText"/>
              <w:spacing w:before="0" w:after="0"/>
              <w:jc w:val="center"/>
              <w:rPr>
                <w:szCs w:val="20"/>
                <w:vertAlign w:val="superscript"/>
              </w:rPr>
            </w:pPr>
            <w:r w:rsidRPr="006F307B">
              <w:rPr>
                <w:szCs w:val="20"/>
              </w:rPr>
              <w:t>$</w:t>
            </w:r>
            <w:r w:rsidR="005C339B">
              <w:rPr>
                <w:noProof/>
                <w:color w:val="000000"/>
                <w:szCs w:val="20"/>
                <w:highlight w:val="black"/>
              </w:rPr>
              <w:t>''''''''''''''''''''</w:t>
            </w:r>
            <w:r w:rsidR="00071965">
              <w:rPr>
                <w:noProof/>
                <w:color w:val="000000"/>
                <w:szCs w:val="20"/>
                <w:highlight w:val="black"/>
              </w:rPr>
              <w:t>'''''''</w:t>
            </w:r>
            <w:r w:rsidR="00580198">
              <w:rPr>
                <w:szCs w:val="20"/>
                <w:vertAlign w:val="superscript"/>
              </w:rPr>
              <w:t>5</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580198">
              <w:rPr>
                <w:rFonts w:cs="Arial"/>
                <w:bCs/>
                <w:szCs w:val="20"/>
                <w:vertAlign w:val="superscript"/>
              </w:rPr>
              <w:t>4</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4</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580198">
              <w:rPr>
                <w:rFonts w:cs="Arial"/>
                <w:bCs/>
                <w:szCs w:val="20"/>
                <w:vertAlign w:val="superscript"/>
              </w:rPr>
              <w:t>4</w:t>
            </w:r>
          </w:p>
        </w:tc>
        <w:tc>
          <w:tcPr>
            <w:tcW w:w="598" w:type="pct"/>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4</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rPr>
            </w:pPr>
            <w:r w:rsidRPr="006F307B">
              <w:rPr>
                <w:szCs w:val="20"/>
              </w:rPr>
              <w:t xml:space="preserve">Cost of chemotherapy </w:t>
            </w:r>
            <w:r w:rsidRPr="006F307B">
              <w:rPr>
                <w:szCs w:val="20"/>
                <w:vertAlign w:val="superscript"/>
              </w:rPr>
              <w:t>c</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rPr>
            </w:pPr>
            <w:r w:rsidRPr="006F307B">
              <w:rPr>
                <w:szCs w:val="20"/>
              </w:rPr>
              <w:t>Co</w:t>
            </w:r>
            <w:r w:rsidR="005C339B">
              <w:rPr>
                <w:szCs w:val="20"/>
              </w:rPr>
              <w:t>-</w:t>
            </w:r>
            <w:r w:rsidRPr="006F307B">
              <w:rPr>
                <w:szCs w:val="20"/>
              </w:rPr>
              <w:t>payments</w:t>
            </w:r>
          </w:p>
        </w:tc>
        <w:tc>
          <w:tcPr>
            <w:tcW w:w="598" w:type="pct"/>
            <w:shd w:val="clear" w:color="auto" w:fill="auto"/>
            <w:vAlign w:val="center"/>
          </w:tcPr>
          <w:p w:rsidR="001C6C91" w:rsidRPr="006F307B" w:rsidRDefault="00D15AAE"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c>
          <w:tcPr>
            <w:tcW w:w="598" w:type="pct"/>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sidRPr="00D63F79">
              <w:rPr>
                <w:szCs w:val="20"/>
                <w:vertAlign w:val="superscript"/>
              </w:rPr>
              <w:t>3</w:t>
            </w:r>
          </w:p>
        </w:tc>
      </w:tr>
      <w:tr w:rsidR="001C6C91" w:rsidRPr="006F307B" w:rsidTr="00082098">
        <w:tc>
          <w:tcPr>
            <w:tcW w:w="1412" w:type="pct"/>
            <w:shd w:val="clear" w:color="auto" w:fill="auto"/>
            <w:vAlign w:val="center"/>
          </w:tcPr>
          <w:p w:rsidR="001C6C91" w:rsidRPr="006F307B" w:rsidRDefault="001C6C91" w:rsidP="00725CF3">
            <w:pPr>
              <w:pStyle w:val="TableText"/>
              <w:spacing w:before="0" w:after="0"/>
              <w:rPr>
                <w:szCs w:val="20"/>
              </w:rPr>
            </w:pPr>
            <w:r w:rsidRPr="006F307B">
              <w:rPr>
                <w:szCs w:val="20"/>
              </w:rPr>
              <w:t xml:space="preserve">Cost to PBS/RPBS less </w:t>
            </w:r>
            <w:r w:rsidR="005C339B" w:rsidRPr="006F307B">
              <w:rPr>
                <w:szCs w:val="20"/>
              </w:rPr>
              <w:t>co-payments</w:t>
            </w:r>
          </w:p>
        </w:tc>
        <w:tc>
          <w:tcPr>
            <w:tcW w:w="598" w:type="pct"/>
            <w:shd w:val="clear" w:color="auto" w:fill="auto"/>
            <w:vAlign w:val="center"/>
          </w:tcPr>
          <w:p w:rsidR="001C6C91" w:rsidRPr="006F307B" w:rsidRDefault="00D15AAE"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4</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580198">
              <w:rPr>
                <w:szCs w:val="20"/>
                <w:vertAlign w:val="superscript"/>
              </w:rPr>
              <w:t>5</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4</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4</w:t>
            </w:r>
          </w:p>
        </w:tc>
        <w:tc>
          <w:tcPr>
            <w:tcW w:w="598" w:type="pct"/>
            <w:shd w:val="clear" w:color="auto" w:fill="auto"/>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4</w:t>
            </w:r>
          </w:p>
        </w:tc>
        <w:tc>
          <w:tcPr>
            <w:tcW w:w="598" w:type="pct"/>
            <w:vAlign w:val="center"/>
          </w:tcPr>
          <w:p w:rsidR="001C6C91" w:rsidRPr="006F307B" w:rsidRDefault="001C6C91" w:rsidP="00725CF3">
            <w:pPr>
              <w:pStyle w:val="TableText"/>
              <w:spacing w:before="0" w:after="0"/>
              <w:jc w:val="center"/>
              <w:rPr>
                <w:szCs w:val="20"/>
              </w:rPr>
            </w:pPr>
            <w:r w:rsidRPr="006F307B">
              <w:rPr>
                <w:szCs w:val="20"/>
              </w:rPr>
              <w:t>$</w:t>
            </w:r>
            <w:r w:rsidR="00071965">
              <w:rPr>
                <w:noProof/>
                <w:color w:val="000000"/>
                <w:szCs w:val="20"/>
                <w:highlight w:val="black"/>
              </w:rPr>
              <w:t>'''''''''''''''''''''''''</w:t>
            </w:r>
            <w:r w:rsidR="00580198">
              <w:rPr>
                <w:rFonts w:cs="Arial"/>
                <w:bCs/>
                <w:szCs w:val="20"/>
                <w:vertAlign w:val="superscript"/>
              </w:rPr>
              <w:t>4</w:t>
            </w:r>
          </w:p>
        </w:tc>
      </w:tr>
      <w:tr w:rsidR="001C6C91" w:rsidRPr="006F307B" w:rsidTr="00DF31A9">
        <w:tc>
          <w:tcPr>
            <w:tcW w:w="5000" w:type="pct"/>
            <w:gridSpan w:val="7"/>
            <w:shd w:val="clear" w:color="auto" w:fill="auto"/>
            <w:vAlign w:val="center"/>
          </w:tcPr>
          <w:p w:rsidR="001C6C91" w:rsidRPr="006F307B" w:rsidRDefault="001C6C91" w:rsidP="00725CF3">
            <w:pPr>
              <w:pStyle w:val="TableText"/>
              <w:spacing w:before="0" w:after="0"/>
              <w:rPr>
                <w:b/>
                <w:szCs w:val="20"/>
              </w:rPr>
            </w:pPr>
            <w:r w:rsidRPr="006F307B">
              <w:rPr>
                <w:b/>
                <w:szCs w:val="20"/>
              </w:rPr>
              <w:t>Estimated financial implications of administration of pembrolizumab ± chemotherapy to the MBS</w:t>
            </w:r>
          </w:p>
        </w:tc>
      </w:tr>
      <w:tr w:rsidR="00D15AAE" w:rsidRPr="006F307B" w:rsidTr="00082098">
        <w:tc>
          <w:tcPr>
            <w:tcW w:w="1412" w:type="pct"/>
            <w:shd w:val="clear" w:color="auto" w:fill="auto"/>
            <w:vAlign w:val="center"/>
          </w:tcPr>
          <w:p w:rsidR="00D15AAE" w:rsidRPr="006F307B" w:rsidRDefault="00D15AAE" w:rsidP="00D15AAE">
            <w:pPr>
              <w:pStyle w:val="TableText"/>
              <w:spacing w:before="0" w:after="0"/>
              <w:rPr>
                <w:szCs w:val="20"/>
              </w:rPr>
            </w:pPr>
            <w:r w:rsidRPr="006F307B">
              <w:rPr>
                <w:szCs w:val="20"/>
              </w:rPr>
              <w:t>Cost to MBS</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r>
      <w:tr w:rsidR="00D15AAE" w:rsidRPr="006F307B" w:rsidTr="00DF31A9">
        <w:tc>
          <w:tcPr>
            <w:tcW w:w="5000" w:type="pct"/>
            <w:gridSpan w:val="7"/>
            <w:shd w:val="clear" w:color="auto" w:fill="auto"/>
            <w:vAlign w:val="center"/>
          </w:tcPr>
          <w:p w:rsidR="00D15AAE" w:rsidRPr="006F307B" w:rsidRDefault="00D15AAE" w:rsidP="00D15AAE">
            <w:pPr>
              <w:pStyle w:val="TableText"/>
              <w:spacing w:before="0" w:after="0"/>
              <w:rPr>
                <w:b/>
                <w:szCs w:val="20"/>
              </w:rPr>
            </w:pPr>
            <w:r w:rsidRPr="006F307B">
              <w:rPr>
                <w:b/>
                <w:szCs w:val="20"/>
              </w:rPr>
              <w:t>Estimated financial implications for SoC to the PBS/RPBS</w:t>
            </w:r>
          </w:p>
        </w:tc>
      </w:tr>
      <w:tr w:rsidR="00D15AAE" w:rsidRPr="006F307B" w:rsidTr="00082098">
        <w:tc>
          <w:tcPr>
            <w:tcW w:w="1412" w:type="pct"/>
            <w:shd w:val="clear" w:color="auto" w:fill="auto"/>
            <w:vAlign w:val="center"/>
          </w:tcPr>
          <w:p w:rsidR="00D15AAE" w:rsidRPr="006F307B" w:rsidRDefault="00D15AAE" w:rsidP="00D15AAE">
            <w:pPr>
              <w:pStyle w:val="TableText"/>
              <w:spacing w:before="0" w:after="0"/>
              <w:rPr>
                <w:szCs w:val="20"/>
              </w:rPr>
            </w:pPr>
            <w:r w:rsidRPr="006F307B">
              <w:rPr>
                <w:szCs w:val="20"/>
              </w:rPr>
              <w:t>Cost of 1L chemotherapy offset</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r>
      <w:tr w:rsidR="00D15AAE" w:rsidRPr="006F307B" w:rsidTr="00082098">
        <w:tc>
          <w:tcPr>
            <w:tcW w:w="1412" w:type="pct"/>
            <w:shd w:val="clear" w:color="auto" w:fill="auto"/>
            <w:vAlign w:val="center"/>
          </w:tcPr>
          <w:p w:rsidR="00D15AAE" w:rsidRPr="006F307B" w:rsidRDefault="00D15AAE" w:rsidP="00D15AAE">
            <w:pPr>
              <w:pStyle w:val="TableText"/>
              <w:spacing w:before="0" w:after="0"/>
              <w:rPr>
                <w:szCs w:val="20"/>
                <w:vertAlign w:val="superscript"/>
              </w:rPr>
            </w:pPr>
            <w:r w:rsidRPr="006F307B">
              <w:rPr>
                <w:szCs w:val="20"/>
              </w:rPr>
              <w:t xml:space="preserve">Cost to 2L nivolumab offset </w:t>
            </w:r>
            <w:r w:rsidRPr="006F307B">
              <w:rPr>
                <w:szCs w:val="20"/>
                <w:vertAlign w:val="superscript"/>
              </w:rPr>
              <w:t>d</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r>
      <w:tr w:rsidR="00D15AAE" w:rsidRPr="006F307B" w:rsidTr="00082098">
        <w:tc>
          <w:tcPr>
            <w:tcW w:w="1412" w:type="pct"/>
            <w:shd w:val="clear" w:color="auto" w:fill="auto"/>
            <w:vAlign w:val="center"/>
          </w:tcPr>
          <w:p w:rsidR="00D15AAE" w:rsidRPr="006F307B" w:rsidRDefault="00D15AAE" w:rsidP="00D15AAE">
            <w:pPr>
              <w:pStyle w:val="TableText"/>
              <w:spacing w:before="0" w:after="0"/>
              <w:rPr>
                <w:szCs w:val="20"/>
              </w:rPr>
            </w:pPr>
            <w:r w:rsidRPr="006F307B">
              <w:rPr>
                <w:szCs w:val="20"/>
              </w:rPr>
              <w:t>Co</w:t>
            </w:r>
            <w:r w:rsidR="005C339B">
              <w:rPr>
                <w:szCs w:val="20"/>
              </w:rPr>
              <w:t>-</w:t>
            </w:r>
            <w:r w:rsidRPr="006F307B">
              <w:rPr>
                <w:szCs w:val="20"/>
              </w:rPr>
              <w:t>payments</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r>
      <w:tr w:rsidR="00D15AAE" w:rsidRPr="006F307B" w:rsidTr="00082098">
        <w:tc>
          <w:tcPr>
            <w:tcW w:w="1412" w:type="pct"/>
            <w:shd w:val="clear" w:color="auto" w:fill="auto"/>
            <w:vAlign w:val="center"/>
          </w:tcPr>
          <w:p w:rsidR="00D15AAE" w:rsidRPr="006F307B" w:rsidRDefault="00D15AAE" w:rsidP="00D15AAE">
            <w:pPr>
              <w:pStyle w:val="TableText"/>
              <w:spacing w:before="0" w:after="0"/>
              <w:rPr>
                <w:szCs w:val="20"/>
              </w:rPr>
            </w:pPr>
            <w:r w:rsidRPr="006F307B">
              <w:rPr>
                <w:szCs w:val="20"/>
              </w:rPr>
              <w:t xml:space="preserve">Cost to PBS/RPBS less </w:t>
            </w:r>
            <w:r w:rsidR="005C339B" w:rsidRPr="006F307B">
              <w:rPr>
                <w:szCs w:val="20"/>
              </w:rPr>
              <w:t>co-payments</w:t>
            </w:r>
          </w:p>
        </w:tc>
        <w:tc>
          <w:tcPr>
            <w:tcW w:w="598" w:type="pct"/>
            <w:shd w:val="clear" w:color="auto" w:fill="auto"/>
            <w:vAlign w:val="center"/>
          </w:tcPr>
          <w:p w:rsidR="00D15AAE" w:rsidRPr="0072002E" w:rsidRDefault="00D15AAE" w:rsidP="00D15AAE">
            <w:pPr>
              <w:pStyle w:val="TableText"/>
              <w:spacing w:before="0" w:after="0"/>
              <w:jc w:val="center"/>
              <w:rPr>
                <w:szCs w:val="20"/>
                <w:vertAlign w:val="superscript"/>
              </w:rPr>
            </w:pPr>
            <w:r w:rsidRPr="006F307B">
              <w:rPr>
                <w:szCs w:val="20"/>
              </w:rPr>
              <w:t>$</w:t>
            </w:r>
            <w:r w:rsidR="00071965">
              <w:rPr>
                <w:noProof/>
                <w:color w:val="000000"/>
                <w:szCs w:val="20"/>
                <w:highlight w:val="black"/>
              </w:rPr>
              <w:t>'''''''''''''''''''''''''</w:t>
            </w:r>
            <w:r w:rsidR="00580198">
              <w:rPr>
                <w:szCs w:val="20"/>
                <w:vertAlign w:val="superscript"/>
              </w:rPr>
              <w:t>6</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580198">
              <w:rPr>
                <w:szCs w:val="20"/>
                <w:vertAlign w:val="superscript"/>
              </w:rPr>
              <w:t>6</w:t>
            </w:r>
          </w:p>
        </w:tc>
        <w:tc>
          <w:tcPr>
            <w:tcW w:w="598" w:type="pct"/>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6</w:t>
            </w:r>
          </w:p>
        </w:tc>
      </w:tr>
      <w:tr w:rsidR="00D15AAE" w:rsidRPr="006F307B" w:rsidTr="00DF31A9">
        <w:tc>
          <w:tcPr>
            <w:tcW w:w="5000" w:type="pct"/>
            <w:gridSpan w:val="7"/>
            <w:shd w:val="clear" w:color="auto" w:fill="auto"/>
            <w:vAlign w:val="center"/>
          </w:tcPr>
          <w:p w:rsidR="00D15AAE" w:rsidRPr="006F307B" w:rsidRDefault="00D15AAE" w:rsidP="00D15AAE">
            <w:pPr>
              <w:pStyle w:val="TableText"/>
              <w:spacing w:before="0" w:after="0"/>
              <w:rPr>
                <w:szCs w:val="20"/>
              </w:rPr>
            </w:pPr>
            <w:r w:rsidRPr="006F307B">
              <w:rPr>
                <w:b/>
                <w:szCs w:val="20"/>
              </w:rPr>
              <w:t>Estimated financial implications of administration offset of SoC to the MBS</w:t>
            </w:r>
          </w:p>
        </w:tc>
      </w:tr>
      <w:tr w:rsidR="00D15AAE" w:rsidRPr="006F307B" w:rsidTr="00082098">
        <w:tc>
          <w:tcPr>
            <w:tcW w:w="1412" w:type="pct"/>
            <w:shd w:val="clear" w:color="auto" w:fill="auto"/>
            <w:vAlign w:val="center"/>
          </w:tcPr>
          <w:p w:rsidR="00D15AAE" w:rsidRPr="006F307B" w:rsidRDefault="00D15AAE" w:rsidP="00D15AAE">
            <w:pPr>
              <w:pStyle w:val="TableText"/>
              <w:spacing w:before="0" w:after="0"/>
              <w:rPr>
                <w:szCs w:val="20"/>
              </w:rPr>
            </w:pPr>
            <w:r w:rsidRPr="006F307B">
              <w:rPr>
                <w:szCs w:val="20"/>
              </w:rPr>
              <w:t>Cost to MBS</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r>
      <w:tr w:rsidR="00D15AAE" w:rsidRPr="006F307B" w:rsidTr="00DF31A9">
        <w:tc>
          <w:tcPr>
            <w:tcW w:w="5000" w:type="pct"/>
            <w:gridSpan w:val="7"/>
            <w:shd w:val="clear" w:color="auto" w:fill="auto"/>
            <w:vAlign w:val="center"/>
          </w:tcPr>
          <w:p w:rsidR="00D15AAE" w:rsidRPr="006F307B" w:rsidRDefault="00D15AAE" w:rsidP="00D15AAE">
            <w:pPr>
              <w:pStyle w:val="TableText"/>
              <w:spacing w:before="0" w:after="0"/>
              <w:rPr>
                <w:b/>
                <w:szCs w:val="20"/>
              </w:rPr>
            </w:pPr>
            <w:r w:rsidRPr="006F307B">
              <w:rPr>
                <w:b/>
                <w:szCs w:val="20"/>
              </w:rPr>
              <w:t>Net financial implications</w:t>
            </w:r>
            <w:r w:rsidRPr="006F307B">
              <w:rPr>
                <w:b/>
                <w:color w:val="4472C4" w:themeColor="accent5"/>
                <w:szCs w:val="20"/>
              </w:rPr>
              <w:t xml:space="preserve"> </w:t>
            </w:r>
          </w:p>
        </w:tc>
      </w:tr>
      <w:tr w:rsidR="00D15AAE" w:rsidRPr="006F307B" w:rsidTr="00082098">
        <w:tc>
          <w:tcPr>
            <w:tcW w:w="1412" w:type="pct"/>
            <w:shd w:val="clear" w:color="auto" w:fill="auto"/>
            <w:vAlign w:val="center"/>
          </w:tcPr>
          <w:p w:rsidR="00D15AAE" w:rsidRPr="006F307B" w:rsidRDefault="00D15AAE" w:rsidP="00D15AAE">
            <w:pPr>
              <w:pStyle w:val="TableText"/>
              <w:spacing w:before="0" w:after="0"/>
              <w:rPr>
                <w:szCs w:val="20"/>
              </w:rPr>
            </w:pPr>
            <w:r w:rsidRPr="006F307B">
              <w:rPr>
                <w:szCs w:val="20"/>
              </w:rPr>
              <w:t>Net cost to PBS/RPBS</w:t>
            </w:r>
          </w:p>
        </w:tc>
        <w:tc>
          <w:tcPr>
            <w:tcW w:w="598" w:type="pct"/>
            <w:shd w:val="clear" w:color="auto" w:fill="auto"/>
            <w:vAlign w:val="center"/>
          </w:tcPr>
          <w:p w:rsidR="00D15AAE" w:rsidRPr="0072002E" w:rsidRDefault="00D15AAE" w:rsidP="00D15AAE">
            <w:pPr>
              <w:pStyle w:val="TableText"/>
              <w:spacing w:before="0" w:after="0"/>
              <w:jc w:val="center"/>
              <w:rPr>
                <w:szCs w:val="20"/>
                <w:vertAlign w:val="superscript"/>
              </w:rPr>
            </w:pPr>
            <w:r w:rsidRPr="006F307B">
              <w:rPr>
                <w:szCs w:val="20"/>
              </w:rPr>
              <w:t>$</w:t>
            </w:r>
            <w:r w:rsidR="00071965">
              <w:rPr>
                <w:noProof/>
                <w:color w:val="000000"/>
                <w:szCs w:val="20"/>
                <w:highlight w:val="black"/>
              </w:rPr>
              <w:t>''''''''''''''''''''''''</w:t>
            </w:r>
            <w:r w:rsidR="002E6C88">
              <w:rPr>
                <w:szCs w:val="20"/>
                <w:vertAlign w:val="superscript"/>
              </w:rPr>
              <w:t>5</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2E6C88">
              <w:rPr>
                <w:szCs w:val="20"/>
                <w:vertAlign w:val="superscript"/>
              </w:rPr>
              <w:t>5</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2E6C88">
              <w:rPr>
                <w:szCs w:val="20"/>
                <w:vertAlign w:val="superscript"/>
              </w:rPr>
              <w:t>5</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2E6C88">
              <w:rPr>
                <w:szCs w:val="20"/>
                <w:vertAlign w:val="superscript"/>
              </w:rPr>
              <w:t>5</w:t>
            </w:r>
          </w:p>
        </w:tc>
        <w:tc>
          <w:tcPr>
            <w:tcW w:w="598" w:type="pct"/>
            <w:shd w:val="clear" w:color="auto" w:fill="auto"/>
            <w:vAlign w:val="center"/>
          </w:tcPr>
          <w:p w:rsidR="00D15AAE" w:rsidRPr="006F307B" w:rsidRDefault="00D15AAE" w:rsidP="00D15AAE">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2E6C88">
              <w:rPr>
                <w:szCs w:val="20"/>
                <w:vertAlign w:val="superscript"/>
              </w:rPr>
              <w:t>5</w:t>
            </w:r>
          </w:p>
        </w:tc>
        <w:tc>
          <w:tcPr>
            <w:tcW w:w="598" w:type="pct"/>
            <w:vAlign w:val="center"/>
          </w:tcPr>
          <w:p w:rsidR="00D15AAE" w:rsidRPr="006F307B" w:rsidRDefault="00D15AAE" w:rsidP="00D15AAE">
            <w:pPr>
              <w:pStyle w:val="TableText"/>
              <w:spacing w:before="0" w:after="0"/>
              <w:jc w:val="center"/>
              <w:rPr>
                <w:szCs w:val="20"/>
              </w:rPr>
            </w:pPr>
            <w:r w:rsidRPr="006F307B">
              <w:rPr>
                <w:szCs w:val="20"/>
              </w:rPr>
              <w:t>$</w:t>
            </w:r>
            <w:r w:rsidR="00071965">
              <w:rPr>
                <w:noProof/>
                <w:color w:val="000000"/>
                <w:szCs w:val="20"/>
                <w:highlight w:val="black"/>
              </w:rPr>
              <w:t>''''''''''''''''''''''''''</w:t>
            </w:r>
            <w:r w:rsidR="002E6C88">
              <w:rPr>
                <w:szCs w:val="20"/>
                <w:vertAlign w:val="superscript"/>
              </w:rPr>
              <w:t>5</w:t>
            </w:r>
          </w:p>
        </w:tc>
      </w:tr>
      <w:tr w:rsidR="000059BA" w:rsidRPr="006F307B" w:rsidTr="00082098">
        <w:tc>
          <w:tcPr>
            <w:tcW w:w="1412" w:type="pct"/>
            <w:shd w:val="clear" w:color="auto" w:fill="auto"/>
            <w:vAlign w:val="center"/>
          </w:tcPr>
          <w:p w:rsidR="000059BA" w:rsidRPr="006F307B" w:rsidRDefault="000059BA" w:rsidP="000059BA">
            <w:pPr>
              <w:pStyle w:val="TableText"/>
              <w:spacing w:before="0" w:after="0"/>
              <w:rPr>
                <w:rFonts w:eastAsia="Times New Roman" w:cs="Times New Roman"/>
                <w:szCs w:val="20"/>
                <w:vertAlign w:val="superscript"/>
              </w:rPr>
            </w:pPr>
            <w:r w:rsidRPr="006F307B">
              <w:rPr>
                <w:szCs w:val="20"/>
              </w:rPr>
              <w:t xml:space="preserve">Net cost to MBS </w:t>
            </w:r>
            <w:r w:rsidRPr="006F307B">
              <w:rPr>
                <w:szCs w:val="20"/>
                <w:vertAlign w:val="superscript"/>
              </w:rPr>
              <w:t>e</w:t>
            </w:r>
            <w:r w:rsidR="00556CFB" w:rsidRPr="006F307B">
              <w:rPr>
                <w:szCs w:val="20"/>
                <w:vertAlign w:val="superscript"/>
              </w:rPr>
              <w:t xml:space="preserve"> f</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c>
          <w:tcPr>
            <w:tcW w:w="598" w:type="pct"/>
            <w:vAlign w:val="center"/>
          </w:tcPr>
          <w:p w:rsidR="000059BA" w:rsidRPr="006F307B" w:rsidRDefault="000059BA" w:rsidP="000059BA">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3</w:t>
            </w:r>
          </w:p>
        </w:tc>
      </w:tr>
      <w:tr w:rsidR="000059BA" w:rsidRPr="006F307B" w:rsidTr="00082098">
        <w:tc>
          <w:tcPr>
            <w:tcW w:w="1412" w:type="pct"/>
            <w:shd w:val="clear" w:color="auto" w:fill="auto"/>
            <w:vAlign w:val="center"/>
          </w:tcPr>
          <w:p w:rsidR="000059BA" w:rsidRPr="006F307B" w:rsidRDefault="000059BA" w:rsidP="000059BA">
            <w:pPr>
              <w:pStyle w:val="TableText"/>
              <w:spacing w:before="0" w:after="0"/>
              <w:rPr>
                <w:szCs w:val="20"/>
              </w:rPr>
            </w:pPr>
            <w:r w:rsidRPr="006F307B">
              <w:rPr>
                <w:szCs w:val="20"/>
              </w:rPr>
              <w:t>Net cost to PBS/RPBS/MBS</w:t>
            </w:r>
            <w:r w:rsidR="00556CFB" w:rsidRPr="006F307B">
              <w:rPr>
                <w:szCs w:val="20"/>
              </w:rPr>
              <w:t xml:space="preserve"> </w:t>
            </w:r>
            <w:r w:rsidR="00556CFB" w:rsidRPr="006F307B">
              <w:rPr>
                <w:szCs w:val="20"/>
                <w:vertAlign w:val="superscript"/>
              </w:rPr>
              <w:t>f</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2E6C88">
              <w:rPr>
                <w:szCs w:val="20"/>
                <w:vertAlign w:val="superscript"/>
              </w:rPr>
              <w:t>5</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071965">
              <w:rPr>
                <w:noProof/>
                <w:color w:val="000000"/>
                <w:szCs w:val="20"/>
                <w:highlight w:val="black"/>
              </w:rPr>
              <w:t>''''''''''''''''''''''''''</w:t>
            </w:r>
            <w:r w:rsidR="00580198">
              <w:rPr>
                <w:szCs w:val="20"/>
                <w:vertAlign w:val="superscript"/>
              </w:rPr>
              <w:t>6</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2E6C88">
              <w:rPr>
                <w:szCs w:val="20"/>
                <w:vertAlign w:val="superscript"/>
              </w:rPr>
              <w:t>5</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071965">
              <w:rPr>
                <w:noProof/>
                <w:color w:val="000000"/>
                <w:szCs w:val="20"/>
                <w:highlight w:val="black"/>
              </w:rPr>
              <w:t>'''''''''''''''''''''''''''</w:t>
            </w:r>
            <w:r w:rsidR="002E6C88">
              <w:rPr>
                <w:szCs w:val="20"/>
                <w:vertAlign w:val="superscript"/>
              </w:rPr>
              <w:t>5</w:t>
            </w:r>
          </w:p>
        </w:tc>
        <w:tc>
          <w:tcPr>
            <w:tcW w:w="598" w:type="pct"/>
            <w:shd w:val="clear" w:color="auto" w:fill="auto"/>
            <w:vAlign w:val="center"/>
          </w:tcPr>
          <w:p w:rsidR="000059BA" w:rsidRPr="006F307B" w:rsidRDefault="000059BA" w:rsidP="000059BA">
            <w:pPr>
              <w:pStyle w:val="TableText"/>
              <w:spacing w:before="0" w:after="0"/>
              <w:jc w:val="center"/>
              <w:rPr>
                <w:szCs w:val="20"/>
              </w:rPr>
            </w:pPr>
            <w:r w:rsidRPr="006F307B">
              <w:rPr>
                <w:szCs w:val="20"/>
              </w:rPr>
              <w:t>$</w:t>
            </w:r>
            <w:r w:rsidR="00071965">
              <w:rPr>
                <w:noProof/>
                <w:color w:val="000000"/>
                <w:szCs w:val="20"/>
                <w:highlight w:val="black"/>
              </w:rPr>
              <w:t>''''''''</w:t>
            </w:r>
            <w:r w:rsidR="005C339B">
              <w:rPr>
                <w:noProof/>
                <w:color w:val="000000"/>
                <w:szCs w:val="20"/>
                <w:highlight w:val="black"/>
              </w:rPr>
              <w:t>''''''''''''''''</w:t>
            </w:r>
            <w:r w:rsidR="00071965">
              <w:rPr>
                <w:noProof/>
                <w:color w:val="000000"/>
                <w:szCs w:val="20"/>
                <w:highlight w:val="black"/>
              </w:rPr>
              <w:t>'''</w:t>
            </w:r>
            <w:r w:rsidR="002E6C88">
              <w:rPr>
                <w:szCs w:val="20"/>
                <w:vertAlign w:val="superscript"/>
              </w:rPr>
              <w:t>5</w:t>
            </w:r>
          </w:p>
        </w:tc>
        <w:tc>
          <w:tcPr>
            <w:tcW w:w="598" w:type="pct"/>
            <w:vAlign w:val="center"/>
          </w:tcPr>
          <w:p w:rsidR="000059BA" w:rsidRPr="006F307B" w:rsidRDefault="000059BA" w:rsidP="000059BA">
            <w:pPr>
              <w:pStyle w:val="TableText"/>
              <w:spacing w:before="0" w:after="0"/>
              <w:jc w:val="center"/>
              <w:rPr>
                <w:szCs w:val="20"/>
              </w:rPr>
            </w:pPr>
            <w:r w:rsidRPr="006F307B">
              <w:rPr>
                <w:szCs w:val="20"/>
              </w:rPr>
              <w:t>$</w:t>
            </w:r>
            <w:r w:rsidR="005C339B">
              <w:rPr>
                <w:noProof/>
                <w:color w:val="000000"/>
                <w:szCs w:val="20"/>
                <w:highlight w:val="black"/>
              </w:rPr>
              <w:t>''''''''''''''''''''</w:t>
            </w:r>
            <w:r w:rsidR="00071965">
              <w:rPr>
                <w:noProof/>
                <w:color w:val="000000"/>
                <w:szCs w:val="20"/>
                <w:highlight w:val="black"/>
              </w:rPr>
              <w:t>''''''</w:t>
            </w:r>
            <w:r w:rsidR="002E6C88">
              <w:rPr>
                <w:szCs w:val="20"/>
                <w:vertAlign w:val="superscript"/>
              </w:rPr>
              <w:t>5</w:t>
            </w:r>
          </w:p>
        </w:tc>
      </w:tr>
    </w:tbl>
    <w:p w:rsidR="00DF31A9" w:rsidRPr="006F307B" w:rsidRDefault="001C6C91" w:rsidP="001C6C91">
      <w:pPr>
        <w:pStyle w:val="TableFooter"/>
        <w:tabs>
          <w:tab w:val="left" w:pos="284"/>
        </w:tabs>
        <w:ind w:left="284" w:hanging="284"/>
      </w:pPr>
      <w:r w:rsidRPr="006F307B">
        <w:rPr>
          <w:vertAlign w:val="superscript"/>
        </w:rPr>
        <w:t>a</w:t>
      </w:r>
      <w:r w:rsidRPr="006F307B">
        <w:tab/>
        <w:t>Assume 85% uptake in all eligible patients</w:t>
      </w:r>
    </w:p>
    <w:p w:rsidR="001C6C91" w:rsidRPr="006F307B" w:rsidRDefault="001C6C91" w:rsidP="001C6C91">
      <w:pPr>
        <w:pStyle w:val="TableFooter"/>
        <w:tabs>
          <w:tab w:val="left" w:pos="284"/>
        </w:tabs>
        <w:ind w:left="284" w:hanging="284"/>
      </w:pPr>
      <w:r w:rsidRPr="006F307B">
        <w:rPr>
          <w:vertAlign w:val="superscript"/>
        </w:rPr>
        <w:t>b</w:t>
      </w:r>
      <w:r w:rsidRPr="006F307B">
        <w:rPr>
          <w:vertAlign w:val="superscript"/>
        </w:rPr>
        <w:tab/>
      </w:r>
      <w:r w:rsidRPr="006F307B">
        <w:t>Assume $59.60 (80% benefit of $74.50) per test, applied to all projected oral cavity, pharynx, larynx cancers (exclude nasopharyngeal) patients</w:t>
      </w:r>
    </w:p>
    <w:p w:rsidR="001C6C91" w:rsidRPr="006F307B" w:rsidRDefault="001C6C91" w:rsidP="001C6C91">
      <w:pPr>
        <w:pStyle w:val="TableFooter"/>
        <w:tabs>
          <w:tab w:val="left" w:pos="284"/>
        </w:tabs>
        <w:ind w:left="284" w:hanging="284"/>
      </w:pPr>
      <w:r w:rsidRPr="006F307B">
        <w:rPr>
          <w:vertAlign w:val="superscript"/>
        </w:rPr>
        <w:t>c</w:t>
      </w:r>
      <w:r w:rsidRPr="006F307B">
        <w:tab/>
        <w:t xml:space="preserve">Assume 20% of patients use </w:t>
      </w:r>
      <w:r w:rsidR="0083505E">
        <w:t>pembrolizumab plus chemotherapy</w:t>
      </w:r>
    </w:p>
    <w:p w:rsidR="001C6C91" w:rsidRPr="006F307B" w:rsidRDefault="001C6C91" w:rsidP="001C6C91">
      <w:pPr>
        <w:pStyle w:val="TableFooter"/>
        <w:tabs>
          <w:tab w:val="left" w:pos="284"/>
        </w:tabs>
        <w:ind w:left="284" w:hanging="284"/>
      </w:pPr>
      <w:r w:rsidRPr="006F307B">
        <w:rPr>
          <w:vertAlign w:val="superscript"/>
        </w:rPr>
        <w:t>d</w:t>
      </w:r>
      <w:r w:rsidRPr="006F307B">
        <w:tab/>
        <w:t>Assume 66.</w:t>
      </w:r>
      <w:r w:rsidR="0083505E">
        <w:t>7% of patients use 2L nivolumab</w:t>
      </w:r>
    </w:p>
    <w:p w:rsidR="001C6C91" w:rsidRPr="006F307B" w:rsidRDefault="001C6C91" w:rsidP="001C6C91">
      <w:pPr>
        <w:pStyle w:val="TableFooter"/>
        <w:tabs>
          <w:tab w:val="left" w:pos="284"/>
        </w:tabs>
        <w:ind w:left="284" w:hanging="284"/>
      </w:pPr>
      <w:r w:rsidRPr="006F307B">
        <w:rPr>
          <w:vertAlign w:val="superscript"/>
        </w:rPr>
        <w:t>e</w:t>
      </w:r>
      <w:r w:rsidRPr="006F307B">
        <w:tab/>
        <w:t>Sum of PD-L1 test and cost of administration for pembrolizumab minus cost of SoC administration</w:t>
      </w:r>
    </w:p>
    <w:p w:rsidR="00963DD4" w:rsidRPr="006F307B" w:rsidRDefault="00963DD4" w:rsidP="001C6C91">
      <w:pPr>
        <w:pStyle w:val="TableFooter"/>
        <w:tabs>
          <w:tab w:val="left" w:pos="284"/>
        </w:tabs>
        <w:ind w:left="284" w:hanging="284"/>
      </w:pPr>
      <w:r w:rsidRPr="006F307B">
        <w:rPr>
          <w:vertAlign w:val="superscript"/>
        </w:rPr>
        <w:t>f</w:t>
      </w:r>
      <w:r w:rsidRPr="006F307B">
        <w:rPr>
          <w:vertAlign w:val="superscript"/>
        </w:rPr>
        <w:tab/>
      </w:r>
      <w:r w:rsidR="009848F6" w:rsidRPr="006F307B">
        <w:t xml:space="preserve">Revised to include </w:t>
      </w:r>
      <w:r w:rsidR="000059BA" w:rsidRPr="006F307B">
        <w:t xml:space="preserve">testing costs only </w:t>
      </w:r>
      <w:r w:rsidR="00E449D5" w:rsidRPr="006F307B">
        <w:t>for</w:t>
      </w:r>
      <w:r w:rsidR="000059BA" w:rsidRPr="006F307B">
        <w:t xml:space="preserve"> patients with </w:t>
      </w:r>
      <w:r w:rsidR="009848F6" w:rsidRPr="006F307B">
        <w:rPr>
          <w:b/>
        </w:rPr>
        <w:t>R/M</w:t>
      </w:r>
      <w:r w:rsidRPr="006F307B">
        <w:t xml:space="preserve"> SCC of the oral cavity, p</w:t>
      </w:r>
      <w:r w:rsidR="009848F6" w:rsidRPr="006F307B">
        <w:t>harynx, and larynx</w:t>
      </w:r>
    </w:p>
    <w:p w:rsidR="001C6C91" w:rsidRDefault="001C6C91" w:rsidP="001C6C91">
      <w:pPr>
        <w:pStyle w:val="TableFooter"/>
      </w:pPr>
      <w:r w:rsidRPr="006F307B">
        <w:t>Source: constructed during evaluation using information from Se</w:t>
      </w:r>
      <w:r w:rsidR="00656AE8" w:rsidRPr="006F307B">
        <w:t>c</w:t>
      </w:r>
      <w:r w:rsidRPr="006F307B">
        <w:t>tion 4 Workbook (1L HNSCC).xlsx</w:t>
      </w:r>
      <w:r w:rsidR="000234FE" w:rsidRPr="006F307B">
        <w:t>, with errors identified in the evaluation</w:t>
      </w:r>
      <w:r w:rsidR="00F477A8">
        <w:t xml:space="preserve"> </w:t>
      </w:r>
      <w:r w:rsidR="000234FE" w:rsidRPr="006F307B">
        <w:lastRenderedPageBreak/>
        <w:t>corrected.</w:t>
      </w:r>
    </w:p>
    <w:p w:rsidR="00F477A8" w:rsidRPr="0072002E" w:rsidRDefault="00F477A8" w:rsidP="001C6C91">
      <w:pPr>
        <w:pStyle w:val="TableFooter"/>
        <w:rPr>
          <w:i/>
        </w:rPr>
      </w:pPr>
      <w:r w:rsidRPr="0072002E">
        <w:rPr>
          <w:i/>
        </w:rPr>
        <w:t>The redacted values correspond to the following ranges:</w:t>
      </w:r>
    </w:p>
    <w:p w:rsidR="00F477A8" w:rsidRPr="0072002E" w:rsidRDefault="00F477A8" w:rsidP="001C6C91">
      <w:pPr>
        <w:pStyle w:val="TableFooter"/>
        <w:rPr>
          <w:i/>
        </w:rPr>
      </w:pPr>
      <w:r w:rsidRPr="0072002E">
        <w:rPr>
          <w:i/>
          <w:vertAlign w:val="superscript"/>
        </w:rPr>
        <w:t>1</w:t>
      </w:r>
      <w:r w:rsidRPr="0072002E">
        <w:rPr>
          <w:i/>
        </w:rPr>
        <w:t>500 to &lt;5,000</w:t>
      </w:r>
    </w:p>
    <w:p w:rsidR="00F477A8" w:rsidRPr="0072002E" w:rsidRDefault="00F477A8" w:rsidP="001C6C91">
      <w:pPr>
        <w:pStyle w:val="TableFooter"/>
        <w:rPr>
          <w:i/>
        </w:rPr>
      </w:pPr>
      <w:r w:rsidRPr="0072002E">
        <w:rPr>
          <w:i/>
          <w:vertAlign w:val="superscript"/>
        </w:rPr>
        <w:t>2</w:t>
      </w:r>
      <w:r w:rsidRPr="0072002E">
        <w:rPr>
          <w:i/>
        </w:rPr>
        <w:t>&lt;500</w:t>
      </w:r>
    </w:p>
    <w:p w:rsidR="00F477A8" w:rsidRPr="0072002E" w:rsidRDefault="00F477A8" w:rsidP="001C6C91">
      <w:pPr>
        <w:pStyle w:val="TableFooter"/>
        <w:rPr>
          <w:i/>
        </w:rPr>
      </w:pPr>
      <w:r w:rsidRPr="0072002E">
        <w:rPr>
          <w:i/>
          <w:vertAlign w:val="superscript"/>
        </w:rPr>
        <w:t>3</w:t>
      </w:r>
      <w:r w:rsidRPr="0072002E">
        <w:rPr>
          <w:i/>
        </w:rPr>
        <w:t>$0 to &lt;$10 million</w:t>
      </w:r>
    </w:p>
    <w:p w:rsidR="00F477A8" w:rsidRPr="0072002E" w:rsidRDefault="00F477A8" w:rsidP="001C6C91">
      <w:pPr>
        <w:pStyle w:val="TableFooter"/>
        <w:rPr>
          <w:i/>
        </w:rPr>
      </w:pPr>
      <w:r w:rsidRPr="0072002E">
        <w:rPr>
          <w:i/>
          <w:vertAlign w:val="superscript"/>
        </w:rPr>
        <w:t>4</w:t>
      </w:r>
      <w:r w:rsidRPr="0072002E">
        <w:rPr>
          <w:i/>
        </w:rPr>
        <w:t>$30 to &lt;$40 million</w:t>
      </w:r>
    </w:p>
    <w:p w:rsidR="00F477A8" w:rsidRPr="0072002E" w:rsidRDefault="00F477A8" w:rsidP="001C6C91">
      <w:pPr>
        <w:pStyle w:val="TableFooter"/>
        <w:rPr>
          <w:i/>
        </w:rPr>
      </w:pPr>
      <w:r w:rsidRPr="0072002E">
        <w:rPr>
          <w:i/>
          <w:vertAlign w:val="superscript"/>
        </w:rPr>
        <w:t>5</w:t>
      </w:r>
      <w:r w:rsidRPr="0072002E">
        <w:rPr>
          <w:i/>
        </w:rPr>
        <w:t>$20 to &lt;$30 million</w:t>
      </w:r>
    </w:p>
    <w:p w:rsidR="00F477A8" w:rsidRPr="0072002E" w:rsidRDefault="00F477A8" w:rsidP="001C6C91">
      <w:pPr>
        <w:pStyle w:val="TableFooter"/>
        <w:rPr>
          <w:i/>
        </w:rPr>
      </w:pPr>
      <w:r w:rsidRPr="0072002E">
        <w:rPr>
          <w:i/>
          <w:vertAlign w:val="superscript"/>
        </w:rPr>
        <w:t>6</w:t>
      </w:r>
      <w:r w:rsidRPr="0072002E">
        <w:rPr>
          <w:i/>
        </w:rPr>
        <w:t>$10 to &lt;$20 million</w:t>
      </w:r>
    </w:p>
    <w:p w:rsidR="00D81157" w:rsidRPr="006F307B" w:rsidRDefault="00324811" w:rsidP="00D81157">
      <w:pPr>
        <w:pStyle w:val="ListParagraph"/>
      </w:pPr>
      <w:r w:rsidRPr="006F307B">
        <w:t>The submission estimated</w:t>
      </w:r>
      <w:r w:rsidR="00D81157" w:rsidRPr="006F307B">
        <w:t xml:space="preserve"> the overall budget impact of listing pembrolizumab ± chemotherapy in previously untreated patients with R/M HNSCC of the oral cavity, pharynx or larynx</w:t>
      </w:r>
      <w:r w:rsidRPr="006F307B">
        <w:t>,</w:t>
      </w:r>
      <w:r w:rsidR="00D81157" w:rsidRPr="006F307B">
        <w:t xml:space="preserve"> which is incurable by local therapy and who have CPS ≥1</w:t>
      </w:r>
      <w:r w:rsidRPr="006F307B">
        <w:t>,</w:t>
      </w:r>
      <w:r w:rsidR="00D81157" w:rsidRPr="006F307B">
        <w:t xml:space="preserve"> in the first six year</w:t>
      </w:r>
      <w:r w:rsidR="00F857E5" w:rsidRPr="006F307B">
        <w:t>s</w:t>
      </w:r>
      <w:r w:rsidRPr="006F307B">
        <w:t xml:space="preserve"> of listing was </w:t>
      </w:r>
      <w:r w:rsidR="00D81157" w:rsidRPr="006F307B">
        <w:t>$</w:t>
      </w:r>
      <w:r w:rsidR="00CC214E">
        <w:t>100 to &lt;$200</w:t>
      </w:r>
      <w:r w:rsidR="00D81157" w:rsidRPr="006F307B">
        <w:t xml:space="preserve"> million, ranging from $</w:t>
      </w:r>
      <w:r w:rsidR="00CC214E">
        <w:t>20 to &lt;$30</w:t>
      </w:r>
      <w:r w:rsidR="00D81157" w:rsidRPr="006F307B">
        <w:t xml:space="preserve"> million (in Year 2) to $</w:t>
      </w:r>
      <w:r w:rsidR="00CC214E">
        <w:t>20 to &lt;$30</w:t>
      </w:r>
      <w:r w:rsidR="00D81157" w:rsidRPr="006F307B">
        <w:t xml:space="preserve"> million (in Year 1, which included grandfathered patients).</w:t>
      </w:r>
    </w:p>
    <w:p w:rsidR="00D81157" w:rsidRPr="006F307B" w:rsidRDefault="00BF508D" w:rsidP="008E5D18">
      <w:pPr>
        <w:pStyle w:val="ListParagraph"/>
      </w:pPr>
      <w:r w:rsidRPr="006F307B">
        <w:t xml:space="preserve">The </w:t>
      </w:r>
      <w:r w:rsidR="00E96B61" w:rsidRPr="006F307B">
        <w:t>evaluation</w:t>
      </w:r>
      <w:r w:rsidRPr="006F307B">
        <w:t xml:space="preserve"> considered t</w:t>
      </w:r>
      <w:r w:rsidR="00D81157" w:rsidRPr="006F307B">
        <w:t>he estimated cost of pembrolizumab listing was uncertain as there were several areas of uncertainty which may lead to both underestim</w:t>
      </w:r>
      <w:r w:rsidR="00967868">
        <w:t>ates and overestimates:</w:t>
      </w:r>
    </w:p>
    <w:p w:rsidR="00D81157" w:rsidRPr="006F307B" w:rsidRDefault="00D81157" w:rsidP="00CA41B6">
      <w:pPr>
        <w:pStyle w:val="ListParagraph"/>
        <w:numPr>
          <w:ilvl w:val="4"/>
          <w:numId w:val="32"/>
        </w:numPr>
        <w:ind w:left="1134" w:hanging="425"/>
      </w:pPr>
      <w:r w:rsidRPr="006F307B">
        <w:t>The main cost offset was the cost of 2L nivolumab, which was based on an assumption that 66.7% of patients in SoC would use 2L nivolumab. Should the usage of nivolumab be lower than assumed</w:t>
      </w:r>
      <w:r w:rsidR="00656AE8" w:rsidRPr="006F307B">
        <w:t>,</w:t>
      </w:r>
      <w:r w:rsidRPr="006F307B">
        <w:t xml:space="preserve"> the cost offsets will be overestimated. </w:t>
      </w:r>
      <w:r w:rsidRPr="006F307B">
        <w:rPr>
          <w:color w:val="auto"/>
        </w:rPr>
        <w:t xml:space="preserve">Analysis of PBS script data between January 2019 and December 2019, provided by the DUSC Secretariat, indicates 379 patients initiated treatment with nivolumab for </w:t>
      </w:r>
      <w:r w:rsidRPr="006F307B">
        <w:t>SCC of oral cavity, pharynx or larynx</w:t>
      </w:r>
      <w:r w:rsidRPr="006F307B">
        <w:rPr>
          <w:color w:val="auto"/>
        </w:rPr>
        <w:t xml:space="preserve">. </w:t>
      </w:r>
      <w:r w:rsidRPr="006F307B">
        <w:t>The submission’s estimate that there will be 484 fewer patients using nivolumab (726 × 66.7%) may therefore be implausible; however, this may also indicate that the number of patients eligible for pembrolizumab may be overestimated (</w:t>
      </w:r>
      <w:r w:rsidR="007736C2" w:rsidRPr="006F307B">
        <w:t>379</w:t>
      </w:r>
      <w:r w:rsidRPr="006F307B">
        <w:t xml:space="preserve"> patients treated with 2L nivolumab ÷ 66.7% = </w:t>
      </w:r>
      <w:r w:rsidR="007736C2" w:rsidRPr="006F307B">
        <w:t>569</w:t>
      </w:r>
      <w:r w:rsidRPr="006F307B">
        <w:t xml:space="preserve"> patients treated with 1L chemotherapy compared to 846 estimated eligible for pembrolizumab in Year 1)</w:t>
      </w:r>
      <w:r w:rsidR="00E96B61" w:rsidRPr="006F307B">
        <w:t>.</w:t>
      </w:r>
      <w:r w:rsidR="00F857E5" w:rsidRPr="006F307B">
        <w:t xml:space="preserve"> The PBAC considered that the number of 1L patients/year may be sl</w:t>
      </w:r>
      <w:r w:rsidR="00B25C17">
        <w:t xml:space="preserve">ightly lower than 569 as </w:t>
      </w:r>
      <w:r w:rsidR="00F857E5" w:rsidRPr="006F307B">
        <w:t xml:space="preserve">some of the 2L nivolumab patients will be those who have relapsed early </w:t>
      </w:r>
      <w:r w:rsidR="009533A7" w:rsidRPr="006F307B">
        <w:t xml:space="preserve">following treatment with </w:t>
      </w:r>
      <w:r w:rsidR="00F857E5" w:rsidRPr="006F307B">
        <w:t>curative intent</w:t>
      </w:r>
      <w:r w:rsidR="009533A7" w:rsidRPr="006F307B">
        <w:t xml:space="preserve">. </w:t>
      </w:r>
      <w:r w:rsidR="00487556" w:rsidRPr="006F307B">
        <w:t>The PBAC agreed with t</w:t>
      </w:r>
      <w:r w:rsidR="00E96B61" w:rsidRPr="006F307B">
        <w:t>he ESC</w:t>
      </w:r>
      <w:r w:rsidR="000D7C8A" w:rsidRPr="006F307B">
        <w:t>s</w:t>
      </w:r>
      <w:r w:rsidR="00487556" w:rsidRPr="006F307B">
        <w:t xml:space="preserve"> and</w:t>
      </w:r>
      <w:r w:rsidR="00E96B61" w:rsidRPr="006F307B">
        <w:t xml:space="preserve"> considered the real proportion </w:t>
      </w:r>
      <w:r w:rsidR="00F11F72" w:rsidRPr="006F307B">
        <w:t xml:space="preserve">of 2L nivolumab use </w:t>
      </w:r>
      <w:r w:rsidR="00E96B61" w:rsidRPr="006F307B">
        <w:t>remained unknown</w:t>
      </w:r>
      <w:r w:rsidR="00A817E7" w:rsidRPr="006F307B">
        <w:t xml:space="preserve"> as this estimate relied on the estimated pembrolizumab population and </w:t>
      </w:r>
      <w:r w:rsidR="00A817E7" w:rsidRPr="006F307B">
        <w:rPr>
          <w:rFonts w:cstheme="minorHAnsi"/>
          <w:szCs w:val="24"/>
        </w:rPr>
        <w:t xml:space="preserve">a more reliable source for estimating the proportion of 2L nivolumab </w:t>
      </w:r>
      <w:r w:rsidR="009533A7" w:rsidRPr="006F307B">
        <w:rPr>
          <w:rFonts w:cstheme="minorHAnsi"/>
          <w:szCs w:val="24"/>
        </w:rPr>
        <w:t xml:space="preserve">use </w:t>
      </w:r>
      <w:r w:rsidR="00A817E7" w:rsidRPr="006F307B">
        <w:rPr>
          <w:rFonts w:cstheme="minorHAnsi"/>
          <w:szCs w:val="24"/>
        </w:rPr>
        <w:t>may be required</w:t>
      </w:r>
      <w:r w:rsidR="00E96B61" w:rsidRPr="006F307B">
        <w:t>.</w:t>
      </w:r>
    </w:p>
    <w:p w:rsidR="00D81157" w:rsidRPr="006F307B" w:rsidRDefault="00656AE8" w:rsidP="00CA41B6">
      <w:pPr>
        <w:pStyle w:val="ListParagraph"/>
        <w:numPr>
          <w:ilvl w:val="4"/>
          <w:numId w:val="32"/>
        </w:numPr>
        <w:ind w:left="1134" w:hanging="425"/>
      </w:pPr>
      <w:r w:rsidRPr="006F307B">
        <w:t xml:space="preserve">The </w:t>
      </w:r>
      <w:r w:rsidR="00D81157" w:rsidRPr="006F307B">
        <w:t xml:space="preserve">TGA evaluator (TGA CER p38-39) noted that the proportion of patients with CPS &lt;1 was likely to be </w:t>
      </w:r>
      <w:r w:rsidR="00555851">
        <w:t>lower</w:t>
      </w:r>
      <w:r w:rsidR="00555851" w:rsidRPr="006F307B">
        <w:t xml:space="preserve"> </w:t>
      </w:r>
      <w:r w:rsidR="00D81157" w:rsidRPr="006F307B">
        <w:t>in the Australian population than in the KN048 population, therefore this may have led to an overestimate of the number of patients eligible for 1L pembrolizumab</w:t>
      </w:r>
      <w:r w:rsidR="000615C2" w:rsidRPr="006F307B">
        <w:t>.</w:t>
      </w:r>
      <w:r w:rsidR="006D6944" w:rsidRPr="006F307B">
        <w:t xml:space="preserve"> </w:t>
      </w:r>
      <w:r w:rsidR="0007450E" w:rsidRPr="006F307B">
        <w:t>T</w:t>
      </w:r>
      <w:r w:rsidR="006D6944" w:rsidRPr="006F307B">
        <w:t>he</w:t>
      </w:r>
      <w:r w:rsidR="000615C2" w:rsidRPr="006F307B">
        <w:t xml:space="preserve"> PSCR</w:t>
      </w:r>
      <w:r w:rsidR="0007450E" w:rsidRPr="006F307B">
        <w:t xml:space="preserve"> </w:t>
      </w:r>
      <w:r w:rsidR="000615C2" w:rsidRPr="006F307B">
        <w:t>noted the Vainer et al 2019 publication and argued that the true prevalence of CPS ≥1 in the R/M setting is only marginally lower than that used in the submission (approximately 3-5% lower)</w:t>
      </w:r>
      <w:r w:rsidR="00E7332A" w:rsidRPr="006F307B">
        <w:t xml:space="preserve">. </w:t>
      </w:r>
      <w:r w:rsidR="00783E48" w:rsidRPr="006F307B">
        <w:t xml:space="preserve">The pre-PBAC response reiterated that the prevalence of PDL-1 CPS </w:t>
      </w:r>
      <w:r w:rsidR="00783E48" w:rsidRPr="006F307B">
        <w:rPr>
          <w:rFonts w:cstheme="minorHAnsi"/>
        </w:rPr>
        <w:t>≥</w:t>
      </w:r>
      <w:r w:rsidR="00783E48" w:rsidRPr="006F307B">
        <w:t xml:space="preserve">1 has been consistent across the sponsor’s trials in the R/M HNSCC setting, ranging from 79% to 85%. It </w:t>
      </w:r>
      <w:r w:rsidR="00170FE3" w:rsidRPr="006F307B">
        <w:t xml:space="preserve">also </w:t>
      </w:r>
      <w:r w:rsidR="00783E48" w:rsidRPr="006F307B">
        <w:t>noted the Vainer et al 2019 publication that observed a prevalence of 80.1% in R/M HNS</w:t>
      </w:r>
      <w:r w:rsidR="0056462B">
        <w:t>CC</w:t>
      </w:r>
      <w:r w:rsidR="00783E48" w:rsidRPr="006F307B">
        <w:t xml:space="preserve"> samples (with approximately 101</w:t>
      </w:r>
      <w:r w:rsidR="009533A7" w:rsidRPr="006F307B">
        <w:t>/126</w:t>
      </w:r>
      <w:r w:rsidR="00783E48" w:rsidRPr="006F307B">
        <w:t xml:space="preserve"> samples </w:t>
      </w:r>
      <w:r w:rsidR="00783E48" w:rsidRPr="006F307B">
        <w:lastRenderedPageBreak/>
        <w:t xml:space="preserve">staining positive for CPS </w:t>
      </w:r>
      <w:r w:rsidR="00783E48" w:rsidRPr="006F307B">
        <w:rPr>
          <w:rFonts w:cstheme="minorHAnsi"/>
        </w:rPr>
        <w:t>≥</w:t>
      </w:r>
      <w:r w:rsidR="00783E48" w:rsidRPr="006F307B">
        <w:t>1). The PBAC considered that the prevalence should be reduced to 80% (from 85.2%).</w:t>
      </w:r>
    </w:p>
    <w:p w:rsidR="00D81157" w:rsidRPr="006F307B" w:rsidRDefault="00D81157" w:rsidP="00CA41B6">
      <w:pPr>
        <w:pStyle w:val="ListParagraph"/>
        <w:numPr>
          <w:ilvl w:val="4"/>
          <w:numId w:val="32"/>
        </w:numPr>
        <w:ind w:left="1134" w:hanging="425"/>
      </w:pPr>
      <w:r w:rsidRPr="006F307B">
        <w:t xml:space="preserve">The number of prevalent patients who may be eligible for treatment was likely underestimated as the submission multiplied the proportion of prevalent patients who may experience </w:t>
      </w:r>
      <w:r w:rsidR="0056462B">
        <w:t>recurrence or metastasis by a 5-</w:t>
      </w:r>
      <w:r w:rsidRPr="006F307B">
        <w:t>year mortality rate (5.3%). However,</w:t>
      </w:r>
      <w:r w:rsidR="008E71F9" w:rsidRPr="006F307B">
        <w:t xml:space="preserve"> the evaluation considered</w:t>
      </w:r>
      <w:r w:rsidR="0056462B">
        <w:t xml:space="preserve"> a 2-</w:t>
      </w:r>
      <w:r w:rsidRPr="006F307B">
        <w:t>year mortality rate would more accurately reflect the proportion of prevalent patients who may experience recurrence or metastasis</w:t>
      </w:r>
      <w:r w:rsidR="009533A7" w:rsidRPr="006F307B">
        <w:t xml:space="preserve">. </w:t>
      </w:r>
      <w:r w:rsidRPr="006F307B">
        <w:t>Additionally, while the submission (p199) argued that the majority of recurrences occur within 2 years of primary diagnosis, though there is evidence that around 20% of recurrence or metastasis occurs after 2 years, therefore it may not be appropriate to restrict the estimation of pathway VI (prevalent patients) to just the first year of listing.</w:t>
      </w:r>
      <w:r w:rsidR="008E71F9" w:rsidRPr="006F307B">
        <w:t xml:space="preserve"> The PSCR </w:t>
      </w:r>
      <w:r w:rsidR="009533A7" w:rsidRPr="006F307B">
        <w:t>accepted t</w:t>
      </w:r>
      <w:r w:rsidR="006A4F33" w:rsidRPr="006F307B">
        <w:t xml:space="preserve">he </w:t>
      </w:r>
      <w:r w:rsidR="008E71F9" w:rsidRPr="006F307B">
        <w:t xml:space="preserve">proposed </w:t>
      </w:r>
      <w:r w:rsidR="00026F98" w:rsidRPr="006F307B">
        <w:t>application</w:t>
      </w:r>
      <w:r w:rsidR="008E71F9" w:rsidRPr="006F307B">
        <w:t xml:space="preserve"> of a 2</w:t>
      </w:r>
      <w:r w:rsidR="0033663D" w:rsidRPr="006F307B">
        <w:t>-</w:t>
      </w:r>
      <w:r w:rsidR="008E71F9" w:rsidRPr="006F307B">
        <w:t>year mortality rate</w:t>
      </w:r>
      <w:r w:rsidR="006A4F33" w:rsidRPr="006F307B">
        <w:t xml:space="preserve"> </w:t>
      </w:r>
      <w:r w:rsidR="00BD0595" w:rsidRPr="006F307B">
        <w:t xml:space="preserve">to reflect the proportion of patients who would be </w:t>
      </w:r>
      <w:r w:rsidR="00026F98" w:rsidRPr="006F307B">
        <w:t>eligible</w:t>
      </w:r>
      <w:r w:rsidR="00BD0595" w:rsidRPr="006F307B">
        <w:t xml:space="preserve"> for treatment</w:t>
      </w:r>
      <w:r w:rsidR="006A4F33" w:rsidRPr="006F307B">
        <w:t>, but</w:t>
      </w:r>
      <w:r w:rsidR="00BD0595" w:rsidRPr="006F307B">
        <w:t xml:space="preserve"> just in the first year of listing.</w:t>
      </w:r>
    </w:p>
    <w:p w:rsidR="006A4F33" w:rsidRPr="006F307B" w:rsidRDefault="008A42A9" w:rsidP="00CA41B6">
      <w:pPr>
        <w:pStyle w:val="ListParagraph"/>
        <w:numPr>
          <w:ilvl w:val="4"/>
          <w:numId w:val="32"/>
        </w:numPr>
        <w:ind w:left="1134" w:hanging="425"/>
      </w:pPr>
      <w:r w:rsidRPr="006F307B">
        <w:t>Overall, the</w:t>
      </w:r>
      <w:r w:rsidR="00170FE3" w:rsidRPr="006F307B">
        <w:t xml:space="preserve"> PBAC agreed with the</w:t>
      </w:r>
      <w:r w:rsidRPr="006F307B">
        <w:t xml:space="preserve"> ESC</w:t>
      </w:r>
      <w:r w:rsidR="000D7C8A" w:rsidRPr="006F307B">
        <w:t>s</w:t>
      </w:r>
      <w:r w:rsidRPr="006F307B">
        <w:t xml:space="preserve"> </w:t>
      </w:r>
      <w:r w:rsidR="00170FE3" w:rsidRPr="006F307B">
        <w:t xml:space="preserve">and </w:t>
      </w:r>
      <w:r w:rsidRPr="006F307B">
        <w:t xml:space="preserve">considered the prevalence estimates </w:t>
      </w:r>
      <w:r w:rsidR="006E5F4B" w:rsidRPr="006F307B">
        <w:t xml:space="preserve">were uncertain and </w:t>
      </w:r>
      <w:r w:rsidR="007E772A">
        <w:t>likely</w:t>
      </w:r>
      <w:r w:rsidR="00967868">
        <w:t xml:space="preserve"> overestimated.</w:t>
      </w:r>
    </w:p>
    <w:p w:rsidR="00460B6A" w:rsidRPr="006F307B" w:rsidRDefault="001C6C91" w:rsidP="001C6C91">
      <w:pPr>
        <w:pStyle w:val="ListParagraph"/>
        <w:rPr>
          <w:color w:val="auto"/>
        </w:rPr>
      </w:pPr>
      <w:r w:rsidRPr="006F307B">
        <w:t xml:space="preserve">The financial estimates were sensitive to changes in the number of doses of </w:t>
      </w:r>
      <w:r w:rsidR="00656AE8" w:rsidRPr="006F307B">
        <w:t>pembrolizumab assumed (a 20% in</w:t>
      </w:r>
      <w:r w:rsidRPr="006F307B">
        <w:t xml:space="preserve">crease in dose led to an increase of 30% in expenditure each year) and to higher uptake (100%) or if all patients were considered eligible irrespective of CPS, both of which increased the financial estimates by up to 17% per </w:t>
      </w:r>
      <w:r w:rsidRPr="006F307B">
        <w:rPr>
          <w:color w:val="auto"/>
        </w:rPr>
        <w:t>annum.</w:t>
      </w:r>
      <w:r w:rsidR="002860F9" w:rsidRPr="006F307B">
        <w:rPr>
          <w:color w:val="auto"/>
        </w:rPr>
        <w:t xml:space="preserve"> The financial estimates were also sensitive to uncertainties around proportion of patients with ECOG 0-1 and CPS≥1. The impact of proportion of patients with CPS</w:t>
      </w:r>
      <w:r w:rsidR="009B20BF" w:rsidRPr="006F307B">
        <w:rPr>
          <w:color w:val="auto"/>
        </w:rPr>
        <w:t xml:space="preserve"> </w:t>
      </w:r>
      <w:r w:rsidR="002860F9" w:rsidRPr="006F307B">
        <w:rPr>
          <w:color w:val="auto"/>
        </w:rPr>
        <w:t>≥1, ECOG 0-1 and uptake rate are identical, as they are all cross multiplied in the financial estimates in each of the seven pathways.</w:t>
      </w:r>
    </w:p>
    <w:p w:rsidR="00FC30F3" w:rsidRPr="006F307B" w:rsidRDefault="00FC30F3" w:rsidP="0033663D">
      <w:pPr>
        <w:pStyle w:val="PBACESHeading2"/>
        <w:spacing w:before="240"/>
        <w:rPr>
          <w:rFonts w:asciiTheme="minorHAnsi" w:hAnsiTheme="minorHAnsi" w:cstheme="minorHAnsi"/>
        </w:rPr>
      </w:pPr>
      <w:bookmarkStart w:id="35" w:name="_Toc413139285"/>
      <w:bookmarkStart w:id="36" w:name="_Toc51080594"/>
      <w:r w:rsidRPr="006F307B">
        <w:rPr>
          <w:rFonts w:asciiTheme="minorHAnsi" w:hAnsiTheme="minorHAnsi" w:cstheme="minorHAnsi"/>
        </w:rPr>
        <w:t>Quality use of medicines</w:t>
      </w:r>
      <w:bookmarkEnd w:id="35"/>
      <w:bookmarkEnd w:id="36"/>
    </w:p>
    <w:p w:rsidR="00FC30F3" w:rsidRPr="006F307B" w:rsidRDefault="001C6C91" w:rsidP="00725CF3">
      <w:pPr>
        <w:pStyle w:val="ListParagraph"/>
        <w:rPr>
          <w:color w:val="auto"/>
        </w:rPr>
      </w:pPr>
      <w:r w:rsidRPr="006F307B">
        <w:t>The sponsor noted that there will be education materials on how to identify and manage adverse events, with educational programs and activities including face to face works</w:t>
      </w:r>
      <w:r w:rsidR="00E07B44" w:rsidRPr="006F307B">
        <w:t>h</w:t>
      </w:r>
      <w:r w:rsidRPr="006F307B">
        <w:t>op sessions at conferences and also a medical information service hotline.</w:t>
      </w:r>
    </w:p>
    <w:p w:rsidR="00C317F3" w:rsidRPr="006F307B" w:rsidRDefault="00070D75" w:rsidP="0033663D">
      <w:pPr>
        <w:pStyle w:val="PBACESHeading2"/>
        <w:spacing w:before="240"/>
        <w:rPr>
          <w:rFonts w:asciiTheme="minorHAnsi" w:hAnsiTheme="minorHAnsi" w:cstheme="minorHAnsi"/>
        </w:rPr>
      </w:pPr>
      <w:bookmarkStart w:id="37" w:name="_Toc51080595"/>
      <w:r w:rsidRPr="006F307B">
        <w:rPr>
          <w:rFonts w:asciiTheme="minorHAnsi" w:hAnsiTheme="minorHAnsi" w:cstheme="minorHAnsi"/>
        </w:rPr>
        <w:t>Financial management – risk sharing a</w:t>
      </w:r>
      <w:r w:rsidR="00C317F3" w:rsidRPr="006F307B">
        <w:rPr>
          <w:rFonts w:asciiTheme="minorHAnsi" w:hAnsiTheme="minorHAnsi" w:cstheme="minorHAnsi"/>
        </w:rPr>
        <w:t>rrangements</w:t>
      </w:r>
      <w:bookmarkEnd w:id="34"/>
      <w:bookmarkEnd w:id="37"/>
    </w:p>
    <w:p w:rsidR="00301B2D" w:rsidRPr="006F307B" w:rsidRDefault="00301B2D" w:rsidP="00301B2D">
      <w:pPr>
        <w:pStyle w:val="ListParagraph"/>
      </w:pPr>
      <w:r w:rsidRPr="006F307B">
        <w:t xml:space="preserve">The sponsor indicated that </w:t>
      </w:r>
      <w:r w:rsidR="0033663D" w:rsidRPr="006F307B">
        <w:t>it was</w:t>
      </w:r>
      <w:r w:rsidRPr="006F307B">
        <w:t xml:space="preserve"> willing to</w:t>
      </w:r>
      <w:r w:rsidR="000D2ACB" w:rsidRPr="006F307B">
        <w:t xml:space="preserve"> enter into a risk sharing arrangement</w:t>
      </w:r>
      <w:r w:rsidRPr="006F307B">
        <w:t xml:space="preserve"> (RSA) with the Commonwealth to manage any risks to the overall costs to the PBS. The sponsor noted that there is curren</w:t>
      </w:r>
      <w:r w:rsidR="00656AE8" w:rsidRPr="006F307B">
        <w:t>t</w:t>
      </w:r>
      <w:r w:rsidRPr="006F307B">
        <w:t xml:space="preserve">ly an RSA in place for 2L nivolumab, and the sponsor </w:t>
      </w:r>
      <w:r w:rsidR="00CA0384" w:rsidRPr="006F307B">
        <w:t>proposed</w:t>
      </w:r>
      <w:r w:rsidRPr="006F307B">
        <w:t xml:space="preserve"> that th</w:t>
      </w:r>
      <w:r w:rsidR="0033663D" w:rsidRPr="006F307B">
        <w:t>is indication</w:t>
      </w:r>
      <w:r w:rsidRPr="006F307B">
        <w:t xml:space="preserve"> join the existing RSA whereby the current subsidisation caps are increased to reflect the additional number of patients receiving pembrolizumab and the increased cost of treatment with pembrolizumab net of the nivolumab</w:t>
      </w:r>
      <w:r w:rsidR="00656AE8" w:rsidRPr="006F307B">
        <w:t xml:space="preserve"> offset, with the expanded subsi</w:t>
      </w:r>
      <w:r w:rsidRPr="006F307B">
        <w:t>disation cap shared between nivolumab and pembrolizumab in t</w:t>
      </w:r>
      <w:r w:rsidR="00967868">
        <w:t>heir relevant lines of therapy.</w:t>
      </w:r>
    </w:p>
    <w:p w:rsidR="001D5317" w:rsidRPr="006F307B" w:rsidRDefault="0007450E" w:rsidP="00364B9D">
      <w:pPr>
        <w:pStyle w:val="ListParagraph"/>
        <w:jc w:val="left"/>
        <w:rPr>
          <w:iCs/>
        </w:rPr>
      </w:pPr>
      <w:r w:rsidRPr="006F307B">
        <w:rPr>
          <w:iCs/>
        </w:rPr>
        <w:lastRenderedPageBreak/>
        <w:t>The ESC</w:t>
      </w:r>
      <w:r w:rsidR="00195670" w:rsidRPr="006F307B">
        <w:rPr>
          <w:iCs/>
        </w:rPr>
        <w:t>s</w:t>
      </w:r>
      <w:r w:rsidRPr="006F307B">
        <w:rPr>
          <w:iCs/>
        </w:rPr>
        <w:t xml:space="preserve"> considered i</w:t>
      </w:r>
      <w:r w:rsidR="000064D7" w:rsidRPr="006F307B">
        <w:rPr>
          <w:iCs/>
        </w:rPr>
        <w:t xml:space="preserve">t may be appropriate to apply a similar approach to revision of caps as was applied in expanding caps to include 1L pembrolizumab in addition to 2L nivolumab in the NSCLC indication. </w:t>
      </w:r>
      <w:r w:rsidR="000F76D3" w:rsidRPr="006F307B">
        <w:rPr>
          <w:iCs/>
        </w:rPr>
        <w:t>The ESC</w:t>
      </w:r>
      <w:r w:rsidR="000D7C8A" w:rsidRPr="006F307B">
        <w:rPr>
          <w:iCs/>
        </w:rPr>
        <w:t xml:space="preserve">s </w:t>
      </w:r>
      <w:r w:rsidR="000F76D3" w:rsidRPr="006F307B">
        <w:rPr>
          <w:iCs/>
        </w:rPr>
        <w:t xml:space="preserve">noted that the relative proportion of 1L pembrolizumab and 2L </w:t>
      </w:r>
      <w:r w:rsidR="007062C3">
        <w:rPr>
          <w:iCs/>
        </w:rPr>
        <w:t>nivolumab</w:t>
      </w:r>
      <w:r w:rsidR="007062C3" w:rsidRPr="006F307B">
        <w:rPr>
          <w:iCs/>
        </w:rPr>
        <w:t xml:space="preserve"> </w:t>
      </w:r>
      <w:r w:rsidR="000F76D3" w:rsidRPr="006F307B">
        <w:rPr>
          <w:iCs/>
        </w:rPr>
        <w:t>would be an important factor in establishing the appropriate changes to caps.</w:t>
      </w:r>
    </w:p>
    <w:p w:rsidR="005A19AA" w:rsidRDefault="00364B9D" w:rsidP="005A19AA">
      <w:pPr>
        <w:spacing w:before="0" w:line="259" w:lineRule="auto"/>
        <w:ind w:firstLine="720"/>
        <w:rPr>
          <w:i/>
        </w:rPr>
      </w:pPr>
      <w:r w:rsidRPr="006F307B">
        <w:rPr>
          <w:i/>
        </w:rPr>
        <w:t>For more detail on PBAC’s view, see section 7 PBAC outcome</w:t>
      </w:r>
    </w:p>
    <w:p w:rsidR="007A4C5A" w:rsidRPr="006F307B" w:rsidRDefault="007A4C5A" w:rsidP="005A19AA">
      <w:pPr>
        <w:pStyle w:val="PBACESHeading1"/>
      </w:pPr>
      <w:r w:rsidRPr="006F307B">
        <w:t>PBAC Outcome</w:t>
      </w:r>
    </w:p>
    <w:p w:rsidR="001D7F8A" w:rsidRPr="006F307B" w:rsidRDefault="001D7F8A" w:rsidP="001D7F8A">
      <w:pPr>
        <w:pStyle w:val="ListParagraph"/>
        <w:rPr>
          <w:color w:val="auto"/>
        </w:rPr>
      </w:pPr>
      <w:r w:rsidRPr="006F307B">
        <w:rPr>
          <w:color w:val="auto"/>
        </w:rPr>
        <w:t xml:space="preserve">The PBAC </w:t>
      </w:r>
      <w:r w:rsidR="00967868">
        <w:rPr>
          <w:color w:val="auto"/>
        </w:rPr>
        <w:t>decided</w:t>
      </w:r>
      <w:r w:rsidRPr="006F307B">
        <w:rPr>
          <w:color w:val="auto"/>
        </w:rPr>
        <w:t xml:space="preserve"> not </w:t>
      </w:r>
      <w:r w:rsidR="00967868">
        <w:rPr>
          <w:color w:val="auto"/>
        </w:rPr>
        <w:t xml:space="preserve">to </w:t>
      </w:r>
      <w:r w:rsidRPr="006F307B">
        <w:rPr>
          <w:color w:val="auto"/>
        </w:rPr>
        <w:t xml:space="preserve">recommend the listing of pembrolizumab for first-line treatment of recurrent or metastatic </w:t>
      </w:r>
      <w:r w:rsidR="00D5590F" w:rsidRPr="006F307B">
        <w:rPr>
          <w:color w:val="auto"/>
        </w:rPr>
        <w:t xml:space="preserve">(R/M) </w:t>
      </w:r>
      <w:r w:rsidRPr="006F307B">
        <w:rPr>
          <w:color w:val="auto"/>
        </w:rPr>
        <w:t>head and neck</w:t>
      </w:r>
      <w:r w:rsidR="00AB275F" w:rsidRPr="006F307B">
        <w:rPr>
          <w:color w:val="auto"/>
        </w:rPr>
        <w:t xml:space="preserve"> squamous cell carcinoma</w:t>
      </w:r>
      <w:r w:rsidRPr="006F307B">
        <w:rPr>
          <w:color w:val="auto"/>
        </w:rPr>
        <w:t xml:space="preserve"> (</w:t>
      </w:r>
      <w:r w:rsidR="00AB275F" w:rsidRPr="006F307B">
        <w:rPr>
          <w:color w:val="auto"/>
        </w:rPr>
        <w:t>H</w:t>
      </w:r>
      <w:r w:rsidRPr="006F307B">
        <w:rPr>
          <w:color w:val="auto"/>
        </w:rPr>
        <w:t>N</w:t>
      </w:r>
      <w:r w:rsidR="00AB275F" w:rsidRPr="006F307B">
        <w:rPr>
          <w:color w:val="auto"/>
        </w:rPr>
        <w:t>SCC</w:t>
      </w:r>
      <w:r w:rsidRPr="006F307B">
        <w:rPr>
          <w:color w:val="auto"/>
        </w:rPr>
        <w:t xml:space="preserve">) in patients with PD-L1 CPS </w:t>
      </w:r>
      <w:r w:rsidRPr="006F307B">
        <w:rPr>
          <w:rFonts w:cstheme="minorHAnsi"/>
          <w:color w:val="auto"/>
        </w:rPr>
        <w:t>≥</w:t>
      </w:r>
      <w:r w:rsidRPr="006F307B">
        <w:rPr>
          <w:color w:val="auto"/>
        </w:rPr>
        <w:t xml:space="preserve">1. The PBAC considered that pembrolizumab </w:t>
      </w:r>
      <w:r w:rsidR="00A279D0" w:rsidRPr="006F307B">
        <w:rPr>
          <w:color w:val="auto"/>
        </w:rPr>
        <w:t xml:space="preserve">+ </w:t>
      </w:r>
      <w:r w:rsidRPr="006F307B">
        <w:rPr>
          <w:color w:val="auto"/>
        </w:rPr>
        <w:t>chemotherapy</w:t>
      </w:r>
      <w:r w:rsidR="00BE5B2C" w:rsidRPr="006F307B">
        <w:rPr>
          <w:color w:val="auto"/>
        </w:rPr>
        <w:t xml:space="preserve"> (but not pembrolizumab monotherapy)</w:t>
      </w:r>
      <w:r w:rsidRPr="006F307B">
        <w:rPr>
          <w:color w:val="auto"/>
        </w:rPr>
        <w:t xml:space="preserve"> was clinically superior to first-line chemotherapy alone</w:t>
      </w:r>
      <w:r w:rsidR="0050690A" w:rsidRPr="006F307B">
        <w:rPr>
          <w:color w:val="auto"/>
        </w:rPr>
        <w:t xml:space="preserve"> in terms of overall survival</w:t>
      </w:r>
      <w:r w:rsidR="0083505E">
        <w:rPr>
          <w:color w:val="auto"/>
        </w:rPr>
        <w:t>. However</w:t>
      </w:r>
      <w:r w:rsidR="00BE5B2C" w:rsidRPr="006F307B">
        <w:rPr>
          <w:color w:val="auto"/>
        </w:rPr>
        <w:t xml:space="preserve">, </w:t>
      </w:r>
      <w:r w:rsidRPr="006F307B">
        <w:rPr>
          <w:color w:val="auto"/>
        </w:rPr>
        <w:t>the magnitude of clinical benefit over current standard of care, which includes second-line nivolumab, was uncertain</w:t>
      </w:r>
      <w:r w:rsidR="0083505E">
        <w:rPr>
          <w:color w:val="auto"/>
        </w:rPr>
        <w:t xml:space="preserve"> and the evidence supporting a PD-L1-based eligibility criterion was not convincing</w:t>
      </w:r>
      <w:r w:rsidRPr="006F307B">
        <w:rPr>
          <w:color w:val="auto"/>
        </w:rPr>
        <w:t>.</w:t>
      </w:r>
      <w:r w:rsidR="00866E75">
        <w:rPr>
          <w:color w:val="auto"/>
        </w:rPr>
        <w:t xml:space="preserve"> </w:t>
      </w:r>
      <w:r w:rsidR="00866E75" w:rsidRPr="006F307B">
        <w:t xml:space="preserve">The PBAC considered that </w:t>
      </w:r>
      <w:r w:rsidR="00866E75">
        <w:t xml:space="preserve">there were a number of modelling assumptions which resulted in </w:t>
      </w:r>
      <w:r w:rsidR="00866E75" w:rsidRPr="003F32FE">
        <w:t xml:space="preserve">the incremental cost-effectiveness ratio </w:t>
      </w:r>
      <w:r w:rsidR="00866E75">
        <w:t>being uncertain and substantially underestimated</w:t>
      </w:r>
      <w:r w:rsidR="00866E75" w:rsidRPr="003F32FE">
        <w:t>.</w:t>
      </w:r>
      <w:r w:rsidRPr="006F307B">
        <w:rPr>
          <w:color w:val="auto"/>
        </w:rPr>
        <w:t xml:space="preserve"> </w:t>
      </w:r>
    </w:p>
    <w:p w:rsidR="00BE5B2C" w:rsidRPr="006F307B" w:rsidRDefault="00BE5B2C" w:rsidP="001D7F8A">
      <w:pPr>
        <w:pStyle w:val="ListParagraph"/>
        <w:rPr>
          <w:color w:val="auto"/>
        </w:rPr>
      </w:pPr>
      <w:r w:rsidRPr="006F307B">
        <w:rPr>
          <w:color w:val="auto"/>
        </w:rPr>
        <w:t>The PBAC noted</w:t>
      </w:r>
      <w:r w:rsidR="006C1F21" w:rsidRPr="006F307B">
        <w:rPr>
          <w:color w:val="auto"/>
        </w:rPr>
        <w:t xml:space="preserve"> that consumers and patient support organisations (Beyond Five and Rare Cancers Australia) were </w:t>
      </w:r>
      <w:r w:rsidR="002A1513" w:rsidRPr="006F307B">
        <w:rPr>
          <w:color w:val="auto"/>
        </w:rPr>
        <w:t xml:space="preserve">in support of the requested listing for pembrolizumab, describing </w:t>
      </w:r>
      <w:r w:rsidR="000E2BAE" w:rsidRPr="006F307B">
        <w:rPr>
          <w:color w:val="auto"/>
        </w:rPr>
        <w:t>the need for a</w:t>
      </w:r>
      <w:r w:rsidR="00A279D0" w:rsidRPr="006F307B">
        <w:rPr>
          <w:color w:val="auto"/>
        </w:rPr>
        <w:t xml:space="preserve"> first</w:t>
      </w:r>
      <w:r w:rsidR="004175B2">
        <w:rPr>
          <w:color w:val="auto"/>
        </w:rPr>
        <w:t>-</w:t>
      </w:r>
      <w:r w:rsidR="00A279D0" w:rsidRPr="006F307B">
        <w:rPr>
          <w:color w:val="auto"/>
        </w:rPr>
        <w:t>line</w:t>
      </w:r>
      <w:r w:rsidR="000E2BAE" w:rsidRPr="006F307B">
        <w:rPr>
          <w:color w:val="auto"/>
        </w:rPr>
        <w:t xml:space="preserve"> </w:t>
      </w:r>
      <w:r w:rsidR="00C54994" w:rsidRPr="006F307B">
        <w:rPr>
          <w:color w:val="auto"/>
        </w:rPr>
        <w:t>immunotherapy</w:t>
      </w:r>
      <w:r w:rsidR="000E2BAE" w:rsidRPr="006F307B">
        <w:rPr>
          <w:color w:val="auto"/>
        </w:rPr>
        <w:t xml:space="preserve"> treatment option for this difficult to treat cancer.</w:t>
      </w:r>
      <w:r w:rsidRPr="006F307B">
        <w:rPr>
          <w:color w:val="auto"/>
        </w:rPr>
        <w:t xml:space="preserve"> </w:t>
      </w:r>
      <w:r w:rsidR="0050690A" w:rsidRPr="006F307B">
        <w:rPr>
          <w:color w:val="auto"/>
        </w:rPr>
        <w:t xml:space="preserve">The PBAC noted the strong support of the Medical Oncology Group of Australia (MOGA) for the submission, </w:t>
      </w:r>
      <w:r w:rsidR="00621570">
        <w:rPr>
          <w:color w:val="auto"/>
        </w:rPr>
        <w:t>and</w:t>
      </w:r>
      <w:r w:rsidR="00621570" w:rsidRPr="006F307B">
        <w:rPr>
          <w:color w:val="auto"/>
        </w:rPr>
        <w:t xml:space="preserve"> </w:t>
      </w:r>
      <w:r w:rsidR="0050690A" w:rsidRPr="006F307B">
        <w:rPr>
          <w:color w:val="auto"/>
        </w:rPr>
        <w:t xml:space="preserve">that the ESMO-MCBS score was higher for CPS </w:t>
      </w:r>
      <w:r w:rsidR="0050690A" w:rsidRPr="006F307B">
        <w:rPr>
          <w:rFonts w:cstheme="minorHAnsi"/>
          <w:color w:val="auto"/>
        </w:rPr>
        <w:t>≥</w:t>
      </w:r>
      <w:r w:rsidR="0050690A" w:rsidRPr="006F307B">
        <w:rPr>
          <w:color w:val="auto"/>
        </w:rPr>
        <w:t xml:space="preserve">20 (5) compared to </w:t>
      </w:r>
      <w:r w:rsidR="00A279D0" w:rsidRPr="006F307B">
        <w:rPr>
          <w:color w:val="auto"/>
        </w:rPr>
        <w:t xml:space="preserve">the </w:t>
      </w:r>
      <w:r w:rsidR="0050690A" w:rsidRPr="006F307B">
        <w:rPr>
          <w:color w:val="auto"/>
        </w:rPr>
        <w:t xml:space="preserve">CPS </w:t>
      </w:r>
      <w:r w:rsidR="0050690A" w:rsidRPr="006F307B">
        <w:rPr>
          <w:rFonts w:cstheme="minorHAnsi"/>
          <w:color w:val="auto"/>
        </w:rPr>
        <w:t>≥</w:t>
      </w:r>
      <w:r w:rsidR="0050690A" w:rsidRPr="006F307B">
        <w:rPr>
          <w:color w:val="auto"/>
        </w:rPr>
        <w:t>1 group (4) for pembrolizumab monotherapy.</w:t>
      </w:r>
    </w:p>
    <w:p w:rsidR="006A7F32" w:rsidRPr="006F307B" w:rsidRDefault="006A7F32" w:rsidP="007A4C5A">
      <w:pPr>
        <w:pStyle w:val="ListParagraph"/>
        <w:rPr>
          <w:color w:val="auto"/>
        </w:rPr>
      </w:pPr>
      <w:r w:rsidRPr="006F307B">
        <w:rPr>
          <w:color w:val="auto"/>
        </w:rPr>
        <w:t xml:space="preserve">The PBAC </w:t>
      </w:r>
      <w:r w:rsidR="008E4219" w:rsidRPr="006F307B">
        <w:rPr>
          <w:color w:val="auto"/>
        </w:rPr>
        <w:t>accepted that SoC</w:t>
      </w:r>
      <w:r w:rsidRPr="006F307B">
        <w:rPr>
          <w:color w:val="auto"/>
        </w:rPr>
        <w:t xml:space="preserve"> was the appropriate comparator</w:t>
      </w:r>
      <w:r w:rsidR="00DF26AA" w:rsidRPr="006F307B">
        <w:rPr>
          <w:color w:val="auto"/>
        </w:rPr>
        <w:t xml:space="preserve">, but </w:t>
      </w:r>
      <w:r w:rsidR="008E4219" w:rsidRPr="006F307B">
        <w:rPr>
          <w:color w:val="auto"/>
        </w:rPr>
        <w:t xml:space="preserve">noted </w:t>
      </w:r>
      <w:r w:rsidR="00DF26AA" w:rsidRPr="006F307B">
        <w:rPr>
          <w:color w:val="auto"/>
        </w:rPr>
        <w:t xml:space="preserve">that current SoC </w:t>
      </w:r>
      <w:r w:rsidR="00621570">
        <w:rPr>
          <w:color w:val="auto"/>
        </w:rPr>
        <w:t>consists of</w:t>
      </w:r>
      <w:r w:rsidR="00621570" w:rsidRPr="006F307B">
        <w:rPr>
          <w:color w:val="auto"/>
        </w:rPr>
        <w:t xml:space="preserve"> </w:t>
      </w:r>
      <w:r w:rsidR="00621570">
        <w:rPr>
          <w:color w:val="auto"/>
        </w:rPr>
        <w:t xml:space="preserve">1L chemotherapy alone followed by </w:t>
      </w:r>
      <w:r w:rsidR="00DF26AA" w:rsidRPr="006F307B">
        <w:rPr>
          <w:color w:val="auto"/>
        </w:rPr>
        <w:t>2L nivolumab</w:t>
      </w:r>
      <w:r w:rsidR="00A279D0" w:rsidRPr="006F307B">
        <w:rPr>
          <w:color w:val="auto"/>
        </w:rPr>
        <w:t xml:space="preserve"> for a proportion of patients</w:t>
      </w:r>
      <w:r w:rsidR="00DF26AA" w:rsidRPr="006F307B">
        <w:rPr>
          <w:color w:val="auto"/>
        </w:rPr>
        <w:t xml:space="preserve">. </w:t>
      </w:r>
      <w:r w:rsidR="00866E75">
        <w:t xml:space="preserve">The PBAC noted there was no clinical evidence presented in the submission to assess the impact of 2L nivolumab on the incremental efficacy, and considered this was inappropriate. </w:t>
      </w:r>
    </w:p>
    <w:p w:rsidR="00381D8C" w:rsidRPr="006F307B" w:rsidRDefault="00381D8C" w:rsidP="007A4C5A">
      <w:pPr>
        <w:pStyle w:val="ListParagraph"/>
        <w:rPr>
          <w:color w:val="auto"/>
        </w:rPr>
      </w:pPr>
      <w:r w:rsidRPr="006F307B">
        <w:rPr>
          <w:color w:val="auto"/>
        </w:rPr>
        <w:t xml:space="preserve">The PBAC noted that the comparison provided in the submission was of 1L pembrolizumab </w:t>
      </w:r>
      <w:r w:rsidRPr="006F307B">
        <w:rPr>
          <w:rFonts w:cstheme="minorHAnsi"/>
          <w:color w:val="auto"/>
        </w:rPr>
        <w:t>±</w:t>
      </w:r>
      <w:r w:rsidRPr="006F307B">
        <w:rPr>
          <w:color w:val="auto"/>
        </w:rPr>
        <w:t xml:space="preserve"> platinum based chemotherapy versus platinum based chemotherapy alone (informed by an indirect comparison of KN048 and the EXTREME trial (a comparison of cetuximab plus platinum based chemotherapy versus platinum based chemotherapy alone), using cetuximab plus platinum based chemotherapy as the common reference. The PBAC </w:t>
      </w:r>
      <w:r w:rsidR="00A279D0" w:rsidRPr="006F307B">
        <w:rPr>
          <w:color w:val="auto"/>
        </w:rPr>
        <w:t>noted the sources of potential bias in the</w:t>
      </w:r>
      <w:r w:rsidRPr="006F307B">
        <w:rPr>
          <w:color w:val="auto"/>
        </w:rPr>
        <w:t xml:space="preserve"> indirect comparison</w:t>
      </w:r>
      <w:r w:rsidR="0028608B" w:rsidRPr="006F307B">
        <w:rPr>
          <w:color w:val="auto"/>
        </w:rPr>
        <w:t xml:space="preserve"> </w:t>
      </w:r>
      <w:r w:rsidR="00A279D0" w:rsidRPr="006F307B">
        <w:rPr>
          <w:color w:val="auto"/>
        </w:rPr>
        <w:t xml:space="preserve">(as described in paragraph 6.11) </w:t>
      </w:r>
      <w:r w:rsidR="0028608B" w:rsidRPr="006F307B">
        <w:rPr>
          <w:color w:val="auto"/>
        </w:rPr>
        <w:t>and</w:t>
      </w:r>
      <w:r w:rsidR="0021065B" w:rsidRPr="006F307B">
        <w:rPr>
          <w:color w:val="auto"/>
        </w:rPr>
        <w:t xml:space="preserve"> agreed with the ESCs that it </w:t>
      </w:r>
      <w:r w:rsidRPr="006F307B">
        <w:rPr>
          <w:color w:val="auto"/>
        </w:rPr>
        <w:t>may be biased in favour of pembrolizumab</w:t>
      </w:r>
      <w:r w:rsidR="0021065B" w:rsidRPr="006F307B">
        <w:rPr>
          <w:color w:val="auto"/>
        </w:rPr>
        <w:t>.</w:t>
      </w:r>
      <w:r w:rsidRPr="006F307B">
        <w:rPr>
          <w:color w:val="auto"/>
        </w:rPr>
        <w:t xml:space="preserve"> </w:t>
      </w:r>
      <w:r w:rsidR="00F209A3" w:rsidRPr="006F307B">
        <w:rPr>
          <w:color w:val="auto"/>
        </w:rPr>
        <w:t xml:space="preserve">The PBAC also considered </w:t>
      </w:r>
      <w:r w:rsidR="0021065B" w:rsidRPr="006F307B">
        <w:rPr>
          <w:color w:val="auto"/>
        </w:rPr>
        <w:t>there was uncertainty evaluating the clinical efficacy due to</w:t>
      </w:r>
      <w:r w:rsidR="00732B18" w:rsidRPr="006F307B">
        <w:rPr>
          <w:color w:val="auto"/>
        </w:rPr>
        <w:t xml:space="preserve"> </w:t>
      </w:r>
      <w:r w:rsidR="00F209A3" w:rsidRPr="006F307B">
        <w:rPr>
          <w:color w:val="auto"/>
        </w:rPr>
        <w:t xml:space="preserve">KN048 </w:t>
      </w:r>
      <w:r w:rsidR="0021065B" w:rsidRPr="006F307B">
        <w:rPr>
          <w:color w:val="auto"/>
        </w:rPr>
        <w:t>having a</w:t>
      </w:r>
      <w:r w:rsidR="00F209A3" w:rsidRPr="006F307B">
        <w:rPr>
          <w:color w:val="auto"/>
        </w:rPr>
        <w:t xml:space="preserve"> complicated trial des</w:t>
      </w:r>
      <w:r w:rsidR="004175B2">
        <w:rPr>
          <w:color w:val="auto"/>
        </w:rPr>
        <w:t>ign with 14 primary hypotheses.</w:t>
      </w:r>
    </w:p>
    <w:p w:rsidR="00EA573E" w:rsidRPr="006F307B" w:rsidRDefault="00880010" w:rsidP="008E5D18">
      <w:pPr>
        <w:pStyle w:val="ListParagraph"/>
      </w:pPr>
      <w:r>
        <w:rPr>
          <w:u w:val="single"/>
        </w:rPr>
        <w:lastRenderedPageBreak/>
        <w:t>Pembrolizumab monotherapy:</w:t>
      </w:r>
      <w:r>
        <w:t xml:space="preserve"> </w:t>
      </w:r>
      <w:r w:rsidR="00EA573E" w:rsidRPr="006F307B">
        <w:t xml:space="preserve">Based on the indirect comparison </w:t>
      </w:r>
      <w:r>
        <w:t xml:space="preserve">of </w:t>
      </w:r>
      <w:r w:rsidR="00EA573E" w:rsidRPr="006F307B">
        <w:t>the CPS ≥1 subgroup</w:t>
      </w:r>
      <w:r>
        <w:t xml:space="preserve"> for KN048 and the ITT population for EXTREME</w:t>
      </w:r>
      <w:r w:rsidR="00EA573E" w:rsidRPr="006F307B">
        <w:t xml:space="preserve">, the submission claimed that patients treated with pembrolizumab monotherapy had </w:t>
      </w:r>
      <w:r w:rsidR="007B446B">
        <w:t xml:space="preserve">approximately </w:t>
      </w:r>
      <w:r w:rsidR="00EA573E" w:rsidRPr="006F307B">
        <w:t>a 40% reduction in risk of death (OS HR=0.61; 95% CI: 0.46, 0.80) compared to patients treated with chemotherapy</w:t>
      </w:r>
      <w:r w:rsidR="007B446B">
        <w:t xml:space="preserve">. The submission further claimed </w:t>
      </w:r>
      <w:r w:rsidR="00EA573E" w:rsidRPr="006F307B">
        <w:t xml:space="preserve">that there was no benefit for pembrolizumab monotherapy compared to chemotherapy in the CPS &lt;1 subgroup. </w:t>
      </w:r>
      <w:r w:rsidR="00EA573E" w:rsidRPr="006F307B">
        <w:rPr>
          <w:color w:val="auto"/>
        </w:rPr>
        <w:t xml:space="preserve">The PBAC did not accept the clinical claim that pembrolizumab monotherapy demonstrated superior clinical effectiveness compared to 1L chemotherapy alone for patients with CPS </w:t>
      </w:r>
      <w:r w:rsidR="00EA573E" w:rsidRPr="006F307B">
        <w:rPr>
          <w:rFonts w:cstheme="minorHAnsi"/>
          <w:color w:val="auto"/>
        </w:rPr>
        <w:t>≥</w:t>
      </w:r>
      <w:r w:rsidR="00EA573E" w:rsidRPr="006F307B">
        <w:rPr>
          <w:color w:val="auto"/>
        </w:rPr>
        <w:t xml:space="preserve">1. As discussed in paragraph </w:t>
      </w:r>
      <w:r w:rsidR="00EA573E" w:rsidRPr="007278E9">
        <w:rPr>
          <w:color w:val="auto"/>
        </w:rPr>
        <w:t>6.1</w:t>
      </w:r>
      <w:r w:rsidR="00866E75" w:rsidRPr="007278E9">
        <w:rPr>
          <w:color w:val="auto"/>
        </w:rPr>
        <w:t>5</w:t>
      </w:r>
      <w:r w:rsidR="00EA573E" w:rsidRPr="006F307B">
        <w:rPr>
          <w:color w:val="auto"/>
        </w:rPr>
        <w:t xml:space="preserve">, the PBAC noted there was no planned statistical analysis for OS for pembrolizumab monotherapy versus cetuximab + chemotherapy in the CPS </w:t>
      </w:r>
      <w:r w:rsidR="00EA573E" w:rsidRPr="006F307B">
        <w:rPr>
          <w:rFonts w:cstheme="minorHAnsi"/>
          <w:color w:val="auto"/>
        </w:rPr>
        <w:t>≥</w:t>
      </w:r>
      <w:r w:rsidR="00EA573E" w:rsidRPr="006F307B">
        <w:rPr>
          <w:color w:val="auto"/>
        </w:rPr>
        <w:t xml:space="preserve">1 subgroup. The PBAC </w:t>
      </w:r>
      <w:r w:rsidR="00AB3F87">
        <w:rPr>
          <w:color w:val="auto"/>
        </w:rPr>
        <w:t>noted for</w:t>
      </w:r>
      <w:r w:rsidR="00EA573E" w:rsidRPr="006F307B">
        <w:rPr>
          <w:color w:val="auto"/>
        </w:rPr>
        <w:t xml:space="preserve"> the ITT analysis </w:t>
      </w:r>
      <w:r w:rsidR="00AB3F87">
        <w:rPr>
          <w:color w:val="auto"/>
        </w:rPr>
        <w:t>of</w:t>
      </w:r>
      <w:r w:rsidR="00AB3F87" w:rsidRPr="006F307B">
        <w:rPr>
          <w:color w:val="auto"/>
        </w:rPr>
        <w:t xml:space="preserve"> </w:t>
      </w:r>
      <w:r w:rsidR="00EA573E" w:rsidRPr="006F307B">
        <w:rPr>
          <w:color w:val="auto"/>
        </w:rPr>
        <w:t xml:space="preserve">KN048, </w:t>
      </w:r>
      <w:r w:rsidR="00AB3F87">
        <w:rPr>
          <w:color w:val="auto"/>
        </w:rPr>
        <w:t xml:space="preserve">pembrolizumab was not statistically significantly superior to cetuximab </w:t>
      </w:r>
      <w:r w:rsidR="00866E75">
        <w:rPr>
          <w:color w:val="auto"/>
        </w:rPr>
        <w:t>+</w:t>
      </w:r>
      <w:r w:rsidR="00AB3F87">
        <w:rPr>
          <w:color w:val="auto"/>
        </w:rPr>
        <w:t xml:space="preserve"> chemotherapy </w:t>
      </w:r>
      <w:r w:rsidR="00EA573E" w:rsidRPr="006F307B">
        <w:rPr>
          <w:color w:val="auto"/>
        </w:rPr>
        <w:t xml:space="preserve">with a hazard ratio of 0.83 (95% CI: 0.70, 0.99). </w:t>
      </w:r>
      <w:r w:rsidR="003859BC" w:rsidRPr="006F307B">
        <w:rPr>
          <w:color w:val="auto"/>
        </w:rPr>
        <w:t xml:space="preserve">The PBAC </w:t>
      </w:r>
      <w:r w:rsidR="00AB3F87">
        <w:rPr>
          <w:color w:val="auto"/>
        </w:rPr>
        <w:t xml:space="preserve">further </w:t>
      </w:r>
      <w:r w:rsidR="003859BC" w:rsidRPr="006F307B">
        <w:rPr>
          <w:color w:val="auto"/>
        </w:rPr>
        <w:t>noted that</w:t>
      </w:r>
      <w:r w:rsidR="00AB3F87">
        <w:rPr>
          <w:color w:val="auto"/>
        </w:rPr>
        <w:t xml:space="preserve"> </w:t>
      </w:r>
      <w:r w:rsidR="003859BC" w:rsidRPr="006F307B">
        <w:rPr>
          <w:color w:val="auto"/>
        </w:rPr>
        <w:t xml:space="preserve">in the CPS </w:t>
      </w:r>
      <w:r w:rsidR="003859BC" w:rsidRPr="006F307B">
        <w:rPr>
          <w:rFonts w:cstheme="minorHAnsi"/>
          <w:color w:val="auto"/>
        </w:rPr>
        <w:t>≥</w:t>
      </w:r>
      <w:r w:rsidR="003859BC" w:rsidRPr="006F307B">
        <w:rPr>
          <w:color w:val="auto"/>
        </w:rPr>
        <w:t xml:space="preserve">1 subgroup the benefit </w:t>
      </w:r>
      <w:r w:rsidR="00AB3F87">
        <w:rPr>
          <w:color w:val="auto"/>
        </w:rPr>
        <w:t>of pembrolizumab monothera</w:t>
      </w:r>
      <w:r w:rsidR="00B62AAA">
        <w:rPr>
          <w:color w:val="auto"/>
        </w:rPr>
        <w:t>p</w:t>
      </w:r>
      <w:r w:rsidR="00AB3F87">
        <w:rPr>
          <w:color w:val="auto"/>
        </w:rPr>
        <w:t xml:space="preserve">y </w:t>
      </w:r>
      <w:r w:rsidR="00AB3F87" w:rsidRPr="006F307B">
        <w:rPr>
          <w:color w:val="auto"/>
        </w:rPr>
        <w:t xml:space="preserve">(HR=0.74, 95% CI: 0.61, 0.90), </w:t>
      </w:r>
      <w:r w:rsidR="003859BC" w:rsidRPr="006F307B">
        <w:rPr>
          <w:color w:val="auto"/>
        </w:rPr>
        <w:t xml:space="preserve">was potentially being driven by the results from the CPS </w:t>
      </w:r>
      <w:r w:rsidR="003859BC" w:rsidRPr="006F307B">
        <w:rPr>
          <w:rFonts w:cstheme="minorHAnsi"/>
          <w:color w:val="auto"/>
        </w:rPr>
        <w:t>≥</w:t>
      </w:r>
      <w:r w:rsidR="003859BC" w:rsidRPr="006F307B">
        <w:rPr>
          <w:color w:val="auto"/>
        </w:rPr>
        <w:t>20 subgroup (HR=0.58, 95% CI: 0.44, 0.78</w:t>
      </w:r>
      <w:r w:rsidR="00AB3F87">
        <w:rPr>
          <w:color w:val="auto"/>
        </w:rPr>
        <w:t xml:space="preserve"> versus HR=</w:t>
      </w:r>
      <w:r w:rsidR="00B62AAA">
        <w:rPr>
          <w:color w:val="auto"/>
        </w:rPr>
        <w:t>0.92</w:t>
      </w:r>
      <w:r w:rsidR="00AB3F87">
        <w:rPr>
          <w:color w:val="auto"/>
        </w:rPr>
        <w:t xml:space="preserve">, 95% CI: </w:t>
      </w:r>
      <w:r w:rsidR="00B62AAA">
        <w:rPr>
          <w:color w:val="auto"/>
        </w:rPr>
        <w:t>0.70, 1.20</w:t>
      </w:r>
      <w:r w:rsidR="00AB3F87">
        <w:rPr>
          <w:color w:val="auto"/>
        </w:rPr>
        <w:t xml:space="preserve"> in the CPS 1-19 subgroup</w:t>
      </w:r>
      <w:r w:rsidR="003859BC" w:rsidRPr="006F307B">
        <w:rPr>
          <w:color w:val="auto"/>
        </w:rPr>
        <w:t xml:space="preserve">). </w:t>
      </w:r>
      <w:r w:rsidR="00761028" w:rsidRPr="006F307B">
        <w:rPr>
          <w:color w:val="auto"/>
        </w:rPr>
        <w:t>The PBAC also noted that there was no benefit demonstrated for PFS or ORR in the KN048 ITT population</w:t>
      </w:r>
      <w:r w:rsidR="006A6280" w:rsidRPr="006F307B">
        <w:rPr>
          <w:color w:val="auto"/>
        </w:rPr>
        <w:t xml:space="preserve"> </w:t>
      </w:r>
      <w:r w:rsidR="004175B2" w:rsidRPr="006F307B">
        <w:rPr>
          <w:color w:val="auto"/>
        </w:rPr>
        <w:t>for pembrolizumab monotherapy</w:t>
      </w:r>
      <w:r w:rsidR="00761028" w:rsidRPr="006F307B">
        <w:rPr>
          <w:color w:val="auto"/>
        </w:rPr>
        <w:t>.</w:t>
      </w:r>
    </w:p>
    <w:p w:rsidR="00013B29" w:rsidRPr="006F307B" w:rsidRDefault="004A4C25" w:rsidP="007A4C5A">
      <w:pPr>
        <w:pStyle w:val="ListParagraph"/>
        <w:rPr>
          <w:color w:val="auto"/>
        </w:rPr>
      </w:pPr>
      <w:r>
        <w:rPr>
          <w:color w:val="auto"/>
          <w:u w:val="single"/>
        </w:rPr>
        <w:t>Pembrolizumab + chemotherapy:</w:t>
      </w:r>
      <w:r>
        <w:rPr>
          <w:color w:val="auto"/>
        </w:rPr>
        <w:t xml:space="preserve"> </w:t>
      </w:r>
      <w:r w:rsidR="00EA573E" w:rsidRPr="006F307B">
        <w:rPr>
          <w:color w:val="auto"/>
        </w:rPr>
        <w:t xml:space="preserve">Based on the indirect </w:t>
      </w:r>
      <w:r w:rsidR="00185866" w:rsidRPr="006F307B">
        <w:rPr>
          <w:color w:val="auto"/>
        </w:rPr>
        <w:t xml:space="preserve">comparison </w:t>
      </w:r>
      <w:r>
        <w:rPr>
          <w:color w:val="auto"/>
        </w:rPr>
        <w:t>of</w:t>
      </w:r>
      <w:r w:rsidR="00185866" w:rsidRPr="006F307B">
        <w:rPr>
          <w:color w:val="auto"/>
        </w:rPr>
        <w:t xml:space="preserve"> the CPS </w:t>
      </w:r>
      <w:r w:rsidR="00185866" w:rsidRPr="006F307B">
        <w:t>≥1 subgroup</w:t>
      </w:r>
      <w:r>
        <w:t xml:space="preserve"> for KN048 and the ITT population for EXTREME</w:t>
      </w:r>
      <w:r w:rsidR="00185866" w:rsidRPr="006F307B">
        <w:t xml:space="preserve">, the submission </w:t>
      </w:r>
      <w:r w:rsidR="001448EC" w:rsidRPr="006F307B">
        <w:t xml:space="preserve">claimed </w:t>
      </w:r>
      <w:r w:rsidR="00761028" w:rsidRPr="006F307B">
        <w:t xml:space="preserve">that the risk of death was almost halved in patients treated with pembrolizumab + chemotherapy compared to patients treated with chemotherapy (OS HR=0.53; 95% CI: 0.4, 0.71). </w:t>
      </w:r>
      <w:r w:rsidR="00300798" w:rsidRPr="006F307B">
        <w:rPr>
          <w:color w:val="auto"/>
        </w:rPr>
        <w:t>T</w:t>
      </w:r>
      <w:r w:rsidR="005D494A" w:rsidRPr="006F307B">
        <w:rPr>
          <w:color w:val="auto"/>
        </w:rPr>
        <w:t xml:space="preserve">he PBAC noted </w:t>
      </w:r>
      <w:r w:rsidR="004175B2">
        <w:rPr>
          <w:color w:val="auto"/>
        </w:rPr>
        <w:t xml:space="preserve">that </w:t>
      </w:r>
      <w:r w:rsidR="004231E1" w:rsidRPr="006F307B">
        <w:rPr>
          <w:color w:val="auto"/>
        </w:rPr>
        <w:t xml:space="preserve">KN048 </w:t>
      </w:r>
      <w:r w:rsidR="004175B2">
        <w:rPr>
          <w:color w:val="auto"/>
        </w:rPr>
        <w:t>reported</w:t>
      </w:r>
      <w:r w:rsidR="004231E1" w:rsidRPr="006F307B">
        <w:rPr>
          <w:color w:val="auto"/>
        </w:rPr>
        <w:t xml:space="preserve"> statistically significant hazard ratios for pembrolizumab + chemotherapy compared with chemotherapy + cetuximab </w:t>
      </w:r>
      <w:r w:rsidR="005D494A" w:rsidRPr="006F307B">
        <w:rPr>
          <w:color w:val="auto"/>
        </w:rPr>
        <w:t xml:space="preserve">in terms of OS for </w:t>
      </w:r>
      <w:r w:rsidR="004231E1" w:rsidRPr="006F307B">
        <w:rPr>
          <w:color w:val="auto"/>
        </w:rPr>
        <w:t xml:space="preserve">both </w:t>
      </w:r>
      <w:r w:rsidR="005D494A" w:rsidRPr="006F307B">
        <w:rPr>
          <w:color w:val="auto"/>
        </w:rPr>
        <w:t xml:space="preserve">the CPS </w:t>
      </w:r>
      <w:r w:rsidR="005D494A" w:rsidRPr="006F307B">
        <w:rPr>
          <w:rFonts w:cstheme="minorHAnsi"/>
          <w:color w:val="auto"/>
        </w:rPr>
        <w:t>≥</w:t>
      </w:r>
      <w:r w:rsidR="005D494A" w:rsidRPr="006F307B">
        <w:rPr>
          <w:color w:val="auto"/>
        </w:rPr>
        <w:t>1 subgroup (HR=0.65, 95% CI: 0.53, 0.80)</w:t>
      </w:r>
      <w:r w:rsidR="004231E1" w:rsidRPr="006F307B">
        <w:rPr>
          <w:color w:val="auto"/>
        </w:rPr>
        <w:t xml:space="preserve"> and the ITT population (HR=0.72, 95% CI: 0.60, 0.87)</w:t>
      </w:r>
      <w:r w:rsidR="00964FD7" w:rsidRPr="006F307B">
        <w:t xml:space="preserve">. </w:t>
      </w:r>
      <w:r w:rsidR="008F06DC" w:rsidRPr="006F307B">
        <w:t xml:space="preserve">The PBAC considered that there is likely to be a larger effect with higher CPS score. </w:t>
      </w:r>
      <w:r w:rsidR="00964FD7" w:rsidRPr="006F307B">
        <w:t xml:space="preserve">The </w:t>
      </w:r>
      <w:r w:rsidR="00013B29" w:rsidRPr="006F307B">
        <w:rPr>
          <w:color w:val="auto"/>
        </w:rPr>
        <w:t xml:space="preserve">PBAC accepted the clinical claim that pembrolizumab </w:t>
      </w:r>
      <w:r w:rsidR="004231E1" w:rsidRPr="006F307B">
        <w:rPr>
          <w:color w:val="auto"/>
        </w:rPr>
        <w:t xml:space="preserve">+ </w:t>
      </w:r>
      <w:r w:rsidR="00013B29" w:rsidRPr="006F307B">
        <w:rPr>
          <w:color w:val="auto"/>
        </w:rPr>
        <w:t xml:space="preserve">chemotherapy demonstrated superior clinical effectiveness compared to </w:t>
      </w:r>
      <w:r w:rsidR="00291005" w:rsidRPr="006F307B">
        <w:rPr>
          <w:color w:val="auto"/>
        </w:rPr>
        <w:t xml:space="preserve">1L </w:t>
      </w:r>
      <w:r w:rsidR="00013B29" w:rsidRPr="006F307B">
        <w:rPr>
          <w:color w:val="auto"/>
        </w:rPr>
        <w:t xml:space="preserve">chemotherapy </w:t>
      </w:r>
      <w:r w:rsidR="00291005" w:rsidRPr="006F307B">
        <w:rPr>
          <w:color w:val="auto"/>
        </w:rPr>
        <w:t xml:space="preserve">alone </w:t>
      </w:r>
      <w:r w:rsidR="00013B29" w:rsidRPr="006F307B">
        <w:rPr>
          <w:color w:val="auto"/>
        </w:rPr>
        <w:t>in terms of OS</w:t>
      </w:r>
      <w:r w:rsidR="007B7C24" w:rsidRPr="006F307B">
        <w:rPr>
          <w:color w:val="auto"/>
        </w:rPr>
        <w:t xml:space="preserve"> for the CPS </w:t>
      </w:r>
      <w:r w:rsidR="007B7C24" w:rsidRPr="006F307B">
        <w:rPr>
          <w:rFonts w:cstheme="minorHAnsi"/>
          <w:color w:val="auto"/>
        </w:rPr>
        <w:t>≥</w:t>
      </w:r>
      <w:r w:rsidR="007B7C24" w:rsidRPr="006F307B">
        <w:rPr>
          <w:color w:val="auto"/>
        </w:rPr>
        <w:t>1 subgroup</w:t>
      </w:r>
      <w:r w:rsidR="001448EC" w:rsidRPr="006F307B">
        <w:rPr>
          <w:color w:val="auto"/>
        </w:rPr>
        <w:t>, noting the limitations of the indirect comparison</w:t>
      </w:r>
      <w:r w:rsidR="00761028" w:rsidRPr="006F307B">
        <w:rPr>
          <w:color w:val="auto"/>
        </w:rPr>
        <w:t>.</w:t>
      </w:r>
      <w:r w:rsidR="007B7C24" w:rsidRPr="006F307B">
        <w:rPr>
          <w:color w:val="auto"/>
        </w:rPr>
        <w:t xml:space="preserve"> </w:t>
      </w:r>
      <w:r w:rsidR="00300798" w:rsidRPr="006F307B">
        <w:rPr>
          <w:color w:val="auto"/>
        </w:rPr>
        <w:t xml:space="preserve">The PBAC noted that there was no benefit demonstrated for PFS or ORR </w:t>
      </w:r>
      <w:r w:rsidR="00761028" w:rsidRPr="006F307B">
        <w:rPr>
          <w:color w:val="auto"/>
        </w:rPr>
        <w:t>in the KN048 ITT population</w:t>
      </w:r>
      <w:r w:rsidR="004175B2">
        <w:rPr>
          <w:color w:val="auto"/>
        </w:rPr>
        <w:t xml:space="preserve"> </w:t>
      </w:r>
      <w:r w:rsidR="004175B2" w:rsidRPr="006F307B">
        <w:rPr>
          <w:color w:val="auto"/>
        </w:rPr>
        <w:t>for pembrolizumab + chemotherapy</w:t>
      </w:r>
      <w:r w:rsidR="00300798" w:rsidRPr="006F307B">
        <w:rPr>
          <w:color w:val="auto"/>
        </w:rPr>
        <w:t>.</w:t>
      </w:r>
      <w:r w:rsidR="00CB5026" w:rsidRPr="006F307B">
        <w:rPr>
          <w:color w:val="auto"/>
        </w:rPr>
        <w:t xml:space="preserve"> The PBAC </w:t>
      </w:r>
      <w:r w:rsidR="00964FD7" w:rsidRPr="006F307B">
        <w:rPr>
          <w:color w:val="auto"/>
        </w:rPr>
        <w:t xml:space="preserve">also </w:t>
      </w:r>
      <w:r w:rsidR="00CB5026" w:rsidRPr="006F307B">
        <w:rPr>
          <w:color w:val="auto"/>
        </w:rPr>
        <w:t xml:space="preserve">considered </w:t>
      </w:r>
      <w:r w:rsidR="00013B29" w:rsidRPr="006F307B">
        <w:rPr>
          <w:color w:val="auto"/>
        </w:rPr>
        <w:t xml:space="preserve">the magnitude of clinical benefit </w:t>
      </w:r>
      <w:r w:rsidR="004175B2" w:rsidRPr="006F307B">
        <w:rPr>
          <w:color w:val="auto"/>
        </w:rPr>
        <w:t xml:space="preserve">for pembrolizumab + chemotherapy </w:t>
      </w:r>
      <w:r w:rsidR="00013B29" w:rsidRPr="006F307B">
        <w:rPr>
          <w:color w:val="auto"/>
        </w:rPr>
        <w:t>over current SoC, which includes 2L nivolumab, was unce</w:t>
      </w:r>
      <w:r w:rsidR="008E4219" w:rsidRPr="006F307B">
        <w:rPr>
          <w:color w:val="auto"/>
        </w:rPr>
        <w:t>rtain.</w:t>
      </w:r>
    </w:p>
    <w:p w:rsidR="003859BC" w:rsidRPr="006F307B" w:rsidRDefault="003859BC" w:rsidP="003859BC">
      <w:pPr>
        <w:pStyle w:val="ListParagraph"/>
        <w:rPr>
          <w:color w:val="auto"/>
        </w:rPr>
      </w:pPr>
      <w:r w:rsidRPr="006F307B">
        <w:rPr>
          <w:color w:val="auto"/>
        </w:rPr>
        <w:t xml:space="preserve">The PBAC noted that the safety profile of pembrolizumab monotherapy (mainly immune related) was different to the profile of chemotherapy alone, but considered that the claim of superior safety was reasonable given the </w:t>
      </w:r>
      <w:r w:rsidR="00B62AAA">
        <w:t>known safety profile and mechanism of action of pembrolizumab</w:t>
      </w:r>
      <w:r w:rsidRPr="006F307B">
        <w:rPr>
          <w:color w:val="auto"/>
        </w:rPr>
        <w:t xml:space="preserve">. </w:t>
      </w:r>
    </w:p>
    <w:p w:rsidR="00C91DCB" w:rsidRDefault="00736E15" w:rsidP="007A4C5A">
      <w:pPr>
        <w:pStyle w:val="ListParagraph"/>
        <w:rPr>
          <w:color w:val="auto"/>
        </w:rPr>
      </w:pPr>
      <w:r w:rsidRPr="006F307B">
        <w:rPr>
          <w:color w:val="auto"/>
        </w:rPr>
        <w:t>T</w:t>
      </w:r>
      <w:r w:rsidR="008E0996" w:rsidRPr="006F307B">
        <w:rPr>
          <w:color w:val="auto"/>
        </w:rPr>
        <w:t xml:space="preserve">he PBAC noted the submission’s claim that pembrolizumab </w:t>
      </w:r>
      <w:r w:rsidR="003859BC" w:rsidRPr="006F307B">
        <w:rPr>
          <w:color w:val="auto"/>
        </w:rPr>
        <w:t xml:space="preserve">+ </w:t>
      </w:r>
      <w:r w:rsidR="008E0996" w:rsidRPr="006F307B">
        <w:rPr>
          <w:color w:val="auto"/>
        </w:rPr>
        <w:t>chemotherapy had a non-inferior safety profile to 1L chemothera</w:t>
      </w:r>
      <w:r w:rsidRPr="006F307B">
        <w:rPr>
          <w:color w:val="auto"/>
        </w:rPr>
        <w:t xml:space="preserve">py, but </w:t>
      </w:r>
      <w:r w:rsidR="008E0996" w:rsidRPr="006F307B">
        <w:rPr>
          <w:color w:val="auto"/>
        </w:rPr>
        <w:t>considered the</w:t>
      </w:r>
      <w:r w:rsidRPr="006F307B">
        <w:rPr>
          <w:color w:val="auto"/>
        </w:rPr>
        <w:t xml:space="preserve"> </w:t>
      </w:r>
      <w:r w:rsidR="008E0996" w:rsidRPr="006F307B">
        <w:rPr>
          <w:color w:val="auto"/>
        </w:rPr>
        <w:t xml:space="preserve">comparison </w:t>
      </w:r>
      <w:r w:rsidR="003859BC" w:rsidRPr="006F307B">
        <w:rPr>
          <w:color w:val="auto"/>
        </w:rPr>
        <w:t xml:space="preserve">of safety outcomes </w:t>
      </w:r>
      <w:r w:rsidR="008E0996" w:rsidRPr="006F307B">
        <w:rPr>
          <w:color w:val="auto"/>
        </w:rPr>
        <w:t xml:space="preserve">was limited by reporting differences between the trials. </w:t>
      </w:r>
      <w:r w:rsidR="00511F6C" w:rsidRPr="006F307B">
        <w:rPr>
          <w:color w:val="auto"/>
        </w:rPr>
        <w:t xml:space="preserve">The PBAC recalled its previous </w:t>
      </w:r>
      <w:r w:rsidR="00DE5B94">
        <w:rPr>
          <w:color w:val="auto"/>
        </w:rPr>
        <w:t>conclusion</w:t>
      </w:r>
      <w:r w:rsidR="00511F6C" w:rsidRPr="006F307B">
        <w:rPr>
          <w:color w:val="auto"/>
        </w:rPr>
        <w:t xml:space="preserve"> that cetuximab </w:t>
      </w:r>
      <w:r w:rsidR="003859BC" w:rsidRPr="006F307B">
        <w:rPr>
          <w:color w:val="auto"/>
        </w:rPr>
        <w:t xml:space="preserve">+ </w:t>
      </w:r>
      <w:r w:rsidR="00511F6C" w:rsidRPr="006F307B">
        <w:rPr>
          <w:color w:val="auto"/>
        </w:rPr>
        <w:t xml:space="preserve">chemotherapy was inferior in safety </w:t>
      </w:r>
      <w:r w:rsidR="00511F6C" w:rsidRPr="006F307B">
        <w:rPr>
          <w:color w:val="auto"/>
        </w:rPr>
        <w:lastRenderedPageBreak/>
        <w:t>compared to chemo</w:t>
      </w:r>
      <w:r w:rsidR="008E4219" w:rsidRPr="006F307B">
        <w:rPr>
          <w:color w:val="auto"/>
        </w:rPr>
        <w:t>therapy alone (paragraph 6.23, c</w:t>
      </w:r>
      <w:r w:rsidR="00511F6C" w:rsidRPr="006F307B">
        <w:rPr>
          <w:color w:val="auto"/>
        </w:rPr>
        <w:t xml:space="preserve">etuximab PSD, March 2018). The PBAC also noted that KN048 showed that pembrolizumab </w:t>
      </w:r>
      <w:r w:rsidR="003859BC" w:rsidRPr="006F307B">
        <w:rPr>
          <w:color w:val="auto"/>
        </w:rPr>
        <w:t xml:space="preserve">+ </w:t>
      </w:r>
      <w:r w:rsidR="00511F6C" w:rsidRPr="006F307B">
        <w:rPr>
          <w:color w:val="auto"/>
        </w:rPr>
        <w:t xml:space="preserve">chemotherapy was </w:t>
      </w:r>
      <w:r w:rsidR="00DE5B94">
        <w:rPr>
          <w:color w:val="auto"/>
        </w:rPr>
        <w:t>similar</w:t>
      </w:r>
      <w:r w:rsidR="00511F6C" w:rsidRPr="006F307B">
        <w:rPr>
          <w:color w:val="auto"/>
        </w:rPr>
        <w:t xml:space="preserve"> to cetuximab </w:t>
      </w:r>
      <w:r w:rsidR="003859BC" w:rsidRPr="006F307B">
        <w:rPr>
          <w:color w:val="auto"/>
        </w:rPr>
        <w:t xml:space="preserve">+ </w:t>
      </w:r>
      <w:r w:rsidR="00511F6C" w:rsidRPr="006F307B">
        <w:rPr>
          <w:color w:val="auto"/>
        </w:rPr>
        <w:t xml:space="preserve">chemotherapy in safety, with a similar proportion of patients in both arms reporting any grade 3 to 5 drug related adverse events (71.7% vs 69.3% respectively, RD = 2.4%, 95% CI -6.1, 9.9). </w:t>
      </w:r>
      <w:r w:rsidR="008E0996" w:rsidRPr="006F307B">
        <w:rPr>
          <w:color w:val="auto"/>
        </w:rPr>
        <w:t>On t</w:t>
      </w:r>
      <w:r w:rsidRPr="006F307B">
        <w:rPr>
          <w:color w:val="auto"/>
        </w:rPr>
        <w:t>his basis, the PBAC considered t</w:t>
      </w:r>
      <w:r w:rsidR="008E0996" w:rsidRPr="006F307B">
        <w:rPr>
          <w:color w:val="auto"/>
        </w:rPr>
        <w:t xml:space="preserve">hat pembrolizumab </w:t>
      </w:r>
      <w:r w:rsidR="003859BC" w:rsidRPr="006F307B">
        <w:rPr>
          <w:color w:val="auto"/>
        </w:rPr>
        <w:t xml:space="preserve">+ </w:t>
      </w:r>
      <w:r w:rsidR="008E0996" w:rsidRPr="006F307B">
        <w:rPr>
          <w:color w:val="auto"/>
        </w:rPr>
        <w:t xml:space="preserve">chemotherapy was likely inferior </w:t>
      </w:r>
      <w:r w:rsidR="00DE5B94">
        <w:rPr>
          <w:color w:val="auto"/>
        </w:rPr>
        <w:t>in safety to chemotherapy alone.</w:t>
      </w:r>
      <w:r w:rsidR="00C91DCB" w:rsidRPr="00C91DCB">
        <w:rPr>
          <w:color w:val="auto"/>
        </w:rPr>
        <w:t xml:space="preserve"> </w:t>
      </w:r>
    </w:p>
    <w:p w:rsidR="003859BC" w:rsidRPr="006F307B" w:rsidRDefault="003859BC" w:rsidP="00F25FA6">
      <w:pPr>
        <w:pStyle w:val="ListParagraph"/>
      </w:pPr>
      <w:r w:rsidRPr="006F307B">
        <w:rPr>
          <w:snapToGrid w:val="0"/>
        </w:rPr>
        <w:t>The PBAC noted that NCCN guidelines reco</w:t>
      </w:r>
      <w:r w:rsidR="00DE5B94">
        <w:rPr>
          <w:snapToGrid w:val="0"/>
        </w:rPr>
        <w:t>mmend first-</w:t>
      </w:r>
      <w:r w:rsidRPr="006F307B">
        <w:rPr>
          <w:snapToGrid w:val="0"/>
        </w:rPr>
        <w:t xml:space="preserve">line pembrolizumab + chemotherapy regardless of PD-L1 status and also recommend pembrolizumab monotherapy where CPS </w:t>
      </w:r>
      <w:r w:rsidRPr="006F307B">
        <w:rPr>
          <w:rFonts w:cstheme="minorHAnsi"/>
          <w:snapToGrid w:val="0"/>
        </w:rPr>
        <w:t>≥</w:t>
      </w:r>
      <w:r w:rsidR="00DE5B94">
        <w:rPr>
          <w:snapToGrid w:val="0"/>
        </w:rPr>
        <w:t>20. Noting that the TGA-</w:t>
      </w:r>
      <w:r w:rsidRPr="006F307B">
        <w:rPr>
          <w:snapToGrid w:val="0"/>
        </w:rPr>
        <w:t>approved indication is in the PD</w:t>
      </w:r>
      <w:r w:rsidRPr="006F307B">
        <w:rPr>
          <w:snapToGrid w:val="0"/>
        </w:rPr>
        <w:noBreakHyphen/>
        <w:t xml:space="preserve">L1 positive (CPS ≥1) population, the PBAC considered that the most appropriate CPS cut-off for </w:t>
      </w:r>
      <w:r w:rsidR="00223332">
        <w:rPr>
          <w:snapToGrid w:val="0"/>
        </w:rPr>
        <w:t xml:space="preserve">a PBS listing for </w:t>
      </w:r>
      <w:r w:rsidRPr="006F307B">
        <w:rPr>
          <w:snapToGrid w:val="0"/>
        </w:rPr>
        <w:t xml:space="preserve">pembrolizumab was unclear, particularly for patients treated with pembrolizumab monotherapy. Based on the subgroup analyses of KN048, the PBAC considered that pembrolizumab had a larger effect in patients with CPS ≥1, but the </w:t>
      </w:r>
      <w:r w:rsidR="00DE5B94">
        <w:rPr>
          <w:snapToGrid w:val="0"/>
        </w:rPr>
        <w:t>sample size</w:t>
      </w:r>
      <w:r w:rsidRPr="006F307B">
        <w:rPr>
          <w:snapToGrid w:val="0"/>
        </w:rPr>
        <w:t xml:space="preserve"> of patients with CPS &lt;1 was too small to conclude that pembrolizumab + chemotherapy had no effect in this subgroup. </w:t>
      </w:r>
      <w:r w:rsidR="00B25C17">
        <w:rPr>
          <w:snapToGrid w:val="0"/>
        </w:rPr>
        <w:t xml:space="preserve">Noting that </w:t>
      </w:r>
      <w:r w:rsidR="00D478B6">
        <w:rPr>
          <w:snapToGrid w:val="0"/>
        </w:rPr>
        <w:t>KN048</w:t>
      </w:r>
      <w:r w:rsidR="00B25C17">
        <w:rPr>
          <w:snapToGrid w:val="0"/>
        </w:rPr>
        <w:t xml:space="preserve"> was stratified for </w:t>
      </w:r>
      <w:r w:rsidR="00D478B6">
        <w:rPr>
          <w:snapToGrid w:val="0"/>
        </w:rPr>
        <w:t xml:space="preserve">TPS </w:t>
      </w:r>
      <w:r w:rsidR="00D478B6" w:rsidRPr="006F307B">
        <w:rPr>
          <w:rFonts w:cstheme="minorHAnsi"/>
          <w:snapToGrid w:val="0"/>
        </w:rPr>
        <w:t>≥</w:t>
      </w:r>
      <w:r w:rsidR="00D478B6">
        <w:rPr>
          <w:snapToGrid w:val="0"/>
        </w:rPr>
        <w:t>50 and did not prespecify CPS-based subgroups, t</w:t>
      </w:r>
      <w:r w:rsidRPr="006F307B">
        <w:rPr>
          <w:color w:val="auto"/>
        </w:rPr>
        <w:t xml:space="preserve">he PBAC </w:t>
      </w:r>
      <w:r w:rsidR="00DE5B94">
        <w:rPr>
          <w:color w:val="auto"/>
        </w:rPr>
        <w:t>considered</w:t>
      </w:r>
      <w:r w:rsidRPr="006F307B">
        <w:t xml:space="preserve"> that advice from the Medical Services Advisory Committee (MSAC) was required regarding the PD-L1 testing component</w:t>
      </w:r>
      <w:r w:rsidR="00DE5B94">
        <w:t xml:space="preserve"> of the codependent submission.</w:t>
      </w:r>
    </w:p>
    <w:p w:rsidR="00A770F3" w:rsidRPr="006F307B" w:rsidRDefault="004914E3" w:rsidP="007A4C5A">
      <w:pPr>
        <w:pStyle w:val="ListParagraph"/>
        <w:rPr>
          <w:color w:val="auto"/>
        </w:rPr>
      </w:pPr>
      <w:r w:rsidRPr="006F307B">
        <w:rPr>
          <w:color w:val="auto"/>
        </w:rPr>
        <w:t>The PBAC noted that the submission presented two modelled economic evaluations comparing, separately, (i) pembrolizumab monotherapy with SoC</w:t>
      </w:r>
      <w:r w:rsidR="00DE5B94">
        <w:rPr>
          <w:color w:val="auto"/>
        </w:rPr>
        <w:t>,</w:t>
      </w:r>
      <w:r w:rsidRPr="006F307B">
        <w:rPr>
          <w:color w:val="auto"/>
        </w:rPr>
        <w:t xml:space="preserve"> and (ii) pembrolizumab plus chemotherapy with SoC</w:t>
      </w:r>
      <w:r w:rsidR="004E2DED">
        <w:rPr>
          <w:color w:val="auto"/>
        </w:rPr>
        <w:t>,</w:t>
      </w:r>
      <w:r w:rsidRPr="006F307B">
        <w:rPr>
          <w:color w:val="auto"/>
        </w:rPr>
        <w:t xml:space="preserve"> in a population of patients </w:t>
      </w:r>
      <w:r w:rsidR="00624DC1" w:rsidRPr="006F307B">
        <w:rPr>
          <w:color w:val="auto"/>
        </w:rPr>
        <w:t>with previously untreated R/M HN</w:t>
      </w:r>
      <w:r w:rsidR="00AB275F" w:rsidRPr="006F307B">
        <w:rPr>
          <w:color w:val="auto"/>
        </w:rPr>
        <w:t>SCC</w:t>
      </w:r>
      <w:r w:rsidRPr="006F307B">
        <w:rPr>
          <w:color w:val="auto"/>
        </w:rPr>
        <w:t xml:space="preserve"> of the oral cavity, pharynx or larynx.</w:t>
      </w:r>
      <w:r w:rsidR="00CB5026" w:rsidRPr="006F307B">
        <w:rPr>
          <w:color w:val="auto"/>
        </w:rPr>
        <w:t xml:space="preserve"> The PBAC considered there was a high level of uncertainty with the economic model and interpretation of the ICER </w:t>
      </w:r>
      <w:r w:rsidR="006A6280" w:rsidRPr="006F307B">
        <w:rPr>
          <w:color w:val="auto"/>
        </w:rPr>
        <w:t>for a number</w:t>
      </w:r>
      <w:r w:rsidR="00CB5026" w:rsidRPr="006F307B">
        <w:rPr>
          <w:color w:val="auto"/>
        </w:rPr>
        <w:t xml:space="preserve"> of reasons, including:</w:t>
      </w:r>
    </w:p>
    <w:p w:rsidR="004914E3" w:rsidRPr="006F307B" w:rsidRDefault="00C91DCB" w:rsidP="008E5D18">
      <w:pPr>
        <w:pStyle w:val="ListParagraph"/>
        <w:numPr>
          <w:ilvl w:val="0"/>
          <w:numId w:val="37"/>
        </w:numPr>
        <w:spacing w:after="120"/>
        <w:ind w:left="1077" w:hanging="357"/>
        <w:rPr>
          <w:color w:val="auto"/>
        </w:rPr>
      </w:pPr>
      <w:r>
        <w:t xml:space="preserve">inappropriately excluding the effectiveness of 2L nivolumab in the SOC arm which resulted in a significant under-estimate of OS. The impact on the ICER was substantial due to applying a cost for 2L nivolumab in 66.7% of SOC patients whilst assuming no associated treatment benefit; </w:t>
      </w:r>
    </w:p>
    <w:p w:rsidR="00A048EB" w:rsidRPr="006F307B" w:rsidRDefault="00C91DCB" w:rsidP="008E5D18">
      <w:pPr>
        <w:pStyle w:val="ListParagraph"/>
        <w:numPr>
          <w:ilvl w:val="0"/>
          <w:numId w:val="37"/>
        </w:numPr>
        <w:spacing w:after="120"/>
        <w:ind w:left="1077" w:hanging="357"/>
        <w:rPr>
          <w:color w:val="auto"/>
        </w:rPr>
      </w:pPr>
      <w:r>
        <w:t xml:space="preserve">calculating the ICER for the CPS &lt;1 subgroup indirectly by using the results for the ITT population and the CPS </w:t>
      </w:r>
      <w:r>
        <w:rPr>
          <w:rFonts w:cstheme="minorHAnsi"/>
        </w:rPr>
        <w:t>≥</w:t>
      </w:r>
      <w:r>
        <w:t xml:space="preserve">1 subgroup. This resulted in implausible scenarios where the effectiveness of SOC varied by pembrolizumab regimen and CPS status;  </w:t>
      </w:r>
    </w:p>
    <w:p w:rsidR="00243692" w:rsidRPr="006F307B" w:rsidRDefault="0026062D" w:rsidP="008E5D18">
      <w:pPr>
        <w:pStyle w:val="ListParagraph"/>
        <w:numPr>
          <w:ilvl w:val="0"/>
          <w:numId w:val="37"/>
        </w:numPr>
        <w:spacing w:after="120"/>
        <w:ind w:left="1077" w:hanging="357"/>
        <w:rPr>
          <w:color w:val="auto"/>
        </w:rPr>
      </w:pPr>
      <w:r>
        <w:t>applying the</w:t>
      </w:r>
      <w:r w:rsidR="00243692" w:rsidRPr="006F307B">
        <w:t xml:space="preserve"> inverse hazard ratio from </w:t>
      </w:r>
      <w:r>
        <w:t>the</w:t>
      </w:r>
      <w:r w:rsidR="00243692" w:rsidRPr="006F307B">
        <w:t xml:space="preserve"> FP NMA to the pembrolizumab </w:t>
      </w:r>
      <w:r>
        <w:t>data</w:t>
      </w:r>
      <w:r w:rsidRPr="006F307B">
        <w:t xml:space="preserve"> </w:t>
      </w:r>
      <w:r>
        <w:t xml:space="preserve">as </w:t>
      </w:r>
      <w:r w:rsidR="00243692" w:rsidRPr="006F307B">
        <w:t>observed in KN048</w:t>
      </w:r>
      <w:r w:rsidR="00C91DCB">
        <w:t xml:space="preserve">, </w:t>
      </w:r>
      <w:r w:rsidR="00DF7247" w:rsidRPr="006F307B">
        <w:t xml:space="preserve">which </w:t>
      </w:r>
      <w:r>
        <w:t>resulted in</w:t>
      </w:r>
      <w:r w:rsidRPr="006F307B">
        <w:t xml:space="preserve"> </w:t>
      </w:r>
      <w:r w:rsidR="00DF7247" w:rsidRPr="006F307B">
        <w:t>increasing</w:t>
      </w:r>
      <w:r w:rsidR="00243692" w:rsidRPr="006F307B">
        <w:t xml:space="preserve"> t</w:t>
      </w:r>
      <w:r w:rsidR="00DF7247" w:rsidRPr="006F307B">
        <w:t xml:space="preserve">reatment benefit </w:t>
      </w:r>
      <w:r w:rsidR="00243692" w:rsidRPr="006F307B">
        <w:t>over time</w:t>
      </w:r>
      <w:r w:rsidR="00D34A20" w:rsidRPr="006F307B">
        <w:t>;</w:t>
      </w:r>
    </w:p>
    <w:p w:rsidR="00647796" w:rsidRPr="006F307B" w:rsidRDefault="0026062D" w:rsidP="008E5D18">
      <w:pPr>
        <w:pStyle w:val="ListParagraph"/>
        <w:numPr>
          <w:ilvl w:val="0"/>
          <w:numId w:val="37"/>
        </w:numPr>
        <w:spacing w:after="120"/>
        <w:ind w:left="1077" w:hanging="357"/>
        <w:rPr>
          <w:color w:val="auto"/>
        </w:rPr>
      </w:pPr>
      <w:r>
        <w:rPr>
          <w:color w:val="auto"/>
        </w:rPr>
        <w:t xml:space="preserve">use of </w:t>
      </w:r>
      <w:r w:rsidR="004102F8" w:rsidRPr="006F307B">
        <w:rPr>
          <w:color w:val="auto"/>
        </w:rPr>
        <w:t>a time horizon of 7.5 years in the base case</w:t>
      </w:r>
      <w:r w:rsidR="00044364" w:rsidRPr="006F307B">
        <w:rPr>
          <w:color w:val="auto"/>
        </w:rPr>
        <w:t xml:space="preserve">, </w:t>
      </w:r>
      <w:r w:rsidR="006A6280" w:rsidRPr="006F307B">
        <w:rPr>
          <w:color w:val="auto"/>
        </w:rPr>
        <w:t xml:space="preserve">which </w:t>
      </w:r>
      <w:r w:rsidR="00C91DCB">
        <w:rPr>
          <w:color w:val="auto"/>
        </w:rPr>
        <w:t xml:space="preserve">the PBAC considered </w:t>
      </w:r>
      <w:r w:rsidR="00FF7840">
        <w:rPr>
          <w:color w:val="auto"/>
        </w:rPr>
        <w:t>was</w:t>
      </w:r>
      <w:r w:rsidR="006A6280" w:rsidRPr="006F307B">
        <w:rPr>
          <w:color w:val="auto"/>
        </w:rPr>
        <w:t xml:space="preserve"> not reasonable</w:t>
      </w:r>
      <w:r>
        <w:rPr>
          <w:color w:val="auto"/>
        </w:rPr>
        <w:t xml:space="preserve"> based on the available evidence</w:t>
      </w:r>
      <w:r w:rsidR="00DE5B94">
        <w:rPr>
          <w:color w:val="auto"/>
        </w:rPr>
        <w:t>,</w:t>
      </w:r>
      <w:r w:rsidR="008F06DC" w:rsidRPr="006F307B">
        <w:rPr>
          <w:color w:val="auto"/>
        </w:rPr>
        <w:t xml:space="preserve"> but may be supported with longer follow up for KN048</w:t>
      </w:r>
      <w:r w:rsidR="00DE5B94">
        <w:rPr>
          <w:color w:val="auto"/>
        </w:rPr>
        <w:t>;</w:t>
      </w:r>
    </w:p>
    <w:p w:rsidR="00DF7247" w:rsidRPr="006F307B" w:rsidRDefault="00363B86" w:rsidP="008E5D18">
      <w:pPr>
        <w:pStyle w:val="ListParagraph"/>
        <w:numPr>
          <w:ilvl w:val="0"/>
          <w:numId w:val="37"/>
        </w:numPr>
        <w:spacing w:after="120"/>
        <w:ind w:left="1077" w:hanging="357"/>
        <w:rPr>
          <w:color w:val="auto"/>
        </w:rPr>
      </w:pPr>
      <w:r>
        <w:t xml:space="preserve">applying </w:t>
      </w:r>
      <w:r w:rsidR="00DF7247" w:rsidRPr="006F307B">
        <w:t xml:space="preserve">higher utilities than the PBAC had previously considered for 1L cetuximab for the same </w:t>
      </w:r>
      <w:r w:rsidR="00DE5B94">
        <w:t>indication for both progression-</w:t>
      </w:r>
      <w:r w:rsidR="00DF7247" w:rsidRPr="006F307B">
        <w:t>free (0.788 vs 0.65-0.69) and progressed disease (0.716 vs 0.52)</w:t>
      </w:r>
      <w:r w:rsidR="00DE5B94">
        <w:t>;</w:t>
      </w:r>
    </w:p>
    <w:p w:rsidR="003F65BD" w:rsidRPr="006F307B" w:rsidRDefault="00363B86" w:rsidP="008E5D18">
      <w:pPr>
        <w:pStyle w:val="ListParagraph"/>
        <w:numPr>
          <w:ilvl w:val="0"/>
          <w:numId w:val="37"/>
        </w:numPr>
        <w:spacing w:after="120"/>
        <w:ind w:left="1077" w:hanging="357"/>
      </w:pPr>
      <w:r>
        <w:lastRenderedPageBreak/>
        <w:t>removing the</w:t>
      </w:r>
      <w:r w:rsidR="00AE2EED" w:rsidRPr="006F307B">
        <w:t xml:space="preserve"> costs associated with 2L epidermal growth factor receptor (</w:t>
      </w:r>
      <w:r w:rsidR="003F65BD" w:rsidRPr="006F307B">
        <w:t>EGFR</w:t>
      </w:r>
      <w:r w:rsidR="00AE2EED" w:rsidRPr="006F307B">
        <w:t>)</w:t>
      </w:r>
      <w:r w:rsidR="003F65BD" w:rsidRPr="006F307B">
        <w:t xml:space="preserve"> </w:t>
      </w:r>
      <w:r w:rsidR="00AE2EED" w:rsidRPr="006F307B">
        <w:t xml:space="preserve">inhibitors and anti-PD-1/PD-L1 therapies </w:t>
      </w:r>
      <w:r w:rsidR="003F65BD" w:rsidRPr="006F307B">
        <w:t>from the pembrolizumab arms (</w:t>
      </w:r>
      <w:r>
        <w:t xml:space="preserve">which was </w:t>
      </w:r>
      <w:r w:rsidR="003F65BD" w:rsidRPr="006F307B">
        <w:t xml:space="preserve">used by 18-24% of all patients treated with </w:t>
      </w:r>
      <w:r w:rsidR="003F65BD" w:rsidRPr="006F307B">
        <w:rPr>
          <w:color w:val="auto"/>
        </w:rPr>
        <w:t xml:space="preserve">pembrolizumab </w:t>
      </w:r>
      <w:r w:rsidR="003F65BD" w:rsidRPr="006F307B">
        <w:rPr>
          <w:rFonts w:cstheme="minorHAnsi"/>
          <w:color w:val="auto"/>
        </w:rPr>
        <w:t>±</w:t>
      </w:r>
      <w:r w:rsidR="003F65BD" w:rsidRPr="006F307B">
        <w:rPr>
          <w:color w:val="auto"/>
        </w:rPr>
        <w:t xml:space="preserve"> chemotherapy in KN048)</w:t>
      </w:r>
      <w:r w:rsidR="00AE2EED" w:rsidRPr="006F307B">
        <w:rPr>
          <w:color w:val="auto"/>
        </w:rPr>
        <w:t>, with no adjustment of</w:t>
      </w:r>
      <w:r w:rsidR="00DF7247" w:rsidRPr="006F307B">
        <w:rPr>
          <w:color w:val="auto"/>
        </w:rPr>
        <w:t xml:space="preserve"> </w:t>
      </w:r>
      <w:r w:rsidR="00DE5B94">
        <w:rPr>
          <w:color w:val="auto"/>
        </w:rPr>
        <w:t>effectiveness</w:t>
      </w:r>
      <w:r w:rsidR="00087710" w:rsidRPr="006F307B">
        <w:rPr>
          <w:color w:val="auto"/>
        </w:rPr>
        <w:t>; and</w:t>
      </w:r>
    </w:p>
    <w:p w:rsidR="00087710" w:rsidRPr="006F307B" w:rsidRDefault="008C1259" w:rsidP="008E5D18">
      <w:pPr>
        <w:pStyle w:val="ListParagraph"/>
        <w:numPr>
          <w:ilvl w:val="0"/>
          <w:numId w:val="37"/>
        </w:numPr>
        <w:spacing w:after="120"/>
        <w:ind w:left="1077" w:hanging="357"/>
      </w:pPr>
      <w:r w:rsidRPr="006F307B">
        <w:rPr>
          <w:color w:val="auto"/>
        </w:rPr>
        <w:t>a</w:t>
      </w:r>
      <w:r w:rsidR="00087710" w:rsidRPr="006F307B">
        <w:rPr>
          <w:color w:val="auto"/>
        </w:rPr>
        <w:t>pplying all cause grade 3-4 adverse events from EXTREME to the SoC arm, but only selectively applying treatment related grade 3-5 adverse events which required hospitalisation from KN048 to the pembrolizumab arms</w:t>
      </w:r>
      <w:r w:rsidRPr="006F307B">
        <w:rPr>
          <w:color w:val="auto"/>
        </w:rPr>
        <w:t>; and</w:t>
      </w:r>
    </w:p>
    <w:p w:rsidR="008C1259" w:rsidRPr="006F307B" w:rsidRDefault="00363B86" w:rsidP="008E5D18">
      <w:pPr>
        <w:pStyle w:val="ListParagraph"/>
        <w:numPr>
          <w:ilvl w:val="0"/>
          <w:numId w:val="37"/>
        </w:numPr>
        <w:spacing w:after="120"/>
        <w:ind w:left="1077" w:hanging="357"/>
      </w:pPr>
      <w:r>
        <w:rPr>
          <w:color w:val="auto"/>
        </w:rPr>
        <w:t xml:space="preserve">making no </w:t>
      </w:r>
      <w:r w:rsidR="008C1259" w:rsidRPr="006F307B">
        <w:rPr>
          <w:color w:val="auto"/>
        </w:rPr>
        <w:t xml:space="preserve">adjustment for </w:t>
      </w:r>
      <w:r>
        <w:rPr>
          <w:color w:val="auto"/>
        </w:rPr>
        <w:t xml:space="preserve">patients in </w:t>
      </w:r>
      <w:r w:rsidR="008C1259" w:rsidRPr="006F307B">
        <w:rPr>
          <w:color w:val="auto"/>
        </w:rPr>
        <w:t xml:space="preserve">EXTREME likely </w:t>
      </w:r>
      <w:r>
        <w:rPr>
          <w:color w:val="auto"/>
        </w:rPr>
        <w:t xml:space="preserve">being </w:t>
      </w:r>
      <w:r w:rsidR="008C1259" w:rsidRPr="006F307B">
        <w:rPr>
          <w:color w:val="auto"/>
        </w:rPr>
        <w:t>less healthy than</w:t>
      </w:r>
      <w:r>
        <w:rPr>
          <w:color w:val="auto"/>
        </w:rPr>
        <w:t xml:space="preserve"> those in</w:t>
      </w:r>
      <w:r w:rsidR="008C1259" w:rsidRPr="006F307B">
        <w:rPr>
          <w:color w:val="auto"/>
        </w:rPr>
        <w:t xml:space="preserve"> KN048 based on ECOG performance status.</w:t>
      </w:r>
    </w:p>
    <w:p w:rsidR="000B496B" w:rsidRDefault="00D5590F" w:rsidP="0042286F">
      <w:pPr>
        <w:pStyle w:val="ListParagraph"/>
      </w:pPr>
      <w:r w:rsidRPr="006F307B">
        <w:t xml:space="preserve">The PBAC noted the </w:t>
      </w:r>
      <w:r w:rsidR="008F6858" w:rsidRPr="006F307B">
        <w:t xml:space="preserve">submission’s base case </w:t>
      </w:r>
      <w:r w:rsidR="008F6858" w:rsidRPr="001F5FB6">
        <w:t xml:space="preserve">in Table 18 (where costs and outcomes for </w:t>
      </w:r>
      <w:r w:rsidR="00D63A59" w:rsidRPr="001F5FB6">
        <w:t xml:space="preserve">testing and treatment for </w:t>
      </w:r>
      <w:r w:rsidR="00363B86" w:rsidRPr="001F5FB6">
        <w:t xml:space="preserve">only </w:t>
      </w:r>
      <w:r w:rsidR="008F6858" w:rsidRPr="001F5FB6">
        <w:t xml:space="preserve">CPS </w:t>
      </w:r>
      <w:r w:rsidR="008F6858" w:rsidRPr="001F5FB6">
        <w:rPr>
          <w:rFonts w:cstheme="minorHAnsi"/>
        </w:rPr>
        <w:t>≥</w:t>
      </w:r>
      <w:r w:rsidR="008F6858" w:rsidRPr="001F5FB6">
        <w:t>1 patients were included)</w:t>
      </w:r>
      <w:r w:rsidR="00363B86" w:rsidRPr="001F5FB6">
        <w:t>,</w:t>
      </w:r>
      <w:r w:rsidR="008F6858" w:rsidRPr="001F5FB6">
        <w:t xml:space="preserve"> as well as</w:t>
      </w:r>
      <w:r w:rsidR="00B150AE" w:rsidRPr="001F5FB6">
        <w:t xml:space="preserve"> the results</w:t>
      </w:r>
      <w:r w:rsidRPr="001F5FB6">
        <w:t xml:space="preserve"> </w:t>
      </w:r>
      <w:r w:rsidR="008F6858" w:rsidRPr="001F5FB6">
        <w:t xml:space="preserve">in Table 19 (where </w:t>
      </w:r>
      <w:r w:rsidRPr="001F5FB6">
        <w:t>all patients are tested; patients</w:t>
      </w:r>
      <w:r w:rsidRPr="006F307B">
        <w:t xml:space="preserve"> with PD-L1 CPS </w:t>
      </w:r>
      <w:r w:rsidRPr="006F307B">
        <w:rPr>
          <w:rFonts w:cstheme="minorHAnsi"/>
        </w:rPr>
        <w:t>≥</w:t>
      </w:r>
      <w:r w:rsidRPr="006F307B">
        <w:t>1 are treated with pembrolizumab</w:t>
      </w:r>
      <w:r w:rsidR="00612FB2" w:rsidRPr="006F307B">
        <w:t xml:space="preserve"> </w:t>
      </w:r>
      <w:r w:rsidR="00612FB2" w:rsidRPr="006F307B">
        <w:rPr>
          <w:rFonts w:cstheme="minorHAnsi"/>
        </w:rPr>
        <w:t>±</w:t>
      </w:r>
      <w:r w:rsidR="00612FB2" w:rsidRPr="006F307B">
        <w:t xml:space="preserve"> chemotherapy</w:t>
      </w:r>
      <w:r w:rsidRPr="006F307B">
        <w:t xml:space="preserve"> and patients with CPS &lt;1 receive S</w:t>
      </w:r>
      <w:r w:rsidR="008F6858" w:rsidRPr="006F307B">
        <w:t xml:space="preserve">oC). </w:t>
      </w:r>
      <w:r w:rsidR="00363487" w:rsidRPr="006F307B">
        <w:t xml:space="preserve">The PBAC </w:t>
      </w:r>
      <w:r w:rsidR="006D0CD0" w:rsidRPr="006F307B">
        <w:t xml:space="preserve">noted </w:t>
      </w:r>
      <w:r w:rsidRPr="006F307B">
        <w:t xml:space="preserve">that the </w:t>
      </w:r>
      <w:r w:rsidR="0042286F" w:rsidRPr="006F307B">
        <w:t>ICER</w:t>
      </w:r>
      <w:r w:rsidR="000C51D4" w:rsidRPr="006F307B">
        <w:t>s</w:t>
      </w:r>
      <w:r w:rsidR="0042286F" w:rsidRPr="006F307B">
        <w:t xml:space="preserve"> in the CPS </w:t>
      </w:r>
      <w:r w:rsidR="0042286F" w:rsidRPr="006F307B">
        <w:rPr>
          <w:rFonts w:cstheme="minorHAnsi"/>
        </w:rPr>
        <w:t>≥</w:t>
      </w:r>
      <w:r w:rsidR="0042286F" w:rsidRPr="006F307B">
        <w:t xml:space="preserve">1 and whole population </w:t>
      </w:r>
      <w:r w:rsidR="008C1259" w:rsidRPr="006F307B">
        <w:t>analyse</w:t>
      </w:r>
      <w:r w:rsidR="006D0CD0" w:rsidRPr="006F307B">
        <w:t xml:space="preserve">s were </w:t>
      </w:r>
      <w:r w:rsidR="0042286F" w:rsidRPr="006F307B">
        <w:t xml:space="preserve">very similar </w:t>
      </w:r>
      <w:r w:rsidR="00FA64EE" w:rsidRPr="006F307B">
        <w:t>($</w:t>
      </w:r>
      <w:r w:rsidR="00CC214E">
        <w:t>55,000 to &lt;$75,000</w:t>
      </w:r>
      <w:r w:rsidR="00FA64EE" w:rsidRPr="006F307B">
        <w:t>/QALY and $</w:t>
      </w:r>
      <w:r w:rsidR="00CC214E">
        <w:t>55,000 to &lt;$75,000</w:t>
      </w:r>
      <w:r w:rsidR="00FA64EE" w:rsidRPr="006F307B">
        <w:t xml:space="preserve">/QALY respectively for pembrolizumab </w:t>
      </w:r>
      <w:r w:rsidR="006D0CD0" w:rsidRPr="006F307B">
        <w:t xml:space="preserve">+ </w:t>
      </w:r>
      <w:r w:rsidR="00FA64EE" w:rsidRPr="006F307B">
        <w:t xml:space="preserve">chemotherapy) </w:t>
      </w:r>
      <w:r w:rsidR="0042286F" w:rsidRPr="006F307B">
        <w:t xml:space="preserve">because the submission inappropriately assumed 100% sensitivity and specificity of the CPS </w:t>
      </w:r>
      <w:r w:rsidR="0042286F" w:rsidRPr="006F307B">
        <w:rPr>
          <w:rFonts w:cstheme="minorHAnsi"/>
        </w:rPr>
        <w:t>≥</w:t>
      </w:r>
      <w:r w:rsidR="006224C3" w:rsidRPr="006F307B">
        <w:t xml:space="preserve">1 test, and the </w:t>
      </w:r>
      <w:r w:rsidR="00B150AE" w:rsidRPr="006F307B">
        <w:t xml:space="preserve">prevalence of the </w:t>
      </w:r>
      <w:r w:rsidR="006224C3" w:rsidRPr="006F307B">
        <w:t xml:space="preserve">CPS </w:t>
      </w:r>
      <w:r w:rsidR="006224C3" w:rsidRPr="006F307B">
        <w:rPr>
          <w:rFonts w:cstheme="minorHAnsi"/>
        </w:rPr>
        <w:t>≥</w:t>
      </w:r>
      <w:r w:rsidR="006224C3" w:rsidRPr="006F307B">
        <w:t>1 population was high.</w:t>
      </w:r>
      <w:r w:rsidR="0042286F" w:rsidRPr="006F307B">
        <w:t xml:space="preserve"> </w:t>
      </w:r>
      <w:r w:rsidR="004E2DED">
        <w:t>T</w:t>
      </w:r>
      <w:r w:rsidR="00D324A5" w:rsidRPr="006F307B">
        <w:t xml:space="preserve">he PBAC agreed with the ESCs and considered that, as an integrated codependent submission, the economic evaluation in the </w:t>
      </w:r>
      <w:r w:rsidR="00D324A5" w:rsidRPr="00052717">
        <w:rPr>
          <w:rFonts w:eastAsia="Times New Roman" w:cs="Arial"/>
          <w:bCs/>
          <w:color w:val="000000"/>
          <w:szCs w:val="20"/>
        </w:rPr>
        <w:t>whole R/M HNSCC population, including testing and treatment with SoC for the PD-L1 CPS &lt;1 population, was the appropriate base case.</w:t>
      </w:r>
    </w:p>
    <w:p w:rsidR="000B496B" w:rsidRPr="007278E9" w:rsidRDefault="000B496B" w:rsidP="00330F14">
      <w:pPr>
        <w:pStyle w:val="ListParagraph"/>
      </w:pPr>
      <w:r>
        <w:t>The PBAC noted</w:t>
      </w:r>
      <w:r w:rsidR="004E2DED">
        <w:t xml:space="preserve"> that</w:t>
      </w:r>
      <w:r>
        <w:t xml:space="preserve"> the evaluation </w:t>
      </w:r>
      <w:r w:rsidR="004E2DED">
        <w:t xml:space="preserve">explored </w:t>
      </w:r>
      <w:r>
        <w:t xml:space="preserve">the impact </w:t>
      </w:r>
      <w:r w:rsidR="004E2DED">
        <w:t xml:space="preserve">on the ICER </w:t>
      </w:r>
      <w:r>
        <w:t xml:space="preserve">of including the cost of 2L nivolumab in the SOC arm but no associated </w:t>
      </w:r>
      <w:r w:rsidR="004E2DED">
        <w:t xml:space="preserve">health outcomes </w:t>
      </w:r>
      <w:r>
        <w:t xml:space="preserve">benefit. </w:t>
      </w:r>
      <w:r w:rsidR="000F1F69" w:rsidRPr="006F307B">
        <w:t xml:space="preserve">The PBAC noted </w:t>
      </w:r>
      <w:r>
        <w:t>for the scenario</w:t>
      </w:r>
      <w:r w:rsidR="000F1F69" w:rsidRPr="006F307B">
        <w:t xml:space="preserve"> where </w:t>
      </w:r>
      <w:r>
        <w:t>the</w:t>
      </w:r>
      <w:r w:rsidRPr="006F307B">
        <w:t xml:space="preserve"> </w:t>
      </w:r>
      <w:r w:rsidR="000F1F69" w:rsidRPr="006F307B">
        <w:t xml:space="preserve">costs for nivolumab were </w:t>
      </w:r>
      <w:r>
        <w:t>excluded</w:t>
      </w:r>
      <w:r w:rsidR="004E2DED">
        <w:t>,</w:t>
      </w:r>
      <w:r w:rsidRPr="006F307B">
        <w:t xml:space="preserve"> </w:t>
      </w:r>
      <w:r w:rsidR="000F1F69" w:rsidRPr="006F307B">
        <w:t xml:space="preserve">the ICER </w:t>
      </w:r>
      <w:r>
        <w:t xml:space="preserve">for combination therapy </w:t>
      </w:r>
      <w:r w:rsidR="000F1F69" w:rsidRPr="006F307B">
        <w:t>increased to $</w:t>
      </w:r>
      <w:r w:rsidR="00CC214E">
        <w:t>75,000 to &lt;$95,000</w:t>
      </w:r>
      <w:r>
        <w:t>/QALY</w:t>
      </w:r>
      <w:r w:rsidR="004E2DED">
        <w:t>;</w:t>
      </w:r>
      <w:r w:rsidR="000F1F69" w:rsidRPr="006F307B">
        <w:t xml:space="preserve"> </w:t>
      </w:r>
      <w:r>
        <w:t>for the scenario where a benefit for 2L nivolumab treatment was included</w:t>
      </w:r>
      <w:r w:rsidR="004E2DED">
        <w:t>,</w:t>
      </w:r>
      <w:r>
        <w:t xml:space="preserve"> </w:t>
      </w:r>
      <w:r w:rsidR="00024E8B" w:rsidRPr="006F307B">
        <w:t xml:space="preserve">the ICER </w:t>
      </w:r>
      <w:r w:rsidR="00F25FA6" w:rsidRPr="006F307B">
        <w:t>increased to</w:t>
      </w:r>
      <w:r w:rsidR="00A12FC3" w:rsidRPr="006F307B">
        <w:t xml:space="preserve"> $</w:t>
      </w:r>
      <w:r w:rsidR="00CC214E">
        <w:t>95,000 to &lt;$115,000</w:t>
      </w:r>
      <w:r w:rsidR="00A12FC3" w:rsidRPr="006F307B">
        <w:t>/</w:t>
      </w:r>
      <w:r w:rsidR="00DE5B94">
        <w:t>QALY.</w:t>
      </w:r>
      <w:r w:rsidR="004E2DED">
        <w:t xml:space="preserve"> </w:t>
      </w:r>
      <w:r w:rsidR="00F75846" w:rsidRPr="000B496B">
        <w:rPr>
          <w:color w:val="auto"/>
        </w:rPr>
        <w:t>The PBAC agreed with the ESC</w:t>
      </w:r>
      <w:r w:rsidR="00487556" w:rsidRPr="000B496B">
        <w:rPr>
          <w:color w:val="auto"/>
        </w:rPr>
        <w:t>s</w:t>
      </w:r>
      <w:r w:rsidR="00F75846" w:rsidRPr="000B496B">
        <w:rPr>
          <w:color w:val="auto"/>
        </w:rPr>
        <w:t xml:space="preserve"> that the model</w:t>
      </w:r>
      <w:r w:rsidR="00F25FA6" w:rsidRPr="000B496B">
        <w:rPr>
          <w:color w:val="auto"/>
        </w:rPr>
        <w:t xml:space="preserve"> presented</w:t>
      </w:r>
      <w:r w:rsidR="00F75846" w:rsidRPr="000B496B">
        <w:rPr>
          <w:color w:val="auto"/>
        </w:rPr>
        <w:t xml:space="preserve"> </w:t>
      </w:r>
      <w:r w:rsidR="00F25FA6" w:rsidRPr="000B496B">
        <w:rPr>
          <w:color w:val="auto"/>
        </w:rPr>
        <w:t>was</w:t>
      </w:r>
      <w:r w:rsidR="00F75846" w:rsidRPr="000B496B">
        <w:rPr>
          <w:color w:val="auto"/>
        </w:rPr>
        <w:t xml:space="preserve"> inadequate to support decision making due to the exclusion of </w:t>
      </w:r>
      <w:r w:rsidR="00DE5B94" w:rsidRPr="00D324A5">
        <w:rPr>
          <w:color w:val="auto"/>
        </w:rPr>
        <w:t xml:space="preserve">health outcome </w:t>
      </w:r>
      <w:r w:rsidR="00F75846" w:rsidRPr="00D324A5">
        <w:rPr>
          <w:color w:val="auto"/>
        </w:rPr>
        <w:t xml:space="preserve">benefits expected </w:t>
      </w:r>
      <w:r w:rsidRPr="00D324A5">
        <w:rPr>
          <w:color w:val="auto"/>
        </w:rPr>
        <w:t xml:space="preserve">for </w:t>
      </w:r>
      <w:r w:rsidR="00F75846" w:rsidRPr="007E772A">
        <w:rPr>
          <w:color w:val="auto"/>
        </w:rPr>
        <w:t xml:space="preserve">patients </w:t>
      </w:r>
      <w:r w:rsidR="0056462B" w:rsidRPr="007E772A">
        <w:rPr>
          <w:color w:val="auto"/>
        </w:rPr>
        <w:t xml:space="preserve">in the SoC arm </w:t>
      </w:r>
      <w:r w:rsidR="00F75846" w:rsidRPr="007E772A">
        <w:rPr>
          <w:color w:val="auto"/>
        </w:rPr>
        <w:t xml:space="preserve">who would be treated with 2L nivolumab. </w:t>
      </w:r>
    </w:p>
    <w:p w:rsidR="00D324A5" w:rsidRPr="006F307B" w:rsidRDefault="00D324A5" w:rsidP="00330F14">
      <w:pPr>
        <w:pStyle w:val="ListParagraph"/>
      </w:pPr>
      <w:r w:rsidRPr="006F307B">
        <w:t xml:space="preserve">The PBAC considered that the proposed weighting </w:t>
      </w:r>
      <w:r>
        <w:t xml:space="preserve">of 80% of use of pembrolizumab monotherapy and 20% of use of pembrolizumab + chemotherapy </w:t>
      </w:r>
      <w:r w:rsidRPr="006F307B">
        <w:t xml:space="preserve">was not reasonable given that </w:t>
      </w:r>
      <w:r w:rsidR="004E2DED">
        <w:t>the combination</w:t>
      </w:r>
      <w:r w:rsidRPr="006F307B">
        <w:t xml:space="preserve"> appeared to be more effective in terms of OS.</w:t>
      </w:r>
    </w:p>
    <w:p w:rsidR="000D2ACB" w:rsidRPr="007E772A" w:rsidRDefault="00324811" w:rsidP="00F2607A">
      <w:pPr>
        <w:pStyle w:val="ListParagraph"/>
        <w:rPr>
          <w:color w:val="auto"/>
        </w:rPr>
      </w:pPr>
      <w:r w:rsidRPr="006F307B">
        <w:t xml:space="preserve">The PBAC noted the submission had </w:t>
      </w:r>
      <w:r w:rsidR="00656091" w:rsidRPr="006F307B">
        <w:t xml:space="preserve">estimated </w:t>
      </w:r>
      <w:r w:rsidRPr="00B74405">
        <w:t>the overall budget impact of</w:t>
      </w:r>
      <w:r w:rsidR="00656091" w:rsidRPr="00B74405">
        <w:t xml:space="preserve"> listing</w:t>
      </w:r>
      <w:r w:rsidR="00F857E5" w:rsidRPr="00B74405">
        <w:t xml:space="preserve"> pembrolizumab ± chemotherapy in previously untreated patients with R/M HNSCC of the oral cavity, pharynx or larynx (</w:t>
      </w:r>
      <w:r w:rsidR="00F857E5" w:rsidRPr="006F307B">
        <w:t>which is incurable by local therapy and who have CPS ≥1)</w:t>
      </w:r>
      <w:r w:rsidR="007379E4" w:rsidRPr="006F307B">
        <w:t xml:space="preserve"> </w:t>
      </w:r>
      <w:r w:rsidR="00DD05BB">
        <w:t>would be</w:t>
      </w:r>
      <w:r w:rsidR="00DD05BB" w:rsidRPr="006F307B">
        <w:t xml:space="preserve"> </w:t>
      </w:r>
      <w:r w:rsidRPr="006F307B">
        <w:t>$</w:t>
      </w:r>
      <w:r w:rsidR="00CC214E">
        <w:t xml:space="preserve">100 to &lt;$200 </w:t>
      </w:r>
      <w:r w:rsidRPr="006F307B">
        <w:t xml:space="preserve">million in the </w:t>
      </w:r>
      <w:r w:rsidR="00F857E5" w:rsidRPr="006F307B">
        <w:t>first six years of listing</w:t>
      </w:r>
      <w:r w:rsidRPr="006F307B">
        <w:t xml:space="preserve">, </w:t>
      </w:r>
      <w:r w:rsidR="008C1259" w:rsidRPr="006F307B">
        <w:t xml:space="preserve">with costs in each of these years </w:t>
      </w:r>
      <w:r w:rsidRPr="006F307B">
        <w:t>ranging from $</w:t>
      </w:r>
      <w:r w:rsidR="00CC214E">
        <w:t>20 to &lt;$30</w:t>
      </w:r>
      <w:r w:rsidRPr="006F307B">
        <w:t xml:space="preserve"> million (in Year 2) to $</w:t>
      </w:r>
      <w:r w:rsidR="00CC214E">
        <w:t>20 to &lt;$30</w:t>
      </w:r>
      <w:r w:rsidRPr="006F307B">
        <w:t xml:space="preserve"> million (in Year 1, </w:t>
      </w:r>
      <w:r w:rsidR="00DD05BB">
        <w:t>with</w:t>
      </w:r>
      <w:r w:rsidRPr="006F307B">
        <w:t xml:space="preserve"> grandfathered patients</w:t>
      </w:r>
      <w:r w:rsidR="007E772A">
        <w:t xml:space="preserve"> incl</w:t>
      </w:r>
      <w:r w:rsidR="00DD05BB">
        <w:t>uded</w:t>
      </w:r>
      <w:r w:rsidRPr="006F307B">
        <w:t xml:space="preserve">). </w:t>
      </w:r>
      <w:r w:rsidR="007E772A" w:rsidRPr="007E772A">
        <w:t xml:space="preserve">Overall, the PBAC considered the prevalence estimates </w:t>
      </w:r>
      <w:r w:rsidR="007E772A">
        <w:t xml:space="preserve">underpinning the financial forecasts </w:t>
      </w:r>
      <w:r w:rsidR="007E772A" w:rsidRPr="007E772A">
        <w:t xml:space="preserve">were uncertain and likely </w:t>
      </w:r>
      <w:r w:rsidR="007E772A" w:rsidRPr="007E772A">
        <w:lastRenderedPageBreak/>
        <w:t>overestimated.</w:t>
      </w:r>
      <w:r w:rsidR="007E772A">
        <w:t xml:space="preserve"> As outlined in paragraph 6.</w:t>
      </w:r>
      <w:r w:rsidR="00F75EAD">
        <w:t>78</w:t>
      </w:r>
      <w:r w:rsidR="007E772A">
        <w:t xml:space="preserve">, the </w:t>
      </w:r>
      <w:r w:rsidR="000D2ACB" w:rsidRPr="006F307B">
        <w:t>PBAC advised</w:t>
      </w:r>
      <w:r w:rsidR="00024E8B" w:rsidRPr="006F307B">
        <w:t xml:space="preserve"> that the prevalence of CPS </w:t>
      </w:r>
      <w:r w:rsidR="00024E8B" w:rsidRPr="007E772A">
        <w:rPr>
          <w:rFonts w:cstheme="minorHAnsi"/>
        </w:rPr>
        <w:t>≥</w:t>
      </w:r>
      <w:r w:rsidR="00024E8B" w:rsidRPr="006F307B">
        <w:t xml:space="preserve">1 </w:t>
      </w:r>
      <w:r w:rsidR="00F2607A">
        <w:t>should be</w:t>
      </w:r>
      <w:r w:rsidR="00F2607A" w:rsidRPr="006F307B">
        <w:t xml:space="preserve"> </w:t>
      </w:r>
      <w:r w:rsidR="00024E8B" w:rsidRPr="006F307B">
        <w:t xml:space="preserve">80% and </w:t>
      </w:r>
      <w:r w:rsidR="00F2607A">
        <w:t>that</w:t>
      </w:r>
      <w:r w:rsidR="00F2607A" w:rsidRPr="00F2607A">
        <w:t xml:space="preserve"> a more reliable source for estimating the proportion of 2L nivolumab use may be required.</w:t>
      </w:r>
      <w:r w:rsidR="00F2607A">
        <w:t xml:space="preserve"> The PBAC further advised that </w:t>
      </w:r>
      <w:r w:rsidR="00024E8B" w:rsidRPr="006F307B">
        <w:t xml:space="preserve">patients who have relapsed within 6 months of curative treatment (and are therefore eligible for nivolumab) </w:t>
      </w:r>
      <w:r w:rsidR="00F2607A">
        <w:t>should be</w:t>
      </w:r>
      <w:r w:rsidR="00F2607A" w:rsidRPr="006F307B">
        <w:t xml:space="preserve"> </w:t>
      </w:r>
      <w:r w:rsidR="00024E8B" w:rsidRPr="006F307B">
        <w:t>excluded</w:t>
      </w:r>
      <w:r w:rsidR="008C1259" w:rsidRPr="006F307B">
        <w:t xml:space="preserve"> from the estimates</w:t>
      </w:r>
      <w:r w:rsidR="00024E8B" w:rsidRPr="006F307B">
        <w:t xml:space="preserve">. </w:t>
      </w:r>
    </w:p>
    <w:p w:rsidR="00656091" w:rsidRPr="006F307B" w:rsidRDefault="000D2ACB" w:rsidP="006C16CA">
      <w:pPr>
        <w:pStyle w:val="ListParagraph"/>
        <w:rPr>
          <w:color w:val="auto"/>
        </w:rPr>
      </w:pPr>
      <w:r w:rsidRPr="006F307B">
        <w:t>The PBAC noted that the sponsor proposed that this indication join the existing nivolumab Risk Sharing Arrangement (RSA) with the subsidisation cap</w:t>
      </w:r>
      <w:r w:rsidR="0083505E">
        <w:t>s</w:t>
      </w:r>
      <w:r w:rsidRPr="006F307B">
        <w:t xml:space="preserve"> </w:t>
      </w:r>
      <w:r w:rsidR="00BD764D">
        <w:t>expanded to include</w:t>
      </w:r>
      <w:r w:rsidRPr="006F307B">
        <w:t xml:space="preserve"> pembrolizumab</w:t>
      </w:r>
      <w:r w:rsidR="00BD764D">
        <w:t xml:space="preserve"> as a first line treatm</w:t>
      </w:r>
      <w:r w:rsidR="00D63A59">
        <w:t>en</w:t>
      </w:r>
      <w:r w:rsidR="00BD764D">
        <w:t>t</w:t>
      </w:r>
      <w:r w:rsidRPr="006F307B">
        <w:t xml:space="preserve">. The PBAC </w:t>
      </w:r>
      <w:r w:rsidR="006C16CA" w:rsidRPr="006F307B">
        <w:t xml:space="preserve">considered that the relative proportion of 1L pembrolizumab and 2L </w:t>
      </w:r>
      <w:r w:rsidR="00BD764D">
        <w:t>nivolumab</w:t>
      </w:r>
      <w:r w:rsidR="00BD764D" w:rsidRPr="006F307B">
        <w:t xml:space="preserve"> </w:t>
      </w:r>
      <w:r w:rsidR="006C16CA" w:rsidRPr="006F307B">
        <w:t>would be an important factor in establishing t</w:t>
      </w:r>
      <w:r w:rsidR="0056462B">
        <w:t>he appropriate changes to caps.</w:t>
      </w:r>
    </w:p>
    <w:p w:rsidR="008C1259" w:rsidRPr="006F307B" w:rsidRDefault="008C1259" w:rsidP="008C1259">
      <w:pPr>
        <w:pStyle w:val="ListParagraph"/>
      </w:pPr>
      <w:r w:rsidRPr="006F307B">
        <w:t>The PBAC considered the possible approaches for assessing the effectiveness and cost-effectiveness of pembrolizumab</w:t>
      </w:r>
      <w:r w:rsidR="008F06DC" w:rsidRPr="006F307B">
        <w:t xml:space="preserve"> in HNSCC</w:t>
      </w:r>
      <w:r w:rsidR="0056462B">
        <w:t>:</w:t>
      </w:r>
    </w:p>
    <w:p w:rsidR="008C1259" w:rsidRPr="006F307B" w:rsidRDefault="008C1259" w:rsidP="008C1259">
      <w:pPr>
        <w:pStyle w:val="ListParagraph"/>
        <w:numPr>
          <w:ilvl w:val="0"/>
          <w:numId w:val="38"/>
        </w:numPr>
      </w:pPr>
      <w:r w:rsidRPr="006F307B">
        <w:t xml:space="preserve">Pembrolizumab </w:t>
      </w:r>
      <w:r w:rsidR="008F06DC" w:rsidRPr="006F307B">
        <w:t>+</w:t>
      </w:r>
      <w:r w:rsidRPr="006F307B">
        <w:t xml:space="preserve"> chemotherapy in the CPS </w:t>
      </w:r>
      <w:r w:rsidRPr="006F307B">
        <w:rPr>
          <w:rFonts w:cstheme="minorHAnsi"/>
        </w:rPr>
        <w:t>≥</w:t>
      </w:r>
      <w:r w:rsidRPr="006F307B">
        <w:t xml:space="preserve">1 population, pending MSAC </w:t>
      </w:r>
      <w:r w:rsidR="0056462B">
        <w:t>support</w:t>
      </w:r>
      <w:r w:rsidR="00A77857">
        <w:t xml:space="preserve"> for this approach</w:t>
      </w:r>
      <w:r w:rsidRPr="006F307B">
        <w:t xml:space="preserve">. If MSAC </w:t>
      </w:r>
      <w:r w:rsidR="00A77857">
        <w:t>did not support this approach</w:t>
      </w:r>
      <w:r w:rsidRPr="006F307B">
        <w:t xml:space="preserve">, the PBAC noted the option of </w:t>
      </w:r>
      <w:r w:rsidR="00A77857">
        <w:t xml:space="preserve">considering this combination in </w:t>
      </w:r>
      <w:r w:rsidRPr="006F307B">
        <w:t xml:space="preserve">the ITT population, but considered this </w:t>
      </w:r>
      <w:r w:rsidR="00A77857">
        <w:t>to be problematic given the TGA-</w:t>
      </w:r>
      <w:r w:rsidRPr="006F307B">
        <w:t>approved indication</w:t>
      </w:r>
      <w:r w:rsidR="00AD33C8">
        <w:t xml:space="preserve"> of CPS</w:t>
      </w:r>
      <w:r w:rsidR="001F5FB6">
        <w:t xml:space="preserve"> </w:t>
      </w:r>
      <w:r w:rsidR="00AD33C8">
        <w:t>≥1</w:t>
      </w:r>
      <w:r w:rsidR="0056462B">
        <w:t>.</w:t>
      </w:r>
    </w:p>
    <w:p w:rsidR="008C1259" w:rsidRPr="006F307B" w:rsidRDefault="008C1259" w:rsidP="008C1259">
      <w:pPr>
        <w:pStyle w:val="ListParagraph"/>
        <w:numPr>
          <w:ilvl w:val="0"/>
          <w:numId w:val="38"/>
        </w:numPr>
      </w:pPr>
      <w:r w:rsidRPr="006F307B">
        <w:t xml:space="preserve">For pembrolizumab monotherapy, the PBAC advised that </w:t>
      </w:r>
      <w:r w:rsidR="00AD33C8">
        <w:t xml:space="preserve">further </w:t>
      </w:r>
      <w:r w:rsidRPr="006F307B">
        <w:t xml:space="preserve">data </w:t>
      </w:r>
      <w:r w:rsidR="00A77857">
        <w:t>to demonstrate superior clinical effectiveness,</w:t>
      </w:r>
      <w:r w:rsidR="00A77857" w:rsidRPr="006F307B">
        <w:t xml:space="preserve"> </w:t>
      </w:r>
      <w:r w:rsidRPr="006F307B">
        <w:t>and clarity regarding the appropriate CPS cut-off</w:t>
      </w:r>
      <w:r w:rsidR="00A77857">
        <w:t>,</w:t>
      </w:r>
      <w:r w:rsidRPr="006F307B">
        <w:t xml:space="preserve"> would be required</w:t>
      </w:r>
      <w:r w:rsidR="0056462B">
        <w:t>.</w:t>
      </w:r>
    </w:p>
    <w:p w:rsidR="006C16CA" w:rsidRPr="006F307B" w:rsidRDefault="00EF610A" w:rsidP="006C16CA">
      <w:pPr>
        <w:pStyle w:val="ListParagraph"/>
        <w:rPr>
          <w:color w:val="auto"/>
        </w:rPr>
      </w:pPr>
      <w:r w:rsidRPr="006F307B">
        <w:rPr>
          <w:color w:val="auto"/>
        </w:rPr>
        <w:t xml:space="preserve">The PBAC advised </w:t>
      </w:r>
      <w:r w:rsidR="005459F8" w:rsidRPr="00B74405">
        <w:rPr>
          <w:color w:val="auto"/>
        </w:rPr>
        <w:t xml:space="preserve">that a resubmission would </w:t>
      </w:r>
      <w:r w:rsidR="008F06DC" w:rsidRPr="00B74405">
        <w:rPr>
          <w:color w:val="auto"/>
        </w:rPr>
        <w:t>be a major resubmission and would need to</w:t>
      </w:r>
      <w:r w:rsidR="005459F8" w:rsidRPr="006F307B">
        <w:rPr>
          <w:color w:val="auto"/>
        </w:rPr>
        <w:t xml:space="preserve"> address the following issues: </w:t>
      </w:r>
    </w:p>
    <w:p w:rsidR="008F06DC" w:rsidRPr="006F307B" w:rsidRDefault="00005DEB" w:rsidP="00CA41B6">
      <w:pPr>
        <w:pStyle w:val="ListParagraph"/>
        <w:numPr>
          <w:ilvl w:val="0"/>
          <w:numId w:val="39"/>
        </w:numPr>
        <w:rPr>
          <w:color w:val="auto"/>
        </w:rPr>
      </w:pPr>
      <w:r w:rsidRPr="006F307B">
        <w:rPr>
          <w:color w:val="auto"/>
        </w:rPr>
        <w:t xml:space="preserve">Inclusion of 2L nivolumab </w:t>
      </w:r>
      <w:r w:rsidR="00A77857">
        <w:rPr>
          <w:color w:val="auto"/>
        </w:rPr>
        <w:t xml:space="preserve">health outcome </w:t>
      </w:r>
      <w:r w:rsidRPr="006F307B">
        <w:rPr>
          <w:color w:val="auto"/>
        </w:rPr>
        <w:t>benefit</w:t>
      </w:r>
      <w:r w:rsidR="008F06DC" w:rsidRPr="006F307B">
        <w:rPr>
          <w:color w:val="auto"/>
        </w:rPr>
        <w:t>s</w:t>
      </w:r>
      <w:r w:rsidR="0056462B">
        <w:rPr>
          <w:color w:val="auto"/>
        </w:rPr>
        <w:t xml:space="preserve"> </w:t>
      </w:r>
      <w:r w:rsidR="00A77857">
        <w:rPr>
          <w:color w:val="auto"/>
        </w:rPr>
        <w:t xml:space="preserve">as well as </w:t>
      </w:r>
      <w:r w:rsidR="0056462B">
        <w:rPr>
          <w:color w:val="auto"/>
        </w:rPr>
        <w:t xml:space="preserve">costs in the </w:t>
      </w:r>
      <w:r w:rsidR="00A77857">
        <w:rPr>
          <w:color w:val="auto"/>
        </w:rPr>
        <w:t xml:space="preserve">SoC arm of the </w:t>
      </w:r>
      <w:r w:rsidR="0056462B">
        <w:rPr>
          <w:color w:val="auto"/>
        </w:rPr>
        <w:t>model,</w:t>
      </w:r>
    </w:p>
    <w:p w:rsidR="00005DEB" w:rsidRPr="001F5FB6" w:rsidRDefault="00643AAA" w:rsidP="00CA41B6">
      <w:pPr>
        <w:pStyle w:val="ListParagraph"/>
        <w:numPr>
          <w:ilvl w:val="0"/>
          <w:numId w:val="39"/>
        </w:numPr>
        <w:rPr>
          <w:color w:val="auto"/>
        </w:rPr>
      </w:pPr>
      <w:r w:rsidRPr="006F307B">
        <w:rPr>
          <w:color w:val="auto"/>
        </w:rPr>
        <w:t>Additional</w:t>
      </w:r>
      <w:r w:rsidR="00005DEB" w:rsidRPr="006F307B">
        <w:rPr>
          <w:color w:val="auto"/>
        </w:rPr>
        <w:t xml:space="preserve"> revisions to the economic</w:t>
      </w:r>
      <w:r w:rsidRPr="006F307B">
        <w:rPr>
          <w:color w:val="auto"/>
        </w:rPr>
        <w:t xml:space="preserve"> model taking into account</w:t>
      </w:r>
      <w:r w:rsidR="00FA64EE" w:rsidRPr="006F307B">
        <w:rPr>
          <w:color w:val="auto"/>
        </w:rPr>
        <w:t xml:space="preserve"> the uncertainties </w:t>
      </w:r>
      <w:r w:rsidR="007278E9">
        <w:rPr>
          <w:color w:val="auto"/>
        </w:rPr>
        <w:t xml:space="preserve">described </w:t>
      </w:r>
      <w:r w:rsidR="00FA64EE" w:rsidRPr="001F5FB6">
        <w:rPr>
          <w:color w:val="auto"/>
        </w:rPr>
        <w:t>in paragraph</w:t>
      </w:r>
      <w:r w:rsidR="00005DEB" w:rsidRPr="001F5FB6">
        <w:rPr>
          <w:color w:val="auto"/>
        </w:rPr>
        <w:t xml:space="preserve"> </w:t>
      </w:r>
      <w:r w:rsidR="00FA64EE" w:rsidRPr="001F5FB6">
        <w:rPr>
          <w:color w:val="auto"/>
        </w:rPr>
        <w:t>7.10</w:t>
      </w:r>
      <w:r w:rsidRPr="001F5FB6">
        <w:rPr>
          <w:color w:val="auto"/>
        </w:rPr>
        <w:t xml:space="preserve"> and</w:t>
      </w:r>
      <w:r w:rsidRPr="006F307B">
        <w:rPr>
          <w:color w:val="auto"/>
        </w:rPr>
        <w:t xml:space="preserve"> the suggested approaches </w:t>
      </w:r>
      <w:r w:rsidRPr="001F5FB6">
        <w:rPr>
          <w:color w:val="auto"/>
        </w:rPr>
        <w:t>in paragraph 7.1</w:t>
      </w:r>
      <w:r w:rsidR="007278E9" w:rsidRPr="001F5FB6">
        <w:rPr>
          <w:color w:val="auto"/>
        </w:rPr>
        <w:t>1 and 7.12</w:t>
      </w:r>
      <w:r w:rsidR="0056462B" w:rsidRPr="001F5FB6">
        <w:rPr>
          <w:color w:val="auto"/>
        </w:rPr>
        <w:t>,</w:t>
      </w:r>
    </w:p>
    <w:p w:rsidR="00ED3E67" w:rsidRPr="006F307B" w:rsidRDefault="00ED3E67" w:rsidP="00CA41B6">
      <w:pPr>
        <w:pStyle w:val="ListParagraph"/>
        <w:numPr>
          <w:ilvl w:val="0"/>
          <w:numId w:val="39"/>
        </w:numPr>
        <w:rPr>
          <w:color w:val="auto"/>
        </w:rPr>
      </w:pPr>
      <w:r w:rsidRPr="006F307B">
        <w:rPr>
          <w:color w:val="auto"/>
        </w:rPr>
        <w:t xml:space="preserve">The financial estimates should be revised to reflect reduced patient numbers and </w:t>
      </w:r>
      <w:r w:rsidR="00643AAA" w:rsidRPr="006F307B">
        <w:rPr>
          <w:color w:val="auto"/>
        </w:rPr>
        <w:t>a reduction in</w:t>
      </w:r>
      <w:r w:rsidR="00005DEB" w:rsidRPr="006F307B">
        <w:rPr>
          <w:color w:val="auto"/>
        </w:rPr>
        <w:t xml:space="preserve"> </w:t>
      </w:r>
      <w:r w:rsidRPr="006F307B">
        <w:rPr>
          <w:color w:val="auto"/>
        </w:rPr>
        <w:t xml:space="preserve">CPS </w:t>
      </w:r>
      <w:r w:rsidRPr="006F307B">
        <w:rPr>
          <w:rFonts w:cstheme="minorHAnsi"/>
          <w:color w:val="auto"/>
        </w:rPr>
        <w:t>≥</w:t>
      </w:r>
      <w:r w:rsidR="0056462B">
        <w:rPr>
          <w:color w:val="auto"/>
        </w:rPr>
        <w:t>1 prevalence to 80%</w:t>
      </w:r>
      <w:r w:rsidR="00F75EAD">
        <w:rPr>
          <w:color w:val="auto"/>
        </w:rPr>
        <w:t xml:space="preserve"> (see paragraph 6.78), along with addressing issues outlined in paragraph 6.78 and 7.14</w:t>
      </w:r>
      <w:r w:rsidR="0056462B">
        <w:rPr>
          <w:color w:val="auto"/>
        </w:rPr>
        <w:t>,</w:t>
      </w:r>
    </w:p>
    <w:p w:rsidR="005459F8" w:rsidRPr="006F307B" w:rsidRDefault="00ED3E67" w:rsidP="00CA41B6">
      <w:pPr>
        <w:pStyle w:val="ListParagraph"/>
        <w:numPr>
          <w:ilvl w:val="0"/>
          <w:numId w:val="39"/>
        </w:numPr>
        <w:rPr>
          <w:color w:val="auto"/>
        </w:rPr>
      </w:pPr>
      <w:r w:rsidRPr="006F307B">
        <w:rPr>
          <w:color w:val="auto"/>
        </w:rPr>
        <w:t>An RSA with a combined cap</w:t>
      </w:r>
      <w:r w:rsidR="002E2E47">
        <w:rPr>
          <w:color w:val="auto"/>
        </w:rPr>
        <w:t xml:space="preserve"> for 1L pembrolizumab and 2L nivolumab</w:t>
      </w:r>
      <w:r w:rsidR="0056462B">
        <w:rPr>
          <w:color w:val="auto"/>
        </w:rPr>
        <w:t>.</w:t>
      </w:r>
    </w:p>
    <w:p w:rsidR="006224C3" w:rsidRPr="006F307B" w:rsidRDefault="00656091" w:rsidP="006224C3">
      <w:pPr>
        <w:pStyle w:val="ListParagraph"/>
        <w:rPr>
          <w:color w:val="auto"/>
        </w:rPr>
      </w:pPr>
      <w:r w:rsidRPr="007278E9">
        <w:rPr>
          <w:snapToGrid w:val="0"/>
        </w:rPr>
        <w:t>The PBAC noted that this submission is eligible for an Independent Review.</w:t>
      </w:r>
    </w:p>
    <w:p w:rsidR="0056462B" w:rsidRPr="0056462B" w:rsidRDefault="0056462B" w:rsidP="006224C3">
      <w:pPr>
        <w:spacing w:before="0" w:after="0"/>
        <w:rPr>
          <w:rFonts w:cs="Arial"/>
          <w:bCs/>
          <w:snapToGrid w:val="0"/>
        </w:rPr>
      </w:pPr>
    </w:p>
    <w:p w:rsidR="007A4C5A" w:rsidRPr="007278E9" w:rsidRDefault="007A4C5A" w:rsidP="006224C3">
      <w:pPr>
        <w:spacing w:before="0" w:after="0"/>
        <w:rPr>
          <w:rFonts w:cs="Arial"/>
          <w:b/>
          <w:bCs/>
          <w:snapToGrid w:val="0"/>
        </w:rPr>
      </w:pPr>
      <w:r w:rsidRPr="007278E9">
        <w:rPr>
          <w:rFonts w:cs="Arial"/>
          <w:b/>
          <w:bCs/>
          <w:snapToGrid w:val="0"/>
        </w:rPr>
        <w:t>Outcome:</w:t>
      </w:r>
    </w:p>
    <w:p w:rsidR="00CF1BE2" w:rsidRDefault="007A4C5A" w:rsidP="00C0538B">
      <w:pPr>
        <w:spacing w:before="0" w:after="0"/>
        <w:rPr>
          <w:rFonts w:cs="Arial"/>
          <w:bCs/>
          <w:snapToGrid w:val="0"/>
        </w:rPr>
      </w:pPr>
      <w:r w:rsidRPr="007278E9">
        <w:rPr>
          <w:rFonts w:cs="Arial"/>
          <w:bCs/>
          <w:snapToGrid w:val="0"/>
        </w:rPr>
        <w:t>Reje</w:t>
      </w:r>
      <w:r w:rsidR="0056462B">
        <w:rPr>
          <w:rFonts w:cs="Arial"/>
          <w:bCs/>
          <w:snapToGrid w:val="0"/>
        </w:rPr>
        <w:t>cted</w:t>
      </w:r>
    </w:p>
    <w:p w:rsidR="00CF1BE2" w:rsidRDefault="00CF1BE2" w:rsidP="00C0538B">
      <w:pPr>
        <w:spacing w:before="0" w:after="0"/>
        <w:rPr>
          <w:rFonts w:cs="Arial"/>
          <w:bCs/>
          <w:snapToGrid w:val="0"/>
        </w:rPr>
      </w:pPr>
    </w:p>
    <w:p w:rsidR="00CF1BE2" w:rsidRPr="0072002E" w:rsidRDefault="00CF1BE2" w:rsidP="0072002E">
      <w:pPr>
        <w:pStyle w:val="PBACESHeading1"/>
      </w:pPr>
      <w:r w:rsidRPr="00C07617">
        <w:lastRenderedPageBreak/>
        <w:t>Context for Decision</w:t>
      </w:r>
    </w:p>
    <w:p w:rsidR="00CF1BE2" w:rsidRPr="0072002E" w:rsidRDefault="00CF1BE2" w:rsidP="0072002E">
      <w:pPr>
        <w:pStyle w:val="ListParagraph"/>
        <w:numPr>
          <w:ilvl w:val="0"/>
          <w:numId w:val="0"/>
        </w:numPr>
        <w:ind w:left="720"/>
      </w:pPr>
      <w:r w:rsidRPr="0072002E">
        <w:rPr>
          <w:color w:val="auto"/>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F1BE2" w:rsidRPr="00B379DC" w:rsidRDefault="00CF1BE2" w:rsidP="0072002E">
      <w:pPr>
        <w:pStyle w:val="PBACESHeading1"/>
      </w:pPr>
      <w:r>
        <w:t>Sponsor’s Comment</w:t>
      </w:r>
    </w:p>
    <w:p w:rsidR="00823D81" w:rsidRPr="00823D81" w:rsidRDefault="00823D81" w:rsidP="0072002E">
      <w:pPr>
        <w:pStyle w:val="ListParagraph"/>
        <w:numPr>
          <w:ilvl w:val="0"/>
          <w:numId w:val="0"/>
        </w:numPr>
        <w:ind w:left="720"/>
        <w:rPr>
          <w:color w:val="auto"/>
        </w:rPr>
      </w:pPr>
      <w:r w:rsidRPr="00823D81">
        <w:rPr>
          <w:color w:val="auto"/>
        </w:rPr>
        <w:t>MSD is disappointed that the PBAC has decided not to recommend pembrolizumab for recurrent or metastatic SCCHN. This is a debilitating cancer where the side effects of treatment are often visible and can result in severe facial disfigurement impacting a patient’s ability to see, swallow speak and breathe. This decision has denied patients the opportunity to have a treatment option that has demonstrated, survival benefits, durable response rates and a reduction in treatment burden.</w:t>
      </w:r>
    </w:p>
    <w:p w:rsidR="00823D81" w:rsidRPr="00823D81" w:rsidRDefault="00823D81" w:rsidP="0072002E">
      <w:pPr>
        <w:pStyle w:val="ListParagraph"/>
        <w:numPr>
          <w:ilvl w:val="0"/>
          <w:numId w:val="0"/>
        </w:numPr>
        <w:ind w:left="720"/>
        <w:rPr>
          <w:color w:val="auto"/>
        </w:rPr>
      </w:pPr>
      <w:r w:rsidRPr="00823D81">
        <w:rPr>
          <w:color w:val="auto"/>
        </w:rPr>
        <w:t xml:space="preserve">While MSD agrees with the PBAC that pembrolizumab plus chemotherapy is clinically superior to first-line chemotherapy, we disagree that pembrolizumab monotherapy is not clinically superior to first-line chemotherapy, as the data demonstrates that pembrolizumab monotherapy is efficacious for patients with a CPS score ≥1. </w:t>
      </w:r>
    </w:p>
    <w:p w:rsidR="00CF1BE2" w:rsidRPr="006F307B" w:rsidRDefault="00823D81" w:rsidP="0072002E">
      <w:pPr>
        <w:spacing w:before="0" w:after="0"/>
        <w:ind w:left="720"/>
        <w:rPr>
          <w:rFonts w:cs="Arial"/>
          <w:bCs/>
          <w:snapToGrid w:val="0"/>
        </w:rPr>
      </w:pPr>
      <w:r w:rsidRPr="00823D81">
        <w:t>MSD will work to ensure patients with recurrent or metastatic SCCHN will be able to access pembrolizumab as soon as possible on the PBS.</w:t>
      </w:r>
    </w:p>
    <w:p w:rsidR="00754E5A" w:rsidRPr="00C870D3" w:rsidRDefault="00754E5A" w:rsidP="0072002E">
      <w:pPr>
        <w:spacing w:before="0" w:after="0"/>
      </w:pPr>
    </w:p>
    <w:sectPr w:rsidR="00754E5A" w:rsidRPr="00C870D3" w:rsidSect="005A19A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39B" w:rsidRDefault="005C339B" w:rsidP="00BA3306">
      <w:pPr>
        <w:spacing w:before="0" w:after="0"/>
      </w:pPr>
      <w:r>
        <w:separator/>
      </w:r>
    </w:p>
    <w:p w:rsidR="005C339B" w:rsidRDefault="005C339B"/>
  </w:endnote>
  <w:endnote w:type="continuationSeparator" w:id="0">
    <w:p w:rsidR="005C339B" w:rsidRDefault="005C339B" w:rsidP="00BA3306">
      <w:pPr>
        <w:spacing w:before="0" w:after="0"/>
      </w:pPr>
      <w:r>
        <w:continuationSeparator/>
      </w:r>
    </w:p>
    <w:p w:rsidR="005C339B" w:rsidRDefault="005C3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Humanist 77 7 BT">
    <w:altName w:val="Humanist 77 7 BT"/>
    <w:panose1 w:val="00000000000000000000"/>
    <w:charset w:val="00"/>
    <w:family w:val="swiss"/>
    <w:notTrueType/>
    <w:pitch w:val="default"/>
    <w:sig w:usb0="00000003" w:usb1="00000000" w:usb2="00000000" w:usb3="00000000" w:csb0="00000001" w:csb1="00000000"/>
  </w:font>
  <w:font w:name="Open Sans">
    <w:altName w:val="MS Reference Sans Serif"/>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9B" w:rsidRDefault="005C3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9B" w:rsidRDefault="005C339B" w:rsidP="006852F4">
    <w:pPr>
      <w:pStyle w:val="Footer"/>
      <w:jc w:val="center"/>
      <w:rPr>
        <w:b/>
      </w:rPr>
    </w:pPr>
  </w:p>
  <w:p w:rsidR="005C339B" w:rsidRPr="006852F4" w:rsidRDefault="005C339B" w:rsidP="006852F4">
    <w:pPr>
      <w:pStyle w:val="Footer"/>
      <w:jc w:val="center"/>
      <w:rPr>
        <w:b/>
        <w:noProof/>
      </w:rPr>
    </w:pPr>
    <w:r w:rsidRPr="008F6F21">
      <w:rPr>
        <w:b/>
      </w:rPr>
      <w:fldChar w:fldCharType="begin"/>
    </w:r>
    <w:r w:rsidRPr="008F6F21">
      <w:rPr>
        <w:b/>
      </w:rPr>
      <w:instrText xml:space="preserve"> PAGE   \* MERGEFORMAT </w:instrText>
    </w:r>
    <w:r w:rsidRPr="008F6F21">
      <w:rPr>
        <w:b/>
      </w:rPr>
      <w:fldChar w:fldCharType="separate"/>
    </w:r>
    <w:r w:rsidR="00412F4A">
      <w:rPr>
        <w:b/>
        <w:noProof/>
      </w:rPr>
      <w:t>52</w:t>
    </w:r>
    <w:r w:rsidRPr="008F6F21">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9B" w:rsidRDefault="005C3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39B" w:rsidRDefault="005C339B" w:rsidP="00BA3306">
      <w:pPr>
        <w:spacing w:before="0" w:after="0"/>
      </w:pPr>
      <w:r>
        <w:separator/>
      </w:r>
    </w:p>
    <w:p w:rsidR="005C339B" w:rsidRDefault="005C339B"/>
  </w:footnote>
  <w:footnote w:type="continuationSeparator" w:id="0">
    <w:p w:rsidR="005C339B" w:rsidRDefault="005C339B" w:rsidP="00BA3306">
      <w:pPr>
        <w:spacing w:before="0" w:after="0"/>
      </w:pPr>
      <w:r>
        <w:continuationSeparator/>
      </w:r>
    </w:p>
    <w:p w:rsidR="005C339B" w:rsidRDefault="005C339B"/>
  </w:footnote>
  <w:footnote w:id="1">
    <w:p w:rsidR="005C339B" w:rsidRDefault="005C339B">
      <w:pPr>
        <w:pStyle w:val="FootnoteText"/>
      </w:pPr>
      <w:r w:rsidRPr="001B72CE">
        <w:rPr>
          <w:rStyle w:val="FootnoteReference"/>
        </w:rPr>
        <w:footnoteRef/>
      </w:r>
      <w:r w:rsidRPr="001B72CE">
        <w:t xml:space="preserve"> 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9B" w:rsidRDefault="005C3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9B" w:rsidRPr="008F6F21" w:rsidRDefault="005C339B" w:rsidP="001D36B1">
    <w:pPr>
      <w:pStyle w:val="Header"/>
      <w:jc w:val="center"/>
      <w:rPr>
        <w:i/>
      </w:rPr>
    </w:pPr>
    <w:r>
      <w:rPr>
        <w:i/>
      </w:rPr>
      <w:t xml:space="preserve">Public Summary Document – November </w:t>
    </w:r>
    <w:r w:rsidRPr="008F6F21">
      <w:rPr>
        <w:i/>
      </w:rPr>
      <w:t>2020 PBAC Meeting</w:t>
    </w:r>
  </w:p>
  <w:p w:rsidR="005C339B" w:rsidRDefault="005C339B" w:rsidP="00C317F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9B" w:rsidRDefault="005C3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12467"/>
    <w:multiLevelType w:val="hybridMultilevel"/>
    <w:tmpl w:val="8D00C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17EB9"/>
    <w:multiLevelType w:val="hybridMultilevel"/>
    <w:tmpl w:val="B4B64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6611A3"/>
    <w:multiLevelType w:val="hybridMultilevel"/>
    <w:tmpl w:val="BB52C6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490F8C"/>
    <w:multiLevelType w:val="multilevel"/>
    <w:tmpl w:val="B3ECD226"/>
    <w:lvl w:ilvl="0">
      <w:start w:val="1"/>
      <w:numFmt w:val="decimal"/>
      <w:pStyle w:val="Heading1"/>
      <w:lvlText w:val="%1"/>
      <w:lvlJc w:val="left"/>
      <w:pPr>
        <w:ind w:left="1000" w:hanging="432"/>
      </w:pPr>
      <w:rPr>
        <w:rFonts w:hint="default"/>
        <w:b/>
      </w:rPr>
    </w:lvl>
    <w:lvl w:ilvl="1">
      <w:start w:val="1"/>
      <w:numFmt w:val="upperLetter"/>
      <w:pStyle w:val="Heading1subheading"/>
      <w:lvlText w:val="%1%2"/>
      <w:lvlJc w:val="left"/>
      <w:pPr>
        <w:ind w:left="1428" w:hanging="576"/>
      </w:pPr>
      <w:rPr>
        <w:rFonts w:hint="default"/>
      </w:rPr>
    </w:lvl>
    <w:lvl w:ilvl="2">
      <w:start w:val="1"/>
      <w:numFmt w:val="decimal"/>
      <w:pStyle w:val="Heading2SECTION2"/>
      <w:lvlText w:val="%1%2.%3"/>
      <w:lvlJc w:val="left"/>
      <w:pPr>
        <w:ind w:left="568" w:firstLine="0"/>
      </w:pPr>
      <w:rPr>
        <w:rFonts w:hint="default"/>
      </w:rPr>
    </w:lvl>
    <w:lvl w:ilvl="3">
      <w:start w:val="1"/>
      <w:numFmt w:val="decimal"/>
      <w:lvlRestart w:val="1"/>
      <w:pStyle w:val="Heading2"/>
      <w:lvlText w:val="%1.%4"/>
      <w:lvlJc w:val="left"/>
      <w:pPr>
        <w:ind w:left="5118" w:hanging="864"/>
      </w:pPr>
      <w:rPr>
        <w:rFonts w:hint="default"/>
      </w:rPr>
    </w:lvl>
    <w:lvl w:ilvl="4">
      <w:start w:val="1"/>
      <w:numFmt w:val="decimal"/>
      <w:lvlRestart w:val="3"/>
      <w:pStyle w:val="Heading2Clinical"/>
      <w:lvlText w:val="%1%2.%5"/>
      <w:lvlJc w:val="left"/>
      <w:pPr>
        <w:ind w:left="568" w:firstLine="0"/>
      </w:pPr>
      <w:rPr>
        <w:rFonts w:hint="default"/>
      </w:rPr>
    </w:lvl>
    <w:lvl w:ilvl="5">
      <w:start w:val="1"/>
      <w:numFmt w:val="none"/>
      <w:pStyle w:val="Heading3"/>
      <w:suff w:val="nothing"/>
      <w:lvlText w:val=""/>
      <w:lvlJc w:val="left"/>
      <w:pPr>
        <w:ind w:left="568" w:firstLine="0"/>
      </w:pPr>
      <w:rPr>
        <w:rFonts w:hint="default"/>
      </w:rPr>
    </w:lvl>
    <w:lvl w:ilvl="6">
      <w:start w:val="1"/>
      <w:numFmt w:val="none"/>
      <w:pStyle w:val="Heading4"/>
      <w:suff w:val="nothing"/>
      <w:lvlText w:val=""/>
      <w:lvlJc w:val="left"/>
      <w:pPr>
        <w:ind w:left="1864" w:hanging="1296"/>
      </w:pPr>
      <w:rPr>
        <w:rFonts w:hint="default"/>
      </w:rPr>
    </w:lvl>
    <w:lvl w:ilvl="7">
      <w:start w:val="1"/>
      <w:numFmt w:val="decimal"/>
      <w:pStyle w:val="Heading8"/>
      <w:lvlText w:val="%1.%2.%3.%4.%5.%6.%7.%8"/>
      <w:lvlJc w:val="left"/>
      <w:pPr>
        <w:ind w:left="2008" w:hanging="1440"/>
      </w:pPr>
      <w:rPr>
        <w:rFonts w:hint="default"/>
      </w:rPr>
    </w:lvl>
    <w:lvl w:ilvl="8">
      <w:start w:val="1"/>
      <w:numFmt w:val="decimal"/>
      <w:pStyle w:val="Heading9"/>
      <w:lvlText w:val="%1.%2.%3.%4.%5.%6.%7.%8.%9"/>
      <w:lvlJc w:val="left"/>
      <w:pPr>
        <w:ind w:left="2152" w:hanging="1584"/>
      </w:pPr>
      <w:rPr>
        <w:rFonts w:hint="default"/>
      </w:rPr>
    </w:lvl>
  </w:abstractNum>
  <w:abstractNum w:abstractNumId="7" w15:restartNumberingAfterBreak="0">
    <w:nsid w:val="1D5D2318"/>
    <w:multiLevelType w:val="hybridMultilevel"/>
    <w:tmpl w:val="FAF42B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DCC64C9"/>
    <w:multiLevelType w:val="hybridMultilevel"/>
    <w:tmpl w:val="FE10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F1DA6"/>
    <w:multiLevelType w:val="hybridMultilevel"/>
    <w:tmpl w:val="28828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F84B69"/>
    <w:multiLevelType w:val="hybridMultilevel"/>
    <w:tmpl w:val="A2229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497542"/>
    <w:multiLevelType w:val="hybridMultilevel"/>
    <w:tmpl w:val="57B050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933BF8"/>
    <w:multiLevelType w:val="multilevel"/>
    <w:tmpl w:val="B22A93B6"/>
    <w:styleLink w:val="Heading1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931FFF"/>
    <w:multiLevelType w:val="multilevel"/>
    <w:tmpl w:val="67349EAE"/>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720" w:hanging="720"/>
      </w:pPr>
      <w:rPr>
        <w:rFonts w:ascii="Symbol" w:hAnsi="Symbol" w:hint="default"/>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56BF4"/>
    <w:multiLevelType w:val="hybridMultilevel"/>
    <w:tmpl w:val="A18AAF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55215E"/>
    <w:multiLevelType w:val="hybridMultilevel"/>
    <w:tmpl w:val="AE58D640"/>
    <w:lvl w:ilvl="0" w:tplc="648A5F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8F3A0A"/>
    <w:multiLevelType w:val="hybridMultilevel"/>
    <w:tmpl w:val="BD641C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C097101"/>
    <w:multiLevelType w:val="hybridMultilevel"/>
    <w:tmpl w:val="1220D9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DEE1E3C"/>
    <w:multiLevelType w:val="hybridMultilevel"/>
    <w:tmpl w:val="45A0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61EED"/>
    <w:multiLevelType w:val="hybridMultilevel"/>
    <w:tmpl w:val="6284D1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20B6ECC"/>
    <w:multiLevelType w:val="hybridMultilevel"/>
    <w:tmpl w:val="5A1ECD14"/>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24" w15:restartNumberingAfterBreak="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b/>
        <w:i w:val="0"/>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9EA60DD"/>
    <w:multiLevelType w:val="hybridMultilevel"/>
    <w:tmpl w:val="9FAAA70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4DAB70B1"/>
    <w:multiLevelType w:val="hybridMultilevel"/>
    <w:tmpl w:val="283E2AD2"/>
    <w:lvl w:ilvl="0" w:tplc="C2641FC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7C3227"/>
    <w:multiLevelType w:val="hybridMultilevel"/>
    <w:tmpl w:val="8D6858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3011CB0"/>
    <w:multiLevelType w:val="hybridMultilevel"/>
    <w:tmpl w:val="65D649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2"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8A5E7E"/>
    <w:multiLevelType w:val="multilevel"/>
    <w:tmpl w:val="A614CB58"/>
    <w:lvl w:ilvl="0">
      <w:start w:val="1"/>
      <w:numFmt w:val="decimal"/>
      <w:lvlText w:val="%1"/>
      <w:lvlJc w:val="left"/>
      <w:pPr>
        <w:ind w:left="720" w:hanging="720"/>
      </w:pPr>
      <w:rPr>
        <w:b/>
      </w:rPr>
    </w:lvl>
    <w:lvl w:ilvl="1">
      <w:start w:val="1"/>
      <w:numFmt w:val="none"/>
      <w:suff w:val="nothing"/>
      <w:lvlText w:val=""/>
      <w:lvlJc w:val="left"/>
      <w:pPr>
        <w:ind w:left="720" w:hanging="720"/>
      </w:pPr>
    </w:lvl>
    <w:lvl w:ilvl="2">
      <w:start w:val="1"/>
      <w:numFmt w:val="none"/>
      <w:lvlRestart w:val="1"/>
      <w:suff w:val="nothing"/>
      <w:lvlText w:val=""/>
      <w:lvlJc w:val="left"/>
      <w:pPr>
        <w:ind w:left="720" w:hanging="720"/>
      </w:pPr>
    </w:lvl>
    <w:lvl w:ilvl="3">
      <w:start w:val="1"/>
      <w:numFmt w:val="none"/>
      <w:lvlRestart w:val="1"/>
      <w:suff w:val="nothing"/>
      <w:lvlText w:val=""/>
      <w:lvlJc w:val="left"/>
      <w:pPr>
        <w:ind w:left="1080" w:hanging="1080"/>
      </w:pPr>
    </w:lvl>
    <w:lvl w:ilvl="4">
      <w:start w:val="1"/>
      <w:numFmt w:val="bullet"/>
      <w:lvlText w:val=""/>
      <w:lvlJc w:val="left"/>
      <w:pPr>
        <w:ind w:left="720" w:hanging="720"/>
      </w:pPr>
      <w:rPr>
        <w:rFonts w:ascii="Symbol" w:hAnsi="Symbol" w:hint="default"/>
        <w:i w:val="0"/>
        <w:color w:val="auto"/>
      </w:rPr>
    </w:lvl>
    <w:lvl w:ilvl="5">
      <w:start w:val="1"/>
      <w:numFmt w:val="decimal"/>
      <w:lvlRestart w:val="1"/>
      <w:lvlText w:val="%6"/>
      <w:lvlJc w:val="left"/>
      <w:pPr>
        <w:ind w:left="720" w:hanging="720"/>
      </w:pPr>
    </w:lvl>
    <w:lvl w:ilvl="6">
      <w:start w:val="1"/>
      <w:numFmt w:val="none"/>
      <w:suff w:val="nothing"/>
      <w:lvlText w:val=""/>
      <w:lvlJc w:val="left"/>
      <w:pPr>
        <w:ind w:left="720" w:hanging="72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6E8D5E0F"/>
    <w:multiLevelType w:val="multilevel"/>
    <w:tmpl w:val="78E6912C"/>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720" w:hanging="720"/>
      </w:pPr>
      <w:rPr>
        <w:rFonts w:ascii="Symbol" w:hAnsi="Symbol" w:hint="default"/>
        <w:color w:val="auto"/>
      </w:rPr>
    </w:lvl>
    <w:lvl w:ilvl="5">
      <w:start w:val="1"/>
      <w:numFmt w:val="bullet"/>
      <w:lvlText w:val="o"/>
      <w:lvlJc w:val="left"/>
      <w:pPr>
        <w:ind w:left="720" w:hanging="720"/>
      </w:pPr>
      <w:rPr>
        <w:rFonts w:ascii="Courier New" w:hAnsi="Courier New" w:cs="Courier New"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791008"/>
    <w:multiLevelType w:val="hybridMultilevel"/>
    <w:tmpl w:val="5B3C66B0"/>
    <w:lvl w:ilvl="0" w:tplc="0C090001">
      <w:start w:val="1"/>
      <w:numFmt w:val="bullet"/>
      <w:lvlText w:val=""/>
      <w:lvlJc w:val="left"/>
      <w:pPr>
        <w:ind w:left="903" w:hanging="360"/>
      </w:pPr>
      <w:rPr>
        <w:rFonts w:ascii="Symbol" w:hAnsi="Symbol" w:hint="default"/>
      </w:rPr>
    </w:lvl>
    <w:lvl w:ilvl="1" w:tplc="0C090003" w:tentative="1">
      <w:start w:val="1"/>
      <w:numFmt w:val="bullet"/>
      <w:lvlText w:val="o"/>
      <w:lvlJc w:val="left"/>
      <w:pPr>
        <w:ind w:left="1623" w:hanging="360"/>
      </w:pPr>
      <w:rPr>
        <w:rFonts w:ascii="Courier New" w:hAnsi="Courier New" w:cs="Courier New" w:hint="default"/>
      </w:rPr>
    </w:lvl>
    <w:lvl w:ilvl="2" w:tplc="0C090005" w:tentative="1">
      <w:start w:val="1"/>
      <w:numFmt w:val="bullet"/>
      <w:lvlText w:val=""/>
      <w:lvlJc w:val="left"/>
      <w:pPr>
        <w:ind w:left="2343" w:hanging="360"/>
      </w:pPr>
      <w:rPr>
        <w:rFonts w:ascii="Wingdings" w:hAnsi="Wingdings" w:hint="default"/>
      </w:rPr>
    </w:lvl>
    <w:lvl w:ilvl="3" w:tplc="0C090001" w:tentative="1">
      <w:start w:val="1"/>
      <w:numFmt w:val="bullet"/>
      <w:lvlText w:val=""/>
      <w:lvlJc w:val="left"/>
      <w:pPr>
        <w:ind w:left="3063" w:hanging="360"/>
      </w:pPr>
      <w:rPr>
        <w:rFonts w:ascii="Symbol" w:hAnsi="Symbol" w:hint="default"/>
      </w:rPr>
    </w:lvl>
    <w:lvl w:ilvl="4" w:tplc="0C090003" w:tentative="1">
      <w:start w:val="1"/>
      <w:numFmt w:val="bullet"/>
      <w:lvlText w:val="o"/>
      <w:lvlJc w:val="left"/>
      <w:pPr>
        <w:ind w:left="3783" w:hanging="360"/>
      </w:pPr>
      <w:rPr>
        <w:rFonts w:ascii="Courier New" w:hAnsi="Courier New" w:cs="Courier New" w:hint="default"/>
      </w:rPr>
    </w:lvl>
    <w:lvl w:ilvl="5" w:tplc="0C090005" w:tentative="1">
      <w:start w:val="1"/>
      <w:numFmt w:val="bullet"/>
      <w:lvlText w:val=""/>
      <w:lvlJc w:val="left"/>
      <w:pPr>
        <w:ind w:left="4503" w:hanging="360"/>
      </w:pPr>
      <w:rPr>
        <w:rFonts w:ascii="Wingdings" w:hAnsi="Wingdings" w:hint="default"/>
      </w:rPr>
    </w:lvl>
    <w:lvl w:ilvl="6" w:tplc="0C090001" w:tentative="1">
      <w:start w:val="1"/>
      <w:numFmt w:val="bullet"/>
      <w:lvlText w:val=""/>
      <w:lvlJc w:val="left"/>
      <w:pPr>
        <w:ind w:left="5223" w:hanging="360"/>
      </w:pPr>
      <w:rPr>
        <w:rFonts w:ascii="Symbol" w:hAnsi="Symbol" w:hint="default"/>
      </w:rPr>
    </w:lvl>
    <w:lvl w:ilvl="7" w:tplc="0C090003" w:tentative="1">
      <w:start w:val="1"/>
      <w:numFmt w:val="bullet"/>
      <w:lvlText w:val="o"/>
      <w:lvlJc w:val="left"/>
      <w:pPr>
        <w:ind w:left="5943" w:hanging="360"/>
      </w:pPr>
      <w:rPr>
        <w:rFonts w:ascii="Courier New" w:hAnsi="Courier New" w:cs="Courier New" w:hint="default"/>
      </w:rPr>
    </w:lvl>
    <w:lvl w:ilvl="8" w:tplc="0C090005" w:tentative="1">
      <w:start w:val="1"/>
      <w:numFmt w:val="bullet"/>
      <w:lvlText w:val=""/>
      <w:lvlJc w:val="left"/>
      <w:pPr>
        <w:ind w:left="6663" w:hanging="360"/>
      </w:pPr>
      <w:rPr>
        <w:rFonts w:ascii="Wingdings" w:hAnsi="Wingdings" w:hint="default"/>
      </w:rPr>
    </w:lvl>
  </w:abstractNum>
  <w:abstractNum w:abstractNumId="36" w15:restartNumberingAfterBreak="0">
    <w:nsid w:val="73A846F0"/>
    <w:multiLevelType w:val="hybridMultilevel"/>
    <w:tmpl w:val="55306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D87AE5"/>
    <w:multiLevelType w:val="hybridMultilevel"/>
    <w:tmpl w:val="CA48DB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84D033C"/>
    <w:multiLevelType w:val="multilevel"/>
    <w:tmpl w:val="106C7FD6"/>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13"/>
  </w:num>
  <w:num w:numId="3">
    <w:abstractNumId w:val="6"/>
  </w:num>
  <w:num w:numId="4">
    <w:abstractNumId w:val="5"/>
  </w:num>
  <w:num w:numId="5">
    <w:abstractNumId w:val="38"/>
  </w:num>
  <w:num w:numId="6">
    <w:abstractNumId w:val="26"/>
  </w:num>
  <w:num w:numId="7">
    <w:abstractNumId w:val="3"/>
  </w:num>
  <w:num w:numId="8">
    <w:abstractNumId w:val="12"/>
  </w:num>
  <w:num w:numId="9">
    <w:abstractNumId w:val="32"/>
  </w:num>
  <w:num w:numId="10">
    <w:abstractNumId w:val="0"/>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7"/>
  </w:num>
  <w:num w:numId="14">
    <w:abstractNumId w:val="2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10"/>
  </w:num>
  <w:num w:numId="18">
    <w:abstractNumId w:val="27"/>
  </w:num>
  <w:num w:numId="19">
    <w:abstractNumId w:val="35"/>
  </w:num>
  <w:num w:numId="20">
    <w:abstractNumId w:val="9"/>
  </w:num>
  <w:num w:numId="21">
    <w:abstractNumId w:val="15"/>
  </w:num>
  <w:num w:numId="22">
    <w:abstractNumId w:val="34"/>
  </w:num>
  <w:num w:numId="23">
    <w:abstractNumId w:val="8"/>
  </w:num>
  <w:num w:numId="24">
    <w:abstractNumId w:val="21"/>
  </w:num>
  <w:num w:numId="25">
    <w:abstractNumId w:val="2"/>
  </w:num>
  <w:num w:numId="26">
    <w:abstractNumId w:val="4"/>
  </w:num>
  <w:num w:numId="27">
    <w:abstractNumId w:val="22"/>
  </w:num>
  <w:num w:numId="28">
    <w:abstractNumId w:val="16"/>
  </w:num>
  <w:num w:numId="29">
    <w:abstractNumId w:val="20"/>
  </w:num>
  <w:num w:numId="30">
    <w:abstractNumId w:val="29"/>
  </w:num>
  <w:num w:numId="31">
    <w:abstractNumId w:val="30"/>
  </w:num>
  <w:num w:numId="32">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3"/>
  </w:num>
  <w:num w:numId="35">
    <w:abstractNumId w:val="14"/>
  </w:num>
  <w:num w:numId="36">
    <w:abstractNumId w:val="31"/>
  </w:num>
  <w:num w:numId="37">
    <w:abstractNumId w:val="19"/>
  </w:num>
  <w:num w:numId="38">
    <w:abstractNumId w:val="37"/>
  </w:num>
  <w:num w:numId="39">
    <w:abstractNumId w:val="7"/>
  </w:num>
  <w:num w:numId="40">
    <w:abstractNumId w:val="18"/>
  </w:num>
  <w:num w:numId="41">
    <w:abstractNumId w:val="38"/>
  </w:num>
  <w:num w:numId="42">
    <w:abstractNumId w:val="28"/>
  </w:num>
  <w:num w:numId="43">
    <w:abstractNumId w:val="38"/>
  </w:num>
  <w:num w:numId="44">
    <w:abstractNumId w:val="38"/>
  </w:num>
  <w:num w:numId="45">
    <w:abstractNumId w:val="38"/>
  </w:num>
  <w:num w:numId="46">
    <w:abstractNumId w:val="36"/>
  </w:num>
  <w:num w:numId="47">
    <w:abstractNumId w:val="38"/>
  </w:num>
  <w:num w:numId="48">
    <w:abstractNumId w:val="38"/>
  </w:num>
  <w:num w:numId="49">
    <w:abstractNumId w:val="38"/>
  </w:num>
  <w:num w:numId="50">
    <w:abstractNumId w:val="38"/>
  </w:num>
  <w:num w:numId="5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D0"/>
    <w:rsid w:val="00000C1F"/>
    <w:rsid w:val="00001421"/>
    <w:rsid w:val="00001AB4"/>
    <w:rsid w:val="00002267"/>
    <w:rsid w:val="00003861"/>
    <w:rsid w:val="000043C6"/>
    <w:rsid w:val="0000441D"/>
    <w:rsid w:val="00004D6E"/>
    <w:rsid w:val="00004FFD"/>
    <w:rsid w:val="00005195"/>
    <w:rsid w:val="000059BA"/>
    <w:rsid w:val="00005DEB"/>
    <w:rsid w:val="000062E0"/>
    <w:rsid w:val="000064D7"/>
    <w:rsid w:val="0000669D"/>
    <w:rsid w:val="0001066F"/>
    <w:rsid w:val="000110D3"/>
    <w:rsid w:val="0001281E"/>
    <w:rsid w:val="000131C9"/>
    <w:rsid w:val="00013222"/>
    <w:rsid w:val="000138DA"/>
    <w:rsid w:val="00013B29"/>
    <w:rsid w:val="0001548D"/>
    <w:rsid w:val="00015765"/>
    <w:rsid w:val="00015BE9"/>
    <w:rsid w:val="0001616D"/>
    <w:rsid w:val="00016996"/>
    <w:rsid w:val="00016A03"/>
    <w:rsid w:val="000170E1"/>
    <w:rsid w:val="00017F50"/>
    <w:rsid w:val="00020794"/>
    <w:rsid w:val="0002095B"/>
    <w:rsid w:val="00022DCE"/>
    <w:rsid w:val="00022ED3"/>
    <w:rsid w:val="00022FFA"/>
    <w:rsid w:val="000234FE"/>
    <w:rsid w:val="00023E4B"/>
    <w:rsid w:val="000244D5"/>
    <w:rsid w:val="00024E8B"/>
    <w:rsid w:val="000254B8"/>
    <w:rsid w:val="000259EC"/>
    <w:rsid w:val="00026100"/>
    <w:rsid w:val="00026152"/>
    <w:rsid w:val="00026311"/>
    <w:rsid w:val="00026DB3"/>
    <w:rsid w:val="00026F98"/>
    <w:rsid w:val="00027030"/>
    <w:rsid w:val="00027903"/>
    <w:rsid w:val="00027D06"/>
    <w:rsid w:val="00030D9F"/>
    <w:rsid w:val="000313E6"/>
    <w:rsid w:val="00031C3D"/>
    <w:rsid w:val="00031E77"/>
    <w:rsid w:val="0003233A"/>
    <w:rsid w:val="00033577"/>
    <w:rsid w:val="00033768"/>
    <w:rsid w:val="00033CE1"/>
    <w:rsid w:val="00034404"/>
    <w:rsid w:val="0003497C"/>
    <w:rsid w:val="00035498"/>
    <w:rsid w:val="0003599E"/>
    <w:rsid w:val="000359BA"/>
    <w:rsid w:val="00041334"/>
    <w:rsid w:val="00041F4D"/>
    <w:rsid w:val="000420BE"/>
    <w:rsid w:val="00044364"/>
    <w:rsid w:val="0004441D"/>
    <w:rsid w:val="000461CF"/>
    <w:rsid w:val="0004656A"/>
    <w:rsid w:val="0004659C"/>
    <w:rsid w:val="000467B1"/>
    <w:rsid w:val="000470D4"/>
    <w:rsid w:val="00047377"/>
    <w:rsid w:val="0004758F"/>
    <w:rsid w:val="000522EE"/>
    <w:rsid w:val="00052BCD"/>
    <w:rsid w:val="000538C7"/>
    <w:rsid w:val="00053C4D"/>
    <w:rsid w:val="00054171"/>
    <w:rsid w:val="00054DBB"/>
    <w:rsid w:val="000556DF"/>
    <w:rsid w:val="000558D0"/>
    <w:rsid w:val="00055DCD"/>
    <w:rsid w:val="00055FAD"/>
    <w:rsid w:val="000578D9"/>
    <w:rsid w:val="00057F71"/>
    <w:rsid w:val="00060D75"/>
    <w:rsid w:val="000615AB"/>
    <w:rsid w:val="000615C2"/>
    <w:rsid w:val="00062018"/>
    <w:rsid w:val="00062067"/>
    <w:rsid w:val="000622ED"/>
    <w:rsid w:val="0006287B"/>
    <w:rsid w:val="00062C3F"/>
    <w:rsid w:val="00063410"/>
    <w:rsid w:val="0006442F"/>
    <w:rsid w:val="00064D04"/>
    <w:rsid w:val="00065C62"/>
    <w:rsid w:val="00065CDE"/>
    <w:rsid w:val="00065F4A"/>
    <w:rsid w:val="00065FE9"/>
    <w:rsid w:val="000676E5"/>
    <w:rsid w:val="000677DE"/>
    <w:rsid w:val="00067AB3"/>
    <w:rsid w:val="00070082"/>
    <w:rsid w:val="0007063B"/>
    <w:rsid w:val="000708AA"/>
    <w:rsid w:val="00070D75"/>
    <w:rsid w:val="000713CA"/>
    <w:rsid w:val="00071965"/>
    <w:rsid w:val="00072068"/>
    <w:rsid w:val="00072957"/>
    <w:rsid w:val="00073165"/>
    <w:rsid w:val="0007391F"/>
    <w:rsid w:val="00073A20"/>
    <w:rsid w:val="0007450E"/>
    <w:rsid w:val="00075B5C"/>
    <w:rsid w:val="00077868"/>
    <w:rsid w:val="00080FF3"/>
    <w:rsid w:val="00081FD7"/>
    <w:rsid w:val="00082098"/>
    <w:rsid w:val="00082868"/>
    <w:rsid w:val="000847FE"/>
    <w:rsid w:val="00084B18"/>
    <w:rsid w:val="000857CC"/>
    <w:rsid w:val="00086133"/>
    <w:rsid w:val="000863DC"/>
    <w:rsid w:val="00086EB6"/>
    <w:rsid w:val="00087710"/>
    <w:rsid w:val="00090D29"/>
    <w:rsid w:val="00091BC4"/>
    <w:rsid w:val="00091E94"/>
    <w:rsid w:val="00092727"/>
    <w:rsid w:val="00092945"/>
    <w:rsid w:val="00093E30"/>
    <w:rsid w:val="00094CDE"/>
    <w:rsid w:val="00094F1B"/>
    <w:rsid w:val="00095BC1"/>
    <w:rsid w:val="00095FF2"/>
    <w:rsid w:val="0009688E"/>
    <w:rsid w:val="00096BCD"/>
    <w:rsid w:val="00097B5E"/>
    <w:rsid w:val="000A0DD0"/>
    <w:rsid w:val="000A0FCF"/>
    <w:rsid w:val="000A1E13"/>
    <w:rsid w:val="000A1F7B"/>
    <w:rsid w:val="000A256F"/>
    <w:rsid w:val="000A2694"/>
    <w:rsid w:val="000A2913"/>
    <w:rsid w:val="000A2A51"/>
    <w:rsid w:val="000A2EF1"/>
    <w:rsid w:val="000A3D99"/>
    <w:rsid w:val="000A3F4C"/>
    <w:rsid w:val="000A411E"/>
    <w:rsid w:val="000A43A2"/>
    <w:rsid w:val="000A5572"/>
    <w:rsid w:val="000A59B5"/>
    <w:rsid w:val="000A6668"/>
    <w:rsid w:val="000A684A"/>
    <w:rsid w:val="000A6FBD"/>
    <w:rsid w:val="000A7333"/>
    <w:rsid w:val="000A7D42"/>
    <w:rsid w:val="000A7EA5"/>
    <w:rsid w:val="000A7ED1"/>
    <w:rsid w:val="000B14B3"/>
    <w:rsid w:val="000B17AE"/>
    <w:rsid w:val="000B2BE3"/>
    <w:rsid w:val="000B2D13"/>
    <w:rsid w:val="000B35EA"/>
    <w:rsid w:val="000B43B2"/>
    <w:rsid w:val="000B496B"/>
    <w:rsid w:val="000B4FEB"/>
    <w:rsid w:val="000B534E"/>
    <w:rsid w:val="000B56CD"/>
    <w:rsid w:val="000B6B69"/>
    <w:rsid w:val="000B6E78"/>
    <w:rsid w:val="000B70B2"/>
    <w:rsid w:val="000B7AD3"/>
    <w:rsid w:val="000B7AED"/>
    <w:rsid w:val="000B7B3D"/>
    <w:rsid w:val="000C0142"/>
    <w:rsid w:val="000C1113"/>
    <w:rsid w:val="000C11CC"/>
    <w:rsid w:val="000C2C54"/>
    <w:rsid w:val="000C3573"/>
    <w:rsid w:val="000C51D4"/>
    <w:rsid w:val="000C5EE4"/>
    <w:rsid w:val="000C668E"/>
    <w:rsid w:val="000C6A40"/>
    <w:rsid w:val="000C7883"/>
    <w:rsid w:val="000C793A"/>
    <w:rsid w:val="000D0023"/>
    <w:rsid w:val="000D0A81"/>
    <w:rsid w:val="000D169F"/>
    <w:rsid w:val="000D1AB4"/>
    <w:rsid w:val="000D2390"/>
    <w:rsid w:val="000D26F4"/>
    <w:rsid w:val="000D27B5"/>
    <w:rsid w:val="000D2ACB"/>
    <w:rsid w:val="000D2B81"/>
    <w:rsid w:val="000D39EF"/>
    <w:rsid w:val="000D3FD3"/>
    <w:rsid w:val="000D409A"/>
    <w:rsid w:val="000D450F"/>
    <w:rsid w:val="000D729C"/>
    <w:rsid w:val="000D7C8A"/>
    <w:rsid w:val="000E07CD"/>
    <w:rsid w:val="000E0D5F"/>
    <w:rsid w:val="000E2320"/>
    <w:rsid w:val="000E2BAE"/>
    <w:rsid w:val="000E4CD0"/>
    <w:rsid w:val="000E4E64"/>
    <w:rsid w:val="000E508C"/>
    <w:rsid w:val="000E589B"/>
    <w:rsid w:val="000E5998"/>
    <w:rsid w:val="000E6D71"/>
    <w:rsid w:val="000E7019"/>
    <w:rsid w:val="000F06BC"/>
    <w:rsid w:val="000F0CDA"/>
    <w:rsid w:val="000F0E5A"/>
    <w:rsid w:val="000F1B76"/>
    <w:rsid w:val="000F1F69"/>
    <w:rsid w:val="000F2172"/>
    <w:rsid w:val="000F243A"/>
    <w:rsid w:val="000F2534"/>
    <w:rsid w:val="000F2C47"/>
    <w:rsid w:val="000F308B"/>
    <w:rsid w:val="000F313A"/>
    <w:rsid w:val="000F3652"/>
    <w:rsid w:val="000F388E"/>
    <w:rsid w:val="000F4193"/>
    <w:rsid w:val="000F5532"/>
    <w:rsid w:val="000F68E1"/>
    <w:rsid w:val="000F6FDB"/>
    <w:rsid w:val="000F76D3"/>
    <w:rsid w:val="000F7E17"/>
    <w:rsid w:val="0010086D"/>
    <w:rsid w:val="0010120B"/>
    <w:rsid w:val="001018A8"/>
    <w:rsid w:val="00101D4C"/>
    <w:rsid w:val="001038CE"/>
    <w:rsid w:val="00104A1D"/>
    <w:rsid w:val="00104B71"/>
    <w:rsid w:val="00105278"/>
    <w:rsid w:val="00105438"/>
    <w:rsid w:val="001059D6"/>
    <w:rsid w:val="001062E5"/>
    <w:rsid w:val="001063B7"/>
    <w:rsid w:val="001071EC"/>
    <w:rsid w:val="001079FB"/>
    <w:rsid w:val="00107D06"/>
    <w:rsid w:val="00107DF2"/>
    <w:rsid w:val="00111246"/>
    <w:rsid w:val="00111951"/>
    <w:rsid w:val="00112B42"/>
    <w:rsid w:val="00112F1A"/>
    <w:rsid w:val="00112FE0"/>
    <w:rsid w:val="00113009"/>
    <w:rsid w:val="00115B22"/>
    <w:rsid w:val="00116FEE"/>
    <w:rsid w:val="0011715D"/>
    <w:rsid w:val="00117927"/>
    <w:rsid w:val="00117DAB"/>
    <w:rsid w:val="00117DBD"/>
    <w:rsid w:val="00121863"/>
    <w:rsid w:val="001227C6"/>
    <w:rsid w:val="00122C04"/>
    <w:rsid w:val="00122EAB"/>
    <w:rsid w:val="00123C1F"/>
    <w:rsid w:val="001248D1"/>
    <w:rsid w:val="0012498F"/>
    <w:rsid w:val="0012523C"/>
    <w:rsid w:val="00125484"/>
    <w:rsid w:val="00125673"/>
    <w:rsid w:val="00125D08"/>
    <w:rsid w:val="00126342"/>
    <w:rsid w:val="001267E0"/>
    <w:rsid w:val="00126DDF"/>
    <w:rsid w:val="00126E50"/>
    <w:rsid w:val="0012701F"/>
    <w:rsid w:val="001279AE"/>
    <w:rsid w:val="0013187B"/>
    <w:rsid w:val="001322A6"/>
    <w:rsid w:val="001323D6"/>
    <w:rsid w:val="00132B8B"/>
    <w:rsid w:val="00133507"/>
    <w:rsid w:val="00133B1C"/>
    <w:rsid w:val="00133EB2"/>
    <w:rsid w:val="00134532"/>
    <w:rsid w:val="00135050"/>
    <w:rsid w:val="00135C54"/>
    <w:rsid w:val="00136399"/>
    <w:rsid w:val="00136567"/>
    <w:rsid w:val="00136B61"/>
    <w:rsid w:val="00136E76"/>
    <w:rsid w:val="00137222"/>
    <w:rsid w:val="00137C0A"/>
    <w:rsid w:val="00140A20"/>
    <w:rsid w:val="00140F3F"/>
    <w:rsid w:val="00141031"/>
    <w:rsid w:val="00141662"/>
    <w:rsid w:val="00141EFB"/>
    <w:rsid w:val="001427C1"/>
    <w:rsid w:val="001446F3"/>
    <w:rsid w:val="001448EC"/>
    <w:rsid w:val="00144E53"/>
    <w:rsid w:val="001453A5"/>
    <w:rsid w:val="001454F1"/>
    <w:rsid w:val="00145A89"/>
    <w:rsid w:val="00145EB9"/>
    <w:rsid w:val="00146065"/>
    <w:rsid w:val="001468C6"/>
    <w:rsid w:val="00146C47"/>
    <w:rsid w:val="00147730"/>
    <w:rsid w:val="001477D0"/>
    <w:rsid w:val="00150327"/>
    <w:rsid w:val="00151079"/>
    <w:rsid w:val="0015150F"/>
    <w:rsid w:val="0015160D"/>
    <w:rsid w:val="001518D3"/>
    <w:rsid w:val="00152018"/>
    <w:rsid w:val="001523E5"/>
    <w:rsid w:val="001525D2"/>
    <w:rsid w:val="00152635"/>
    <w:rsid w:val="00153B3D"/>
    <w:rsid w:val="0015446C"/>
    <w:rsid w:val="00154735"/>
    <w:rsid w:val="00154D71"/>
    <w:rsid w:val="00154E23"/>
    <w:rsid w:val="00155BAD"/>
    <w:rsid w:val="0015668B"/>
    <w:rsid w:val="0015735C"/>
    <w:rsid w:val="00157365"/>
    <w:rsid w:val="00157D5A"/>
    <w:rsid w:val="00157EDC"/>
    <w:rsid w:val="00161550"/>
    <w:rsid w:val="00164A72"/>
    <w:rsid w:val="00165A49"/>
    <w:rsid w:val="00165EF3"/>
    <w:rsid w:val="001667A9"/>
    <w:rsid w:val="00166931"/>
    <w:rsid w:val="00166ADA"/>
    <w:rsid w:val="00166E1C"/>
    <w:rsid w:val="00167013"/>
    <w:rsid w:val="00167D60"/>
    <w:rsid w:val="0017060C"/>
    <w:rsid w:val="001709D4"/>
    <w:rsid w:val="00170ADB"/>
    <w:rsid w:val="00170FE3"/>
    <w:rsid w:val="001710E4"/>
    <w:rsid w:val="00172EF5"/>
    <w:rsid w:val="00173577"/>
    <w:rsid w:val="00173D62"/>
    <w:rsid w:val="00173E55"/>
    <w:rsid w:val="00174D9E"/>
    <w:rsid w:val="00175458"/>
    <w:rsid w:val="00175A44"/>
    <w:rsid w:val="00176658"/>
    <w:rsid w:val="00176AA5"/>
    <w:rsid w:val="001770A7"/>
    <w:rsid w:val="0017720E"/>
    <w:rsid w:val="001772CC"/>
    <w:rsid w:val="001777E6"/>
    <w:rsid w:val="00177893"/>
    <w:rsid w:val="0018141A"/>
    <w:rsid w:val="0018373E"/>
    <w:rsid w:val="001839C0"/>
    <w:rsid w:val="00184221"/>
    <w:rsid w:val="0018443E"/>
    <w:rsid w:val="00184711"/>
    <w:rsid w:val="00185866"/>
    <w:rsid w:val="00185C35"/>
    <w:rsid w:val="001862BE"/>
    <w:rsid w:val="00186307"/>
    <w:rsid w:val="001863F7"/>
    <w:rsid w:val="00186774"/>
    <w:rsid w:val="00186EBC"/>
    <w:rsid w:val="00187A09"/>
    <w:rsid w:val="00187C8F"/>
    <w:rsid w:val="00187D72"/>
    <w:rsid w:val="00190172"/>
    <w:rsid w:val="00190736"/>
    <w:rsid w:val="001908A9"/>
    <w:rsid w:val="001916C0"/>
    <w:rsid w:val="00193B62"/>
    <w:rsid w:val="00193D7B"/>
    <w:rsid w:val="00194200"/>
    <w:rsid w:val="00194EF1"/>
    <w:rsid w:val="00195203"/>
    <w:rsid w:val="00195670"/>
    <w:rsid w:val="00195DA4"/>
    <w:rsid w:val="00195EA2"/>
    <w:rsid w:val="0019630D"/>
    <w:rsid w:val="001964FB"/>
    <w:rsid w:val="00196565"/>
    <w:rsid w:val="00196828"/>
    <w:rsid w:val="00196A54"/>
    <w:rsid w:val="0019705E"/>
    <w:rsid w:val="001971BA"/>
    <w:rsid w:val="001974D3"/>
    <w:rsid w:val="00197D31"/>
    <w:rsid w:val="001A0142"/>
    <w:rsid w:val="001A0CDC"/>
    <w:rsid w:val="001A20DC"/>
    <w:rsid w:val="001A2ADF"/>
    <w:rsid w:val="001A3C06"/>
    <w:rsid w:val="001A3DC9"/>
    <w:rsid w:val="001A564A"/>
    <w:rsid w:val="001A5BA9"/>
    <w:rsid w:val="001A77A7"/>
    <w:rsid w:val="001A7EE2"/>
    <w:rsid w:val="001B00CE"/>
    <w:rsid w:val="001B062E"/>
    <w:rsid w:val="001B0F0D"/>
    <w:rsid w:val="001B0FC5"/>
    <w:rsid w:val="001B12A9"/>
    <w:rsid w:val="001B1CFA"/>
    <w:rsid w:val="001B1DA8"/>
    <w:rsid w:val="001B2033"/>
    <w:rsid w:val="001B2429"/>
    <w:rsid w:val="001B2AA1"/>
    <w:rsid w:val="001B2AB9"/>
    <w:rsid w:val="001B2F68"/>
    <w:rsid w:val="001B2FF6"/>
    <w:rsid w:val="001B4720"/>
    <w:rsid w:val="001B5B6B"/>
    <w:rsid w:val="001B6389"/>
    <w:rsid w:val="001B6AD6"/>
    <w:rsid w:val="001B72CE"/>
    <w:rsid w:val="001C04CC"/>
    <w:rsid w:val="001C051E"/>
    <w:rsid w:val="001C06AA"/>
    <w:rsid w:val="001C0E47"/>
    <w:rsid w:val="001C0FB2"/>
    <w:rsid w:val="001C1259"/>
    <w:rsid w:val="001C13DB"/>
    <w:rsid w:val="001C188C"/>
    <w:rsid w:val="001C1C96"/>
    <w:rsid w:val="001C330E"/>
    <w:rsid w:val="001C3803"/>
    <w:rsid w:val="001C40A1"/>
    <w:rsid w:val="001C69D7"/>
    <w:rsid w:val="001C6BFC"/>
    <w:rsid w:val="001C6C91"/>
    <w:rsid w:val="001C7104"/>
    <w:rsid w:val="001C7472"/>
    <w:rsid w:val="001C7497"/>
    <w:rsid w:val="001C796E"/>
    <w:rsid w:val="001C7D1B"/>
    <w:rsid w:val="001D00A8"/>
    <w:rsid w:val="001D0ABD"/>
    <w:rsid w:val="001D0DCB"/>
    <w:rsid w:val="001D0DCD"/>
    <w:rsid w:val="001D18CC"/>
    <w:rsid w:val="001D36B1"/>
    <w:rsid w:val="001D3B5A"/>
    <w:rsid w:val="001D3EEB"/>
    <w:rsid w:val="001D493E"/>
    <w:rsid w:val="001D50CD"/>
    <w:rsid w:val="001D5317"/>
    <w:rsid w:val="001D5D47"/>
    <w:rsid w:val="001D5DE3"/>
    <w:rsid w:val="001D6531"/>
    <w:rsid w:val="001D6E94"/>
    <w:rsid w:val="001D7245"/>
    <w:rsid w:val="001D7F8A"/>
    <w:rsid w:val="001E0994"/>
    <w:rsid w:val="001E0B0D"/>
    <w:rsid w:val="001E0FF9"/>
    <w:rsid w:val="001E10B8"/>
    <w:rsid w:val="001E1827"/>
    <w:rsid w:val="001E25EC"/>
    <w:rsid w:val="001E2FB1"/>
    <w:rsid w:val="001E2FFA"/>
    <w:rsid w:val="001E313C"/>
    <w:rsid w:val="001E4E98"/>
    <w:rsid w:val="001E5896"/>
    <w:rsid w:val="001E5918"/>
    <w:rsid w:val="001E66E6"/>
    <w:rsid w:val="001F073C"/>
    <w:rsid w:val="001F08C8"/>
    <w:rsid w:val="001F0D0A"/>
    <w:rsid w:val="001F13DC"/>
    <w:rsid w:val="001F1DB8"/>
    <w:rsid w:val="001F26BD"/>
    <w:rsid w:val="001F2912"/>
    <w:rsid w:val="001F2E7C"/>
    <w:rsid w:val="001F2F47"/>
    <w:rsid w:val="001F31DA"/>
    <w:rsid w:val="001F4028"/>
    <w:rsid w:val="001F43D4"/>
    <w:rsid w:val="001F5EA9"/>
    <w:rsid w:val="001F5FB6"/>
    <w:rsid w:val="001F628E"/>
    <w:rsid w:val="001F66C9"/>
    <w:rsid w:val="001F67F0"/>
    <w:rsid w:val="001F6896"/>
    <w:rsid w:val="00200296"/>
    <w:rsid w:val="00200A20"/>
    <w:rsid w:val="00200FAD"/>
    <w:rsid w:val="00201ADB"/>
    <w:rsid w:val="00201E5A"/>
    <w:rsid w:val="00202E13"/>
    <w:rsid w:val="00203CBE"/>
    <w:rsid w:val="00204B6C"/>
    <w:rsid w:val="00204D5B"/>
    <w:rsid w:val="00204F77"/>
    <w:rsid w:val="002058E5"/>
    <w:rsid w:val="0021065B"/>
    <w:rsid w:val="00210FAA"/>
    <w:rsid w:val="00211340"/>
    <w:rsid w:val="00211DB8"/>
    <w:rsid w:val="00211F51"/>
    <w:rsid w:val="002121F2"/>
    <w:rsid w:val="002127E7"/>
    <w:rsid w:val="00213797"/>
    <w:rsid w:val="00213C31"/>
    <w:rsid w:val="0021426E"/>
    <w:rsid w:val="00214438"/>
    <w:rsid w:val="00214A6B"/>
    <w:rsid w:val="00215787"/>
    <w:rsid w:val="0021591C"/>
    <w:rsid w:val="00216516"/>
    <w:rsid w:val="0021668E"/>
    <w:rsid w:val="00216816"/>
    <w:rsid w:val="00216CF8"/>
    <w:rsid w:val="002171E1"/>
    <w:rsid w:val="002205EB"/>
    <w:rsid w:val="00220FE5"/>
    <w:rsid w:val="0022112C"/>
    <w:rsid w:val="00221A51"/>
    <w:rsid w:val="00223332"/>
    <w:rsid w:val="002234A6"/>
    <w:rsid w:val="00224968"/>
    <w:rsid w:val="00224EB9"/>
    <w:rsid w:val="002252EE"/>
    <w:rsid w:val="00225AC3"/>
    <w:rsid w:val="00225B21"/>
    <w:rsid w:val="00225FCB"/>
    <w:rsid w:val="00227137"/>
    <w:rsid w:val="0022773A"/>
    <w:rsid w:val="002307B9"/>
    <w:rsid w:val="00231579"/>
    <w:rsid w:val="00231A54"/>
    <w:rsid w:val="00231D4C"/>
    <w:rsid w:val="00232780"/>
    <w:rsid w:val="0023303F"/>
    <w:rsid w:val="00233296"/>
    <w:rsid w:val="00233D99"/>
    <w:rsid w:val="002354A2"/>
    <w:rsid w:val="00236970"/>
    <w:rsid w:val="002370DE"/>
    <w:rsid w:val="00237C50"/>
    <w:rsid w:val="002418B4"/>
    <w:rsid w:val="002425EA"/>
    <w:rsid w:val="00242EA0"/>
    <w:rsid w:val="002432B8"/>
    <w:rsid w:val="00243685"/>
    <w:rsid w:val="00243692"/>
    <w:rsid w:val="00243F24"/>
    <w:rsid w:val="0024459C"/>
    <w:rsid w:val="0024469B"/>
    <w:rsid w:val="00245123"/>
    <w:rsid w:val="002457DE"/>
    <w:rsid w:val="00245AD1"/>
    <w:rsid w:val="00246BDF"/>
    <w:rsid w:val="002470BB"/>
    <w:rsid w:val="00247DC2"/>
    <w:rsid w:val="0025058D"/>
    <w:rsid w:val="00251438"/>
    <w:rsid w:val="0025278E"/>
    <w:rsid w:val="002530E7"/>
    <w:rsid w:val="002532B4"/>
    <w:rsid w:val="0025487C"/>
    <w:rsid w:val="00254EEB"/>
    <w:rsid w:val="00255362"/>
    <w:rsid w:val="00255DE3"/>
    <w:rsid w:val="0025613F"/>
    <w:rsid w:val="002571FB"/>
    <w:rsid w:val="00257828"/>
    <w:rsid w:val="00257C43"/>
    <w:rsid w:val="00257F91"/>
    <w:rsid w:val="0026062D"/>
    <w:rsid w:val="00261A27"/>
    <w:rsid w:val="00261CAA"/>
    <w:rsid w:val="00261DC6"/>
    <w:rsid w:val="00261DF6"/>
    <w:rsid w:val="00262C13"/>
    <w:rsid w:val="00263094"/>
    <w:rsid w:val="00263D9B"/>
    <w:rsid w:val="00264623"/>
    <w:rsid w:val="00264773"/>
    <w:rsid w:val="00264E52"/>
    <w:rsid w:val="00265443"/>
    <w:rsid w:val="0026616E"/>
    <w:rsid w:val="00266CC1"/>
    <w:rsid w:val="00266D24"/>
    <w:rsid w:val="0026779B"/>
    <w:rsid w:val="00267FB0"/>
    <w:rsid w:val="0027079A"/>
    <w:rsid w:val="00270BBC"/>
    <w:rsid w:val="002711CC"/>
    <w:rsid w:val="002724B9"/>
    <w:rsid w:val="00274583"/>
    <w:rsid w:val="0027575E"/>
    <w:rsid w:val="00276393"/>
    <w:rsid w:val="00276B47"/>
    <w:rsid w:val="00276C8A"/>
    <w:rsid w:val="002776D2"/>
    <w:rsid w:val="00277D40"/>
    <w:rsid w:val="002801F4"/>
    <w:rsid w:val="00280B5B"/>
    <w:rsid w:val="00280D8D"/>
    <w:rsid w:val="002818B6"/>
    <w:rsid w:val="00281DCF"/>
    <w:rsid w:val="002836DF"/>
    <w:rsid w:val="00285223"/>
    <w:rsid w:val="002857C0"/>
    <w:rsid w:val="002858A1"/>
    <w:rsid w:val="0028608B"/>
    <w:rsid w:val="002860F9"/>
    <w:rsid w:val="002861AB"/>
    <w:rsid w:val="00287596"/>
    <w:rsid w:val="00287E1E"/>
    <w:rsid w:val="00291005"/>
    <w:rsid w:val="00291757"/>
    <w:rsid w:val="00292169"/>
    <w:rsid w:val="002923DF"/>
    <w:rsid w:val="0029242D"/>
    <w:rsid w:val="0029289C"/>
    <w:rsid w:val="002928F4"/>
    <w:rsid w:val="00292E15"/>
    <w:rsid w:val="00293C8D"/>
    <w:rsid w:val="00296E19"/>
    <w:rsid w:val="00296ED0"/>
    <w:rsid w:val="002A1513"/>
    <w:rsid w:val="002A23A0"/>
    <w:rsid w:val="002A3389"/>
    <w:rsid w:val="002A373F"/>
    <w:rsid w:val="002A391F"/>
    <w:rsid w:val="002A4503"/>
    <w:rsid w:val="002A481C"/>
    <w:rsid w:val="002A5992"/>
    <w:rsid w:val="002A78B9"/>
    <w:rsid w:val="002A7A19"/>
    <w:rsid w:val="002B0501"/>
    <w:rsid w:val="002B05B8"/>
    <w:rsid w:val="002B0F1E"/>
    <w:rsid w:val="002B17D7"/>
    <w:rsid w:val="002B1A53"/>
    <w:rsid w:val="002B44BD"/>
    <w:rsid w:val="002B4551"/>
    <w:rsid w:val="002B4828"/>
    <w:rsid w:val="002B4941"/>
    <w:rsid w:val="002B5473"/>
    <w:rsid w:val="002B5D74"/>
    <w:rsid w:val="002B67CA"/>
    <w:rsid w:val="002B6817"/>
    <w:rsid w:val="002B7ADB"/>
    <w:rsid w:val="002C00F5"/>
    <w:rsid w:val="002C0949"/>
    <w:rsid w:val="002C1543"/>
    <w:rsid w:val="002C17C7"/>
    <w:rsid w:val="002C19F5"/>
    <w:rsid w:val="002C1D2F"/>
    <w:rsid w:val="002C27E2"/>
    <w:rsid w:val="002C48A0"/>
    <w:rsid w:val="002C4BD7"/>
    <w:rsid w:val="002C4FBB"/>
    <w:rsid w:val="002C6AEF"/>
    <w:rsid w:val="002C7C13"/>
    <w:rsid w:val="002D0EF2"/>
    <w:rsid w:val="002D1242"/>
    <w:rsid w:val="002D1930"/>
    <w:rsid w:val="002D23E6"/>
    <w:rsid w:val="002D24AC"/>
    <w:rsid w:val="002D2BDD"/>
    <w:rsid w:val="002D2FCA"/>
    <w:rsid w:val="002D4540"/>
    <w:rsid w:val="002D74C5"/>
    <w:rsid w:val="002D7823"/>
    <w:rsid w:val="002E0B51"/>
    <w:rsid w:val="002E0C56"/>
    <w:rsid w:val="002E161F"/>
    <w:rsid w:val="002E2E47"/>
    <w:rsid w:val="002E39AD"/>
    <w:rsid w:val="002E4293"/>
    <w:rsid w:val="002E450A"/>
    <w:rsid w:val="002E4BA3"/>
    <w:rsid w:val="002E4C2D"/>
    <w:rsid w:val="002E5285"/>
    <w:rsid w:val="002E53B2"/>
    <w:rsid w:val="002E555E"/>
    <w:rsid w:val="002E5B7D"/>
    <w:rsid w:val="002E5DEA"/>
    <w:rsid w:val="002E5EE6"/>
    <w:rsid w:val="002E6C88"/>
    <w:rsid w:val="002E6E5E"/>
    <w:rsid w:val="002E7079"/>
    <w:rsid w:val="002E724A"/>
    <w:rsid w:val="002E7445"/>
    <w:rsid w:val="002F0092"/>
    <w:rsid w:val="002F00D2"/>
    <w:rsid w:val="002F078A"/>
    <w:rsid w:val="002F098E"/>
    <w:rsid w:val="002F1741"/>
    <w:rsid w:val="002F26E6"/>
    <w:rsid w:val="002F280A"/>
    <w:rsid w:val="002F2E05"/>
    <w:rsid w:val="002F311E"/>
    <w:rsid w:val="002F313A"/>
    <w:rsid w:val="002F345B"/>
    <w:rsid w:val="002F37EC"/>
    <w:rsid w:val="002F3ACB"/>
    <w:rsid w:val="002F3AD5"/>
    <w:rsid w:val="002F4515"/>
    <w:rsid w:val="002F4859"/>
    <w:rsid w:val="002F4949"/>
    <w:rsid w:val="002F4EA6"/>
    <w:rsid w:val="002F53F4"/>
    <w:rsid w:val="002F5F27"/>
    <w:rsid w:val="002F5FEC"/>
    <w:rsid w:val="002F61FB"/>
    <w:rsid w:val="002F66D6"/>
    <w:rsid w:val="002F6D22"/>
    <w:rsid w:val="002F6E64"/>
    <w:rsid w:val="002F71B8"/>
    <w:rsid w:val="002F71F4"/>
    <w:rsid w:val="00300798"/>
    <w:rsid w:val="003013E3"/>
    <w:rsid w:val="00301B2D"/>
    <w:rsid w:val="00301EA1"/>
    <w:rsid w:val="00301F26"/>
    <w:rsid w:val="00302FCC"/>
    <w:rsid w:val="00303A42"/>
    <w:rsid w:val="00303ABF"/>
    <w:rsid w:val="00303C22"/>
    <w:rsid w:val="00303EC1"/>
    <w:rsid w:val="00305728"/>
    <w:rsid w:val="00305729"/>
    <w:rsid w:val="003062AE"/>
    <w:rsid w:val="00306A26"/>
    <w:rsid w:val="00306FD7"/>
    <w:rsid w:val="00310262"/>
    <w:rsid w:val="0031033B"/>
    <w:rsid w:val="00310E37"/>
    <w:rsid w:val="00312F54"/>
    <w:rsid w:val="00313D69"/>
    <w:rsid w:val="003142B9"/>
    <w:rsid w:val="0031480D"/>
    <w:rsid w:val="003149F6"/>
    <w:rsid w:val="00314BFC"/>
    <w:rsid w:val="00315514"/>
    <w:rsid w:val="0031644D"/>
    <w:rsid w:val="00316508"/>
    <w:rsid w:val="00316F58"/>
    <w:rsid w:val="00317E18"/>
    <w:rsid w:val="00317EFA"/>
    <w:rsid w:val="003205A6"/>
    <w:rsid w:val="003208AE"/>
    <w:rsid w:val="0032226A"/>
    <w:rsid w:val="00322DB4"/>
    <w:rsid w:val="00323881"/>
    <w:rsid w:val="00323CDD"/>
    <w:rsid w:val="00323E17"/>
    <w:rsid w:val="00324141"/>
    <w:rsid w:val="00324811"/>
    <w:rsid w:val="003249D6"/>
    <w:rsid w:val="00324B20"/>
    <w:rsid w:val="00324B79"/>
    <w:rsid w:val="00324BA8"/>
    <w:rsid w:val="00324DEB"/>
    <w:rsid w:val="00326158"/>
    <w:rsid w:val="0032747F"/>
    <w:rsid w:val="00327563"/>
    <w:rsid w:val="003275C1"/>
    <w:rsid w:val="0033060B"/>
    <w:rsid w:val="00330F14"/>
    <w:rsid w:val="0033100B"/>
    <w:rsid w:val="003316AF"/>
    <w:rsid w:val="00331A16"/>
    <w:rsid w:val="00332C62"/>
    <w:rsid w:val="003339EC"/>
    <w:rsid w:val="00333C84"/>
    <w:rsid w:val="0033446E"/>
    <w:rsid w:val="00334697"/>
    <w:rsid w:val="00334ACF"/>
    <w:rsid w:val="00335C65"/>
    <w:rsid w:val="00335C8E"/>
    <w:rsid w:val="00336562"/>
    <w:rsid w:val="0033663D"/>
    <w:rsid w:val="003377F9"/>
    <w:rsid w:val="00341A14"/>
    <w:rsid w:val="0034219C"/>
    <w:rsid w:val="00342940"/>
    <w:rsid w:val="0034586D"/>
    <w:rsid w:val="003459E5"/>
    <w:rsid w:val="00345E01"/>
    <w:rsid w:val="00346699"/>
    <w:rsid w:val="003468DD"/>
    <w:rsid w:val="0034740A"/>
    <w:rsid w:val="003475A5"/>
    <w:rsid w:val="0035045D"/>
    <w:rsid w:val="00350BB9"/>
    <w:rsid w:val="00351381"/>
    <w:rsid w:val="003530A6"/>
    <w:rsid w:val="0035356B"/>
    <w:rsid w:val="00353627"/>
    <w:rsid w:val="0035375D"/>
    <w:rsid w:val="00353CDC"/>
    <w:rsid w:val="00355773"/>
    <w:rsid w:val="00355C42"/>
    <w:rsid w:val="00355F72"/>
    <w:rsid w:val="00356785"/>
    <w:rsid w:val="00357657"/>
    <w:rsid w:val="00357E32"/>
    <w:rsid w:val="00361C29"/>
    <w:rsid w:val="00362127"/>
    <w:rsid w:val="0036212E"/>
    <w:rsid w:val="00362634"/>
    <w:rsid w:val="00363487"/>
    <w:rsid w:val="00363905"/>
    <w:rsid w:val="003639A6"/>
    <w:rsid w:val="00363B86"/>
    <w:rsid w:val="003645D5"/>
    <w:rsid w:val="00364B9D"/>
    <w:rsid w:val="00364DB5"/>
    <w:rsid w:val="003659A6"/>
    <w:rsid w:val="00367357"/>
    <w:rsid w:val="003677C8"/>
    <w:rsid w:val="003679AE"/>
    <w:rsid w:val="00370688"/>
    <w:rsid w:val="003707ED"/>
    <w:rsid w:val="003714BA"/>
    <w:rsid w:val="0037189A"/>
    <w:rsid w:val="003718AC"/>
    <w:rsid w:val="00371DDF"/>
    <w:rsid w:val="00372A2C"/>
    <w:rsid w:val="003739A8"/>
    <w:rsid w:val="0037407F"/>
    <w:rsid w:val="0037425F"/>
    <w:rsid w:val="003745F4"/>
    <w:rsid w:val="00374712"/>
    <w:rsid w:val="003747ED"/>
    <w:rsid w:val="00374E3C"/>
    <w:rsid w:val="00374FA7"/>
    <w:rsid w:val="00376372"/>
    <w:rsid w:val="00377613"/>
    <w:rsid w:val="00380C62"/>
    <w:rsid w:val="00381D88"/>
    <w:rsid w:val="00381D8C"/>
    <w:rsid w:val="0038281C"/>
    <w:rsid w:val="00382CB0"/>
    <w:rsid w:val="003832AF"/>
    <w:rsid w:val="00383513"/>
    <w:rsid w:val="00383FA9"/>
    <w:rsid w:val="0038516B"/>
    <w:rsid w:val="0038599C"/>
    <w:rsid w:val="003859BC"/>
    <w:rsid w:val="00385A64"/>
    <w:rsid w:val="00385EA3"/>
    <w:rsid w:val="00385EA9"/>
    <w:rsid w:val="00386939"/>
    <w:rsid w:val="00386D1A"/>
    <w:rsid w:val="00387006"/>
    <w:rsid w:val="00387101"/>
    <w:rsid w:val="00387EFB"/>
    <w:rsid w:val="0039045D"/>
    <w:rsid w:val="00390D5A"/>
    <w:rsid w:val="00391479"/>
    <w:rsid w:val="0039182E"/>
    <w:rsid w:val="0039342B"/>
    <w:rsid w:val="00394C83"/>
    <w:rsid w:val="0039554D"/>
    <w:rsid w:val="00395E7C"/>
    <w:rsid w:val="0039623A"/>
    <w:rsid w:val="00396339"/>
    <w:rsid w:val="0039657D"/>
    <w:rsid w:val="00397170"/>
    <w:rsid w:val="003A04B8"/>
    <w:rsid w:val="003A05F7"/>
    <w:rsid w:val="003A096A"/>
    <w:rsid w:val="003A0D36"/>
    <w:rsid w:val="003A0DC7"/>
    <w:rsid w:val="003A16BC"/>
    <w:rsid w:val="003A1D3D"/>
    <w:rsid w:val="003A2E0B"/>
    <w:rsid w:val="003A3433"/>
    <w:rsid w:val="003A3A2F"/>
    <w:rsid w:val="003A537E"/>
    <w:rsid w:val="003A660F"/>
    <w:rsid w:val="003A693E"/>
    <w:rsid w:val="003A7456"/>
    <w:rsid w:val="003A74A7"/>
    <w:rsid w:val="003A79A4"/>
    <w:rsid w:val="003A7A08"/>
    <w:rsid w:val="003A7FF1"/>
    <w:rsid w:val="003B095E"/>
    <w:rsid w:val="003B12D3"/>
    <w:rsid w:val="003B12E3"/>
    <w:rsid w:val="003B2341"/>
    <w:rsid w:val="003B2956"/>
    <w:rsid w:val="003B3C35"/>
    <w:rsid w:val="003B3F77"/>
    <w:rsid w:val="003B5786"/>
    <w:rsid w:val="003B60C9"/>
    <w:rsid w:val="003B60F4"/>
    <w:rsid w:val="003B66EF"/>
    <w:rsid w:val="003B6A93"/>
    <w:rsid w:val="003B6AD9"/>
    <w:rsid w:val="003B7303"/>
    <w:rsid w:val="003C0127"/>
    <w:rsid w:val="003C055D"/>
    <w:rsid w:val="003C0EAF"/>
    <w:rsid w:val="003C1696"/>
    <w:rsid w:val="003C1A60"/>
    <w:rsid w:val="003C1A9F"/>
    <w:rsid w:val="003C3031"/>
    <w:rsid w:val="003C3880"/>
    <w:rsid w:val="003C3EED"/>
    <w:rsid w:val="003C42D0"/>
    <w:rsid w:val="003C4CD8"/>
    <w:rsid w:val="003C54D2"/>
    <w:rsid w:val="003C777E"/>
    <w:rsid w:val="003C787D"/>
    <w:rsid w:val="003D05DF"/>
    <w:rsid w:val="003D084D"/>
    <w:rsid w:val="003D11A9"/>
    <w:rsid w:val="003D1451"/>
    <w:rsid w:val="003D19E0"/>
    <w:rsid w:val="003D1FB3"/>
    <w:rsid w:val="003D2A37"/>
    <w:rsid w:val="003D3458"/>
    <w:rsid w:val="003D3E6A"/>
    <w:rsid w:val="003D3EFE"/>
    <w:rsid w:val="003D501A"/>
    <w:rsid w:val="003D5332"/>
    <w:rsid w:val="003D5E98"/>
    <w:rsid w:val="003D6523"/>
    <w:rsid w:val="003D69EF"/>
    <w:rsid w:val="003E0A1E"/>
    <w:rsid w:val="003E0EDB"/>
    <w:rsid w:val="003E2098"/>
    <w:rsid w:val="003E2452"/>
    <w:rsid w:val="003E5268"/>
    <w:rsid w:val="003E6196"/>
    <w:rsid w:val="003E6475"/>
    <w:rsid w:val="003E731A"/>
    <w:rsid w:val="003E76B7"/>
    <w:rsid w:val="003E7A51"/>
    <w:rsid w:val="003F0616"/>
    <w:rsid w:val="003F105A"/>
    <w:rsid w:val="003F16D1"/>
    <w:rsid w:val="003F20A3"/>
    <w:rsid w:val="003F2CC6"/>
    <w:rsid w:val="003F4F2C"/>
    <w:rsid w:val="003F52BB"/>
    <w:rsid w:val="003F57E6"/>
    <w:rsid w:val="003F6199"/>
    <w:rsid w:val="003F65BD"/>
    <w:rsid w:val="003F7800"/>
    <w:rsid w:val="003F790E"/>
    <w:rsid w:val="003F7914"/>
    <w:rsid w:val="0040021F"/>
    <w:rsid w:val="00401654"/>
    <w:rsid w:val="004019D3"/>
    <w:rsid w:val="00401B1B"/>
    <w:rsid w:val="00401D7A"/>
    <w:rsid w:val="00401E77"/>
    <w:rsid w:val="00401EA1"/>
    <w:rsid w:val="004026FB"/>
    <w:rsid w:val="004033BF"/>
    <w:rsid w:val="004041C4"/>
    <w:rsid w:val="00404333"/>
    <w:rsid w:val="00404358"/>
    <w:rsid w:val="004044F2"/>
    <w:rsid w:val="00404559"/>
    <w:rsid w:val="00404B7C"/>
    <w:rsid w:val="00404C3E"/>
    <w:rsid w:val="0040528E"/>
    <w:rsid w:val="00405867"/>
    <w:rsid w:val="004067E0"/>
    <w:rsid w:val="00406985"/>
    <w:rsid w:val="00407195"/>
    <w:rsid w:val="004074C0"/>
    <w:rsid w:val="004102F8"/>
    <w:rsid w:val="00410550"/>
    <w:rsid w:val="004112C2"/>
    <w:rsid w:val="004118C7"/>
    <w:rsid w:val="004124D6"/>
    <w:rsid w:val="00412F4A"/>
    <w:rsid w:val="00413541"/>
    <w:rsid w:val="00413FE6"/>
    <w:rsid w:val="00414755"/>
    <w:rsid w:val="0041498A"/>
    <w:rsid w:val="00414ABE"/>
    <w:rsid w:val="00414FDC"/>
    <w:rsid w:val="00415074"/>
    <w:rsid w:val="00416479"/>
    <w:rsid w:val="0041685C"/>
    <w:rsid w:val="004175B2"/>
    <w:rsid w:val="00420540"/>
    <w:rsid w:val="004211A3"/>
    <w:rsid w:val="00421450"/>
    <w:rsid w:val="0042286F"/>
    <w:rsid w:val="00422D8B"/>
    <w:rsid w:val="00422ECB"/>
    <w:rsid w:val="00422F23"/>
    <w:rsid w:val="004231E1"/>
    <w:rsid w:val="00423A1F"/>
    <w:rsid w:val="00423F3A"/>
    <w:rsid w:val="00425029"/>
    <w:rsid w:val="00425206"/>
    <w:rsid w:val="00425422"/>
    <w:rsid w:val="00425778"/>
    <w:rsid w:val="00426090"/>
    <w:rsid w:val="0042673C"/>
    <w:rsid w:val="00426927"/>
    <w:rsid w:val="00426C29"/>
    <w:rsid w:val="00426CF2"/>
    <w:rsid w:val="0042708B"/>
    <w:rsid w:val="004277E3"/>
    <w:rsid w:val="00427E55"/>
    <w:rsid w:val="0043022D"/>
    <w:rsid w:val="00432517"/>
    <w:rsid w:val="00432CD2"/>
    <w:rsid w:val="004351FA"/>
    <w:rsid w:val="004362DD"/>
    <w:rsid w:val="0043665D"/>
    <w:rsid w:val="00436968"/>
    <w:rsid w:val="00436A0C"/>
    <w:rsid w:val="00437356"/>
    <w:rsid w:val="00437BB5"/>
    <w:rsid w:val="00441131"/>
    <w:rsid w:val="00441C5C"/>
    <w:rsid w:val="00441DF0"/>
    <w:rsid w:val="00443521"/>
    <w:rsid w:val="004435C2"/>
    <w:rsid w:val="004438A8"/>
    <w:rsid w:val="00443A27"/>
    <w:rsid w:val="0044460C"/>
    <w:rsid w:val="00444766"/>
    <w:rsid w:val="0044479E"/>
    <w:rsid w:val="00444A43"/>
    <w:rsid w:val="00445D92"/>
    <w:rsid w:val="004467C5"/>
    <w:rsid w:val="00446D7E"/>
    <w:rsid w:val="004472B7"/>
    <w:rsid w:val="004472F5"/>
    <w:rsid w:val="00447314"/>
    <w:rsid w:val="00447B40"/>
    <w:rsid w:val="00447DC3"/>
    <w:rsid w:val="0045094B"/>
    <w:rsid w:val="00451833"/>
    <w:rsid w:val="00452AC3"/>
    <w:rsid w:val="00452C8E"/>
    <w:rsid w:val="00453462"/>
    <w:rsid w:val="0045389C"/>
    <w:rsid w:val="004538C8"/>
    <w:rsid w:val="00453BAE"/>
    <w:rsid w:val="00453BFD"/>
    <w:rsid w:val="00453D59"/>
    <w:rsid w:val="004548E9"/>
    <w:rsid w:val="00456242"/>
    <w:rsid w:val="00456903"/>
    <w:rsid w:val="00456E9E"/>
    <w:rsid w:val="004577E1"/>
    <w:rsid w:val="00460B6A"/>
    <w:rsid w:val="00460DDB"/>
    <w:rsid w:val="00461822"/>
    <w:rsid w:val="004619BB"/>
    <w:rsid w:val="00461BAB"/>
    <w:rsid w:val="00461C72"/>
    <w:rsid w:val="004620BE"/>
    <w:rsid w:val="004645FF"/>
    <w:rsid w:val="00464B86"/>
    <w:rsid w:val="00464DBA"/>
    <w:rsid w:val="00465D3F"/>
    <w:rsid w:val="0046600B"/>
    <w:rsid w:val="004661A5"/>
    <w:rsid w:val="0046621E"/>
    <w:rsid w:val="00472817"/>
    <w:rsid w:val="00472D4D"/>
    <w:rsid w:val="00473128"/>
    <w:rsid w:val="00473681"/>
    <w:rsid w:val="0047418A"/>
    <w:rsid w:val="00474A4D"/>
    <w:rsid w:val="004754A8"/>
    <w:rsid w:val="00475528"/>
    <w:rsid w:val="004758E3"/>
    <w:rsid w:val="004765B9"/>
    <w:rsid w:val="00477BA4"/>
    <w:rsid w:val="00477BAC"/>
    <w:rsid w:val="0048018F"/>
    <w:rsid w:val="00481549"/>
    <w:rsid w:val="0048346B"/>
    <w:rsid w:val="0048505F"/>
    <w:rsid w:val="00485907"/>
    <w:rsid w:val="00485F65"/>
    <w:rsid w:val="004861CF"/>
    <w:rsid w:val="00486DCC"/>
    <w:rsid w:val="00487556"/>
    <w:rsid w:val="0048761C"/>
    <w:rsid w:val="00487AE4"/>
    <w:rsid w:val="00487D0B"/>
    <w:rsid w:val="004903E6"/>
    <w:rsid w:val="004908B7"/>
    <w:rsid w:val="00490A71"/>
    <w:rsid w:val="00491445"/>
    <w:rsid w:val="004914E3"/>
    <w:rsid w:val="00491690"/>
    <w:rsid w:val="0049190D"/>
    <w:rsid w:val="004919DD"/>
    <w:rsid w:val="00492308"/>
    <w:rsid w:val="004926B7"/>
    <w:rsid w:val="004932F8"/>
    <w:rsid w:val="004935EF"/>
    <w:rsid w:val="00494F7C"/>
    <w:rsid w:val="0049513C"/>
    <w:rsid w:val="00495A21"/>
    <w:rsid w:val="00496435"/>
    <w:rsid w:val="004A02B7"/>
    <w:rsid w:val="004A0405"/>
    <w:rsid w:val="004A0C6D"/>
    <w:rsid w:val="004A2111"/>
    <w:rsid w:val="004A2DF5"/>
    <w:rsid w:val="004A48B4"/>
    <w:rsid w:val="004A4C25"/>
    <w:rsid w:val="004A4EF3"/>
    <w:rsid w:val="004A5746"/>
    <w:rsid w:val="004A5D73"/>
    <w:rsid w:val="004B076D"/>
    <w:rsid w:val="004B0FD3"/>
    <w:rsid w:val="004B2EFB"/>
    <w:rsid w:val="004B3A46"/>
    <w:rsid w:val="004B3C00"/>
    <w:rsid w:val="004B4A1C"/>
    <w:rsid w:val="004B6546"/>
    <w:rsid w:val="004B7806"/>
    <w:rsid w:val="004B7C03"/>
    <w:rsid w:val="004B7D80"/>
    <w:rsid w:val="004C1D0C"/>
    <w:rsid w:val="004C228C"/>
    <w:rsid w:val="004C2FF3"/>
    <w:rsid w:val="004C3AEF"/>
    <w:rsid w:val="004C3B63"/>
    <w:rsid w:val="004C445C"/>
    <w:rsid w:val="004C46AE"/>
    <w:rsid w:val="004C4F46"/>
    <w:rsid w:val="004C5BBE"/>
    <w:rsid w:val="004C5D05"/>
    <w:rsid w:val="004C5F62"/>
    <w:rsid w:val="004C68CD"/>
    <w:rsid w:val="004C6E37"/>
    <w:rsid w:val="004C7EBF"/>
    <w:rsid w:val="004D1006"/>
    <w:rsid w:val="004D16E1"/>
    <w:rsid w:val="004D2BB9"/>
    <w:rsid w:val="004D2E7E"/>
    <w:rsid w:val="004D4373"/>
    <w:rsid w:val="004D45DF"/>
    <w:rsid w:val="004D5466"/>
    <w:rsid w:val="004D6B90"/>
    <w:rsid w:val="004D6E1B"/>
    <w:rsid w:val="004D7F30"/>
    <w:rsid w:val="004E0374"/>
    <w:rsid w:val="004E0C0B"/>
    <w:rsid w:val="004E2125"/>
    <w:rsid w:val="004E28A4"/>
    <w:rsid w:val="004E2DED"/>
    <w:rsid w:val="004E319A"/>
    <w:rsid w:val="004E346E"/>
    <w:rsid w:val="004E3513"/>
    <w:rsid w:val="004E3AFD"/>
    <w:rsid w:val="004E4B79"/>
    <w:rsid w:val="004E5744"/>
    <w:rsid w:val="004E5DAC"/>
    <w:rsid w:val="004E5E30"/>
    <w:rsid w:val="004E5F8F"/>
    <w:rsid w:val="004E6CFF"/>
    <w:rsid w:val="004E6D75"/>
    <w:rsid w:val="004E6E25"/>
    <w:rsid w:val="004E7AD4"/>
    <w:rsid w:val="004F0556"/>
    <w:rsid w:val="004F0595"/>
    <w:rsid w:val="004F0AAE"/>
    <w:rsid w:val="004F1802"/>
    <w:rsid w:val="004F1B07"/>
    <w:rsid w:val="004F3256"/>
    <w:rsid w:val="004F3688"/>
    <w:rsid w:val="004F3AAE"/>
    <w:rsid w:val="004F3ADA"/>
    <w:rsid w:val="004F433B"/>
    <w:rsid w:val="004F4BDE"/>
    <w:rsid w:val="004F7CAC"/>
    <w:rsid w:val="00500187"/>
    <w:rsid w:val="0050047E"/>
    <w:rsid w:val="00500B65"/>
    <w:rsid w:val="00500BC6"/>
    <w:rsid w:val="0050175A"/>
    <w:rsid w:val="00503E77"/>
    <w:rsid w:val="00504649"/>
    <w:rsid w:val="00504DA3"/>
    <w:rsid w:val="00505732"/>
    <w:rsid w:val="00505EDD"/>
    <w:rsid w:val="0050615D"/>
    <w:rsid w:val="005063C3"/>
    <w:rsid w:val="0050690A"/>
    <w:rsid w:val="0050698E"/>
    <w:rsid w:val="00507503"/>
    <w:rsid w:val="00507F14"/>
    <w:rsid w:val="00507FEE"/>
    <w:rsid w:val="005102D2"/>
    <w:rsid w:val="00510656"/>
    <w:rsid w:val="00511320"/>
    <w:rsid w:val="005119C9"/>
    <w:rsid w:val="00511F6C"/>
    <w:rsid w:val="005120F1"/>
    <w:rsid w:val="005125A5"/>
    <w:rsid w:val="00513692"/>
    <w:rsid w:val="005136D2"/>
    <w:rsid w:val="005143F9"/>
    <w:rsid w:val="00514E56"/>
    <w:rsid w:val="00515330"/>
    <w:rsid w:val="0051581D"/>
    <w:rsid w:val="00515FF7"/>
    <w:rsid w:val="00516566"/>
    <w:rsid w:val="00517271"/>
    <w:rsid w:val="00520CCE"/>
    <w:rsid w:val="005218C3"/>
    <w:rsid w:val="00522526"/>
    <w:rsid w:val="00523D32"/>
    <w:rsid w:val="00524887"/>
    <w:rsid w:val="00525911"/>
    <w:rsid w:val="005259A8"/>
    <w:rsid w:val="0052758B"/>
    <w:rsid w:val="005275FD"/>
    <w:rsid w:val="005279AF"/>
    <w:rsid w:val="00527CD8"/>
    <w:rsid w:val="00531C11"/>
    <w:rsid w:val="0053211C"/>
    <w:rsid w:val="0053350B"/>
    <w:rsid w:val="00533914"/>
    <w:rsid w:val="005339EC"/>
    <w:rsid w:val="00533C08"/>
    <w:rsid w:val="00533C5A"/>
    <w:rsid w:val="00535C74"/>
    <w:rsid w:val="005361AB"/>
    <w:rsid w:val="00536345"/>
    <w:rsid w:val="00536852"/>
    <w:rsid w:val="00537495"/>
    <w:rsid w:val="00537AE1"/>
    <w:rsid w:val="00540604"/>
    <w:rsid w:val="005409A9"/>
    <w:rsid w:val="00540CF3"/>
    <w:rsid w:val="0054120E"/>
    <w:rsid w:val="005414D7"/>
    <w:rsid w:val="005416CF"/>
    <w:rsid w:val="00541D43"/>
    <w:rsid w:val="00542068"/>
    <w:rsid w:val="00543304"/>
    <w:rsid w:val="005439E5"/>
    <w:rsid w:val="00543AF9"/>
    <w:rsid w:val="00544C74"/>
    <w:rsid w:val="00544DE1"/>
    <w:rsid w:val="00544DF6"/>
    <w:rsid w:val="00544F39"/>
    <w:rsid w:val="005453D4"/>
    <w:rsid w:val="00545978"/>
    <w:rsid w:val="005459F8"/>
    <w:rsid w:val="00545B28"/>
    <w:rsid w:val="00546701"/>
    <w:rsid w:val="00547746"/>
    <w:rsid w:val="005478A6"/>
    <w:rsid w:val="00547F83"/>
    <w:rsid w:val="00547FC0"/>
    <w:rsid w:val="00551773"/>
    <w:rsid w:val="00551DCF"/>
    <w:rsid w:val="00551F47"/>
    <w:rsid w:val="005523F8"/>
    <w:rsid w:val="0055323C"/>
    <w:rsid w:val="005535A0"/>
    <w:rsid w:val="00554357"/>
    <w:rsid w:val="0055532F"/>
    <w:rsid w:val="00555851"/>
    <w:rsid w:val="005558A9"/>
    <w:rsid w:val="00555D45"/>
    <w:rsid w:val="0055677F"/>
    <w:rsid w:val="00556913"/>
    <w:rsid w:val="00556CFB"/>
    <w:rsid w:val="00557318"/>
    <w:rsid w:val="00557628"/>
    <w:rsid w:val="0055780A"/>
    <w:rsid w:val="0056011A"/>
    <w:rsid w:val="0056061F"/>
    <w:rsid w:val="00560B4A"/>
    <w:rsid w:val="00560BC3"/>
    <w:rsid w:val="005617DF"/>
    <w:rsid w:val="00561D24"/>
    <w:rsid w:val="00561FE2"/>
    <w:rsid w:val="00562836"/>
    <w:rsid w:val="00563114"/>
    <w:rsid w:val="005636BE"/>
    <w:rsid w:val="0056429D"/>
    <w:rsid w:val="0056462B"/>
    <w:rsid w:val="00564661"/>
    <w:rsid w:val="005666B7"/>
    <w:rsid w:val="00566926"/>
    <w:rsid w:val="005669FA"/>
    <w:rsid w:val="00566B5A"/>
    <w:rsid w:val="00566E77"/>
    <w:rsid w:val="005670F2"/>
    <w:rsid w:val="0057060E"/>
    <w:rsid w:val="0057089F"/>
    <w:rsid w:val="00572D3C"/>
    <w:rsid w:val="0057324A"/>
    <w:rsid w:val="005738A6"/>
    <w:rsid w:val="00574A2D"/>
    <w:rsid w:val="00575488"/>
    <w:rsid w:val="00575AEF"/>
    <w:rsid w:val="00576ADE"/>
    <w:rsid w:val="005772B4"/>
    <w:rsid w:val="00577726"/>
    <w:rsid w:val="00577B1D"/>
    <w:rsid w:val="00577CFD"/>
    <w:rsid w:val="00577DEF"/>
    <w:rsid w:val="00580198"/>
    <w:rsid w:val="005802B0"/>
    <w:rsid w:val="0058059F"/>
    <w:rsid w:val="005810CE"/>
    <w:rsid w:val="005819C7"/>
    <w:rsid w:val="00582F1D"/>
    <w:rsid w:val="005832E5"/>
    <w:rsid w:val="00584CAE"/>
    <w:rsid w:val="00584EEA"/>
    <w:rsid w:val="0058502F"/>
    <w:rsid w:val="0058531E"/>
    <w:rsid w:val="00585E01"/>
    <w:rsid w:val="00586440"/>
    <w:rsid w:val="00586E3A"/>
    <w:rsid w:val="00586F19"/>
    <w:rsid w:val="00586F60"/>
    <w:rsid w:val="005872F3"/>
    <w:rsid w:val="005872FC"/>
    <w:rsid w:val="00590D96"/>
    <w:rsid w:val="00590DB6"/>
    <w:rsid w:val="00592FC3"/>
    <w:rsid w:val="005938B6"/>
    <w:rsid w:val="00593978"/>
    <w:rsid w:val="00596BE9"/>
    <w:rsid w:val="005970AD"/>
    <w:rsid w:val="00597972"/>
    <w:rsid w:val="00597FAB"/>
    <w:rsid w:val="005A0E2A"/>
    <w:rsid w:val="005A0EDC"/>
    <w:rsid w:val="005A1429"/>
    <w:rsid w:val="005A19AA"/>
    <w:rsid w:val="005A2284"/>
    <w:rsid w:val="005A2837"/>
    <w:rsid w:val="005A2CDB"/>
    <w:rsid w:val="005A3281"/>
    <w:rsid w:val="005A40BC"/>
    <w:rsid w:val="005A4C43"/>
    <w:rsid w:val="005A7E13"/>
    <w:rsid w:val="005B104C"/>
    <w:rsid w:val="005B2994"/>
    <w:rsid w:val="005B2CD7"/>
    <w:rsid w:val="005B2DC8"/>
    <w:rsid w:val="005B3B46"/>
    <w:rsid w:val="005B3E40"/>
    <w:rsid w:val="005B490E"/>
    <w:rsid w:val="005B52AD"/>
    <w:rsid w:val="005B5DED"/>
    <w:rsid w:val="005B6154"/>
    <w:rsid w:val="005B61EA"/>
    <w:rsid w:val="005B6498"/>
    <w:rsid w:val="005B6EA5"/>
    <w:rsid w:val="005B77D0"/>
    <w:rsid w:val="005B7A7C"/>
    <w:rsid w:val="005C0B5F"/>
    <w:rsid w:val="005C0EC0"/>
    <w:rsid w:val="005C1DDB"/>
    <w:rsid w:val="005C2085"/>
    <w:rsid w:val="005C339B"/>
    <w:rsid w:val="005C3A10"/>
    <w:rsid w:val="005C407E"/>
    <w:rsid w:val="005C4637"/>
    <w:rsid w:val="005C6664"/>
    <w:rsid w:val="005C6A66"/>
    <w:rsid w:val="005C6CB8"/>
    <w:rsid w:val="005C6F21"/>
    <w:rsid w:val="005C793C"/>
    <w:rsid w:val="005C7A0C"/>
    <w:rsid w:val="005D0BC0"/>
    <w:rsid w:val="005D1B85"/>
    <w:rsid w:val="005D242A"/>
    <w:rsid w:val="005D25B9"/>
    <w:rsid w:val="005D34D9"/>
    <w:rsid w:val="005D3BA1"/>
    <w:rsid w:val="005D494A"/>
    <w:rsid w:val="005D4B3F"/>
    <w:rsid w:val="005D5105"/>
    <w:rsid w:val="005D58E4"/>
    <w:rsid w:val="005D5BA1"/>
    <w:rsid w:val="005D5E54"/>
    <w:rsid w:val="005D697E"/>
    <w:rsid w:val="005E0724"/>
    <w:rsid w:val="005E0EFA"/>
    <w:rsid w:val="005E0F66"/>
    <w:rsid w:val="005E10D8"/>
    <w:rsid w:val="005E17E5"/>
    <w:rsid w:val="005E1AA9"/>
    <w:rsid w:val="005E1EE3"/>
    <w:rsid w:val="005E259B"/>
    <w:rsid w:val="005E3869"/>
    <w:rsid w:val="005E464B"/>
    <w:rsid w:val="005E49B2"/>
    <w:rsid w:val="005E5A7E"/>
    <w:rsid w:val="005E5FBF"/>
    <w:rsid w:val="005E6315"/>
    <w:rsid w:val="005E6358"/>
    <w:rsid w:val="005E70EE"/>
    <w:rsid w:val="005F0AE8"/>
    <w:rsid w:val="005F0CE0"/>
    <w:rsid w:val="005F186C"/>
    <w:rsid w:val="005F1AD7"/>
    <w:rsid w:val="005F1FD6"/>
    <w:rsid w:val="005F2132"/>
    <w:rsid w:val="005F2255"/>
    <w:rsid w:val="005F2515"/>
    <w:rsid w:val="005F2A6B"/>
    <w:rsid w:val="005F3366"/>
    <w:rsid w:val="005F38DC"/>
    <w:rsid w:val="005F40C1"/>
    <w:rsid w:val="005F62DA"/>
    <w:rsid w:val="005F657A"/>
    <w:rsid w:val="005F738C"/>
    <w:rsid w:val="005F74DB"/>
    <w:rsid w:val="00600119"/>
    <w:rsid w:val="00600831"/>
    <w:rsid w:val="00600A39"/>
    <w:rsid w:val="00601CB6"/>
    <w:rsid w:val="006024D3"/>
    <w:rsid w:val="00603817"/>
    <w:rsid w:val="00603FE3"/>
    <w:rsid w:val="006054F5"/>
    <w:rsid w:val="00605D1A"/>
    <w:rsid w:val="00605FCF"/>
    <w:rsid w:val="00606EF9"/>
    <w:rsid w:val="0060703D"/>
    <w:rsid w:val="0060706A"/>
    <w:rsid w:val="00607758"/>
    <w:rsid w:val="006104DA"/>
    <w:rsid w:val="00610559"/>
    <w:rsid w:val="00610582"/>
    <w:rsid w:val="00610674"/>
    <w:rsid w:val="00610B18"/>
    <w:rsid w:val="00610D5E"/>
    <w:rsid w:val="006110E8"/>
    <w:rsid w:val="006112E3"/>
    <w:rsid w:val="00612428"/>
    <w:rsid w:val="006124FC"/>
    <w:rsid w:val="00612FB2"/>
    <w:rsid w:val="0061339E"/>
    <w:rsid w:val="00613467"/>
    <w:rsid w:val="006143A9"/>
    <w:rsid w:val="00614993"/>
    <w:rsid w:val="00615026"/>
    <w:rsid w:val="00615102"/>
    <w:rsid w:val="00615219"/>
    <w:rsid w:val="0061528D"/>
    <w:rsid w:val="006167C2"/>
    <w:rsid w:val="00616C56"/>
    <w:rsid w:val="00617DEA"/>
    <w:rsid w:val="0062027A"/>
    <w:rsid w:val="006203AA"/>
    <w:rsid w:val="006212F1"/>
    <w:rsid w:val="00621570"/>
    <w:rsid w:val="0062160C"/>
    <w:rsid w:val="00621BF8"/>
    <w:rsid w:val="006224C3"/>
    <w:rsid w:val="00622CF2"/>
    <w:rsid w:val="00623092"/>
    <w:rsid w:val="00623454"/>
    <w:rsid w:val="0062398E"/>
    <w:rsid w:val="00623F89"/>
    <w:rsid w:val="00624315"/>
    <w:rsid w:val="0062440F"/>
    <w:rsid w:val="006245AB"/>
    <w:rsid w:val="00624778"/>
    <w:rsid w:val="00624DC1"/>
    <w:rsid w:val="00624F2D"/>
    <w:rsid w:val="0062545B"/>
    <w:rsid w:val="0062552A"/>
    <w:rsid w:val="006260A4"/>
    <w:rsid w:val="0062726F"/>
    <w:rsid w:val="00627357"/>
    <w:rsid w:val="006275FE"/>
    <w:rsid w:val="00627CBD"/>
    <w:rsid w:val="00630496"/>
    <w:rsid w:val="00631483"/>
    <w:rsid w:val="00632108"/>
    <w:rsid w:val="00632853"/>
    <w:rsid w:val="006332BE"/>
    <w:rsid w:val="0063582D"/>
    <w:rsid w:val="006359B9"/>
    <w:rsid w:val="00636C13"/>
    <w:rsid w:val="00636E6E"/>
    <w:rsid w:val="006373A0"/>
    <w:rsid w:val="0063795F"/>
    <w:rsid w:val="00637C5B"/>
    <w:rsid w:val="006408C3"/>
    <w:rsid w:val="00640E65"/>
    <w:rsid w:val="00641728"/>
    <w:rsid w:val="00641929"/>
    <w:rsid w:val="00641CCB"/>
    <w:rsid w:val="00641F9D"/>
    <w:rsid w:val="00642262"/>
    <w:rsid w:val="006426CB"/>
    <w:rsid w:val="0064290C"/>
    <w:rsid w:val="00643223"/>
    <w:rsid w:val="0064344A"/>
    <w:rsid w:val="006436B7"/>
    <w:rsid w:val="0064397C"/>
    <w:rsid w:val="00643AAA"/>
    <w:rsid w:val="006441BA"/>
    <w:rsid w:val="0064479E"/>
    <w:rsid w:val="006448C0"/>
    <w:rsid w:val="00644B1E"/>
    <w:rsid w:val="00644FC2"/>
    <w:rsid w:val="006450D6"/>
    <w:rsid w:val="006459D1"/>
    <w:rsid w:val="00645AB3"/>
    <w:rsid w:val="00645B07"/>
    <w:rsid w:val="0064620D"/>
    <w:rsid w:val="0064719A"/>
    <w:rsid w:val="006476E5"/>
    <w:rsid w:val="00647796"/>
    <w:rsid w:val="0065011A"/>
    <w:rsid w:val="00650910"/>
    <w:rsid w:val="00651CD8"/>
    <w:rsid w:val="00652168"/>
    <w:rsid w:val="0065226B"/>
    <w:rsid w:val="0065324A"/>
    <w:rsid w:val="006534F8"/>
    <w:rsid w:val="00653C01"/>
    <w:rsid w:val="00655158"/>
    <w:rsid w:val="00655801"/>
    <w:rsid w:val="00656091"/>
    <w:rsid w:val="006562DA"/>
    <w:rsid w:val="00656A27"/>
    <w:rsid w:val="00656AE8"/>
    <w:rsid w:val="006572DE"/>
    <w:rsid w:val="006575CF"/>
    <w:rsid w:val="00657754"/>
    <w:rsid w:val="00660498"/>
    <w:rsid w:val="006618AA"/>
    <w:rsid w:val="006627C1"/>
    <w:rsid w:val="00662DFF"/>
    <w:rsid w:val="00662EC5"/>
    <w:rsid w:val="00663C21"/>
    <w:rsid w:val="00664356"/>
    <w:rsid w:val="00664491"/>
    <w:rsid w:val="006651A6"/>
    <w:rsid w:val="006655E7"/>
    <w:rsid w:val="00665FC6"/>
    <w:rsid w:val="006660D5"/>
    <w:rsid w:val="006662A7"/>
    <w:rsid w:val="00667104"/>
    <w:rsid w:val="00667CBF"/>
    <w:rsid w:val="0067145A"/>
    <w:rsid w:val="00671BCE"/>
    <w:rsid w:val="00672120"/>
    <w:rsid w:val="0067279C"/>
    <w:rsid w:val="00672DC1"/>
    <w:rsid w:val="0067327D"/>
    <w:rsid w:val="00673352"/>
    <w:rsid w:val="00673843"/>
    <w:rsid w:val="00674C70"/>
    <w:rsid w:val="006750A3"/>
    <w:rsid w:val="006763A7"/>
    <w:rsid w:val="00676F42"/>
    <w:rsid w:val="006770D5"/>
    <w:rsid w:val="0067769A"/>
    <w:rsid w:val="00680B00"/>
    <w:rsid w:val="00680E90"/>
    <w:rsid w:val="00681C5A"/>
    <w:rsid w:val="00681C5B"/>
    <w:rsid w:val="00682CE3"/>
    <w:rsid w:val="006834A2"/>
    <w:rsid w:val="0068368C"/>
    <w:rsid w:val="00683F35"/>
    <w:rsid w:val="0068446B"/>
    <w:rsid w:val="00684958"/>
    <w:rsid w:val="006852F4"/>
    <w:rsid w:val="006862AE"/>
    <w:rsid w:val="0068650C"/>
    <w:rsid w:val="00686847"/>
    <w:rsid w:val="00686A71"/>
    <w:rsid w:val="0069010E"/>
    <w:rsid w:val="0069123E"/>
    <w:rsid w:val="00691357"/>
    <w:rsid w:val="00691913"/>
    <w:rsid w:val="00692AAE"/>
    <w:rsid w:val="00693194"/>
    <w:rsid w:val="00693399"/>
    <w:rsid w:val="006938D7"/>
    <w:rsid w:val="0069459C"/>
    <w:rsid w:val="00694A32"/>
    <w:rsid w:val="0069564F"/>
    <w:rsid w:val="00696FC4"/>
    <w:rsid w:val="00697419"/>
    <w:rsid w:val="00697FA8"/>
    <w:rsid w:val="006A094C"/>
    <w:rsid w:val="006A0B27"/>
    <w:rsid w:val="006A0FA4"/>
    <w:rsid w:val="006A138B"/>
    <w:rsid w:val="006A1569"/>
    <w:rsid w:val="006A15B9"/>
    <w:rsid w:val="006A2029"/>
    <w:rsid w:val="006A261D"/>
    <w:rsid w:val="006A2A08"/>
    <w:rsid w:val="006A2B19"/>
    <w:rsid w:val="006A3B81"/>
    <w:rsid w:val="006A42B5"/>
    <w:rsid w:val="006A4688"/>
    <w:rsid w:val="006A4F33"/>
    <w:rsid w:val="006A5A00"/>
    <w:rsid w:val="006A5AC0"/>
    <w:rsid w:val="006A6280"/>
    <w:rsid w:val="006A6C0D"/>
    <w:rsid w:val="006A7F32"/>
    <w:rsid w:val="006B0008"/>
    <w:rsid w:val="006B0480"/>
    <w:rsid w:val="006B0494"/>
    <w:rsid w:val="006B09F4"/>
    <w:rsid w:val="006B0AB0"/>
    <w:rsid w:val="006B1143"/>
    <w:rsid w:val="006B140A"/>
    <w:rsid w:val="006B161E"/>
    <w:rsid w:val="006B1AE7"/>
    <w:rsid w:val="006B2195"/>
    <w:rsid w:val="006B2E43"/>
    <w:rsid w:val="006B3796"/>
    <w:rsid w:val="006B4462"/>
    <w:rsid w:val="006B467A"/>
    <w:rsid w:val="006B4C50"/>
    <w:rsid w:val="006B4E0D"/>
    <w:rsid w:val="006B57AD"/>
    <w:rsid w:val="006B593C"/>
    <w:rsid w:val="006B5D29"/>
    <w:rsid w:val="006B6044"/>
    <w:rsid w:val="006B62CF"/>
    <w:rsid w:val="006B6DE4"/>
    <w:rsid w:val="006C0032"/>
    <w:rsid w:val="006C014A"/>
    <w:rsid w:val="006C035D"/>
    <w:rsid w:val="006C08A1"/>
    <w:rsid w:val="006C0974"/>
    <w:rsid w:val="006C1210"/>
    <w:rsid w:val="006C16CA"/>
    <w:rsid w:val="006C1F21"/>
    <w:rsid w:val="006C210F"/>
    <w:rsid w:val="006C4906"/>
    <w:rsid w:val="006C63EA"/>
    <w:rsid w:val="006C65CF"/>
    <w:rsid w:val="006C6AA6"/>
    <w:rsid w:val="006C6B1C"/>
    <w:rsid w:val="006C7208"/>
    <w:rsid w:val="006D0180"/>
    <w:rsid w:val="006D0CD0"/>
    <w:rsid w:val="006D190F"/>
    <w:rsid w:val="006D19A5"/>
    <w:rsid w:val="006D2604"/>
    <w:rsid w:val="006D2F35"/>
    <w:rsid w:val="006D31CF"/>
    <w:rsid w:val="006D3271"/>
    <w:rsid w:val="006D33C5"/>
    <w:rsid w:val="006D4E1F"/>
    <w:rsid w:val="006D50D6"/>
    <w:rsid w:val="006D5B2E"/>
    <w:rsid w:val="006D5D03"/>
    <w:rsid w:val="006D5E73"/>
    <w:rsid w:val="006D5F43"/>
    <w:rsid w:val="006D6944"/>
    <w:rsid w:val="006D6B11"/>
    <w:rsid w:val="006D6F98"/>
    <w:rsid w:val="006D76EA"/>
    <w:rsid w:val="006D7D25"/>
    <w:rsid w:val="006E02D2"/>
    <w:rsid w:val="006E2594"/>
    <w:rsid w:val="006E36AA"/>
    <w:rsid w:val="006E4E37"/>
    <w:rsid w:val="006E5F4B"/>
    <w:rsid w:val="006E68E2"/>
    <w:rsid w:val="006E6A47"/>
    <w:rsid w:val="006E7302"/>
    <w:rsid w:val="006E77BA"/>
    <w:rsid w:val="006F0C01"/>
    <w:rsid w:val="006F1140"/>
    <w:rsid w:val="006F161E"/>
    <w:rsid w:val="006F1BB3"/>
    <w:rsid w:val="006F21CC"/>
    <w:rsid w:val="006F2E72"/>
    <w:rsid w:val="006F3039"/>
    <w:rsid w:val="006F307B"/>
    <w:rsid w:val="006F350A"/>
    <w:rsid w:val="006F4213"/>
    <w:rsid w:val="006F48B3"/>
    <w:rsid w:val="006F5256"/>
    <w:rsid w:val="006F6A2A"/>
    <w:rsid w:val="006F75A0"/>
    <w:rsid w:val="006F7701"/>
    <w:rsid w:val="006F799E"/>
    <w:rsid w:val="006F7DF7"/>
    <w:rsid w:val="00700FE7"/>
    <w:rsid w:val="0070124F"/>
    <w:rsid w:val="007016CB"/>
    <w:rsid w:val="007022B1"/>
    <w:rsid w:val="0070279F"/>
    <w:rsid w:val="0070319E"/>
    <w:rsid w:val="00703418"/>
    <w:rsid w:val="00704576"/>
    <w:rsid w:val="00704DE0"/>
    <w:rsid w:val="00705930"/>
    <w:rsid w:val="00705FB2"/>
    <w:rsid w:val="007061AA"/>
    <w:rsid w:val="007062C3"/>
    <w:rsid w:val="007063D3"/>
    <w:rsid w:val="0070786C"/>
    <w:rsid w:val="00710485"/>
    <w:rsid w:val="007109D8"/>
    <w:rsid w:val="00712AD1"/>
    <w:rsid w:val="00712C73"/>
    <w:rsid w:val="0071362E"/>
    <w:rsid w:val="0071386F"/>
    <w:rsid w:val="00713EC9"/>
    <w:rsid w:val="00714D58"/>
    <w:rsid w:val="00714E0D"/>
    <w:rsid w:val="00715033"/>
    <w:rsid w:val="0071582C"/>
    <w:rsid w:val="00715CFB"/>
    <w:rsid w:val="00717C8E"/>
    <w:rsid w:val="00717E99"/>
    <w:rsid w:val="0072002E"/>
    <w:rsid w:val="00720363"/>
    <w:rsid w:val="00720A35"/>
    <w:rsid w:val="00721902"/>
    <w:rsid w:val="00721CA8"/>
    <w:rsid w:val="00721FC5"/>
    <w:rsid w:val="00722107"/>
    <w:rsid w:val="00722446"/>
    <w:rsid w:val="00723E1E"/>
    <w:rsid w:val="007243BA"/>
    <w:rsid w:val="00725CF3"/>
    <w:rsid w:val="00725DCC"/>
    <w:rsid w:val="00726B9D"/>
    <w:rsid w:val="007270BE"/>
    <w:rsid w:val="007278E9"/>
    <w:rsid w:val="00730D7F"/>
    <w:rsid w:val="00731414"/>
    <w:rsid w:val="00732B18"/>
    <w:rsid w:val="00733622"/>
    <w:rsid w:val="007339A9"/>
    <w:rsid w:val="007352B8"/>
    <w:rsid w:val="00735846"/>
    <w:rsid w:val="00735853"/>
    <w:rsid w:val="00736E15"/>
    <w:rsid w:val="0073706B"/>
    <w:rsid w:val="0073710B"/>
    <w:rsid w:val="007379E4"/>
    <w:rsid w:val="00737AA4"/>
    <w:rsid w:val="00737B62"/>
    <w:rsid w:val="007408F2"/>
    <w:rsid w:val="0074091C"/>
    <w:rsid w:val="0074144E"/>
    <w:rsid w:val="00741FA7"/>
    <w:rsid w:val="00742772"/>
    <w:rsid w:val="007429CF"/>
    <w:rsid w:val="00743116"/>
    <w:rsid w:val="00743B80"/>
    <w:rsid w:val="00743BE3"/>
    <w:rsid w:val="00743EC3"/>
    <w:rsid w:val="00745620"/>
    <w:rsid w:val="007467FD"/>
    <w:rsid w:val="007503C5"/>
    <w:rsid w:val="00750420"/>
    <w:rsid w:val="0075082C"/>
    <w:rsid w:val="007509A6"/>
    <w:rsid w:val="00750B5A"/>
    <w:rsid w:val="00751C6B"/>
    <w:rsid w:val="00751F15"/>
    <w:rsid w:val="007536B9"/>
    <w:rsid w:val="00753B89"/>
    <w:rsid w:val="00753C51"/>
    <w:rsid w:val="00754454"/>
    <w:rsid w:val="00754965"/>
    <w:rsid w:val="00754D12"/>
    <w:rsid w:val="00754E5A"/>
    <w:rsid w:val="00756367"/>
    <w:rsid w:val="0075667C"/>
    <w:rsid w:val="007569D2"/>
    <w:rsid w:val="00756E18"/>
    <w:rsid w:val="007570DE"/>
    <w:rsid w:val="007572BB"/>
    <w:rsid w:val="00760621"/>
    <w:rsid w:val="00761028"/>
    <w:rsid w:val="00761227"/>
    <w:rsid w:val="0076151F"/>
    <w:rsid w:val="0076220B"/>
    <w:rsid w:val="007623B1"/>
    <w:rsid w:val="00762FC1"/>
    <w:rsid w:val="007638F0"/>
    <w:rsid w:val="007643B9"/>
    <w:rsid w:val="0076446C"/>
    <w:rsid w:val="00764C7B"/>
    <w:rsid w:val="00764EDE"/>
    <w:rsid w:val="00765E5C"/>
    <w:rsid w:val="00766D08"/>
    <w:rsid w:val="00767ADA"/>
    <w:rsid w:val="00770966"/>
    <w:rsid w:val="00770E1C"/>
    <w:rsid w:val="00771941"/>
    <w:rsid w:val="00771BAA"/>
    <w:rsid w:val="007720F0"/>
    <w:rsid w:val="00772233"/>
    <w:rsid w:val="00772C4C"/>
    <w:rsid w:val="00772C70"/>
    <w:rsid w:val="00772D45"/>
    <w:rsid w:val="007736C2"/>
    <w:rsid w:val="0077414E"/>
    <w:rsid w:val="00774BB0"/>
    <w:rsid w:val="0077548D"/>
    <w:rsid w:val="00775933"/>
    <w:rsid w:val="00776C7F"/>
    <w:rsid w:val="0077735A"/>
    <w:rsid w:val="007779CF"/>
    <w:rsid w:val="0078050A"/>
    <w:rsid w:val="00781123"/>
    <w:rsid w:val="00781777"/>
    <w:rsid w:val="0078180A"/>
    <w:rsid w:val="00781EC7"/>
    <w:rsid w:val="00781F4B"/>
    <w:rsid w:val="0078218C"/>
    <w:rsid w:val="0078249C"/>
    <w:rsid w:val="0078350C"/>
    <w:rsid w:val="007838FA"/>
    <w:rsid w:val="00783E48"/>
    <w:rsid w:val="0078419D"/>
    <w:rsid w:val="0078429A"/>
    <w:rsid w:val="007847FA"/>
    <w:rsid w:val="007848DA"/>
    <w:rsid w:val="00784CA0"/>
    <w:rsid w:val="00786DA1"/>
    <w:rsid w:val="00787332"/>
    <w:rsid w:val="00787C41"/>
    <w:rsid w:val="00787F2D"/>
    <w:rsid w:val="00790424"/>
    <w:rsid w:val="00790910"/>
    <w:rsid w:val="00790FAC"/>
    <w:rsid w:val="0079183D"/>
    <w:rsid w:val="00791DE1"/>
    <w:rsid w:val="00792E6C"/>
    <w:rsid w:val="0079354B"/>
    <w:rsid w:val="0079375E"/>
    <w:rsid w:val="0079515E"/>
    <w:rsid w:val="00795EEC"/>
    <w:rsid w:val="007960AD"/>
    <w:rsid w:val="00796EE1"/>
    <w:rsid w:val="00796FDA"/>
    <w:rsid w:val="00797D36"/>
    <w:rsid w:val="007A013A"/>
    <w:rsid w:val="007A0667"/>
    <w:rsid w:val="007A0C94"/>
    <w:rsid w:val="007A0F7B"/>
    <w:rsid w:val="007A16B5"/>
    <w:rsid w:val="007A1A65"/>
    <w:rsid w:val="007A1E6A"/>
    <w:rsid w:val="007A321D"/>
    <w:rsid w:val="007A37EA"/>
    <w:rsid w:val="007A3A8C"/>
    <w:rsid w:val="007A3B23"/>
    <w:rsid w:val="007A4500"/>
    <w:rsid w:val="007A4C5A"/>
    <w:rsid w:val="007A5FB6"/>
    <w:rsid w:val="007A6254"/>
    <w:rsid w:val="007A6A0A"/>
    <w:rsid w:val="007B0E0C"/>
    <w:rsid w:val="007B23AF"/>
    <w:rsid w:val="007B2400"/>
    <w:rsid w:val="007B2862"/>
    <w:rsid w:val="007B28F7"/>
    <w:rsid w:val="007B2AF8"/>
    <w:rsid w:val="007B380C"/>
    <w:rsid w:val="007B41C9"/>
    <w:rsid w:val="007B446B"/>
    <w:rsid w:val="007B4548"/>
    <w:rsid w:val="007B4AC5"/>
    <w:rsid w:val="007B4FDD"/>
    <w:rsid w:val="007B517C"/>
    <w:rsid w:val="007B60C8"/>
    <w:rsid w:val="007B671B"/>
    <w:rsid w:val="007B7C24"/>
    <w:rsid w:val="007B7E8E"/>
    <w:rsid w:val="007C07BF"/>
    <w:rsid w:val="007C08E3"/>
    <w:rsid w:val="007C0D0E"/>
    <w:rsid w:val="007C26E5"/>
    <w:rsid w:val="007C3BE7"/>
    <w:rsid w:val="007C3E9E"/>
    <w:rsid w:val="007C479B"/>
    <w:rsid w:val="007C5A92"/>
    <w:rsid w:val="007C6B1D"/>
    <w:rsid w:val="007C720A"/>
    <w:rsid w:val="007C7499"/>
    <w:rsid w:val="007C7E1B"/>
    <w:rsid w:val="007D0A7A"/>
    <w:rsid w:val="007D0E01"/>
    <w:rsid w:val="007D1092"/>
    <w:rsid w:val="007D118C"/>
    <w:rsid w:val="007D1283"/>
    <w:rsid w:val="007D1924"/>
    <w:rsid w:val="007D2621"/>
    <w:rsid w:val="007D2C61"/>
    <w:rsid w:val="007D41BE"/>
    <w:rsid w:val="007D4404"/>
    <w:rsid w:val="007D5C82"/>
    <w:rsid w:val="007D5CA8"/>
    <w:rsid w:val="007D6203"/>
    <w:rsid w:val="007D6B9E"/>
    <w:rsid w:val="007D6DA1"/>
    <w:rsid w:val="007D72F6"/>
    <w:rsid w:val="007D7440"/>
    <w:rsid w:val="007D7D49"/>
    <w:rsid w:val="007E0CAF"/>
    <w:rsid w:val="007E2149"/>
    <w:rsid w:val="007E2D60"/>
    <w:rsid w:val="007E2F09"/>
    <w:rsid w:val="007E3E54"/>
    <w:rsid w:val="007E3FE6"/>
    <w:rsid w:val="007E40B9"/>
    <w:rsid w:val="007E491F"/>
    <w:rsid w:val="007E58EB"/>
    <w:rsid w:val="007E772A"/>
    <w:rsid w:val="007F08CA"/>
    <w:rsid w:val="007F0CE5"/>
    <w:rsid w:val="007F0DD1"/>
    <w:rsid w:val="007F242C"/>
    <w:rsid w:val="007F294A"/>
    <w:rsid w:val="007F2C46"/>
    <w:rsid w:val="007F34EE"/>
    <w:rsid w:val="007F3B6E"/>
    <w:rsid w:val="007F5857"/>
    <w:rsid w:val="007F6665"/>
    <w:rsid w:val="007F7AC2"/>
    <w:rsid w:val="00800D01"/>
    <w:rsid w:val="00801F42"/>
    <w:rsid w:val="0080238B"/>
    <w:rsid w:val="008029F4"/>
    <w:rsid w:val="00802B63"/>
    <w:rsid w:val="00804C4C"/>
    <w:rsid w:val="00805421"/>
    <w:rsid w:val="00805E9F"/>
    <w:rsid w:val="00806434"/>
    <w:rsid w:val="00807559"/>
    <w:rsid w:val="00807ECA"/>
    <w:rsid w:val="008115C2"/>
    <w:rsid w:val="008117BF"/>
    <w:rsid w:val="00812630"/>
    <w:rsid w:val="008127AA"/>
    <w:rsid w:val="00812AA3"/>
    <w:rsid w:val="00813288"/>
    <w:rsid w:val="0081360D"/>
    <w:rsid w:val="00813E5D"/>
    <w:rsid w:val="00815112"/>
    <w:rsid w:val="00815D2D"/>
    <w:rsid w:val="00816680"/>
    <w:rsid w:val="00816E5F"/>
    <w:rsid w:val="00817427"/>
    <w:rsid w:val="00821A29"/>
    <w:rsid w:val="00821C4E"/>
    <w:rsid w:val="00822865"/>
    <w:rsid w:val="008228F1"/>
    <w:rsid w:val="00822C77"/>
    <w:rsid w:val="00823233"/>
    <w:rsid w:val="00823D81"/>
    <w:rsid w:val="00824426"/>
    <w:rsid w:val="00824B0E"/>
    <w:rsid w:val="00824C9D"/>
    <w:rsid w:val="008250FD"/>
    <w:rsid w:val="008260B8"/>
    <w:rsid w:val="00827126"/>
    <w:rsid w:val="00830597"/>
    <w:rsid w:val="00830E52"/>
    <w:rsid w:val="008315C6"/>
    <w:rsid w:val="0083233F"/>
    <w:rsid w:val="008324E3"/>
    <w:rsid w:val="008338B7"/>
    <w:rsid w:val="00833E59"/>
    <w:rsid w:val="00834FC2"/>
    <w:rsid w:val="0083505E"/>
    <w:rsid w:val="0083646E"/>
    <w:rsid w:val="00836E8D"/>
    <w:rsid w:val="008374B8"/>
    <w:rsid w:val="00841466"/>
    <w:rsid w:val="00843FC0"/>
    <w:rsid w:val="00844347"/>
    <w:rsid w:val="0084437F"/>
    <w:rsid w:val="00844D65"/>
    <w:rsid w:val="008450F3"/>
    <w:rsid w:val="00845946"/>
    <w:rsid w:val="00845DFE"/>
    <w:rsid w:val="00846295"/>
    <w:rsid w:val="00846EDF"/>
    <w:rsid w:val="008476A0"/>
    <w:rsid w:val="0085041B"/>
    <w:rsid w:val="00850869"/>
    <w:rsid w:val="008509E0"/>
    <w:rsid w:val="00851C5E"/>
    <w:rsid w:val="00852AD8"/>
    <w:rsid w:val="00852B7D"/>
    <w:rsid w:val="00852F38"/>
    <w:rsid w:val="00854EF0"/>
    <w:rsid w:val="00854F81"/>
    <w:rsid w:val="0085665D"/>
    <w:rsid w:val="00856C34"/>
    <w:rsid w:val="0086103B"/>
    <w:rsid w:val="008621C6"/>
    <w:rsid w:val="008623D6"/>
    <w:rsid w:val="00862B69"/>
    <w:rsid w:val="008631B5"/>
    <w:rsid w:val="008632F9"/>
    <w:rsid w:val="00863B42"/>
    <w:rsid w:val="00863E95"/>
    <w:rsid w:val="00865546"/>
    <w:rsid w:val="00865D50"/>
    <w:rsid w:val="00865DC1"/>
    <w:rsid w:val="008663F3"/>
    <w:rsid w:val="00866E75"/>
    <w:rsid w:val="00867895"/>
    <w:rsid w:val="00867E67"/>
    <w:rsid w:val="00867EB9"/>
    <w:rsid w:val="00870112"/>
    <w:rsid w:val="008703A7"/>
    <w:rsid w:val="00870C8E"/>
    <w:rsid w:val="008727D0"/>
    <w:rsid w:val="00873059"/>
    <w:rsid w:val="0087316B"/>
    <w:rsid w:val="00873332"/>
    <w:rsid w:val="00873511"/>
    <w:rsid w:val="0087365A"/>
    <w:rsid w:val="00873F2A"/>
    <w:rsid w:val="008743C7"/>
    <w:rsid w:val="00874AE7"/>
    <w:rsid w:val="00874E20"/>
    <w:rsid w:val="00874FFA"/>
    <w:rsid w:val="008750F9"/>
    <w:rsid w:val="00875341"/>
    <w:rsid w:val="0087536F"/>
    <w:rsid w:val="00876BF1"/>
    <w:rsid w:val="00876D2C"/>
    <w:rsid w:val="00880010"/>
    <w:rsid w:val="0088029B"/>
    <w:rsid w:val="0088031D"/>
    <w:rsid w:val="00880A40"/>
    <w:rsid w:val="008810DB"/>
    <w:rsid w:val="00881B34"/>
    <w:rsid w:val="00881C81"/>
    <w:rsid w:val="00882B52"/>
    <w:rsid w:val="00882C06"/>
    <w:rsid w:val="00882CC7"/>
    <w:rsid w:val="00883CC3"/>
    <w:rsid w:val="00883E08"/>
    <w:rsid w:val="008846A2"/>
    <w:rsid w:val="00884E36"/>
    <w:rsid w:val="00885932"/>
    <w:rsid w:val="008861C6"/>
    <w:rsid w:val="008869F4"/>
    <w:rsid w:val="00887390"/>
    <w:rsid w:val="008873B8"/>
    <w:rsid w:val="0088747E"/>
    <w:rsid w:val="00890296"/>
    <w:rsid w:val="00890FE6"/>
    <w:rsid w:val="008911CB"/>
    <w:rsid w:val="00892859"/>
    <w:rsid w:val="00892E27"/>
    <w:rsid w:val="00893DBC"/>
    <w:rsid w:val="00893EEF"/>
    <w:rsid w:val="008945EB"/>
    <w:rsid w:val="0089589A"/>
    <w:rsid w:val="00895DE3"/>
    <w:rsid w:val="008971AB"/>
    <w:rsid w:val="008975A2"/>
    <w:rsid w:val="0089775B"/>
    <w:rsid w:val="00897B51"/>
    <w:rsid w:val="008A0A2A"/>
    <w:rsid w:val="008A0B13"/>
    <w:rsid w:val="008A1151"/>
    <w:rsid w:val="008A12B3"/>
    <w:rsid w:val="008A14CB"/>
    <w:rsid w:val="008A184F"/>
    <w:rsid w:val="008A2522"/>
    <w:rsid w:val="008A2C72"/>
    <w:rsid w:val="008A3ADD"/>
    <w:rsid w:val="008A40BC"/>
    <w:rsid w:val="008A40DD"/>
    <w:rsid w:val="008A42A9"/>
    <w:rsid w:val="008A4880"/>
    <w:rsid w:val="008A48E8"/>
    <w:rsid w:val="008A52B1"/>
    <w:rsid w:val="008A5754"/>
    <w:rsid w:val="008A5E0E"/>
    <w:rsid w:val="008A7B9D"/>
    <w:rsid w:val="008B0C53"/>
    <w:rsid w:val="008B1FFD"/>
    <w:rsid w:val="008B20DE"/>
    <w:rsid w:val="008B2287"/>
    <w:rsid w:val="008B2568"/>
    <w:rsid w:val="008B28A4"/>
    <w:rsid w:val="008B28BB"/>
    <w:rsid w:val="008B291C"/>
    <w:rsid w:val="008B2C31"/>
    <w:rsid w:val="008B2E71"/>
    <w:rsid w:val="008B4B90"/>
    <w:rsid w:val="008B4BF4"/>
    <w:rsid w:val="008B4D79"/>
    <w:rsid w:val="008B4EA4"/>
    <w:rsid w:val="008B5B32"/>
    <w:rsid w:val="008B7BD5"/>
    <w:rsid w:val="008C1259"/>
    <w:rsid w:val="008C1FB7"/>
    <w:rsid w:val="008C2989"/>
    <w:rsid w:val="008C2E17"/>
    <w:rsid w:val="008C372A"/>
    <w:rsid w:val="008C3C58"/>
    <w:rsid w:val="008C3D0F"/>
    <w:rsid w:val="008C460D"/>
    <w:rsid w:val="008C47A3"/>
    <w:rsid w:val="008C47C1"/>
    <w:rsid w:val="008C4816"/>
    <w:rsid w:val="008C483F"/>
    <w:rsid w:val="008C4A9C"/>
    <w:rsid w:val="008C50F2"/>
    <w:rsid w:val="008C5938"/>
    <w:rsid w:val="008C6414"/>
    <w:rsid w:val="008C64CD"/>
    <w:rsid w:val="008C67E8"/>
    <w:rsid w:val="008C6921"/>
    <w:rsid w:val="008C69C5"/>
    <w:rsid w:val="008C6FB3"/>
    <w:rsid w:val="008D0243"/>
    <w:rsid w:val="008D09DD"/>
    <w:rsid w:val="008D132A"/>
    <w:rsid w:val="008D158F"/>
    <w:rsid w:val="008D1784"/>
    <w:rsid w:val="008D17D9"/>
    <w:rsid w:val="008D2C43"/>
    <w:rsid w:val="008D2DFF"/>
    <w:rsid w:val="008D3051"/>
    <w:rsid w:val="008D32E3"/>
    <w:rsid w:val="008D475B"/>
    <w:rsid w:val="008D502C"/>
    <w:rsid w:val="008D53E5"/>
    <w:rsid w:val="008D78FA"/>
    <w:rsid w:val="008D78FF"/>
    <w:rsid w:val="008D7B66"/>
    <w:rsid w:val="008D7BF5"/>
    <w:rsid w:val="008E00CE"/>
    <w:rsid w:val="008E0996"/>
    <w:rsid w:val="008E0D2C"/>
    <w:rsid w:val="008E1224"/>
    <w:rsid w:val="008E25FD"/>
    <w:rsid w:val="008E2E0D"/>
    <w:rsid w:val="008E34D9"/>
    <w:rsid w:val="008E3AB5"/>
    <w:rsid w:val="008E4219"/>
    <w:rsid w:val="008E43F7"/>
    <w:rsid w:val="008E4533"/>
    <w:rsid w:val="008E4CB3"/>
    <w:rsid w:val="008E545D"/>
    <w:rsid w:val="008E5D18"/>
    <w:rsid w:val="008E63A6"/>
    <w:rsid w:val="008E6F52"/>
    <w:rsid w:val="008E71F9"/>
    <w:rsid w:val="008E76F1"/>
    <w:rsid w:val="008E7763"/>
    <w:rsid w:val="008F0515"/>
    <w:rsid w:val="008F06DC"/>
    <w:rsid w:val="008F07FC"/>
    <w:rsid w:val="008F14FF"/>
    <w:rsid w:val="008F25DE"/>
    <w:rsid w:val="008F273A"/>
    <w:rsid w:val="008F2DE7"/>
    <w:rsid w:val="008F2F22"/>
    <w:rsid w:val="008F3519"/>
    <w:rsid w:val="008F472C"/>
    <w:rsid w:val="008F4A7E"/>
    <w:rsid w:val="008F4E5C"/>
    <w:rsid w:val="008F50BF"/>
    <w:rsid w:val="008F5299"/>
    <w:rsid w:val="008F5E79"/>
    <w:rsid w:val="008F67D5"/>
    <w:rsid w:val="008F6858"/>
    <w:rsid w:val="008F703E"/>
    <w:rsid w:val="008F7AEF"/>
    <w:rsid w:val="008F7BA5"/>
    <w:rsid w:val="008F7D8B"/>
    <w:rsid w:val="00900174"/>
    <w:rsid w:val="009003BE"/>
    <w:rsid w:val="00900AA0"/>
    <w:rsid w:val="00900DDF"/>
    <w:rsid w:val="00900DFD"/>
    <w:rsid w:val="00901557"/>
    <w:rsid w:val="009023B3"/>
    <w:rsid w:val="00902C4B"/>
    <w:rsid w:val="00903F33"/>
    <w:rsid w:val="00905623"/>
    <w:rsid w:val="00905CA8"/>
    <w:rsid w:val="00906C2F"/>
    <w:rsid w:val="0090734D"/>
    <w:rsid w:val="00907899"/>
    <w:rsid w:val="00907988"/>
    <w:rsid w:val="0091118B"/>
    <w:rsid w:val="009116B7"/>
    <w:rsid w:val="0091238F"/>
    <w:rsid w:val="00912584"/>
    <w:rsid w:val="00912AA8"/>
    <w:rsid w:val="00912C89"/>
    <w:rsid w:val="009135DC"/>
    <w:rsid w:val="009141C4"/>
    <w:rsid w:val="009142A5"/>
    <w:rsid w:val="0091437A"/>
    <w:rsid w:val="00914717"/>
    <w:rsid w:val="00914DA7"/>
    <w:rsid w:val="009159CA"/>
    <w:rsid w:val="00915F63"/>
    <w:rsid w:val="00916A1C"/>
    <w:rsid w:val="00916AFA"/>
    <w:rsid w:val="009173AC"/>
    <w:rsid w:val="009177E9"/>
    <w:rsid w:val="00917D0A"/>
    <w:rsid w:val="00917D3F"/>
    <w:rsid w:val="009217BE"/>
    <w:rsid w:val="009218FD"/>
    <w:rsid w:val="00921BA1"/>
    <w:rsid w:val="009220C5"/>
    <w:rsid w:val="009221AD"/>
    <w:rsid w:val="00922416"/>
    <w:rsid w:val="00922E3B"/>
    <w:rsid w:val="0092300E"/>
    <w:rsid w:val="00923366"/>
    <w:rsid w:val="00923766"/>
    <w:rsid w:val="009240B7"/>
    <w:rsid w:val="009245C4"/>
    <w:rsid w:val="00924CAE"/>
    <w:rsid w:val="00924CC1"/>
    <w:rsid w:val="0092600B"/>
    <w:rsid w:val="009265C7"/>
    <w:rsid w:val="0092737A"/>
    <w:rsid w:val="00930B32"/>
    <w:rsid w:val="00930D09"/>
    <w:rsid w:val="009312CE"/>
    <w:rsid w:val="00931371"/>
    <w:rsid w:val="0093168F"/>
    <w:rsid w:val="00932728"/>
    <w:rsid w:val="009328C9"/>
    <w:rsid w:val="00932905"/>
    <w:rsid w:val="009331CF"/>
    <w:rsid w:val="009334AC"/>
    <w:rsid w:val="009339AE"/>
    <w:rsid w:val="00934564"/>
    <w:rsid w:val="00935406"/>
    <w:rsid w:val="00935DB4"/>
    <w:rsid w:val="009369E6"/>
    <w:rsid w:val="00936E8A"/>
    <w:rsid w:val="00937E53"/>
    <w:rsid w:val="00940CA9"/>
    <w:rsid w:val="009415C4"/>
    <w:rsid w:val="00941A22"/>
    <w:rsid w:val="00941ED9"/>
    <w:rsid w:val="00942010"/>
    <w:rsid w:val="0094320A"/>
    <w:rsid w:val="00943FF7"/>
    <w:rsid w:val="0094447D"/>
    <w:rsid w:val="00944855"/>
    <w:rsid w:val="00945A89"/>
    <w:rsid w:val="0095170D"/>
    <w:rsid w:val="009518C1"/>
    <w:rsid w:val="00952632"/>
    <w:rsid w:val="0095307F"/>
    <w:rsid w:val="009533A7"/>
    <w:rsid w:val="009541D2"/>
    <w:rsid w:val="00954841"/>
    <w:rsid w:val="009548FF"/>
    <w:rsid w:val="00954A07"/>
    <w:rsid w:val="0095505E"/>
    <w:rsid w:val="00955242"/>
    <w:rsid w:val="00955526"/>
    <w:rsid w:val="00957A25"/>
    <w:rsid w:val="00957FD5"/>
    <w:rsid w:val="00961034"/>
    <w:rsid w:val="009623D0"/>
    <w:rsid w:val="009624F6"/>
    <w:rsid w:val="00962538"/>
    <w:rsid w:val="009627F2"/>
    <w:rsid w:val="009630B2"/>
    <w:rsid w:val="00963147"/>
    <w:rsid w:val="009631B2"/>
    <w:rsid w:val="00963DD4"/>
    <w:rsid w:val="009641D2"/>
    <w:rsid w:val="00964FD7"/>
    <w:rsid w:val="00965269"/>
    <w:rsid w:val="00965E14"/>
    <w:rsid w:val="00966C09"/>
    <w:rsid w:val="00966E41"/>
    <w:rsid w:val="0096736B"/>
    <w:rsid w:val="0096738F"/>
    <w:rsid w:val="00967868"/>
    <w:rsid w:val="009679A9"/>
    <w:rsid w:val="00967CE3"/>
    <w:rsid w:val="0097067F"/>
    <w:rsid w:val="00970D2E"/>
    <w:rsid w:val="00972790"/>
    <w:rsid w:val="00972EA9"/>
    <w:rsid w:val="009732E6"/>
    <w:rsid w:val="0097354D"/>
    <w:rsid w:val="009736F1"/>
    <w:rsid w:val="00973DF6"/>
    <w:rsid w:val="00973E9B"/>
    <w:rsid w:val="00975A73"/>
    <w:rsid w:val="009762A7"/>
    <w:rsid w:val="00977345"/>
    <w:rsid w:val="00977E1A"/>
    <w:rsid w:val="00977FB5"/>
    <w:rsid w:val="009805EE"/>
    <w:rsid w:val="00980960"/>
    <w:rsid w:val="00980E7D"/>
    <w:rsid w:val="00980EB6"/>
    <w:rsid w:val="00980F87"/>
    <w:rsid w:val="00980FCA"/>
    <w:rsid w:val="00981285"/>
    <w:rsid w:val="00981467"/>
    <w:rsid w:val="00981DD7"/>
    <w:rsid w:val="009824D4"/>
    <w:rsid w:val="00984441"/>
    <w:rsid w:val="009844CF"/>
    <w:rsid w:val="009848F6"/>
    <w:rsid w:val="00984DD8"/>
    <w:rsid w:val="009850A1"/>
    <w:rsid w:val="009877C3"/>
    <w:rsid w:val="0099085F"/>
    <w:rsid w:val="00990F63"/>
    <w:rsid w:val="009925DB"/>
    <w:rsid w:val="00993114"/>
    <w:rsid w:val="0099312E"/>
    <w:rsid w:val="00993CC9"/>
    <w:rsid w:val="009940A4"/>
    <w:rsid w:val="00994ADA"/>
    <w:rsid w:val="009951BE"/>
    <w:rsid w:val="00995AD7"/>
    <w:rsid w:val="0099758A"/>
    <w:rsid w:val="009A03BB"/>
    <w:rsid w:val="009A11DE"/>
    <w:rsid w:val="009A1740"/>
    <w:rsid w:val="009A1B13"/>
    <w:rsid w:val="009A2132"/>
    <w:rsid w:val="009A2D04"/>
    <w:rsid w:val="009A38F5"/>
    <w:rsid w:val="009A3E7C"/>
    <w:rsid w:val="009A4305"/>
    <w:rsid w:val="009A48B7"/>
    <w:rsid w:val="009A4938"/>
    <w:rsid w:val="009A55C5"/>
    <w:rsid w:val="009A56DC"/>
    <w:rsid w:val="009A5759"/>
    <w:rsid w:val="009A580E"/>
    <w:rsid w:val="009A6A4D"/>
    <w:rsid w:val="009A6F74"/>
    <w:rsid w:val="009A7547"/>
    <w:rsid w:val="009A7AD8"/>
    <w:rsid w:val="009B0768"/>
    <w:rsid w:val="009B20BF"/>
    <w:rsid w:val="009B210C"/>
    <w:rsid w:val="009B30AD"/>
    <w:rsid w:val="009B56F6"/>
    <w:rsid w:val="009B5AC4"/>
    <w:rsid w:val="009B6166"/>
    <w:rsid w:val="009B64F7"/>
    <w:rsid w:val="009B6A1D"/>
    <w:rsid w:val="009C07AA"/>
    <w:rsid w:val="009C0CC4"/>
    <w:rsid w:val="009C0F03"/>
    <w:rsid w:val="009C1411"/>
    <w:rsid w:val="009C1545"/>
    <w:rsid w:val="009C293A"/>
    <w:rsid w:val="009C2D23"/>
    <w:rsid w:val="009C3BA4"/>
    <w:rsid w:val="009C458A"/>
    <w:rsid w:val="009C4D08"/>
    <w:rsid w:val="009C4F22"/>
    <w:rsid w:val="009C518C"/>
    <w:rsid w:val="009C5E50"/>
    <w:rsid w:val="009C7202"/>
    <w:rsid w:val="009C72B5"/>
    <w:rsid w:val="009C758D"/>
    <w:rsid w:val="009C7801"/>
    <w:rsid w:val="009D08C3"/>
    <w:rsid w:val="009D0A54"/>
    <w:rsid w:val="009D0FEE"/>
    <w:rsid w:val="009D1BE0"/>
    <w:rsid w:val="009D1CFD"/>
    <w:rsid w:val="009D3237"/>
    <w:rsid w:val="009D34B7"/>
    <w:rsid w:val="009D3628"/>
    <w:rsid w:val="009D452F"/>
    <w:rsid w:val="009D4A99"/>
    <w:rsid w:val="009D4C2A"/>
    <w:rsid w:val="009D6914"/>
    <w:rsid w:val="009D69A7"/>
    <w:rsid w:val="009D6A88"/>
    <w:rsid w:val="009D6B75"/>
    <w:rsid w:val="009D72CE"/>
    <w:rsid w:val="009D7471"/>
    <w:rsid w:val="009D750C"/>
    <w:rsid w:val="009E0AB3"/>
    <w:rsid w:val="009E1A3C"/>
    <w:rsid w:val="009E1C22"/>
    <w:rsid w:val="009E1E06"/>
    <w:rsid w:val="009E2231"/>
    <w:rsid w:val="009E2238"/>
    <w:rsid w:val="009E2481"/>
    <w:rsid w:val="009E2CD4"/>
    <w:rsid w:val="009E2ED3"/>
    <w:rsid w:val="009E37E4"/>
    <w:rsid w:val="009E3C7E"/>
    <w:rsid w:val="009E43E8"/>
    <w:rsid w:val="009E4E6A"/>
    <w:rsid w:val="009E5301"/>
    <w:rsid w:val="009E658A"/>
    <w:rsid w:val="009E7696"/>
    <w:rsid w:val="009E7A04"/>
    <w:rsid w:val="009F0381"/>
    <w:rsid w:val="009F04FA"/>
    <w:rsid w:val="009F11AB"/>
    <w:rsid w:val="009F14B9"/>
    <w:rsid w:val="009F155D"/>
    <w:rsid w:val="009F1846"/>
    <w:rsid w:val="009F193A"/>
    <w:rsid w:val="009F304B"/>
    <w:rsid w:val="009F35B3"/>
    <w:rsid w:val="009F3631"/>
    <w:rsid w:val="009F363C"/>
    <w:rsid w:val="009F3790"/>
    <w:rsid w:val="009F4037"/>
    <w:rsid w:val="009F45EF"/>
    <w:rsid w:val="009F476C"/>
    <w:rsid w:val="009F4C38"/>
    <w:rsid w:val="009F5644"/>
    <w:rsid w:val="009F586C"/>
    <w:rsid w:val="009F59E3"/>
    <w:rsid w:val="009F5D30"/>
    <w:rsid w:val="009F5E27"/>
    <w:rsid w:val="009F6710"/>
    <w:rsid w:val="009F730E"/>
    <w:rsid w:val="009F7A90"/>
    <w:rsid w:val="009F7CEB"/>
    <w:rsid w:val="009F7EA7"/>
    <w:rsid w:val="00A00E4E"/>
    <w:rsid w:val="00A0108D"/>
    <w:rsid w:val="00A03256"/>
    <w:rsid w:val="00A033C9"/>
    <w:rsid w:val="00A03690"/>
    <w:rsid w:val="00A036CB"/>
    <w:rsid w:val="00A03A48"/>
    <w:rsid w:val="00A040FD"/>
    <w:rsid w:val="00A0426A"/>
    <w:rsid w:val="00A048EB"/>
    <w:rsid w:val="00A04C0D"/>
    <w:rsid w:val="00A055B0"/>
    <w:rsid w:val="00A06741"/>
    <w:rsid w:val="00A07327"/>
    <w:rsid w:val="00A10FBF"/>
    <w:rsid w:val="00A118E5"/>
    <w:rsid w:val="00A11BA3"/>
    <w:rsid w:val="00A12A44"/>
    <w:rsid w:val="00A12FC3"/>
    <w:rsid w:val="00A14C10"/>
    <w:rsid w:val="00A16638"/>
    <w:rsid w:val="00A17490"/>
    <w:rsid w:val="00A17569"/>
    <w:rsid w:val="00A17953"/>
    <w:rsid w:val="00A179C8"/>
    <w:rsid w:val="00A20077"/>
    <w:rsid w:val="00A20B1A"/>
    <w:rsid w:val="00A20DA4"/>
    <w:rsid w:val="00A216F9"/>
    <w:rsid w:val="00A21B63"/>
    <w:rsid w:val="00A22A39"/>
    <w:rsid w:val="00A22C3F"/>
    <w:rsid w:val="00A2315A"/>
    <w:rsid w:val="00A23E57"/>
    <w:rsid w:val="00A240AF"/>
    <w:rsid w:val="00A25486"/>
    <w:rsid w:val="00A25BE2"/>
    <w:rsid w:val="00A261E7"/>
    <w:rsid w:val="00A2660E"/>
    <w:rsid w:val="00A2672F"/>
    <w:rsid w:val="00A26C12"/>
    <w:rsid w:val="00A26E4A"/>
    <w:rsid w:val="00A279D0"/>
    <w:rsid w:val="00A30D79"/>
    <w:rsid w:val="00A31D69"/>
    <w:rsid w:val="00A333B8"/>
    <w:rsid w:val="00A333C8"/>
    <w:rsid w:val="00A33420"/>
    <w:rsid w:val="00A34220"/>
    <w:rsid w:val="00A34436"/>
    <w:rsid w:val="00A34513"/>
    <w:rsid w:val="00A349EF"/>
    <w:rsid w:val="00A34EC1"/>
    <w:rsid w:val="00A35C65"/>
    <w:rsid w:val="00A370A4"/>
    <w:rsid w:val="00A37BA7"/>
    <w:rsid w:val="00A41C05"/>
    <w:rsid w:val="00A41E5D"/>
    <w:rsid w:val="00A421EF"/>
    <w:rsid w:val="00A42604"/>
    <w:rsid w:val="00A426FC"/>
    <w:rsid w:val="00A42F6B"/>
    <w:rsid w:val="00A430BA"/>
    <w:rsid w:val="00A43163"/>
    <w:rsid w:val="00A43AAD"/>
    <w:rsid w:val="00A4517B"/>
    <w:rsid w:val="00A45200"/>
    <w:rsid w:val="00A45368"/>
    <w:rsid w:val="00A45378"/>
    <w:rsid w:val="00A4741D"/>
    <w:rsid w:val="00A47485"/>
    <w:rsid w:val="00A50210"/>
    <w:rsid w:val="00A50A44"/>
    <w:rsid w:val="00A510C9"/>
    <w:rsid w:val="00A534D0"/>
    <w:rsid w:val="00A535FB"/>
    <w:rsid w:val="00A536E9"/>
    <w:rsid w:val="00A53DA3"/>
    <w:rsid w:val="00A53DC9"/>
    <w:rsid w:val="00A53FA8"/>
    <w:rsid w:val="00A550AE"/>
    <w:rsid w:val="00A55F17"/>
    <w:rsid w:val="00A57BD5"/>
    <w:rsid w:val="00A6055D"/>
    <w:rsid w:val="00A60608"/>
    <w:rsid w:val="00A60DB0"/>
    <w:rsid w:val="00A61E29"/>
    <w:rsid w:val="00A61F5C"/>
    <w:rsid w:val="00A6230E"/>
    <w:rsid w:val="00A62D14"/>
    <w:rsid w:val="00A62DE0"/>
    <w:rsid w:val="00A63630"/>
    <w:rsid w:val="00A6374D"/>
    <w:rsid w:val="00A63D95"/>
    <w:rsid w:val="00A6517D"/>
    <w:rsid w:val="00A651E6"/>
    <w:rsid w:val="00A65C1F"/>
    <w:rsid w:val="00A70FE8"/>
    <w:rsid w:val="00A73715"/>
    <w:rsid w:val="00A73A9C"/>
    <w:rsid w:val="00A73F96"/>
    <w:rsid w:val="00A73FC6"/>
    <w:rsid w:val="00A75112"/>
    <w:rsid w:val="00A7544B"/>
    <w:rsid w:val="00A75970"/>
    <w:rsid w:val="00A75DA1"/>
    <w:rsid w:val="00A76EA4"/>
    <w:rsid w:val="00A770F3"/>
    <w:rsid w:val="00A77156"/>
    <w:rsid w:val="00A77280"/>
    <w:rsid w:val="00A77857"/>
    <w:rsid w:val="00A77BDE"/>
    <w:rsid w:val="00A77CBB"/>
    <w:rsid w:val="00A77F64"/>
    <w:rsid w:val="00A8069F"/>
    <w:rsid w:val="00A817E7"/>
    <w:rsid w:val="00A81F82"/>
    <w:rsid w:val="00A82D43"/>
    <w:rsid w:val="00A835B4"/>
    <w:rsid w:val="00A83893"/>
    <w:rsid w:val="00A83F14"/>
    <w:rsid w:val="00A8416A"/>
    <w:rsid w:val="00A841B0"/>
    <w:rsid w:val="00A84E82"/>
    <w:rsid w:val="00A84EAA"/>
    <w:rsid w:val="00A85A2B"/>
    <w:rsid w:val="00A86148"/>
    <w:rsid w:val="00A86189"/>
    <w:rsid w:val="00A876A7"/>
    <w:rsid w:val="00A90857"/>
    <w:rsid w:val="00A916D6"/>
    <w:rsid w:val="00A91EF6"/>
    <w:rsid w:val="00A92166"/>
    <w:rsid w:val="00A93188"/>
    <w:rsid w:val="00A93543"/>
    <w:rsid w:val="00A93F16"/>
    <w:rsid w:val="00A93F6B"/>
    <w:rsid w:val="00A94EC9"/>
    <w:rsid w:val="00A94EFC"/>
    <w:rsid w:val="00A95CC8"/>
    <w:rsid w:val="00A963DD"/>
    <w:rsid w:val="00A9644D"/>
    <w:rsid w:val="00A968F9"/>
    <w:rsid w:val="00A96C13"/>
    <w:rsid w:val="00A979FD"/>
    <w:rsid w:val="00AA0496"/>
    <w:rsid w:val="00AA07C1"/>
    <w:rsid w:val="00AA0B88"/>
    <w:rsid w:val="00AA1044"/>
    <w:rsid w:val="00AA1681"/>
    <w:rsid w:val="00AA1CEE"/>
    <w:rsid w:val="00AA1E4B"/>
    <w:rsid w:val="00AA24F8"/>
    <w:rsid w:val="00AA2789"/>
    <w:rsid w:val="00AA2FA1"/>
    <w:rsid w:val="00AA3243"/>
    <w:rsid w:val="00AA3398"/>
    <w:rsid w:val="00AA46D6"/>
    <w:rsid w:val="00AA51C1"/>
    <w:rsid w:val="00AA5234"/>
    <w:rsid w:val="00AA6156"/>
    <w:rsid w:val="00AA6378"/>
    <w:rsid w:val="00AA73AC"/>
    <w:rsid w:val="00AA7B77"/>
    <w:rsid w:val="00AB044D"/>
    <w:rsid w:val="00AB0727"/>
    <w:rsid w:val="00AB0828"/>
    <w:rsid w:val="00AB131B"/>
    <w:rsid w:val="00AB1837"/>
    <w:rsid w:val="00AB187A"/>
    <w:rsid w:val="00AB18C2"/>
    <w:rsid w:val="00AB1A27"/>
    <w:rsid w:val="00AB272B"/>
    <w:rsid w:val="00AB275F"/>
    <w:rsid w:val="00AB352D"/>
    <w:rsid w:val="00AB36FD"/>
    <w:rsid w:val="00AB3F87"/>
    <w:rsid w:val="00AB3F97"/>
    <w:rsid w:val="00AB514A"/>
    <w:rsid w:val="00AB5694"/>
    <w:rsid w:val="00AB64DF"/>
    <w:rsid w:val="00AB6828"/>
    <w:rsid w:val="00AB6911"/>
    <w:rsid w:val="00AB6EEF"/>
    <w:rsid w:val="00AB7B7D"/>
    <w:rsid w:val="00AC0597"/>
    <w:rsid w:val="00AC0B0B"/>
    <w:rsid w:val="00AC0EF5"/>
    <w:rsid w:val="00AC1E12"/>
    <w:rsid w:val="00AC1EBA"/>
    <w:rsid w:val="00AC2D2E"/>
    <w:rsid w:val="00AC3362"/>
    <w:rsid w:val="00AC386E"/>
    <w:rsid w:val="00AC3F71"/>
    <w:rsid w:val="00AC50E3"/>
    <w:rsid w:val="00AC512D"/>
    <w:rsid w:val="00AC59CF"/>
    <w:rsid w:val="00AC5B62"/>
    <w:rsid w:val="00AC5DB0"/>
    <w:rsid w:val="00AC660E"/>
    <w:rsid w:val="00AC6B8E"/>
    <w:rsid w:val="00AC6E3B"/>
    <w:rsid w:val="00AC755F"/>
    <w:rsid w:val="00AD0B53"/>
    <w:rsid w:val="00AD1B33"/>
    <w:rsid w:val="00AD1BDE"/>
    <w:rsid w:val="00AD1CE8"/>
    <w:rsid w:val="00AD27F5"/>
    <w:rsid w:val="00AD286F"/>
    <w:rsid w:val="00AD33C8"/>
    <w:rsid w:val="00AD35BC"/>
    <w:rsid w:val="00AD51C9"/>
    <w:rsid w:val="00AD542F"/>
    <w:rsid w:val="00AD5D05"/>
    <w:rsid w:val="00AD71F9"/>
    <w:rsid w:val="00AE2A68"/>
    <w:rsid w:val="00AE2BDD"/>
    <w:rsid w:val="00AE2EED"/>
    <w:rsid w:val="00AE36AC"/>
    <w:rsid w:val="00AE3A5A"/>
    <w:rsid w:val="00AE3B9C"/>
    <w:rsid w:val="00AE4226"/>
    <w:rsid w:val="00AE5182"/>
    <w:rsid w:val="00AE56D4"/>
    <w:rsid w:val="00AE5C58"/>
    <w:rsid w:val="00AE5F09"/>
    <w:rsid w:val="00AE5FD6"/>
    <w:rsid w:val="00AE756B"/>
    <w:rsid w:val="00AE772D"/>
    <w:rsid w:val="00AF04E2"/>
    <w:rsid w:val="00AF0DF9"/>
    <w:rsid w:val="00AF133F"/>
    <w:rsid w:val="00AF1A88"/>
    <w:rsid w:val="00AF1F74"/>
    <w:rsid w:val="00AF2586"/>
    <w:rsid w:val="00AF3111"/>
    <w:rsid w:val="00AF3270"/>
    <w:rsid w:val="00AF382E"/>
    <w:rsid w:val="00AF46AA"/>
    <w:rsid w:val="00AF4BE4"/>
    <w:rsid w:val="00AF4C16"/>
    <w:rsid w:val="00AF581D"/>
    <w:rsid w:val="00AF7178"/>
    <w:rsid w:val="00AF78E7"/>
    <w:rsid w:val="00AF7A74"/>
    <w:rsid w:val="00B002B1"/>
    <w:rsid w:val="00B0081A"/>
    <w:rsid w:val="00B00DC9"/>
    <w:rsid w:val="00B01850"/>
    <w:rsid w:val="00B019DD"/>
    <w:rsid w:val="00B01F54"/>
    <w:rsid w:val="00B02085"/>
    <w:rsid w:val="00B02148"/>
    <w:rsid w:val="00B0230D"/>
    <w:rsid w:val="00B02ECD"/>
    <w:rsid w:val="00B02FB5"/>
    <w:rsid w:val="00B02FE4"/>
    <w:rsid w:val="00B03AAA"/>
    <w:rsid w:val="00B0529B"/>
    <w:rsid w:val="00B0557F"/>
    <w:rsid w:val="00B05A6C"/>
    <w:rsid w:val="00B05CD6"/>
    <w:rsid w:val="00B05E21"/>
    <w:rsid w:val="00B06875"/>
    <w:rsid w:val="00B06F20"/>
    <w:rsid w:val="00B07520"/>
    <w:rsid w:val="00B10316"/>
    <w:rsid w:val="00B10BC5"/>
    <w:rsid w:val="00B11556"/>
    <w:rsid w:val="00B11EA0"/>
    <w:rsid w:val="00B11EB8"/>
    <w:rsid w:val="00B11ECA"/>
    <w:rsid w:val="00B11F22"/>
    <w:rsid w:val="00B12ADC"/>
    <w:rsid w:val="00B13338"/>
    <w:rsid w:val="00B15002"/>
    <w:rsid w:val="00B150AE"/>
    <w:rsid w:val="00B1542E"/>
    <w:rsid w:val="00B15DA6"/>
    <w:rsid w:val="00B1638F"/>
    <w:rsid w:val="00B166C7"/>
    <w:rsid w:val="00B1712C"/>
    <w:rsid w:val="00B17169"/>
    <w:rsid w:val="00B17325"/>
    <w:rsid w:val="00B174DF"/>
    <w:rsid w:val="00B17FDB"/>
    <w:rsid w:val="00B20557"/>
    <w:rsid w:val="00B20994"/>
    <w:rsid w:val="00B21ADA"/>
    <w:rsid w:val="00B21BB1"/>
    <w:rsid w:val="00B22457"/>
    <w:rsid w:val="00B225D0"/>
    <w:rsid w:val="00B23AF6"/>
    <w:rsid w:val="00B24ECA"/>
    <w:rsid w:val="00B25024"/>
    <w:rsid w:val="00B2510A"/>
    <w:rsid w:val="00B259DF"/>
    <w:rsid w:val="00B25B9C"/>
    <w:rsid w:val="00B25BFB"/>
    <w:rsid w:val="00B25C17"/>
    <w:rsid w:val="00B25D68"/>
    <w:rsid w:val="00B26725"/>
    <w:rsid w:val="00B26AC1"/>
    <w:rsid w:val="00B2777B"/>
    <w:rsid w:val="00B30120"/>
    <w:rsid w:val="00B3069B"/>
    <w:rsid w:val="00B30D73"/>
    <w:rsid w:val="00B3206C"/>
    <w:rsid w:val="00B32228"/>
    <w:rsid w:val="00B32E88"/>
    <w:rsid w:val="00B330D0"/>
    <w:rsid w:val="00B33239"/>
    <w:rsid w:val="00B3348A"/>
    <w:rsid w:val="00B33914"/>
    <w:rsid w:val="00B33D52"/>
    <w:rsid w:val="00B33F8F"/>
    <w:rsid w:val="00B34710"/>
    <w:rsid w:val="00B34D9F"/>
    <w:rsid w:val="00B34EC6"/>
    <w:rsid w:val="00B367E2"/>
    <w:rsid w:val="00B379DC"/>
    <w:rsid w:val="00B40491"/>
    <w:rsid w:val="00B412BD"/>
    <w:rsid w:val="00B4220C"/>
    <w:rsid w:val="00B446C2"/>
    <w:rsid w:val="00B44CDF"/>
    <w:rsid w:val="00B460AF"/>
    <w:rsid w:val="00B461EE"/>
    <w:rsid w:val="00B4656A"/>
    <w:rsid w:val="00B46FB9"/>
    <w:rsid w:val="00B476E3"/>
    <w:rsid w:val="00B50080"/>
    <w:rsid w:val="00B508A4"/>
    <w:rsid w:val="00B50A2B"/>
    <w:rsid w:val="00B50C82"/>
    <w:rsid w:val="00B52709"/>
    <w:rsid w:val="00B53BE6"/>
    <w:rsid w:val="00B55CAC"/>
    <w:rsid w:val="00B55D64"/>
    <w:rsid w:val="00B55D6C"/>
    <w:rsid w:val="00B560AC"/>
    <w:rsid w:val="00B56D6A"/>
    <w:rsid w:val="00B56FE9"/>
    <w:rsid w:val="00B62845"/>
    <w:rsid w:val="00B62A25"/>
    <w:rsid w:val="00B62AAA"/>
    <w:rsid w:val="00B63460"/>
    <w:rsid w:val="00B63972"/>
    <w:rsid w:val="00B6397B"/>
    <w:rsid w:val="00B6454C"/>
    <w:rsid w:val="00B65D2B"/>
    <w:rsid w:val="00B6617A"/>
    <w:rsid w:val="00B66C04"/>
    <w:rsid w:val="00B66C37"/>
    <w:rsid w:val="00B67091"/>
    <w:rsid w:val="00B67119"/>
    <w:rsid w:val="00B67773"/>
    <w:rsid w:val="00B70522"/>
    <w:rsid w:val="00B70F1B"/>
    <w:rsid w:val="00B71675"/>
    <w:rsid w:val="00B71B62"/>
    <w:rsid w:val="00B71E57"/>
    <w:rsid w:val="00B721CA"/>
    <w:rsid w:val="00B74083"/>
    <w:rsid w:val="00B74405"/>
    <w:rsid w:val="00B75BC0"/>
    <w:rsid w:val="00B75E21"/>
    <w:rsid w:val="00B75EFE"/>
    <w:rsid w:val="00B75F96"/>
    <w:rsid w:val="00B76353"/>
    <w:rsid w:val="00B7636B"/>
    <w:rsid w:val="00B76492"/>
    <w:rsid w:val="00B7796D"/>
    <w:rsid w:val="00B804F0"/>
    <w:rsid w:val="00B80B83"/>
    <w:rsid w:val="00B80C34"/>
    <w:rsid w:val="00B81AD6"/>
    <w:rsid w:val="00B81DBD"/>
    <w:rsid w:val="00B82171"/>
    <w:rsid w:val="00B8254D"/>
    <w:rsid w:val="00B82770"/>
    <w:rsid w:val="00B82AD7"/>
    <w:rsid w:val="00B83300"/>
    <w:rsid w:val="00B84C0B"/>
    <w:rsid w:val="00B8560C"/>
    <w:rsid w:val="00B863A0"/>
    <w:rsid w:val="00B9072B"/>
    <w:rsid w:val="00B90787"/>
    <w:rsid w:val="00B91306"/>
    <w:rsid w:val="00B923D9"/>
    <w:rsid w:val="00B93F2F"/>
    <w:rsid w:val="00B95C48"/>
    <w:rsid w:val="00B96244"/>
    <w:rsid w:val="00B9648E"/>
    <w:rsid w:val="00B97D6E"/>
    <w:rsid w:val="00BA01AB"/>
    <w:rsid w:val="00BA0481"/>
    <w:rsid w:val="00BA0A2F"/>
    <w:rsid w:val="00BA0BDE"/>
    <w:rsid w:val="00BA0D38"/>
    <w:rsid w:val="00BA1C0C"/>
    <w:rsid w:val="00BA1C43"/>
    <w:rsid w:val="00BA1C5D"/>
    <w:rsid w:val="00BA3306"/>
    <w:rsid w:val="00BA4143"/>
    <w:rsid w:val="00BA5172"/>
    <w:rsid w:val="00BA5724"/>
    <w:rsid w:val="00BA6B08"/>
    <w:rsid w:val="00BA73EE"/>
    <w:rsid w:val="00BA7DD7"/>
    <w:rsid w:val="00BB2329"/>
    <w:rsid w:val="00BB2BF3"/>
    <w:rsid w:val="00BB3110"/>
    <w:rsid w:val="00BB3618"/>
    <w:rsid w:val="00BB407A"/>
    <w:rsid w:val="00BB516E"/>
    <w:rsid w:val="00BB54A6"/>
    <w:rsid w:val="00BB5B1E"/>
    <w:rsid w:val="00BB5C85"/>
    <w:rsid w:val="00BB5FF9"/>
    <w:rsid w:val="00BB6875"/>
    <w:rsid w:val="00BC0375"/>
    <w:rsid w:val="00BC076D"/>
    <w:rsid w:val="00BC0EA1"/>
    <w:rsid w:val="00BC1CAF"/>
    <w:rsid w:val="00BC1ECD"/>
    <w:rsid w:val="00BC322D"/>
    <w:rsid w:val="00BC368D"/>
    <w:rsid w:val="00BC38F7"/>
    <w:rsid w:val="00BC3BB8"/>
    <w:rsid w:val="00BC3F7C"/>
    <w:rsid w:val="00BC3F82"/>
    <w:rsid w:val="00BC4739"/>
    <w:rsid w:val="00BC527D"/>
    <w:rsid w:val="00BC5965"/>
    <w:rsid w:val="00BC61F6"/>
    <w:rsid w:val="00BD03EC"/>
    <w:rsid w:val="00BD0595"/>
    <w:rsid w:val="00BD1BE2"/>
    <w:rsid w:val="00BD43F5"/>
    <w:rsid w:val="00BD4C0E"/>
    <w:rsid w:val="00BD50AE"/>
    <w:rsid w:val="00BD590A"/>
    <w:rsid w:val="00BD5EEB"/>
    <w:rsid w:val="00BD764D"/>
    <w:rsid w:val="00BD781B"/>
    <w:rsid w:val="00BD7B16"/>
    <w:rsid w:val="00BE012C"/>
    <w:rsid w:val="00BE05F2"/>
    <w:rsid w:val="00BE07C5"/>
    <w:rsid w:val="00BE1804"/>
    <w:rsid w:val="00BE3CAA"/>
    <w:rsid w:val="00BE3D49"/>
    <w:rsid w:val="00BE3E5F"/>
    <w:rsid w:val="00BE5502"/>
    <w:rsid w:val="00BE583A"/>
    <w:rsid w:val="00BE5B2C"/>
    <w:rsid w:val="00BE5C50"/>
    <w:rsid w:val="00BE6EE2"/>
    <w:rsid w:val="00BE73A2"/>
    <w:rsid w:val="00BF10F5"/>
    <w:rsid w:val="00BF1769"/>
    <w:rsid w:val="00BF213C"/>
    <w:rsid w:val="00BF2FF5"/>
    <w:rsid w:val="00BF357F"/>
    <w:rsid w:val="00BF41CA"/>
    <w:rsid w:val="00BF4618"/>
    <w:rsid w:val="00BF47EE"/>
    <w:rsid w:val="00BF4C4C"/>
    <w:rsid w:val="00BF508D"/>
    <w:rsid w:val="00BF6535"/>
    <w:rsid w:val="00BF6C1C"/>
    <w:rsid w:val="00BF6D49"/>
    <w:rsid w:val="00BF7747"/>
    <w:rsid w:val="00BF7958"/>
    <w:rsid w:val="00BF7E30"/>
    <w:rsid w:val="00C004B2"/>
    <w:rsid w:val="00C00798"/>
    <w:rsid w:val="00C0115B"/>
    <w:rsid w:val="00C01FB4"/>
    <w:rsid w:val="00C021CA"/>
    <w:rsid w:val="00C02F3B"/>
    <w:rsid w:val="00C031FA"/>
    <w:rsid w:val="00C03439"/>
    <w:rsid w:val="00C0408D"/>
    <w:rsid w:val="00C04311"/>
    <w:rsid w:val="00C04B16"/>
    <w:rsid w:val="00C0538B"/>
    <w:rsid w:val="00C05EB4"/>
    <w:rsid w:val="00C06459"/>
    <w:rsid w:val="00C06960"/>
    <w:rsid w:val="00C07417"/>
    <w:rsid w:val="00C07BBA"/>
    <w:rsid w:val="00C10407"/>
    <w:rsid w:val="00C10B20"/>
    <w:rsid w:val="00C10B79"/>
    <w:rsid w:val="00C115C4"/>
    <w:rsid w:val="00C115F0"/>
    <w:rsid w:val="00C11E6D"/>
    <w:rsid w:val="00C1220F"/>
    <w:rsid w:val="00C12210"/>
    <w:rsid w:val="00C12340"/>
    <w:rsid w:val="00C13E3B"/>
    <w:rsid w:val="00C14576"/>
    <w:rsid w:val="00C146BB"/>
    <w:rsid w:val="00C1622E"/>
    <w:rsid w:val="00C1632C"/>
    <w:rsid w:val="00C164A4"/>
    <w:rsid w:val="00C16ACC"/>
    <w:rsid w:val="00C17105"/>
    <w:rsid w:val="00C171DD"/>
    <w:rsid w:val="00C17437"/>
    <w:rsid w:val="00C20618"/>
    <w:rsid w:val="00C20AAC"/>
    <w:rsid w:val="00C2162A"/>
    <w:rsid w:val="00C221BF"/>
    <w:rsid w:val="00C23FEA"/>
    <w:rsid w:val="00C24E0F"/>
    <w:rsid w:val="00C2536C"/>
    <w:rsid w:val="00C25E43"/>
    <w:rsid w:val="00C262DC"/>
    <w:rsid w:val="00C268CF"/>
    <w:rsid w:val="00C26E34"/>
    <w:rsid w:val="00C30487"/>
    <w:rsid w:val="00C30490"/>
    <w:rsid w:val="00C30A66"/>
    <w:rsid w:val="00C317F3"/>
    <w:rsid w:val="00C32157"/>
    <w:rsid w:val="00C3365B"/>
    <w:rsid w:val="00C337C9"/>
    <w:rsid w:val="00C339CC"/>
    <w:rsid w:val="00C341E1"/>
    <w:rsid w:val="00C344E6"/>
    <w:rsid w:val="00C349C2"/>
    <w:rsid w:val="00C3507E"/>
    <w:rsid w:val="00C35B2B"/>
    <w:rsid w:val="00C361F4"/>
    <w:rsid w:val="00C36A0C"/>
    <w:rsid w:val="00C40401"/>
    <w:rsid w:val="00C40C59"/>
    <w:rsid w:val="00C42422"/>
    <w:rsid w:val="00C43863"/>
    <w:rsid w:val="00C43A4C"/>
    <w:rsid w:val="00C43C3F"/>
    <w:rsid w:val="00C44713"/>
    <w:rsid w:val="00C44C37"/>
    <w:rsid w:val="00C4516C"/>
    <w:rsid w:val="00C460AF"/>
    <w:rsid w:val="00C466C4"/>
    <w:rsid w:val="00C468C3"/>
    <w:rsid w:val="00C46AE5"/>
    <w:rsid w:val="00C47654"/>
    <w:rsid w:val="00C47E70"/>
    <w:rsid w:val="00C50A93"/>
    <w:rsid w:val="00C515F3"/>
    <w:rsid w:val="00C51EB3"/>
    <w:rsid w:val="00C52862"/>
    <w:rsid w:val="00C52BBB"/>
    <w:rsid w:val="00C52BE0"/>
    <w:rsid w:val="00C53EE3"/>
    <w:rsid w:val="00C54235"/>
    <w:rsid w:val="00C54429"/>
    <w:rsid w:val="00C546FC"/>
    <w:rsid w:val="00C54944"/>
    <w:rsid w:val="00C54994"/>
    <w:rsid w:val="00C54B20"/>
    <w:rsid w:val="00C55860"/>
    <w:rsid w:val="00C56093"/>
    <w:rsid w:val="00C5674D"/>
    <w:rsid w:val="00C57E4D"/>
    <w:rsid w:val="00C60816"/>
    <w:rsid w:val="00C60D47"/>
    <w:rsid w:val="00C61A76"/>
    <w:rsid w:val="00C622A3"/>
    <w:rsid w:val="00C625C0"/>
    <w:rsid w:val="00C626E2"/>
    <w:rsid w:val="00C628C8"/>
    <w:rsid w:val="00C62C40"/>
    <w:rsid w:val="00C63B43"/>
    <w:rsid w:val="00C64243"/>
    <w:rsid w:val="00C644BB"/>
    <w:rsid w:val="00C64B9F"/>
    <w:rsid w:val="00C6687B"/>
    <w:rsid w:val="00C67E2D"/>
    <w:rsid w:val="00C70693"/>
    <w:rsid w:val="00C70F03"/>
    <w:rsid w:val="00C7195D"/>
    <w:rsid w:val="00C71A5D"/>
    <w:rsid w:val="00C71C44"/>
    <w:rsid w:val="00C71F8B"/>
    <w:rsid w:val="00C721CC"/>
    <w:rsid w:val="00C722CB"/>
    <w:rsid w:val="00C72F0D"/>
    <w:rsid w:val="00C73340"/>
    <w:rsid w:val="00C736E7"/>
    <w:rsid w:val="00C7519E"/>
    <w:rsid w:val="00C7533B"/>
    <w:rsid w:val="00C8016F"/>
    <w:rsid w:val="00C81A12"/>
    <w:rsid w:val="00C81DB3"/>
    <w:rsid w:val="00C82261"/>
    <w:rsid w:val="00C824E4"/>
    <w:rsid w:val="00C8296F"/>
    <w:rsid w:val="00C8369D"/>
    <w:rsid w:val="00C83F3F"/>
    <w:rsid w:val="00C846BE"/>
    <w:rsid w:val="00C84C02"/>
    <w:rsid w:val="00C84C67"/>
    <w:rsid w:val="00C84CFD"/>
    <w:rsid w:val="00C85FD3"/>
    <w:rsid w:val="00C86095"/>
    <w:rsid w:val="00C870D3"/>
    <w:rsid w:val="00C87120"/>
    <w:rsid w:val="00C87893"/>
    <w:rsid w:val="00C87F5E"/>
    <w:rsid w:val="00C900ED"/>
    <w:rsid w:val="00C91086"/>
    <w:rsid w:val="00C910A2"/>
    <w:rsid w:val="00C9161F"/>
    <w:rsid w:val="00C918A6"/>
    <w:rsid w:val="00C91A39"/>
    <w:rsid w:val="00C91B95"/>
    <w:rsid w:val="00C91DCB"/>
    <w:rsid w:val="00C920A1"/>
    <w:rsid w:val="00C921C2"/>
    <w:rsid w:val="00C92B69"/>
    <w:rsid w:val="00C934DC"/>
    <w:rsid w:val="00C93787"/>
    <w:rsid w:val="00C93838"/>
    <w:rsid w:val="00C94355"/>
    <w:rsid w:val="00C94F58"/>
    <w:rsid w:val="00C9622A"/>
    <w:rsid w:val="00C9625F"/>
    <w:rsid w:val="00C963DE"/>
    <w:rsid w:val="00CA0384"/>
    <w:rsid w:val="00CA0C26"/>
    <w:rsid w:val="00CA151F"/>
    <w:rsid w:val="00CA19FA"/>
    <w:rsid w:val="00CA1E96"/>
    <w:rsid w:val="00CA1FEE"/>
    <w:rsid w:val="00CA2094"/>
    <w:rsid w:val="00CA2CFF"/>
    <w:rsid w:val="00CA3B28"/>
    <w:rsid w:val="00CA4097"/>
    <w:rsid w:val="00CA41B6"/>
    <w:rsid w:val="00CA4221"/>
    <w:rsid w:val="00CA63CB"/>
    <w:rsid w:val="00CA69AC"/>
    <w:rsid w:val="00CA7342"/>
    <w:rsid w:val="00CA75B3"/>
    <w:rsid w:val="00CA7F49"/>
    <w:rsid w:val="00CB07A8"/>
    <w:rsid w:val="00CB12F3"/>
    <w:rsid w:val="00CB1659"/>
    <w:rsid w:val="00CB1840"/>
    <w:rsid w:val="00CB1FDD"/>
    <w:rsid w:val="00CB2072"/>
    <w:rsid w:val="00CB35A5"/>
    <w:rsid w:val="00CB5026"/>
    <w:rsid w:val="00CB5389"/>
    <w:rsid w:val="00CB5426"/>
    <w:rsid w:val="00CB674F"/>
    <w:rsid w:val="00CB6C04"/>
    <w:rsid w:val="00CC0EA0"/>
    <w:rsid w:val="00CC106D"/>
    <w:rsid w:val="00CC10E1"/>
    <w:rsid w:val="00CC112F"/>
    <w:rsid w:val="00CC11F2"/>
    <w:rsid w:val="00CC1BF8"/>
    <w:rsid w:val="00CC1E58"/>
    <w:rsid w:val="00CC1EAC"/>
    <w:rsid w:val="00CC214E"/>
    <w:rsid w:val="00CC3543"/>
    <w:rsid w:val="00CC3ED6"/>
    <w:rsid w:val="00CC470A"/>
    <w:rsid w:val="00CC5839"/>
    <w:rsid w:val="00CC59ED"/>
    <w:rsid w:val="00CC5C51"/>
    <w:rsid w:val="00CC621F"/>
    <w:rsid w:val="00CC6DD1"/>
    <w:rsid w:val="00CC79A7"/>
    <w:rsid w:val="00CC7AB9"/>
    <w:rsid w:val="00CD12E3"/>
    <w:rsid w:val="00CD22CF"/>
    <w:rsid w:val="00CD2453"/>
    <w:rsid w:val="00CD2BB9"/>
    <w:rsid w:val="00CD368B"/>
    <w:rsid w:val="00CD3934"/>
    <w:rsid w:val="00CD4432"/>
    <w:rsid w:val="00CD508E"/>
    <w:rsid w:val="00CD5BEE"/>
    <w:rsid w:val="00CD5DE4"/>
    <w:rsid w:val="00CD5FCC"/>
    <w:rsid w:val="00CD6327"/>
    <w:rsid w:val="00CD6427"/>
    <w:rsid w:val="00CD6553"/>
    <w:rsid w:val="00CE03B7"/>
    <w:rsid w:val="00CE04D9"/>
    <w:rsid w:val="00CE119E"/>
    <w:rsid w:val="00CE197B"/>
    <w:rsid w:val="00CE1A04"/>
    <w:rsid w:val="00CE1FE6"/>
    <w:rsid w:val="00CE2B6C"/>
    <w:rsid w:val="00CE2B78"/>
    <w:rsid w:val="00CE325C"/>
    <w:rsid w:val="00CE353B"/>
    <w:rsid w:val="00CE40A6"/>
    <w:rsid w:val="00CE4139"/>
    <w:rsid w:val="00CE4A8C"/>
    <w:rsid w:val="00CE50C2"/>
    <w:rsid w:val="00CE5684"/>
    <w:rsid w:val="00CE5848"/>
    <w:rsid w:val="00CE5A8D"/>
    <w:rsid w:val="00CE6066"/>
    <w:rsid w:val="00CE62F7"/>
    <w:rsid w:val="00CE6DF1"/>
    <w:rsid w:val="00CE74A3"/>
    <w:rsid w:val="00CE7A3F"/>
    <w:rsid w:val="00CE7E3F"/>
    <w:rsid w:val="00CE7E5C"/>
    <w:rsid w:val="00CE7F4C"/>
    <w:rsid w:val="00CF0813"/>
    <w:rsid w:val="00CF0847"/>
    <w:rsid w:val="00CF0EA8"/>
    <w:rsid w:val="00CF1763"/>
    <w:rsid w:val="00CF1BE2"/>
    <w:rsid w:val="00CF1CF6"/>
    <w:rsid w:val="00CF24C5"/>
    <w:rsid w:val="00CF2B76"/>
    <w:rsid w:val="00CF3167"/>
    <w:rsid w:val="00CF3AEB"/>
    <w:rsid w:val="00CF3DE2"/>
    <w:rsid w:val="00CF4240"/>
    <w:rsid w:val="00CF437B"/>
    <w:rsid w:val="00CF56AF"/>
    <w:rsid w:val="00CF56DC"/>
    <w:rsid w:val="00CF594C"/>
    <w:rsid w:val="00CF6467"/>
    <w:rsid w:val="00CF7F60"/>
    <w:rsid w:val="00D00EE6"/>
    <w:rsid w:val="00D01ABB"/>
    <w:rsid w:val="00D02112"/>
    <w:rsid w:val="00D023C8"/>
    <w:rsid w:val="00D026F7"/>
    <w:rsid w:val="00D030D1"/>
    <w:rsid w:val="00D031F6"/>
    <w:rsid w:val="00D034DD"/>
    <w:rsid w:val="00D0427C"/>
    <w:rsid w:val="00D04647"/>
    <w:rsid w:val="00D04952"/>
    <w:rsid w:val="00D04F3D"/>
    <w:rsid w:val="00D05B6F"/>
    <w:rsid w:val="00D06A16"/>
    <w:rsid w:val="00D1078F"/>
    <w:rsid w:val="00D10884"/>
    <w:rsid w:val="00D10E60"/>
    <w:rsid w:val="00D12550"/>
    <w:rsid w:val="00D12CD2"/>
    <w:rsid w:val="00D136A4"/>
    <w:rsid w:val="00D13A77"/>
    <w:rsid w:val="00D13C3D"/>
    <w:rsid w:val="00D13DBC"/>
    <w:rsid w:val="00D14D23"/>
    <w:rsid w:val="00D153F1"/>
    <w:rsid w:val="00D15755"/>
    <w:rsid w:val="00D15AAE"/>
    <w:rsid w:val="00D15D8B"/>
    <w:rsid w:val="00D1688E"/>
    <w:rsid w:val="00D17984"/>
    <w:rsid w:val="00D2016E"/>
    <w:rsid w:val="00D20220"/>
    <w:rsid w:val="00D21075"/>
    <w:rsid w:val="00D2147D"/>
    <w:rsid w:val="00D23207"/>
    <w:rsid w:val="00D238BC"/>
    <w:rsid w:val="00D23ADA"/>
    <w:rsid w:val="00D24104"/>
    <w:rsid w:val="00D2428C"/>
    <w:rsid w:val="00D24D4B"/>
    <w:rsid w:val="00D24DAD"/>
    <w:rsid w:val="00D25916"/>
    <w:rsid w:val="00D261F9"/>
    <w:rsid w:val="00D2640E"/>
    <w:rsid w:val="00D26505"/>
    <w:rsid w:val="00D26D97"/>
    <w:rsid w:val="00D2733C"/>
    <w:rsid w:val="00D27AD2"/>
    <w:rsid w:val="00D30AA5"/>
    <w:rsid w:val="00D30FE4"/>
    <w:rsid w:val="00D32294"/>
    <w:rsid w:val="00D324A5"/>
    <w:rsid w:val="00D324D7"/>
    <w:rsid w:val="00D329E6"/>
    <w:rsid w:val="00D337F3"/>
    <w:rsid w:val="00D33946"/>
    <w:rsid w:val="00D33DDC"/>
    <w:rsid w:val="00D33FED"/>
    <w:rsid w:val="00D340C0"/>
    <w:rsid w:val="00D34191"/>
    <w:rsid w:val="00D34A20"/>
    <w:rsid w:val="00D3696A"/>
    <w:rsid w:val="00D36D2C"/>
    <w:rsid w:val="00D373CB"/>
    <w:rsid w:val="00D37972"/>
    <w:rsid w:val="00D37E60"/>
    <w:rsid w:val="00D4088E"/>
    <w:rsid w:val="00D40896"/>
    <w:rsid w:val="00D409EF"/>
    <w:rsid w:val="00D41534"/>
    <w:rsid w:val="00D42CA4"/>
    <w:rsid w:val="00D42CE3"/>
    <w:rsid w:val="00D42D3F"/>
    <w:rsid w:val="00D4308F"/>
    <w:rsid w:val="00D433D7"/>
    <w:rsid w:val="00D44314"/>
    <w:rsid w:val="00D44BC6"/>
    <w:rsid w:val="00D451FC"/>
    <w:rsid w:val="00D478B6"/>
    <w:rsid w:val="00D47B56"/>
    <w:rsid w:val="00D5034F"/>
    <w:rsid w:val="00D50F03"/>
    <w:rsid w:val="00D5196D"/>
    <w:rsid w:val="00D5238F"/>
    <w:rsid w:val="00D52578"/>
    <w:rsid w:val="00D53825"/>
    <w:rsid w:val="00D53F67"/>
    <w:rsid w:val="00D5538C"/>
    <w:rsid w:val="00D5569E"/>
    <w:rsid w:val="00D5590F"/>
    <w:rsid w:val="00D55E0F"/>
    <w:rsid w:val="00D5711E"/>
    <w:rsid w:val="00D579FE"/>
    <w:rsid w:val="00D57E4E"/>
    <w:rsid w:val="00D6060D"/>
    <w:rsid w:val="00D607F2"/>
    <w:rsid w:val="00D60F84"/>
    <w:rsid w:val="00D61AA4"/>
    <w:rsid w:val="00D61B0A"/>
    <w:rsid w:val="00D61F15"/>
    <w:rsid w:val="00D61FBC"/>
    <w:rsid w:val="00D6302F"/>
    <w:rsid w:val="00D630E2"/>
    <w:rsid w:val="00D63A59"/>
    <w:rsid w:val="00D63C48"/>
    <w:rsid w:val="00D63E02"/>
    <w:rsid w:val="00D64289"/>
    <w:rsid w:val="00D6458F"/>
    <w:rsid w:val="00D6474B"/>
    <w:rsid w:val="00D64A75"/>
    <w:rsid w:val="00D65178"/>
    <w:rsid w:val="00D664A4"/>
    <w:rsid w:val="00D66515"/>
    <w:rsid w:val="00D6667B"/>
    <w:rsid w:val="00D67036"/>
    <w:rsid w:val="00D67BA4"/>
    <w:rsid w:val="00D702B7"/>
    <w:rsid w:val="00D70497"/>
    <w:rsid w:val="00D70DD2"/>
    <w:rsid w:val="00D71194"/>
    <w:rsid w:val="00D71400"/>
    <w:rsid w:val="00D7174E"/>
    <w:rsid w:val="00D7296B"/>
    <w:rsid w:val="00D72B1A"/>
    <w:rsid w:val="00D72DF7"/>
    <w:rsid w:val="00D7534B"/>
    <w:rsid w:val="00D7536D"/>
    <w:rsid w:val="00D75792"/>
    <w:rsid w:val="00D766C1"/>
    <w:rsid w:val="00D76C01"/>
    <w:rsid w:val="00D770E0"/>
    <w:rsid w:val="00D80C84"/>
    <w:rsid w:val="00D81157"/>
    <w:rsid w:val="00D8188B"/>
    <w:rsid w:val="00D81FC6"/>
    <w:rsid w:val="00D825AA"/>
    <w:rsid w:val="00D82CA0"/>
    <w:rsid w:val="00D8366C"/>
    <w:rsid w:val="00D83A21"/>
    <w:rsid w:val="00D83CE3"/>
    <w:rsid w:val="00D8414D"/>
    <w:rsid w:val="00D8441F"/>
    <w:rsid w:val="00D8655E"/>
    <w:rsid w:val="00D8703C"/>
    <w:rsid w:val="00D87716"/>
    <w:rsid w:val="00D87863"/>
    <w:rsid w:val="00D87CA5"/>
    <w:rsid w:val="00D9024B"/>
    <w:rsid w:val="00D90D1F"/>
    <w:rsid w:val="00D91BF4"/>
    <w:rsid w:val="00D92C1F"/>
    <w:rsid w:val="00D93937"/>
    <w:rsid w:val="00D93D75"/>
    <w:rsid w:val="00D93F3D"/>
    <w:rsid w:val="00D94EDB"/>
    <w:rsid w:val="00D95394"/>
    <w:rsid w:val="00D96005"/>
    <w:rsid w:val="00D9615B"/>
    <w:rsid w:val="00D96F79"/>
    <w:rsid w:val="00D970E7"/>
    <w:rsid w:val="00DA01E5"/>
    <w:rsid w:val="00DA032B"/>
    <w:rsid w:val="00DA0456"/>
    <w:rsid w:val="00DA05A4"/>
    <w:rsid w:val="00DA1DE8"/>
    <w:rsid w:val="00DA1FA3"/>
    <w:rsid w:val="00DA20A3"/>
    <w:rsid w:val="00DA2177"/>
    <w:rsid w:val="00DA23E7"/>
    <w:rsid w:val="00DA2534"/>
    <w:rsid w:val="00DA2B07"/>
    <w:rsid w:val="00DA329F"/>
    <w:rsid w:val="00DA419E"/>
    <w:rsid w:val="00DA4386"/>
    <w:rsid w:val="00DA4744"/>
    <w:rsid w:val="00DA55BB"/>
    <w:rsid w:val="00DA55C8"/>
    <w:rsid w:val="00DA59E8"/>
    <w:rsid w:val="00DA6CFB"/>
    <w:rsid w:val="00DA73EE"/>
    <w:rsid w:val="00DA7AF6"/>
    <w:rsid w:val="00DB0EC9"/>
    <w:rsid w:val="00DB1E52"/>
    <w:rsid w:val="00DB2BB2"/>
    <w:rsid w:val="00DB62B3"/>
    <w:rsid w:val="00DB64BA"/>
    <w:rsid w:val="00DB6634"/>
    <w:rsid w:val="00DB7043"/>
    <w:rsid w:val="00DB7B68"/>
    <w:rsid w:val="00DC09BB"/>
    <w:rsid w:val="00DC1743"/>
    <w:rsid w:val="00DC1929"/>
    <w:rsid w:val="00DC1D65"/>
    <w:rsid w:val="00DC2236"/>
    <w:rsid w:val="00DC273B"/>
    <w:rsid w:val="00DC27A2"/>
    <w:rsid w:val="00DC4199"/>
    <w:rsid w:val="00DC462D"/>
    <w:rsid w:val="00DC4CC9"/>
    <w:rsid w:val="00DC54CB"/>
    <w:rsid w:val="00DC54F8"/>
    <w:rsid w:val="00DC5869"/>
    <w:rsid w:val="00DC6D0D"/>
    <w:rsid w:val="00DC6F32"/>
    <w:rsid w:val="00DC70B7"/>
    <w:rsid w:val="00DC7746"/>
    <w:rsid w:val="00DD0151"/>
    <w:rsid w:val="00DD05BB"/>
    <w:rsid w:val="00DD10EE"/>
    <w:rsid w:val="00DD1641"/>
    <w:rsid w:val="00DD2409"/>
    <w:rsid w:val="00DD24CA"/>
    <w:rsid w:val="00DD2D6A"/>
    <w:rsid w:val="00DD3049"/>
    <w:rsid w:val="00DD308C"/>
    <w:rsid w:val="00DD30CC"/>
    <w:rsid w:val="00DD4441"/>
    <w:rsid w:val="00DD4AB8"/>
    <w:rsid w:val="00DD5434"/>
    <w:rsid w:val="00DD5714"/>
    <w:rsid w:val="00DD5C05"/>
    <w:rsid w:val="00DD624A"/>
    <w:rsid w:val="00DD67C5"/>
    <w:rsid w:val="00DD7812"/>
    <w:rsid w:val="00DE1F52"/>
    <w:rsid w:val="00DE2698"/>
    <w:rsid w:val="00DE30E2"/>
    <w:rsid w:val="00DE3456"/>
    <w:rsid w:val="00DE3A9A"/>
    <w:rsid w:val="00DE4FF6"/>
    <w:rsid w:val="00DE5B94"/>
    <w:rsid w:val="00DE62CB"/>
    <w:rsid w:val="00DE6421"/>
    <w:rsid w:val="00DE6FA8"/>
    <w:rsid w:val="00DE706B"/>
    <w:rsid w:val="00DE74A7"/>
    <w:rsid w:val="00DE7C4C"/>
    <w:rsid w:val="00DF0341"/>
    <w:rsid w:val="00DF0901"/>
    <w:rsid w:val="00DF0F10"/>
    <w:rsid w:val="00DF1227"/>
    <w:rsid w:val="00DF16C0"/>
    <w:rsid w:val="00DF26AA"/>
    <w:rsid w:val="00DF2D1A"/>
    <w:rsid w:val="00DF31A9"/>
    <w:rsid w:val="00DF3A42"/>
    <w:rsid w:val="00DF439C"/>
    <w:rsid w:val="00DF4A36"/>
    <w:rsid w:val="00DF539E"/>
    <w:rsid w:val="00DF548B"/>
    <w:rsid w:val="00DF5E76"/>
    <w:rsid w:val="00DF67E1"/>
    <w:rsid w:val="00DF6C74"/>
    <w:rsid w:val="00DF6E7E"/>
    <w:rsid w:val="00DF7247"/>
    <w:rsid w:val="00DF7FF1"/>
    <w:rsid w:val="00E0068A"/>
    <w:rsid w:val="00E00A39"/>
    <w:rsid w:val="00E01032"/>
    <w:rsid w:val="00E01465"/>
    <w:rsid w:val="00E01D22"/>
    <w:rsid w:val="00E01FCD"/>
    <w:rsid w:val="00E025FA"/>
    <w:rsid w:val="00E0390D"/>
    <w:rsid w:val="00E041E4"/>
    <w:rsid w:val="00E051E1"/>
    <w:rsid w:val="00E05FBC"/>
    <w:rsid w:val="00E06F98"/>
    <w:rsid w:val="00E07007"/>
    <w:rsid w:val="00E078D3"/>
    <w:rsid w:val="00E07B44"/>
    <w:rsid w:val="00E10B7D"/>
    <w:rsid w:val="00E11793"/>
    <w:rsid w:val="00E1217D"/>
    <w:rsid w:val="00E1224B"/>
    <w:rsid w:val="00E123CC"/>
    <w:rsid w:val="00E12DE7"/>
    <w:rsid w:val="00E146DF"/>
    <w:rsid w:val="00E147EC"/>
    <w:rsid w:val="00E160C1"/>
    <w:rsid w:val="00E167A6"/>
    <w:rsid w:val="00E21234"/>
    <w:rsid w:val="00E21517"/>
    <w:rsid w:val="00E218D6"/>
    <w:rsid w:val="00E2267B"/>
    <w:rsid w:val="00E227EA"/>
    <w:rsid w:val="00E22B88"/>
    <w:rsid w:val="00E22EC1"/>
    <w:rsid w:val="00E23426"/>
    <w:rsid w:val="00E23660"/>
    <w:rsid w:val="00E236E3"/>
    <w:rsid w:val="00E264A6"/>
    <w:rsid w:val="00E27091"/>
    <w:rsid w:val="00E2761D"/>
    <w:rsid w:val="00E27C0E"/>
    <w:rsid w:val="00E303F3"/>
    <w:rsid w:val="00E30A96"/>
    <w:rsid w:val="00E31214"/>
    <w:rsid w:val="00E31326"/>
    <w:rsid w:val="00E31A1E"/>
    <w:rsid w:val="00E31B9C"/>
    <w:rsid w:val="00E31F54"/>
    <w:rsid w:val="00E31FB3"/>
    <w:rsid w:val="00E3203C"/>
    <w:rsid w:val="00E32C18"/>
    <w:rsid w:val="00E335C8"/>
    <w:rsid w:val="00E34484"/>
    <w:rsid w:val="00E36F77"/>
    <w:rsid w:val="00E37392"/>
    <w:rsid w:val="00E37424"/>
    <w:rsid w:val="00E377AB"/>
    <w:rsid w:val="00E377EE"/>
    <w:rsid w:val="00E37F73"/>
    <w:rsid w:val="00E4254C"/>
    <w:rsid w:val="00E4260E"/>
    <w:rsid w:val="00E4331D"/>
    <w:rsid w:val="00E449D5"/>
    <w:rsid w:val="00E45180"/>
    <w:rsid w:val="00E45305"/>
    <w:rsid w:val="00E456B4"/>
    <w:rsid w:val="00E4574C"/>
    <w:rsid w:val="00E4597C"/>
    <w:rsid w:val="00E45E7E"/>
    <w:rsid w:val="00E45FBF"/>
    <w:rsid w:val="00E46257"/>
    <w:rsid w:val="00E46636"/>
    <w:rsid w:val="00E46AC9"/>
    <w:rsid w:val="00E51A88"/>
    <w:rsid w:val="00E522C5"/>
    <w:rsid w:val="00E526DE"/>
    <w:rsid w:val="00E53407"/>
    <w:rsid w:val="00E53DB6"/>
    <w:rsid w:val="00E53E47"/>
    <w:rsid w:val="00E54ACA"/>
    <w:rsid w:val="00E54E93"/>
    <w:rsid w:val="00E54FB3"/>
    <w:rsid w:val="00E55494"/>
    <w:rsid w:val="00E55904"/>
    <w:rsid w:val="00E55B32"/>
    <w:rsid w:val="00E55C33"/>
    <w:rsid w:val="00E55E72"/>
    <w:rsid w:val="00E569BD"/>
    <w:rsid w:val="00E57521"/>
    <w:rsid w:val="00E57E84"/>
    <w:rsid w:val="00E60005"/>
    <w:rsid w:val="00E60616"/>
    <w:rsid w:val="00E6157A"/>
    <w:rsid w:val="00E62217"/>
    <w:rsid w:val="00E6248B"/>
    <w:rsid w:val="00E626BC"/>
    <w:rsid w:val="00E628DC"/>
    <w:rsid w:val="00E62A23"/>
    <w:rsid w:val="00E62A9B"/>
    <w:rsid w:val="00E6346D"/>
    <w:rsid w:val="00E6479B"/>
    <w:rsid w:val="00E66614"/>
    <w:rsid w:val="00E66924"/>
    <w:rsid w:val="00E66C4C"/>
    <w:rsid w:val="00E66CD2"/>
    <w:rsid w:val="00E67F4A"/>
    <w:rsid w:val="00E70448"/>
    <w:rsid w:val="00E707C0"/>
    <w:rsid w:val="00E7093A"/>
    <w:rsid w:val="00E7176C"/>
    <w:rsid w:val="00E71CEB"/>
    <w:rsid w:val="00E7332A"/>
    <w:rsid w:val="00E7398B"/>
    <w:rsid w:val="00E73FA5"/>
    <w:rsid w:val="00E74154"/>
    <w:rsid w:val="00E741B9"/>
    <w:rsid w:val="00E7628A"/>
    <w:rsid w:val="00E76DCB"/>
    <w:rsid w:val="00E80035"/>
    <w:rsid w:val="00E80B5D"/>
    <w:rsid w:val="00E817EE"/>
    <w:rsid w:val="00E819CB"/>
    <w:rsid w:val="00E8269B"/>
    <w:rsid w:val="00E85860"/>
    <w:rsid w:val="00E86587"/>
    <w:rsid w:val="00E90AB3"/>
    <w:rsid w:val="00E91139"/>
    <w:rsid w:val="00E9137E"/>
    <w:rsid w:val="00E921C2"/>
    <w:rsid w:val="00E9224D"/>
    <w:rsid w:val="00E929A5"/>
    <w:rsid w:val="00E92B30"/>
    <w:rsid w:val="00E930FA"/>
    <w:rsid w:val="00E93202"/>
    <w:rsid w:val="00E96341"/>
    <w:rsid w:val="00E96B61"/>
    <w:rsid w:val="00E976DF"/>
    <w:rsid w:val="00EA07F9"/>
    <w:rsid w:val="00EA089A"/>
    <w:rsid w:val="00EA1417"/>
    <w:rsid w:val="00EA1B29"/>
    <w:rsid w:val="00EA1DD1"/>
    <w:rsid w:val="00EA33AD"/>
    <w:rsid w:val="00EA3841"/>
    <w:rsid w:val="00EA3FA3"/>
    <w:rsid w:val="00EA4CAB"/>
    <w:rsid w:val="00EA5552"/>
    <w:rsid w:val="00EA573E"/>
    <w:rsid w:val="00EA5A7C"/>
    <w:rsid w:val="00EA6062"/>
    <w:rsid w:val="00EA620E"/>
    <w:rsid w:val="00EA6490"/>
    <w:rsid w:val="00EA655D"/>
    <w:rsid w:val="00EA66E6"/>
    <w:rsid w:val="00EA6B58"/>
    <w:rsid w:val="00EA6CAA"/>
    <w:rsid w:val="00EA701D"/>
    <w:rsid w:val="00EA7606"/>
    <w:rsid w:val="00EA76F4"/>
    <w:rsid w:val="00EB04B7"/>
    <w:rsid w:val="00EB14D9"/>
    <w:rsid w:val="00EB15E7"/>
    <w:rsid w:val="00EB2728"/>
    <w:rsid w:val="00EB295A"/>
    <w:rsid w:val="00EB360C"/>
    <w:rsid w:val="00EB3D16"/>
    <w:rsid w:val="00EB426B"/>
    <w:rsid w:val="00EB42B8"/>
    <w:rsid w:val="00EB4F53"/>
    <w:rsid w:val="00EB5E6D"/>
    <w:rsid w:val="00EC0C76"/>
    <w:rsid w:val="00EC2151"/>
    <w:rsid w:val="00EC2ABF"/>
    <w:rsid w:val="00EC2B6D"/>
    <w:rsid w:val="00EC32A5"/>
    <w:rsid w:val="00EC35DF"/>
    <w:rsid w:val="00EC4758"/>
    <w:rsid w:val="00EC4BFC"/>
    <w:rsid w:val="00EC57D3"/>
    <w:rsid w:val="00EC5EB6"/>
    <w:rsid w:val="00EC604D"/>
    <w:rsid w:val="00EC6110"/>
    <w:rsid w:val="00EC6741"/>
    <w:rsid w:val="00EC72FD"/>
    <w:rsid w:val="00EC7E7E"/>
    <w:rsid w:val="00ED0EB7"/>
    <w:rsid w:val="00ED0EF9"/>
    <w:rsid w:val="00ED13F4"/>
    <w:rsid w:val="00ED163D"/>
    <w:rsid w:val="00ED2310"/>
    <w:rsid w:val="00ED29A2"/>
    <w:rsid w:val="00ED2AD7"/>
    <w:rsid w:val="00ED376B"/>
    <w:rsid w:val="00ED3DE3"/>
    <w:rsid w:val="00ED3E67"/>
    <w:rsid w:val="00ED436C"/>
    <w:rsid w:val="00ED506F"/>
    <w:rsid w:val="00ED50F3"/>
    <w:rsid w:val="00ED5454"/>
    <w:rsid w:val="00ED5BB3"/>
    <w:rsid w:val="00ED62BF"/>
    <w:rsid w:val="00ED732D"/>
    <w:rsid w:val="00ED7509"/>
    <w:rsid w:val="00ED7631"/>
    <w:rsid w:val="00ED7997"/>
    <w:rsid w:val="00EE03FF"/>
    <w:rsid w:val="00EE087B"/>
    <w:rsid w:val="00EE1BEE"/>
    <w:rsid w:val="00EE25E1"/>
    <w:rsid w:val="00EE2852"/>
    <w:rsid w:val="00EE3143"/>
    <w:rsid w:val="00EE3F0D"/>
    <w:rsid w:val="00EE4729"/>
    <w:rsid w:val="00EE5014"/>
    <w:rsid w:val="00EE5423"/>
    <w:rsid w:val="00EE545D"/>
    <w:rsid w:val="00EE5480"/>
    <w:rsid w:val="00EE61C8"/>
    <w:rsid w:val="00EE65F2"/>
    <w:rsid w:val="00EE7E23"/>
    <w:rsid w:val="00EF1E39"/>
    <w:rsid w:val="00EF2F7C"/>
    <w:rsid w:val="00EF31FF"/>
    <w:rsid w:val="00EF3278"/>
    <w:rsid w:val="00EF32B8"/>
    <w:rsid w:val="00EF37D5"/>
    <w:rsid w:val="00EF3E8B"/>
    <w:rsid w:val="00EF3FD7"/>
    <w:rsid w:val="00EF4892"/>
    <w:rsid w:val="00EF502D"/>
    <w:rsid w:val="00EF52F3"/>
    <w:rsid w:val="00EF5507"/>
    <w:rsid w:val="00EF5A5F"/>
    <w:rsid w:val="00EF610A"/>
    <w:rsid w:val="00EF6B6D"/>
    <w:rsid w:val="00EF71FE"/>
    <w:rsid w:val="00EF738F"/>
    <w:rsid w:val="00EF73BC"/>
    <w:rsid w:val="00EF7AE2"/>
    <w:rsid w:val="00F00678"/>
    <w:rsid w:val="00F0096C"/>
    <w:rsid w:val="00F010F2"/>
    <w:rsid w:val="00F0152D"/>
    <w:rsid w:val="00F01723"/>
    <w:rsid w:val="00F01819"/>
    <w:rsid w:val="00F02A13"/>
    <w:rsid w:val="00F02EAE"/>
    <w:rsid w:val="00F04996"/>
    <w:rsid w:val="00F049BB"/>
    <w:rsid w:val="00F049EC"/>
    <w:rsid w:val="00F04BC2"/>
    <w:rsid w:val="00F0542E"/>
    <w:rsid w:val="00F05922"/>
    <w:rsid w:val="00F0645B"/>
    <w:rsid w:val="00F075A4"/>
    <w:rsid w:val="00F1003C"/>
    <w:rsid w:val="00F10673"/>
    <w:rsid w:val="00F1137A"/>
    <w:rsid w:val="00F11F72"/>
    <w:rsid w:val="00F12A46"/>
    <w:rsid w:val="00F12ED0"/>
    <w:rsid w:val="00F133FD"/>
    <w:rsid w:val="00F13CFE"/>
    <w:rsid w:val="00F14225"/>
    <w:rsid w:val="00F14231"/>
    <w:rsid w:val="00F145A6"/>
    <w:rsid w:val="00F1546C"/>
    <w:rsid w:val="00F156C5"/>
    <w:rsid w:val="00F159FB"/>
    <w:rsid w:val="00F15A89"/>
    <w:rsid w:val="00F1615E"/>
    <w:rsid w:val="00F16240"/>
    <w:rsid w:val="00F167EC"/>
    <w:rsid w:val="00F16853"/>
    <w:rsid w:val="00F1726D"/>
    <w:rsid w:val="00F17338"/>
    <w:rsid w:val="00F17429"/>
    <w:rsid w:val="00F17728"/>
    <w:rsid w:val="00F1797C"/>
    <w:rsid w:val="00F17F72"/>
    <w:rsid w:val="00F20840"/>
    <w:rsid w:val="00F209A3"/>
    <w:rsid w:val="00F226A1"/>
    <w:rsid w:val="00F229AB"/>
    <w:rsid w:val="00F229F9"/>
    <w:rsid w:val="00F25FA6"/>
    <w:rsid w:val="00F26024"/>
    <w:rsid w:val="00F2607A"/>
    <w:rsid w:val="00F26B4B"/>
    <w:rsid w:val="00F26DFE"/>
    <w:rsid w:val="00F2706C"/>
    <w:rsid w:val="00F30372"/>
    <w:rsid w:val="00F3094A"/>
    <w:rsid w:val="00F30FDD"/>
    <w:rsid w:val="00F31CC7"/>
    <w:rsid w:val="00F31F63"/>
    <w:rsid w:val="00F31FEB"/>
    <w:rsid w:val="00F3284E"/>
    <w:rsid w:val="00F34DF3"/>
    <w:rsid w:val="00F35196"/>
    <w:rsid w:val="00F3552B"/>
    <w:rsid w:val="00F35A49"/>
    <w:rsid w:val="00F36331"/>
    <w:rsid w:val="00F36E81"/>
    <w:rsid w:val="00F37119"/>
    <w:rsid w:val="00F37864"/>
    <w:rsid w:val="00F37A2A"/>
    <w:rsid w:val="00F37CF2"/>
    <w:rsid w:val="00F40A91"/>
    <w:rsid w:val="00F4100F"/>
    <w:rsid w:val="00F41175"/>
    <w:rsid w:val="00F4256C"/>
    <w:rsid w:val="00F43B8E"/>
    <w:rsid w:val="00F44898"/>
    <w:rsid w:val="00F448A2"/>
    <w:rsid w:val="00F44E4A"/>
    <w:rsid w:val="00F4531C"/>
    <w:rsid w:val="00F46127"/>
    <w:rsid w:val="00F46137"/>
    <w:rsid w:val="00F464DB"/>
    <w:rsid w:val="00F46A29"/>
    <w:rsid w:val="00F46AF9"/>
    <w:rsid w:val="00F46B0F"/>
    <w:rsid w:val="00F46FCD"/>
    <w:rsid w:val="00F477A8"/>
    <w:rsid w:val="00F504C9"/>
    <w:rsid w:val="00F5120B"/>
    <w:rsid w:val="00F512F7"/>
    <w:rsid w:val="00F54183"/>
    <w:rsid w:val="00F547C3"/>
    <w:rsid w:val="00F55B64"/>
    <w:rsid w:val="00F56314"/>
    <w:rsid w:val="00F5717D"/>
    <w:rsid w:val="00F573E3"/>
    <w:rsid w:val="00F5771E"/>
    <w:rsid w:val="00F57CA2"/>
    <w:rsid w:val="00F60312"/>
    <w:rsid w:val="00F613EC"/>
    <w:rsid w:val="00F6177B"/>
    <w:rsid w:val="00F61821"/>
    <w:rsid w:val="00F61D2A"/>
    <w:rsid w:val="00F61E38"/>
    <w:rsid w:val="00F61E51"/>
    <w:rsid w:val="00F625F2"/>
    <w:rsid w:val="00F630C9"/>
    <w:rsid w:val="00F63590"/>
    <w:rsid w:val="00F663F9"/>
    <w:rsid w:val="00F66A4A"/>
    <w:rsid w:val="00F6715D"/>
    <w:rsid w:val="00F67C25"/>
    <w:rsid w:val="00F67CDC"/>
    <w:rsid w:val="00F7045F"/>
    <w:rsid w:val="00F72B42"/>
    <w:rsid w:val="00F72BB2"/>
    <w:rsid w:val="00F73054"/>
    <w:rsid w:val="00F730C9"/>
    <w:rsid w:val="00F733F3"/>
    <w:rsid w:val="00F73A39"/>
    <w:rsid w:val="00F73B69"/>
    <w:rsid w:val="00F73E47"/>
    <w:rsid w:val="00F75846"/>
    <w:rsid w:val="00F758FF"/>
    <w:rsid w:val="00F75A0B"/>
    <w:rsid w:val="00F75D3A"/>
    <w:rsid w:val="00F75DD2"/>
    <w:rsid w:val="00F75EAD"/>
    <w:rsid w:val="00F76471"/>
    <w:rsid w:val="00F7668A"/>
    <w:rsid w:val="00F80139"/>
    <w:rsid w:val="00F80E1B"/>
    <w:rsid w:val="00F82494"/>
    <w:rsid w:val="00F8259A"/>
    <w:rsid w:val="00F825B5"/>
    <w:rsid w:val="00F82EA5"/>
    <w:rsid w:val="00F82F00"/>
    <w:rsid w:val="00F841CA"/>
    <w:rsid w:val="00F846B9"/>
    <w:rsid w:val="00F847D0"/>
    <w:rsid w:val="00F85211"/>
    <w:rsid w:val="00F857E5"/>
    <w:rsid w:val="00F86BC8"/>
    <w:rsid w:val="00F875D1"/>
    <w:rsid w:val="00F87C31"/>
    <w:rsid w:val="00F910E7"/>
    <w:rsid w:val="00F9212E"/>
    <w:rsid w:val="00F9445F"/>
    <w:rsid w:val="00F94599"/>
    <w:rsid w:val="00F947EB"/>
    <w:rsid w:val="00F95A06"/>
    <w:rsid w:val="00F95F0A"/>
    <w:rsid w:val="00F961D1"/>
    <w:rsid w:val="00F96446"/>
    <w:rsid w:val="00F96DA7"/>
    <w:rsid w:val="00F96E21"/>
    <w:rsid w:val="00F97E8A"/>
    <w:rsid w:val="00FA01F7"/>
    <w:rsid w:val="00FA0265"/>
    <w:rsid w:val="00FA0329"/>
    <w:rsid w:val="00FA0643"/>
    <w:rsid w:val="00FA0B4E"/>
    <w:rsid w:val="00FA0E0F"/>
    <w:rsid w:val="00FA1A77"/>
    <w:rsid w:val="00FA1E11"/>
    <w:rsid w:val="00FA26F6"/>
    <w:rsid w:val="00FA27EF"/>
    <w:rsid w:val="00FA3738"/>
    <w:rsid w:val="00FA39F2"/>
    <w:rsid w:val="00FA4DC5"/>
    <w:rsid w:val="00FA5504"/>
    <w:rsid w:val="00FA596A"/>
    <w:rsid w:val="00FA64EE"/>
    <w:rsid w:val="00FA6B7E"/>
    <w:rsid w:val="00FA6D05"/>
    <w:rsid w:val="00FA7002"/>
    <w:rsid w:val="00FB10B6"/>
    <w:rsid w:val="00FB148D"/>
    <w:rsid w:val="00FB1BE1"/>
    <w:rsid w:val="00FB3372"/>
    <w:rsid w:val="00FB43EA"/>
    <w:rsid w:val="00FB495B"/>
    <w:rsid w:val="00FB512D"/>
    <w:rsid w:val="00FB57DB"/>
    <w:rsid w:val="00FB6669"/>
    <w:rsid w:val="00FB7864"/>
    <w:rsid w:val="00FC042C"/>
    <w:rsid w:val="00FC06E3"/>
    <w:rsid w:val="00FC0701"/>
    <w:rsid w:val="00FC1064"/>
    <w:rsid w:val="00FC1174"/>
    <w:rsid w:val="00FC162A"/>
    <w:rsid w:val="00FC18C6"/>
    <w:rsid w:val="00FC22AB"/>
    <w:rsid w:val="00FC272E"/>
    <w:rsid w:val="00FC292B"/>
    <w:rsid w:val="00FC294A"/>
    <w:rsid w:val="00FC2B92"/>
    <w:rsid w:val="00FC30F3"/>
    <w:rsid w:val="00FC36DD"/>
    <w:rsid w:val="00FC37BA"/>
    <w:rsid w:val="00FC3C40"/>
    <w:rsid w:val="00FC46B1"/>
    <w:rsid w:val="00FC4DBD"/>
    <w:rsid w:val="00FC581F"/>
    <w:rsid w:val="00FC594B"/>
    <w:rsid w:val="00FC63BC"/>
    <w:rsid w:val="00FC7596"/>
    <w:rsid w:val="00FC7A19"/>
    <w:rsid w:val="00FC7B7E"/>
    <w:rsid w:val="00FC7DDB"/>
    <w:rsid w:val="00FC7EF4"/>
    <w:rsid w:val="00FD0393"/>
    <w:rsid w:val="00FD0B89"/>
    <w:rsid w:val="00FD0DA5"/>
    <w:rsid w:val="00FD1088"/>
    <w:rsid w:val="00FD2394"/>
    <w:rsid w:val="00FD2E62"/>
    <w:rsid w:val="00FD330E"/>
    <w:rsid w:val="00FD3C40"/>
    <w:rsid w:val="00FD4211"/>
    <w:rsid w:val="00FD4DA3"/>
    <w:rsid w:val="00FD5FAA"/>
    <w:rsid w:val="00FD6ACA"/>
    <w:rsid w:val="00FD7841"/>
    <w:rsid w:val="00FE0008"/>
    <w:rsid w:val="00FE0157"/>
    <w:rsid w:val="00FE0DCE"/>
    <w:rsid w:val="00FE10CF"/>
    <w:rsid w:val="00FE2431"/>
    <w:rsid w:val="00FE24E3"/>
    <w:rsid w:val="00FE375B"/>
    <w:rsid w:val="00FE43A7"/>
    <w:rsid w:val="00FE449D"/>
    <w:rsid w:val="00FE49D2"/>
    <w:rsid w:val="00FE4C58"/>
    <w:rsid w:val="00FE54EC"/>
    <w:rsid w:val="00FE57CC"/>
    <w:rsid w:val="00FE6746"/>
    <w:rsid w:val="00FE771E"/>
    <w:rsid w:val="00FE7AB4"/>
    <w:rsid w:val="00FE7D72"/>
    <w:rsid w:val="00FE7EE9"/>
    <w:rsid w:val="00FF075C"/>
    <w:rsid w:val="00FF2550"/>
    <w:rsid w:val="00FF2555"/>
    <w:rsid w:val="00FF321A"/>
    <w:rsid w:val="00FF3592"/>
    <w:rsid w:val="00FF3CD4"/>
    <w:rsid w:val="00FF46AA"/>
    <w:rsid w:val="00FF486A"/>
    <w:rsid w:val="00FF5299"/>
    <w:rsid w:val="00FF5FE8"/>
    <w:rsid w:val="00FF610D"/>
    <w:rsid w:val="00FF6534"/>
    <w:rsid w:val="00FF6D7C"/>
    <w:rsid w:val="00FF70F8"/>
    <w:rsid w:val="00FF7840"/>
    <w:rsid w:val="00FF7849"/>
    <w:rsid w:val="00FF798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1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uiPriority="0"/>
    <w:lsdException w:name="endnote text" w:semiHidden="1" w:uiPriority="0"/>
    <w:lsdException w:name="table of authorities" w:semiHidden="1"/>
    <w:lsdException w:name="macro" w:semiHidden="1"/>
    <w:lsdException w:name="toa heading" w:semiHidden="1"/>
    <w:lsdException w:name="List" w:semiHidden="1"/>
    <w:lsdException w:name="List Bullet" w:semiHidden="1" w:uiPriority="16" w:qFormat="1"/>
    <w:lsdException w:name="List Number" w:semiHidden="1"/>
    <w:lsdException w:name="List 2" w:semiHidden="1"/>
    <w:lsdException w:name="List 3" w:semiHidden="1"/>
    <w:lsdException w:name="List 4" w:semiHidden="1"/>
    <w:lsdException w:name="List 5" w:semiHidden="1"/>
    <w:lsdException w:name="List Bullet 2" w:semiHidden="1" w:uiPriority="16" w:qFormat="1"/>
    <w:lsdException w:name="List Bullet 3" w:semiHidden="1" w:uiPriority="16" w:qFormat="1"/>
    <w:lsdException w:name="List Bullet 4" w:semiHidden="1" w:uiPriority="16" w:qFormat="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semiHidden="1" w:uiPriority="25"/>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AD7"/>
    <w:pPr>
      <w:spacing w:before="120" w:line="240" w:lineRule="auto"/>
      <w:jc w:val="both"/>
    </w:pPr>
    <w:rPr>
      <w:sz w:val="24"/>
    </w:rPr>
  </w:style>
  <w:style w:type="paragraph" w:styleId="Heading1">
    <w:name w:val="heading 1"/>
    <w:next w:val="MSACESParagraph"/>
    <w:link w:val="Heading1Char"/>
    <w:uiPriority w:val="9"/>
    <w:qFormat/>
    <w:rsid w:val="005C2085"/>
    <w:pPr>
      <w:keepNext/>
      <w:keepLines/>
      <w:numPr>
        <w:numId w:val="3"/>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4A5746"/>
    <w:pPr>
      <w:keepNext/>
      <w:keepLines/>
      <w:numPr>
        <w:ilvl w:val="3"/>
        <w:numId w:val="3"/>
      </w:numPr>
      <w:spacing w:before="360" w:after="120"/>
      <w:ind w:left="864"/>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9"/>
    <w:qFormat/>
    <w:rsid w:val="00186307"/>
    <w:pPr>
      <w:keepNext/>
      <w:keepLines/>
      <w:numPr>
        <w:ilvl w:val="5"/>
        <w:numId w:val="3"/>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83"/>
    <w:rPr>
      <w:rFonts w:eastAsiaTheme="majorEastAsia" w:cstheme="majorBidi"/>
      <w:b/>
      <w:sz w:val="32"/>
      <w:szCs w:val="28"/>
    </w:rPr>
  </w:style>
  <w:style w:type="character" w:customStyle="1" w:styleId="Heading2Char">
    <w:name w:val="Heading 2 Char"/>
    <w:basedOn w:val="DefaultParagraphFont"/>
    <w:link w:val="Heading2"/>
    <w:uiPriority w:val="9"/>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9"/>
    <w:rsid w:val="00245AD1"/>
    <w:rPr>
      <w:rFonts w:eastAsiaTheme="majorEastAsia" w:cstheme="majorBidi"/>
      <w:b/>
      <w:sz w:val="28"/>
      <w:szCs w:val="28"/>
    </w:rPr>
  </w:style>
  <w:style w:type="paragraph" w:styleId="ListParagraph">
    <w:name w:val="List Paragraph"/>
    <w:aliases w:val="PBAC ES Paragraph,Figure_name,List Paragraph1,Numbered Indented Text,Bullet- First level,List NUmber,Listenabsatz1,lp1,List Paragraph11,Style 2,TOC style,List Paragraph2,List Paragraph Char Char,Number_1,SGLText List Paragraph,new"/>
    <w:basedOn w:val="Normal"/>
    <w:link w:val="ListParagraphChar"/>
    <w:uiPriority w:val="34"/>
    <w:qFormat/>
    <w:rsid w:val="004908B7"/>
    <w:pPr>
      <w:numPr>
        <w:ilvl w:val="4"/>
        <w:numId w:val="5"/>
      </w:numPr>
    </w:pPr>
    <w:rPr>
      <w:color w:val="000000" w:themeColor="text1"/>
    </w:rPr>
  </w:style>
  <w:style w:type="paragraph" w:styleId="BalloonText">
    <w:name w:val="Balloon Text"/>
    <w:basedOn w:val="Normal"/>
    <w:link w:val="BalloonTextChar"/>
    <w:uiPriority w:val="9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9"/>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9"/>
    <w:semiHidden/>
    <w:rsid w:val="00F0542E"/>
    <w:rPr>
      <w:rFonts w:ascii="Segoe UI" w:hAnsi="Segoe UI" w:cs="Segoe UI"/>
      <w:sz w:val="18"/>
      <w:szCs w:val="18"/>
    </w:rPr>
  </w:style>
  <w:style w:type="table" w:styleId="TableGrid">
    <w:name w:val="Table Grid"/>
    <w:aliases w:val="Summary box,Table Gridbeth,MSD Table Grid,ASD Table,CMA Table Template,new style,PBAC table"/>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table"/>
    <w:next w:val="Normal"/>
    <w:link w:val="CaptionChar"/>
    <w:autoRedefine/>
    <w:qFormat/>
    <w:rsid w:val="006260A4"/>
    <w:pPr>
      <w:keepNext/>
      <w:keepLines/>
      <w:spacing w:before="240" w:after="0"/>
      <w:ind w:left="1276" w:hanging="1276"/>
      <w:contextualSpacing/>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rsid w:val="00BA3306"/>
    <w:rPr>
      <w:color w:val="00B0F0"/>
      <w:u w:val="single"/>
    </w:rPr>
  </w:style>
  <w:style w:type="paragraph" w:styleId="FootnoteText">
    <w:name w:val="footnote text"/>
    <w:basedOn w:val="Normal"/>
    <w:link w:val="FootnoteTextChar"/>
    <w:semiHidden/>
    <w:rsid w:val="00BA3306"/>
    <w:pPr>
      <w:spacing w:before="0" w:after="0"/>
    </w:pPr>
    <w:rPr>
      <w:sz w:val="18"/>
      <w:szCs w:val="20"/>
    </w:rPr>
  </w:style>
  <w:style w:type="character" w:customStyle="1" w:styleId="FootnoteTextChar">
    <w:name w:val="Footnote Text Char"/>
    <w:basedOn w:val="DefaultParagraphFont"/>
    <w:link w:val="FootnoteText"/>
    <w:semiHidden/>
    <w:rsid w:val="00481549"/>
    <w:rPr>
      <w:sz w:val="18"/>
      <w:szCs w:val="20"/>
    </w:rPr>
  </w:style>
  <w:style w:type="character" w:styleId="FootnoteReference">
    <w:name w:val="footnote reference"/>
    <w:basedOn w:val="DefaultParagraphFont"/>
    <w:uiPriority w:val="99"/>
    <w:rsid w:val="00BA3306"/>
    <w:rPr>
      <w:vertAlign w:val="superscript"/>
    </w:rPr>
  </w:style>
  <w:style w:type="character" w:styleId="CommentReference">
    <w:name w:val="annotation reference"/>
    <w:aliases w:val="Table Title,-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table Char"/>
    <w:link w:val="Caption"/>
    <w:rsid w:val="006260A4"/>
    <w:rPr>
      <w:rFonts w:ascii="Arial Narrow" w:hAnsi="Arial Narrow"/>
      <w:b/>
      <w:iCs/>
      <w:sz w:val="20"/>
      <w:szCs w:val="18"/>
    </w:rPr>
  </w:style>
  <w:style w:type="paragraph" w:customStyle="1" w:styleId="TableFooter">
    <w:name w:val="Table Footer"/>
    <w:basedOn w:val="Normal"/>
    <w:link w:val="TableFooterChar"/>
    <w:qFormat/>
    <w:rsid w:val="00140A20"/>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245AD1"/>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Figure_name Char,List Paragraph1 Char,Numbered Indented Text Char,Bullet- First level Char,List NUmber Char,Listenabsatz1 Char,lp1 Char,List Paragraph11 Char,Style 2 Char,TOC style Char,List Paragraph2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5"/>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ind w:left="576"/>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Times" w:hAnsi="Time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 w:hAnsi="Time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 w:hAnsi="Times"/>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8"/>
      </w:numPr>
      <w:spacing w:after="120"/>
      <w:ind w:left="714" w:hanging="357"/>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5"/>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olor w:val="0070C0"/>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9"/>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5"/>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5"/>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4"/>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link w:val="ESHeading2Char"/>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6"/>
      </w:numPr>
    </w:pPr>
  </w:style>
  <w:style w:type="paragraph" w:customStyle="1" w:styleId="MainBodyBulletPoint">
    <w:name w:val="MainBody Bullet Point"/>
    <w:basedOn w:val="InstructionBulletpoint"/>
    <w:link w:val="MainBodyBulletPointChar"/>
    <w:uiPriority w:val="1"/>
    <w:qFormat/>
    <w:rsid w:val="002532B4"/>
    <w:pPr>
      <w:numPr>
        <w:numId w:val="7"/>
      </w:numPr>
      <w:ind w:left="714" w:hanging="357"/>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olor w:val="0070C0"/>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10"/>
      </w:numPr>
    </w:pPr>
  </w:style>
  <w:style w:type="numbering" w:customStyle="1" w:styleId="Style2">
    <w:name w:val="Style2"/>
    <w:uiPriority w:val="99"/>
    <w:rsid w:val="002A391F"/>
    <w:pPr>
      <w:numPr>
        <w:numId w:val="12"/>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3"/>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 H19"/>
    <w:basedOn w:val="Normal"/>
    <w:link w:val="CommentTextChar"/>
    <w:uiPriority w:val="99"/>
    <w:unhideWhenUsed/>
    <w:qFormat/>
    <w:rsid w:val="0051581D"/>
    <w:rPr>
      <w:sz w:val="20"/>
      <w:szCs w:val="20"/>
    </w:rPr>
  </w:style>
  <w:style w:type="character" w:customStyle="1" w:styleId="CommentTextChar">
    <w:name w:val="Comment Text Char"/>
    <w:aliases w:val="- H19 Char"/>
    <w:basedOn w:val="DefaultParagraphFont"/>
    <w:link w:val="CommentText"/>
    <w:uiPriority w:val="99"/>
    <w:rsid w:val="0051581D"/>
    <w:rPr>
      <w:sz w:val="20"/>
      <w:szCs w:val="20"/>
    </w:rPr>
  </w:style>
  <w:style w:type="paragraph" w:styleId="ListBullet">
    <w:name w:val="List Bullet"/>
    <w:basedOn w:val="Normal"/>
    <w:uiPriority w:val="16"/>
    <w:semiHidden/>
    <w:unhideWhenUsed/>
    <w:qFormat/>
    <w:rsid w:val="00D04647"/>
    <w:pPr>
      <w:numPr>
        <w:numId w:val="14"/>
      </w:numPr>
      <w:spacing w:before="0" w:after="240" w:line="360" w:lineRule="auto"/>
      <w:jc w:val="left"/>
    </w:pPr>
    <w:rPr>
      <w:rFonts w:ascii="Arial" w:hAnsi="Arial"/>
      <w:sz w:val="20"/>
      <w:szCs w:val="20"/>
    </w:rPr>
  </w:style>
  <w:style w:type="paragraph" w:styleId="ListBullet2">
    <w:name w:val="List Bullet 2"/>
    <w:basedOn w:val="ListBullet"/>
    <w:uiPriority w:val="16"/>
    <w:unhideWhenUsed/>
    <w:qFormat/>
    <w:rsid w:val="00D04647"/>
    <w:pPr>
      <w:numPr>
        <w:ilvl w:val="1"/>
      </w:numPr>
    </w:pPr>
  </w:style>
  <w:style w:type="paragraph" w:styleId="ListBullet3">
    <w:name w:val="List Bullet 3"/>
    <w:basedOn w:val="Normal"/>
    <w:uiPriority w:val="16"/>
    <w:unhideWhenUsed/>
    <w:qFormat/>
    <w:rsid w:val="00D04647"/>
    <w:pPr>
      <w:numPr>
        <w:ilvl w:val="2"/>
        <w:numId w:val="14"/>
      </w:numPr>
      <w:spacing w:before="0" w:after="240" w:line="360" w:lineRule="auto"/>
      <w:contextualSpacing/>
      <w:jc w:val="left"/>
    </w:pPr>
    <w:rPr>
      <w:rFonts w:ascii="Arial" w:hAnsi="Arial"/>
      <w:sz w:val="20"/>
      <w:szCs w:val="20"/>
    </w:rPr>
  </w:style>
  <w:style w:type="paragraph" w:styleId="ListBullet4">
    <w:name w:val="List Bullet 4"/>
    <w:basedOn w:val="Normal"/>
    <w:uiPriority w:val="16"/>
    <w:semiHidden/>
    <w:unhideWhenUsed/>
    <w:qFormat/>
    <w:rsid w:val="00D04647"/>
    <w:pPr>
      <w:numPr>
        <w:ilvl w:val="3"/>
        <w:numId w:val="14"/>
      </w:numPr>
      <w:spacing w:before="0" w:after="240" w:line="360" w:lineRule="auto"/>
      <w:contextualSpacing/>
      <w:jc w:val="left"/>
    </w:pPr>
    <w:rPr>
      <w:rFonts w:ascii="Arial" w:hAnsi="Arial"/>
      <w:sz w:val="20"/>
      <w:szCs w:val="20"/>
    </w:rPr>
  </w:style>
  <w:style w:type="character" w:styleId="PlaceholderText">
    <w:name w:val="Placeholder Text"/>
    <w:basedOn w:val="DefaultParagraphFont"/>
    <w:uiPriority w:val="99"/>
    <w:semiHidden/>
    <w:rsid w:val="00022DCE"/>
    <w:rPr>
      <w:color w:val="808080"/>
    </w:rPr>
  </w:style>
  <w:style w:type="table" w:customStyle="1" w:styleId="MSDTableGrid2">
    <w:name w:val="MSD Table Grid2"/>
    <w:basedOn w:val="TableNormal"/>
    <w:uiPriority w:val="59"/>
    <w:rsid w:val="00A43AAD"/>
    <w:pPr>
      <w:spacing w:after="120" w:line="360" w:lineRule="auto"/>
      <w:ind w:right="57"/>
    </w:pPr>
    <w:rPr>
      <w:rFonts w:ascii="Arial" w:hAnsi="Arial"/>
      <w:sz w:val="20"/>
      <w:szCs w:val="20"/>
    </w:rPr>
    <w:tblPr>
      <w:tblInd w:w="0" w:type="nil"/>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paragraph" w:customStyle="1" w:styleId="Source">
    <w:name w:val="Source"/>
    <w:basedOn w:val="Normal"/>
    <w:uiPriority w:val="35"/>
    <w:qFormat/>
    <w:rsid w:val="00C36A0C"/>
    <w:pPr>
      <w:tabs>
        <w:tab w:val="left" w:pos="284"/>
      </w:tabs>
      <w:spacing w:before="60" w:after="240" w:line="360" w:lineRule="auto"/>
      <w:contextualSpacing/>
      <w:jc w:val="left"/>
    </w:pPr>
    <w:rPr>
      <w:rFonts w:ascii="Arial" w:hAnsi="Arial"/>
      <w:sz w:val="18"/>
      <w:szCs w:val="20"/>
    </w:rPr>
  </w:style>
  <w:style w:type="table" w:customStyle="1" w:styleId="ExecSummTable">
    <w:name w:val="Exec Summ Table"/>
    <w:basedOn w:val="TableNormal"/>
    <w:uiPriority w:val="99"/>
    <w:rsid w:val="00E078D3"/>
    <w:pPr>
      <w:spacing w:after="80" w:line="360" w:lineRule="auto"/>
      <w:ind w:left="57" w:right="57"/>
    </w:pPr>
    <w:rPr>
      <w:rFonts w:ascii="Arial" w:hAnsi="Arial"/>
      <w:sz w:val="18"/>
      <w:szCs w:val="20"/>
      <w:lang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paragraph" w:customStyle="1" w:styleId="TableBodyCentered-H52">
    <w:name w:val="Table Body Centered - H52"/>
    <w:basedOn w:val="Normal"/>
    <w:qFormat/>
    <w:rsid w:val="00AE2BDD"/>
    <w:pPr>
      <w:keepLines/>
      <w:widowControl w:val="0"/>
      <w:spacing w:before="40" w:after="40"/>
      <w:jc w:val="center"/>
    </w:pPr>
    <w:rPr>
      <w:rFonts w:ascii="Calibri" w:eastAsia="Times New Roman" w:hAnsi="Calibri" w:cs="Times New Roman"/>
      <w:color w:val="000000" w:themeColor="text1"/>
      <w:sz w:val="18"/>
      <w:szCs w:val="20"/>
      <w:lang w:val="en-US"/>
    </w:rPr>
  </w:style>
  <w:style w:type="paragraph" w:customStyle="1" w:styleId="Default">
    <w:name w:val="Default"/>
    <w:rsid w:val="008846A2"/>
    <w:pPr>
      <w:autoSpaceDE w:val="0"/>
      <w:autoSpaceDN w:val="0"/>
      <w:adjustRightInd w:val="0"/>
      <w:spacing w:after="0" w:line="240" w:lineRule="auto"/>
    </w:pPr>
    <w:rPr>
      <w:rFonts w:ascii="Arial" w:hAnsi="Arial" w:cs="Arial"/>
      <w:color w:val="000000"/>
      <w:sz w:val="24"/>
      <w:szCs w:val="24"/>
    </w:rPr>
  </w:style>
  <w:style w:type="paragraph" w:customStyle="1" w:styleId="Tabletext0">
    <w:name w:val="Table text"/>
    <w:basedOn w:val="Normal"/>
    <w:link w:val="TabletextChar0"/>
    <w:qFormat/>
    <w:rsid w:val="00EA6490"/>
    <w:pPr>
      <w:spacing w:before="0" w:after="0"/>
      <w:jc w:val="left"/>
    </w:pPr>
    <w:rPr>
      <w:rFonts w:ascii="Arial Narrow" w:eastAsia="Times New Roman" w:hAnsi="Arial Narrow" w:cs="Times New Roman"/>
      <w:sz w:val="20"/>
    </w:rPr>
  </w:style>
  <w:style w:type="character" w:customStyle="1" w:styleId="TabletextChar0">
    <w:name w:val="Table text Char"/>
    <w:link w:val="Tabletext0"/>
    <w:rsid w:val="00EA6490"/>
    <w:rPr>
      <w:rFonts w:ascii="Arial Narrow" w:eastAsia="Times New Roman" w:hAnsi="Arial Narrow" w:cs="Times New Roman"/>
      <w:sz w:val="20"/>
    </w:rPr>
  </w:style>
  <w:style w:type="paragraph" w:customStyle="1" w:styleId="2-SectionHeading">
    <w:name w:val="2-Section Heading"/>
    <w:qFormat/>
    <w:rsid w:val="009627F2"/>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9627F2"/>
    <w:pPr>
      <w:numPr>
        <w:ilvl w:val="0"/>
        <w:numId w:val="0"/>
      </w:numPr>
      <w:spacing w:before="0" w:after="120"/>
      <w:ind w:left="720" w:hanging="720"/>
    </w:pPr>
    <w:rPr>
      <w:rFonts w:eastAsia="Times New Roman" w:cs="Arial"/>
      <w:snapToGrid w:val="0"/>
      <w:color w:val="auto"/>
      <w:szCs w:val="24"/>
      <w:lang w:eastAsia="en-AU"/>
    </w:rPr>
  </w:style>
  <w:style w:type="paragraph" w:customStyle="1" w:styleId="5-SubsectionSubheading">
    <w:name w:val="5-Subsection Subheading"/>
    <w:basedOn w:val="Heading3"/>
    <w:next w:val="3-BodyText"/>
    <w:link w:val="5-SubsectionSubheadingChar"/>
    <w:qFormat/>
    <w:rsid w:val="006750A3"/>
    <w:pPr>
      <w:numPr>
        <w:ilvl w:val="0"/>
        <w:numId w:val="0"/>
      </w:numPr>
      <w:spacing w:before="160"/>
    </w:pPr>
    <w:rPr>
      <w:color w:val="000000" w:themeColor="text1"/>
      <w:sz w:val="24"/>
      <w:szCs w:val="24"/>
      <w:lang w:eastAsia="en-AU"/>
    </w:rPr>
  </w:style>
  <w:style w:type="character" w:customStyle="1" w:styleId="5-SubsectionSubheadingChar">
    <w:name w:val="5-Subsection Subheading Char"/>
    <w:basedOn w:val="DefaultParagraphFont"/>
    <w:link w:val="5-SubsectionSubheading"/>
    <w:rsid w:val="006750A3"/>
    <w:rPr>
      <w:rFonts w:eastAsiaTheme="majorEastAsia" w:cstheme="majorBidi"/>
      <w:b/>
      <w:color w:val="000000" w:themeColor="text1"/>
      <w:sz w:val="24"/>
      <w:szCs w:val="24"/>
      <w:lang w:eastAsia="en-AU"/>
    </w:rPr>
  </w:style>
  <w:style w:type="character" w:customStyle="1" w:styleId="3-BodyTextChar">
    <w:name w:val="3-Body Text Char"/>
    <w:basedOn w:val="DefaultParagraphFont"/>
    <w:link w:val="3-BodyText"/>
    <w:rsid w:val="00A7544B"/>
    <w:rPr>
      <w:rFonts w:eastAsia="Times New Roman" w:cs="Arial"/>
      <w:snapToGrid w:val="0"/>
      <w:sz w:val="24"/>
      <w:szCs w:val="24"/>
      <w:lang w:eastAsia="en-AU"/>
    </w:rPr>
  </w:style>
  <w:style w:type="paragraph" w:styleId="BodyText">
    <w:name w:val="Body Text"/>
    <w:basedOn w:val="Normal"/>
    <w:link w:val="BodyTextChar"/>
    <w:qFormat/>
    <w:rsid w:val="00A7544B"/>
    <w:pPr>
      <w:spacing w:before="0" w:after="0"/>
      <w:jc w:val="left"/>
    </w:pPr>
    <w:rPr>
      <w:rFonts w:ascii="Calibri" w:eastAsia="Times New Roman" w:hAnsi="Calibri" w:cs="Times New Roman"/>
      <w:szCs w:val="24"/>
      <w:lang w:eastAsia="en-GB"/>
    </w:rPr>
  </w:style>
  <w:style w:type="character" w:customStyle="1" w:styleId="BodyTextChar">
    <w:name w:val="Body Text Char"/>
    <w:basedOn w:val="DefaultParagraphFont"/>
    <w:link w:val="BodyText"/>
    <w:rsid w:val="00A7544B"/>
    <w:rPr>
      <w:rFonts w:ascii="Calibri" w:eastAsia="Times New Roman" w:hAnsi="Calibri" w:cs="Times New Roman"/>
      <w:sz w:val="24"/>
      <w:szCs w:val="24"/>
      <w:lang w:eastAsia="en-GB"/>
    </w:rPr>
  </w:style>
  <w:style w:type="paragraph" w:styleId="HTMLPreformatted">
    <w:name w:val="HTML Preformatted"/>
    <w:basedOn w:val="Normal"/>
    <w:link w:val="HTMLPreformattedChar"/>
    <w:uiPriority w:val="99"/>
    <w:unhideWhenUsed/>
    <w:rsid w:val="00B75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w:hAnsi="Arial" w:cs="Arial"/>
      <w:sz w:val="22"/>
      <w:lang w:eastAsia="en-AU"/>
    </w:rPr>
  </w:style>
  <w:style w:type="character" w:customStyle="1" w:styleId="HTMLPreformattedChar">
    <w:name w:val="HTML Preformatted Char"/>
    <w:basedOn w:val="DefaultParagraphFont"/>
    <w:link w:val="HTMLPreformatted"/>
    <w:uiPriority w:val="99"/>
    <w:rsid w:val="00B75F96"/>
    <w:rPr>
      <w:rFonts w:ascii="Arial" w:hAnsi="Arial" w:cs="Arial"/>
      <w:lang w:eastAsia="en-AU"/>
    </w:rPr>
  </w:style>
  <w:style w:type="paragraph" w:styleId="Subtitle">
    <w:name w:val="Subtitle"/>
    <w:basedOn w:val="Normal"/>
    <w:link w:val="SubtitleChar"/>
    <w:qFormat/>
    <w:rsid w:val="00850869"/>
    <w:pPr>
      <w:spacing w:before="0" w:after="0"/>
    </w:pPr>
    <w:rPr>
      <w:rFonts w:ascii="Times New Roman" w:eastAsia="Times New Roman" w:hAnsi="Times New Roman" w:cs="Times New Roman"/>
      <w:b/>
      <w:szCs w:val="20"/>
      <w:lang w:eastAsia="en-AU"/>
    </w:rPr>
  </w:style>
  <w:style w:type="character" w:customStyle="1" w:styleId="SubtitleChar">
    <w:name w:val="Subtitle Char"/>
    <w:basedOn w:val="DefaultParagraphFont"/>
    <w:link w:val="Subtitle"/>
    <w:rsid w:val="00850869"/>
    <w:rPr>
      <w:rFonts w:ascii="Times New Roman" w:eastAsia="Times New Roman" w:hAnsi="Times New Roman" w:cs="Times New Roman"/>
      <w:b/>
      <w:sz w:val="24"/>
      <w:szCs w:val="20"/>
      <w:lang w:eastAsia="en-AU"/>
    </w:rPr>
  </w:style>
  <w:style w:type="paragraph" w:customStyle="1" w:styleId="Bulletpoints">
    <w:name w:val="Bullet points"/>
    <w:basedOn w:val="Normal"/>
    <w:qFormat/>
    <w:rsid w:val="00907988"/>
    <w:pPr>
      <w:numPr>
        <w:numId w:val="33"/>
      </w:numPr>
      <w:spacing w:before="0" w:after="120"/>
      <w:contextualSpacing/>
    </w:pPr>
    <w:rPr>
      <w:rFonts w:eastAsia="Times New Roman" w:cs="Arial"/>
      <w:snapToGrid w:val="0"/>
      <w:szCs w:val="24"/>
      <w:lang w:eastAsia="en-AU"/>
    </w:rPr>
  </w:style>
  <w:style w:type="numbering" w:customStyle="1" w:styleId="NoList1">
    <w:name w:val="No List1"/>
    <w:next w:val="NoList"/>
    <w:uiPriority w:val="99"/>
    <w:semiHidden/>
    <w:unhideWhenUsed/>
    <w:rsid w:val="00AE5C58"/>
  </w:style>
  <w:style w:type="paragraph" w:customStyle="1" w:styleId="Table">
    <w:name w:val="Table"/>
    <w:basedOn w:val="Normal"/>
    <w:link w:val="TableChar"/>
    <w:qFormat/>
    <w:rsid w:val="00AE5C58"/>
    <w:pPr>
      <w:spacing w:before="0" w:after="0"/>
      <w:jc w:val="left"/>
    </w:pPr>
    <w:rPr>
      <w:rFonts w:ascii="Candara" w:eastAsia="Times New Roman" w:hAnsi="Candara" w:cs="Times New Roman"/>
      <w:sz w:val="20"/>
      <w:lang w:bidi="en-US"/>
    </w:rPr>
  </w:style>
  <w:style w:type="character" w:customStyle="1" w:styleId="TableChar">
    <w:name w:val="Table Char"/>
    <w:basedOn w:val="DefaultParagraphFont"/>
    <w:link w:val="Table"/>
    <w:locked/>
    <w:rsid w:val="00AE5C58"/>
    <w:rPr>
      <w:rFonts w:ascii="Candara" w:eastAsia="Times New Roman" w:hAnsi="Candara" w:cs="Times New Roman"/>
      <w:sz w:val="20"/>
      <w:lang w:bidi="en-US"/>
    </w:rPr>
  </w:style>
  <w:style w:type="paragraph" w:customStyle="1" w:styleId="TableCentre">
    <w:name w:val="Table Centre"/>
    <w:basedOn w:val="Table"/>
    <w:uiPriority w:val="99"/>
    <w:qFormat/>
    <w:rsid w:val="00AE5C58"/>
    <w:pPr>
      <w:jc w:val="center"/>
    </w:pPr>
  </w:style>
  <w:style w:type="table" w:customStyle="1" w:styleId="PBACtable1">
    <w:name w:val="PBAC table1"/>
    <w:basedOn w:val="TableNormal"/>
    <w:next w:val="TableGrid"/>
    <w:uiPriority w:val="39"/>
    <w:rsid w:val="00AE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link w:val="TabletextboldChar"/>
    <w:rsid w:val="00AE5C58"/>
    <w:pPr>
      <w:keepNext/>
      <w:spacing w:before="0" w:after="0"/>
      <w:jc w:val="center"/>
    </w:pPr>
    <w:rPr>
      <w:rFonts w:ascii="Arial Narrow" w:eastAsia="Times New Roman" w:hAnsi="Arial Narrow" w:cs="Arial"/>
      <w:b/>
      <w:sz w:val="20"/>
      <w:szCs w:val="20"/>
    </w:rPr>
  </w:style>
  <w:style w:type="character" w:customStyle="1" w:styleId="TabletextboldChar">
    <w:name w:val="Table text bold Char"/>
    <w:basedOn w:val="DefaultParagraphFont"/>
    <w:link w:val="Tabletextbold"/>
    <w:rsid w:val="00AE5C58"/>
    <w:rPr>
      <w:rFonts w:ascii="Arial Narrow" w:eastAsia="Times New Roman" w:hAnsi="Arial Narrow" w:cs="Arial"/>
      <w:b/>
      <w:sz w:val="20"/>
      <w:szCs w:val="20"/>
    </w:rPr>
  </w:style>
  <w:style w:type="character" w:customStyle="1" w:styleId="ESHeading2Char">
    <w:name w:val="ES Heading 2 Char"/>
    <w:basedOn w:val="Heading2Char"/>
    <w:link w:val="ESHeading2"/>
    <w:rsid w:val="00AE5C58"/>
    <w:rPr>
      <w:rFonts w:asciiTheme="majorHAnsi" w:eastAsiaTheme="majorEastAsia" w:hAnsiTheme="majorHAnsi" w:cstheme="majorBidi"/>
      <w:b/>
      <w:i/>
      <w:snapToGrid w:val="0"/>
      <w:sz w:val="28"/>
      <w:szCs w:val="28"/>
    </w:rPr>
  </w:style>
  <w:style w:type="table" w:customStyle="1" w:styleId="Submissiontemplate2">
    <w:name w:val="Submission template2"/>
    <w:basedOn w:val="TableNormal"/>
    <w:uiPriority w:val="99"/>
    <w:rsid w:val="00AE5C58"/>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textboldleft">
    <w:name w:val="Table text bold left"/>
    <w:basedOn w:val="Tabletextbold"/>
    <w:link w:val="TabletextboldleftChar"/>
    <w:qFormat/>
    <w:rsid w:val="00AE5C58"/>
    <w:pPr>
      <w:jc w:val="left"/>
    </w:pPr>
  </w:style>
  <w:style w:type="character" w:customStyle="1" w:styleId="TabletextboldleftChar">
    <w:name w:val="Table text bold left Char"/>
    <w:basedOn w:val="TabletextboldChar"/>
    <w:link w:val="Tabletextboldleft"/>
    <w:rsid w:val="00AE5C58"/>
    <w:rPr>
      <w:rFonts w:ascii="Arial Narrow" w:eastAsia="Times New Roman" w:hAnsi="Arial Narrow" w:cs="Arial"/>
      <w:b/>
      <w:sz w:val="20"/>
      <w:szCs w:val="20"/>
    </w:rPr>
  </w:style>
  <w:style w:type="table" w:customStyle="1" w:styleId="Submissiontemplate7">
    <w:name w:val="Submission template7"/>
    <w:basedOn w:val="TableNormal"/>
    <w:uiPriority w:val="99"/>
    <w:rsid w:val="00AE5C58"/>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caption">
    <w:name w:val="Table caption"/>
    <w:basedOn w:val="Normal"/>
    <w:link w:val="TablecaptionChar"/>
    <w:qFormat/>
    <w:rsid w:val="00AE5C58"/>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AE5C58"/>
    <w:rPr>
      <w:rFonts w:ascii="Arial Narrow" w:eastAsia="Times New Roman" w:hAnsi="Arial Narrow" w:cs="Arial"/>
      <w:sz w:val="20"/>
      <w:szCs w:val="20"/>
    </w:rPr>
  </w:style>
  <w:style w:type="paragraph" w:customStyle="1" w:styleId="Tabletextcentred">
    <w:name w:val="Table text centred"/>
    <w:basedOn w:val="Tabletext0"/>
    <w:link w:val="TabletextcentredChar"/>
    <w:qFormat/>
    <w:rsid w:val="00AE5C58"/>
    <w:pPr>
      <w:spacing w:before="40" w:after="40"/>
      <w:jc w:val="center"/>
    </w:pPr>
    <w:rPr>
      <w:szCs w:val="24"/>
    </w:rPr>
  </w:style>
  <w:style w:type="character" w:customStyle="1" w:styleId="TabletextcentredChar">
    <w:name w:val="Table text centred Char"/>
    <w:basedOn w:val="TabletextChar0"/>
    <w:link w:val="Tabletextcentred"/>
    <w:rsid w:val="00AE5C58"/>
    <w:rPr>
      <w:rFonts w:ascii="Arial Narrow" w:eastAsia="Times New Roman" w:hAnsi="Arial Narrow" w:cs="Times New Roman"/>
      <w:sz w:val="20"/>
      <w:szCs w:val="24"/>
    </w:rPr>
  </w:style>
  <w:style w:type="character" w:customStyle="1" w:styleId="TableBold">
    <w:name w:val="Table Bold"/>
    <w:uiPriority w:val="4"/>
    <w:qFormat/>
    <w:rsid w:val="00AE5C58"/>
    <w:rPr>
      <w:rFonts w:ascii="Calibri" w:hAnsi="Calibri" w:hint="default"/>
      <w:b/>
      <w:bCs w:val="0"/>
      <w:sz w:val="20"/>
      <w:lang w:val="en-AU"/>
    </w:rPr>
  </w:style>
  <w:style w:type="table" w:customStyle="1" w:styleId="TableGrid12">
    <w:name w:val="Table Grid12"/>
    <w:basedOn w:val="TableNormal"/>
    <w:next w:val="TableGrid"/>
    <w:uiPriority w:val="59"/>
    <w:rsid w:val="00AE5C58"/>
    <w:pPr>
      <w:spacing w:after="0" w:line="240" w:lineRule="auto"/>
    </w:pPr>
    <w:rPr>
      <w:rFonts w:ascii="Candara" w:eastAsia="Times New Roman" w:hAnsi="Candara" w:cs="Times New Roman"/>
      <w:sz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tyle2Char">
    <w:name w:val="Style2 Char"/>
    <w:basedOn w:val="DefaultParagraphFont"/>
    <w:rsid w:val="00AE5C58"/>
    <w:rPr>
      <w:rFonts w:ascii="Arial" w:eastAsia="Times New Roman" w:hAnsi="Arial" w:cs="Arial"/>
      <w:color w:val="3366FF"/>
      <w:szCs w:val="24"/>
      <w:lang w:eastAsia="en-AU"/>
    </w:rPr>
  </w:style>
  <w:style w:type="paragraph" w:customStyle="1" w:styleId="NormalBulletList">
    <w:name w:val="Normal Bullet List"/>
    <w:basedOn w:val="Normal"/>
    <w:uiPriority w:val="3"/>
    <w:qFormat/>
    <w:rsid w:val="00AE5C58"/>
    <w:pPr>
      <w:numPr>
        <w:numId w:val="34"/>
      </w:numPr>
      <w:spacing w:before="0" w:after="240" w:line="276" w:lineRule="auto"/>
      <w:ind w:left="717"/>
      <w:contextualSpacing/>
    </w:pPr>
    <w:rPr>
      <w:rFonts w:ascii="Candara" w:eastAsia="Times New Roman" w:hAnsi="Candara" w:cs="Times New Roman"/>
      <w:lang w:bidi="en-US"/>
    </w:rPr>
  </w:style>
  <w:style w:type="paragraph" w:styleId="EndnoteText">
    <w:name w:val="endnote text"/>
    <w:basedOn w:val="Normal"/>
    <w:link w:val="EndnoteTextChar"/>
    <w:rsid w:val="00AE5C58"/>
    <w:pPr>
      <w:widowControl w:val="0"/>
      <w:spacing w:before="0" w:after="0"/>
      <w:jc w:val="left"/>
    </w:pPr>
    <w:rPr>
      <w:rFonts w:ascii="Times New Roman" w:eastAsia="Times New Roman" w:hAnsi="Times New Roman" w:cs="Times New Roman"/>
      <w:snapToGrid w:val="0"/>
      <w:sz w:val="20"/>
      <w:szCs w:val="20"/>
      <w:lang w:val="en-US"/>
    </w:rPr>
  </w:style>
  <w:style w:type="character" w:customStyle="1" w:styleId="EndnoteTextChar">
    <w:name w:val="Endnote Text Char"/>
    <w:basedOn w:val="DefaultParagraphFont"/>
    <w:link w:val="EndnoteText"/>
    <w:rsid w:val="00AE5C58"/>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rsid w:val="00AE5C58"/>
    <w:rPr>
      <w:vertAlign w:val="superscript"/>
    </w:rPr>
  </w:style>
  <w:style w:type="character" w:customStyle="1" w:styleId="SmallBold">
    <w:name w:val="Small Bold"/>
    <w:basedOn w:val="DefaultParagraphFont"/>
    <w:uiPriority w:val="4"/>
    <w:qFormat/>
    <w:rsid w:val="00AE5C58"/>
    <w:rPr>
      <w:rFonts w:ascii="Candara" w:hAnsi="Candara"/>
      <w:b/>
      <w:sz w:val="20"/>
      <w:lang w:val="en-AU"/>
    </w:rPr>
  </w:style>
  <w:style w:type="table" w:customStyle="1" w:styleId="Submissiontemplate">
    <w:name w:val="Submission template"/>
    <w:basedOn w:val="TableNormal"/>
    <w:uiPriority w:val="99"/>
    <w:rsid w:val="00AE5C58"/>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Heading">
    <w:name w:val="TableHeading"/>
    <w:basedOn w:val="Normal"/>
    <w:link w:val="TableHeadingChar"/>
    <w:qFormat/>
    <w:rsid w:val="00AE5C58"/>
    <w:pPr>
      <w:keepNext/>
      <w:spacing w:before="40" w:after="40"/>
      <w:ind w:left="1134" w:hanging="1134"/>
    </w:pPr>
    <w:rPr>
      <w:rFonts w:ascii="Arial Narrow" w:eastAsia="Times New Roman" w:hAnsi="Arial Narrow" w:cs="Tahoma"/>
      <w:b/>
      <w:noProof/>
      <w:sz w:val="20"/>
      <w:szCs w:val="20"/>
      <w:lang w:eastAsia="en-AU"/>
    </w:rPr>
  </w:style>
  <w:style w:type="character" w:customStyle="1" w:styleId="TableHeadingChar">
    <w:name w:val="TableHeading Char"/>
    <w:link w:val="TableHeading"/>
    <w:rsid w:val="00AE5C58"/>
    <w:rPr>
      <w:rFonts w:ascii="Arial Narrow" w:eastAsia="Times New Roman" w:hAnsi="Arial Narrow" w:cs="Tahoma"/>
      <w:b/>
      <w:noProof/>
      <w:sz w:val="20"/>
      <w:szCs w:val="20"/>
      <w:lang w:eastAsia="en-AU"/>
    </w:rPr>
  </w:style>
  <w:style w:type="paragraph" w:customStyle="1" w:styleId="Tablenotes">
    <w:name w:val="Tablenotes"/>
    <w:basedOn w:val="Normal"/>
    <w:link w:val="TablenotesChar"/>
    <w:autoRedefine/>
    <w:qFormat/>
    <w:rsid w:val="00AE5C58"/>
    <w:pPr>
      <w:widowControl w:val="0"/>
      <w:spacing w:before="60" w:after="120"/>
      <w:contextualSpacing/>
      <w:jc w:val="left"/>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AE5C58"/>
    <w:rPr>
      <w:rFonts w:ascii="Arial Narrow" w:eastAsia="Times New Roman" w:hAnsi="Arial Narrow" w:cs="Arial"/>
      <w:snapToGrid w:val="0"/>
      <w:sz w:val="18"/>
      <w:szCs w:val="20"/>
    </w:rPr>
  </w:style>
  <w:style w:type="table" w:customStyle="1" w:styleId="TableGrid2">
    <w:name w:val="Table Grid2"/>
    <w:basedOn w:val="TableNormal"/>
    <w:next w:val="TableGrid"/>
    <w:rsid w:val="00AE5C58"/>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umanist 77 7 BT" w:hAnsi="Humanist 77 7 BT"/>
        <w:b w:val="0"/>
        <w:sz w:val="20"/>
      </w:rPr>
    </w:tblStylePr>
  </w:style>
  <w:style w:type="paragraph" w:customStyle="1" w:styleId="Tablenotes1">
    <w:name w:val="Tablenotes 1"/>
    <w:basedOn w:val="Normal"/>
    <w:link w:val="Tablenotes1Char"/>
    <w:qFormat/>
    <w:rsid w:val="00AE5C58"/>
    <w:pPr>
      <w:widowControl w:val="0"/>
      <w:spacing w:before="0" w:after="240"/>
      <w:contextualSpacing/>
      <w:jc w:val="left"/>
    </w:pPr>
    <w:rPr>
      <w:rFonts w:ascii="Arial Narrow" w:eastAsia="Times New Roman" w:hAnsi="Arial Narrow" w:cs="Arial"/>
      <w:snapToGrid w:val="0"/>
      <w:sz w:val="18"/>
      <w:szCs w:val="20"/>
    </w:rPr>
  </w:style>
  <w:style w:type="character" w:customStyle="1" w:styleId="Tablenotes1Char">
    <w:name w:val="Tablenotes 1 Char"/>
    <w:basedOn w:val="DefaultParagraphFont"/>
    <w:link w:val="Tablenotes1"/>
    <w:rsid w:val="00AE5C58"/>
    <w:rPr>
      <w:rFonts w:ascii="Arial Narrow" w:eastAsia="Times New Roman" w:hAnsi="Arial Narrow" w:cs="Arial"/>
      <w:snapToGrid w:val="0"/>
      <w:sz w:val="18"/>
      <w:szCs w:val="20"/>
    </w:rPr>
  </w:style>
  <w:style w:type="numbering" w:customStyle="1" w:styleId="Heading1a">
    <w:name w:val="Heading 1a"/>
    <w:basedOn w:val="NoList"/>
    <w:uiPriority w:val="99"/>
    <w:rsid w:val="00AE5C58"/>
    <w:pPr>
      <w:numPr>
        <w:numId w:val="35"/>
      </w:numPr>
    </w:pPr>
  </w:style>
  <w:style w:type="paragraph" w:customStyle="1" w:styleId="Tabletext-left">
    <w:name w:val="Table text - left"/>
    <w:basedOn w:val="Normal"/>
    <w:link w:val="Tabletext-leftChar"/>
    <w:rsid w:val="00AE5C58"/>
    <w:pPr>
      <w:keepNext/>
      <w:tabs>
        <w:tab w:val="left" w:pos="2835"/>
      </w:tabs>
      <w:spacing w:after="120" w:line="312" w:lineRule="auto"/>
    </w:pPr>
    <w:rPr>
      <w:rFonts w:eastAsia="Times New Roman" w:cs="Arial"/>
      <w:sz w:val="20"/>
      <w:szCs w:val="20"/>
    </w:rPr>
  </w:style>
  <w:style w:type="character" w:customStyle="1" w:styleId="Tabletext-leftChar">
    <w:name w:val="Table text - left Char"/>
    <w:basedOn w:val="DefaultParagraphFont"/>
    <w:link w:val="Tabletext-left"/>
    <w:rsid w:val="00AE5C58"/>
    <w:rPr>
      <w:rFonts w:eastAsia="Times New Roman" w:cs="Arial"/>
      <w:sz w:val="20"/>
      <w:szCs w:val="20"/>
    </w:rPr>
  </w:style>
  <w:style w:type="table" w:customStyle="1" w:styleId="TableGrid9">
    <w:name w:val="Table Grid9"/>
    <w:basedOn w:val="TableNormal"/>
    <w:next w:val="TableGrid"/>
    <w:uiPriority w:val="39"/>
    <w:rsid w:val="00AE5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
    <w:name w:val="ASD Table1"/>
    <w:basedOn w:val="TableNormal"/>
    <w:next w:val="TableGrid"/>
    <w:uiPriority w:val="39"/>
    <w:rsid w:val="00AE5C58"/>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11">
    <w:name w:val="PBAC table11"/>
    <w:basedOn w:val="TableNormal"/>
    <w:next w:val="TableGrid"/>
    <w:uiPriority w:val="39"/>
    <w:rsid w:val="00AE5C58"/>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2">
    <w:name w:val="PBAC table2"/>
    <w:basedOn w:val="TableNormal"/>
    <w:next w:val="TableGrid"/>
    <w:uiPriority w:val="39"/>
    <w:rsid w:val="00AE5C58"/>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3">
    <w:name w:val="PBAC table3"/>
    <w:basedOn w:val="TableNormal"/>
    <w:next w:val="TableGrid"/>
    <w:uiPriority w:val="39"/>
    <w:rsid w:val="00AE5C58"/>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4">
    <w:name w:val="PBAC table4"/>
    <w:basedOn w:val="TableNormal"/>
    <w:next w:val="TableGrid"/>
    <w:uiPriority w:val="39"/>
    <w:rsid w:val="00AE5C58"/>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PBACHeading1">
    <w:name w:val="PBAC Heading 1"/>
    <w:qFormat/>
    <w:rsid w:val="00364B9D"/>
    <w:pPr>
      <w:spacing w:after="0" w:line="240" w:lineRule="auto"/>
      <w:ind w:left="720" w:hanging="720"/>
    </w:pPr>
    <w:rPr>
      <w:rFonts w:ascii="Arial" w:eastAsia="Times New Roman" w:hAnsi="Arial" w:cs="Arial"/>
      <w:b/>
      <w:snapToGrid w:val="0"/>
    </w:rPr>
  </w:style>
  <w:style w:type="paragraph" w:customStyle="1" w:styleId="ExecSumBodyText">
    <w:name w:val="Exec Sum Body Text"/>
    <w:basedOn w:val="Normal"/>
    <w:link w:val="ExecSumBodyTextChar"/>
    <w:qFormat/>
    <w:rsid w:val="00266D24"/>
    <w:pPr>
      <w:spacing w:before="0" w:after="120"/>
      <w:ind w:left="720" w:hanging="720"/>
    </w:pPr>
    <w:rPr>
      <w:rFonts w:eastAsia="Times New Roman" w:cs="Arial"/>
      <w:snapToGrid w:val="0"/>
      <w:szCs w:val="24"/>
      <w:lang w:eastAsia="en-AU"/>
    </w:rPr>
  </w:style>
  <w:style w:type="paragraph" w:customStyle="1" w:styleId="3Bodytext">
    <w:name w:val="3. Body text"/>
    <w:basedOn w:val="ListParagraph"/>
    <w:link w:val="3BodytextChar"/>
    <w:qFormat/>
    <w:rsid w:val="00F857E5"/>
    <w:pPr>
      <w:numPr>
        <w:ilvl w:val="0"/>
        <w:numId w:val="0"/>
      </w:numPr>
      <w:spacing w:before="0" w:after="120"/>
      <w:ind w:left="720" w:hanging="720"/>
    </w:pPr>
    <w:rPr>
      <w:color w:val="auto"/>
    </w:rPr>
  </w:style>
  <w:style w:type="character" w:customStyle="1" w:styleId="3BodytextChar">
    <w:name w:val="3. Body text Char"/>
    <w:basedOn w:val="DefaultParagraphFont"/>
    <w:link w:val="3Bodytext"/>
    <w:rsid w:val="00F857E5"/>
    <w:rPr>
      <w:sz w:val="24"/>
    </w:rPr>
  </w:style>
  <w:style w:type="paragraph" w:customStyle="1" w:styleId="1MainTitle">
    <w:name w:val="1. Main Title"/>
    <w:basedOn w:val="Title"/>
    <w:link w:val="1MainTitleChar"/>
    <w:qFormat/>
    <w:rsid w:val="00CA41B6"/>
    <w:pPr>
      <w:spacing w:before="120" w:after="160"/>
      <w:ind w:left="720" w:hanging="720"/>
      <w:outlineLvl w:val="0"/>
    </w:pPr>
    <w:rPr>
      <w:b/>
      <w:spacing w:val="5"/>
      <w:sz w:val="36"/>
      <w:szCs w:val="36"/>
      <w:lang w:eastAsia="en-AU"/>
    </w:rPr>
  </w:style>
  <w:style w:type="character" w:customStyle="1" w:styleId="1MainTitleChar">
    <w:name w:val="1. Main Title Char"/>
    <w:basedOn w:val="TitleChar"/>
    <w:link w:val="1MainTitle"/>
    <w:rsid w:val="00CA41B6"/>
    <w:rPr>
      <w:rFonts w:asciiTheme="majorHAnsi" w:eastAsiaTheme="majorEastAsia" w:hAnsiTheme="majorHAnsi" w:cstheme="majorBidi"/>
      <w:b/>
      <w:spacing w:val="5"/>
      <w:kern w:val="28"/>
      <w:sz w:val="36"/>
      <w:szCs w:val="36"/>
      <w:lang w:eastAsia="en-AU"/>
    </w:rPr>
  </w:style>
  <w:style w:type="paragraph" w:styleId="Title">
    <w:name w:val="Title"/>
    <w:basedOn w:val="Normal"/>
    <w:next w:val="Normal"/>
    <w:link w:val="TitleChar"/>
    <w:uiPriority w:val="10"/>
    <w:semiHidden/>
    <w:unhideWhenUsed/>
    <w:rsid w:val="00CA41B6"/>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CA41B6"/>
    <w:rPr>
      <w:rFonts w:asciiTheme="majorHAnsi" w:eastAsiaTheme="majorEastAsia" w:hAnsiTheme="majorHAnsi" w:cstheme="majorBidi"/>
      <w:spacing w:val="-10"/>
      <w:kern w:val="28"/>
      <w:sz w:val="56"/>
      <w:szCs w:val="56"/>
    </w:rPr>
  </w:style>
  <w:style w:type="character" w:customStyle="1" w:styleId="ExecSumBodyTextChar">
    <w:name w:val="Exec Sum Body Text Char"/>
    <w:basedOn w:val="DefaultParagraphFont"/>
    <w:link w:val="ExecSumBodyText"/>
    <w:rsid w:val="0099312E"/>
    <w:rPr>
      <w:rFonts w:eastAsia="Times New Roman" w:cs="Arial"/>
      <w:snapToGrid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52">
      <w:bodyDiv w:val="1"/>
      <w:marLeft w:val="0"/>
      <w:marRight w:val="0"/>
      <w:marTop w:val="0"/>
      <w:marBottom w:val="0"/>
      <w:divBdr>
        <w:top w:val="none" w:sz="0" w:space="0" w:color="auto"/>
        <w:left w:val="none" w:sz="0" w:space="0" w:color="auto"/>
        <w:bottom w:val="none" w:sz="0" w:space="0" w:color="auto"/>
        <w:right w:val="none" w:sz="0" w:space="0" w:color="auto"/>
      </w:divBdr>
    </w:div>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89936906">
      <w:bodyDiv w:val="1"/>
      <w:marLeft w:val="0"/>
      <w:marRight w:val="0"/>
      <w:marTop w:val="0"/>
      <w:marBottom w:val="0"/>
      <w:divBdr>
        <w:top w:val="none" w:sz="0" w:space="0" w:color="auto"/>
        <w:left w:val="none" w:sz="0" w:space="0" w:color="auto"/>
        <w:bottom w:val="none" w:sz="0" w:space="0" w:color="auto"/>
        <w:right w:val="none" w:sz="0" w:space="0" w:color="auto"/>
      </w:divBdr>
    </w:div>
    <w:div w:id="101807639">
      <w:bodyDiv w:val="1"/>
      <w:marLeft w:val="0"/>
      <w:marRight w:val="0"/>
      <w:marTop w:val="0"/>
      <w:marBottom w:val="0"/>
      <w:divBdr>
        <w:top w:val="none" w:sz="0" w:space="0" w:color="auto"/>
        <w:left w:val="none" w:sz="0" w:space="0" w:color="auto"/>
        <w:bottom w:val="none" w:sz="0" w:space="0" w:color="auto"/>
        <w:right w:val="none" w:sz="0" w:space="0" w:color="auto"/>
      </w:divBdr>
      <w:divsChild>
        <w:div w:id="1987002140">
          <w:marLeft w:val="360"/>
          <w:marRight w:val="0"/>
          <w:marTop w:val="200"/>
          <w:marBottom w:val="0"/>
          <w:divBdr>
            <w:top w:val="none" w:sz="0" w:space="0" w:color="auto"/>
            <w:left w:val="none" w:sz="0" w:space="0" w:color="auto"/>
            <w:bottom w:val="none" w:sz="0" w:space="0" w:color="auto"/>
            <w:right w:val="none" w:sz="0" w:space="0" w:color="auto"/>
          </w:divBdr>
        </w:div>
        <w:div w:id="206064515">
          <w:marLeft w:val="1080"/>
          <w:marRight w:val="0"/>
          <w:marTop w:val="100"/>
          <w:marBottom w:val="0"/>
          <w:divBdr>
            <w:top w:val="none" w:sz="0" w:space="0" w:color="auto"/>
            <w:left w:val="none" w:sz="0" w:space="0" w:color="auto"/>
            <w:bottom w:val="none" w:sz="0" w:space="0" w:color="auto"/>
            <w:right w:val="none" w:sz="0" w:space="0" w:color="auto"/>
          </w:divBdr>
        </w:div>
        <w:div w:id="1109011313">
          <w:marLeft w:val="1080"/>
          <w:marRight w:val="0"/>
          <w:marTop w:val="100"/>
          <w:marBottom w:val="0"/>
          <w:divBdr>
            <w:top w:val="none" w:sz="0" w:space="0" w:color="auto"/>
            <w:left w:val="none" w:sz="0" w:space="0" w:color="auto"/>
            <w:bottom w:val="none" w:sz="0" w:space="0" w:color="auto"/>
            <w:right w:val="none" w:sz="0" w:space="0" w:color="auto"/>
          </w:divBdr>
        </w:div>
        <w:div w:id="844441754">
          <w:marLeft w:val="1080"/>
          <w:marRight w:val="0"/>
          <w:marTop w:val="100"/>
          <w:marBottom w:val="0"/>
          <w:divBdr>
            <w:top w:val="none" w:sz="0" w:space="0" w:color="auto"/>
            <w:left w:val="none" w:sz="0" w:space="0" w:color="auto"/>
            <w:bottom w:val="none" w:sz="0" w:space="0" w:color="auto"/>
            <w:right w:val="none" w:sz="0" w:space="0" w:color="auto"/>
          </w:divBdr>
        </w:div>
        <w:div w:id="1061707786">
          <w:marLeft w:val="1080"/>
          <w:marRight w:val="0"/>
          <w:marTop w:val="100"/>
          <w:marBottom w:val="0"/>
          <w:divBdr>
            <w:top w:val="none" w:sz="0" w:space="0" w:color="auto"/>
            <w:left w:val="none" w:sz="0" w:space="0" w:color="auto"/>
            <w:bottom w:val="none" w:sz="0" w:space="0" w:color="auto"/>
            <w:right w:val="none" w:sz="0" w:space="0" w:color="auto"/>
          </w:divBdr>
        </w:div>
        <w:div w:id="1859343166">
          <w:marLeft w:val="1080"/>
          <w:marRight w:val="0"/>
          <w:marTop w:val="100"/>
          <w:marBottom w:val="0"/>
          <w:divBdr>
            <w:top w:val="none" w:sz="0" w:space="0" w:color="auto"/>
            <w:left w:val="none" w:sz="0" w:space="0" w:color="auto"/>
            <w:bottom w:val="none" w:sz="0" w:space="0" w:color="auto"/>
            <w:right w:val="none" w:sz="0" w:space="0" w:color="auto"/>
          </w:divBdr>
        </w:div>
      </w:divsChild>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71722246">
      <w:bodyDiv w:val="1"/>
      <w:marLeft w:val="0"/>
      <w:marRight w:val="0"/>
      <w:marTop w:val="0"/>
      <w:marBottom w:val="0"/>
      <w:divBdr>
        <w:top w:val="none" w:sz="0" w:space="0" w:color="auto"/>
        <w:left w:val="none" w:sz="0" w:space="0" w:color="auto"/>
        <w:bottom w:val="none" w:sz="0" w:space="0" w:color="auto"/>
        <w:right w:val="none" w:sz="0" w:space="0" w:color="auto"/>
      </w:divBdr>
      <w:divsChild>
        <w:div w:id="961884419">
          <w:marLeft w:val="360"/>
          <w:marRight w:val="0"/>
          <w:marTop w:val="200"/>
          <w:marBottom w:val="0"/>
          <w:divBdr>
            <w:top w:val="none" w:sz="0" w:space="0" w:color="auto"/>
            <w:left w:val="none" w:sz="0" w:space="0" w:color="auto"/>
            <w:bottom w:val="none" w:sz="0" w:space="0" w:color="auto"/>
            <w:right w:val="none" w:sz="0" w:space="0" w:color="auto"/>
          </w:divBdr>
        </w:div>
        <w:div w:id="255021289">
          <w:marLeft w:val="1080"/>
          <w:marRight w:val="0"/>
          <w:marTop w:val="100"/>
          <w:marBottom w:val="0"/>
          <w:divBdr>
            <w:top w:val="none" w:sz="0" w:space="0" w:color="auto"/>
            <w:left w:val="none" w:sz="0" w:space="0" w:color="auto"/>
            <w:bottom w:val="none" w:sz="0" w:space="0" w:color="auto"/>
            <w:right w:val="none" w:sz="0" w:space="0" w:color="auto"/>
          </w:divBdr>
        </w:div>
        <w:div w:id="1603341823">
          <w:marLeft w:val="1080"/>
          <w:marRight w:val="0"/>
          <w:marTop w:val="100"/>
          <w:marBottom w:val="0"/>
          <w:divBdr>
            <w:top w:val="none" w:sz="0" w:space="0" w:color="auto"/>
            <w:left w:val="none" w:sz="0" w:space="0" w:color="auto"/>
            <w:bottom w:val="none" w:sz="0" w:space="0" w:color="auto"/>
            <w:right w:val="none" w:sz="0" w:space="0" w:color="auto"/>
          </w:divBdr>
        </w:div>
      </w:divsChild>
    </w:div>
    <w:div w:id="172771670">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37327133">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28211729">
      <w:bodyDiv w:val="1"/>
      <w:marLeft w:val="0"/>
      <w:marRight w:val="0"/>
      <w:marTop w:val="0"/>
      <w:marBottom w:val="0"/>
      <w:divBdr>
        <w:top w:val="none" w:sz="0" w:space="0" w:color="auto"/>
        <w:left w:val="none" w:sz="0" w:space="0" w:color="auto"/>
        <w:bottom w:val="none" w:sz="0" w:space="0" w:color="auto"/>
        <w:right w:val="none" w:sz="0" w:space="0" w:color="auto"/>
      </w:divBdr>
    </w:div>
    <w:div w:id="355229623">
      <w:bodyDiv w:val="1"/>
      <w:marLeft w:val="0"/>
      <w:marRight w:val="0"/>
      <w:marTop w:val="0"/>
      <w:marBottom w:val="0"/>
      <w:divBdr>
        <w:top w:val="none" w:sz="0" w:space="0" w:color="auto"/>
        <w:left w:val="none" w:sz="0" w:space="0" w:color="auto"/>
        <w:bottom w:val="none" w:sz="0" w:space="0" w:color="auto"/>
        <w:right w:val="none" w:sz="0" w:space="0" w:color="auto"/>
      </w:divBdr>
      <w:divsChild>
        <w:div w:id="1412393333">
          <w:marLeft w:val="360"/>
          <w:marRight w:val="0"/>
          <w:marTop w:val="200"/>
          <w:marBottom w:val="0"/>
          <w:divBdr>
            <w:top w:val="none" w:sz="0" w:space="0" w:color="auto"/>
            <w:left w:val="none" w:sz="0" w:space="0" w:color="auto"/>
            <w:bottom w:val="none" w:sz="0" w:space="0" w:color="auto"/>
            <w:right w:val="none" w:sz="0" w:space="0" w:color="auto"/>
          </w:divBdr>
        </w:div>
        <w:div w:id="989094396">
          <w:marLeft w:val="1080"/>
          <w:marRight w:val="0"/>
          <w:marTop w:val="100"/>
          <w:marBottom w:val="0"/>
          <w:divBdr>
            <w:top w:val="none" w:sz="0" w:space="0" w:color="auto"/>
            <w:left w:val="none" w:sz="0" w:space="0" w:color="auto"/>
            <w:bottom w:val="none" w:sz="0" w:space="0" w:color="auto"/>
            <w:right w:val="none" w:sz="0" w:space="0" w:color="auto"/>
          </w:divBdr>
        </w:div>
      </w:divsChild>
    </w:div>
    <w:div w:id="382484628">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44538465">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571882">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2477">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29750701">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89839746">
      <w:bodyDiv w:val="1"/>
      <w:marLeft w:val="0"/>
      <w:marRight w:val="0"/>
      <w:marTop w:val="0"/>
      <w:marBottom w:val="0"/>
      <w:divBdr>
        <w:top w:val="none" w:sz="0" w:space="0" w:color="auto"/>
        <w:left w:val="none" w:sz="0" w:space="0" w:color="auto"/>
        <w:bottom w:val="none" w:sz="0" w:space="0" w:color="auto"/>
        <w:right w:val="none" w:sz="0" w:space="0" w:color="auto"/>
      </w:divBdr>
    </w:div>
    <w:div w:id="696850051">
      <w:bodyDiv w:val="1"/>
      <w:marLeft w:val="0"/>
      <w:marRight w:val="0"/>
      <w:marTop w:val="0"/>
      <w:marBottom w:val="0"/>
      <w:divBdr>
        <w:top w:val="none" w:sz="0" w:space="0" w:color="auto"/>
        <w:left w:val="none" w:sz="0" w:space="0" w:color="auto"/>
        <w:bottom w:val="none" w:sz="0" w:space="0" w:color="auto"/>
        <w:right w:val="none" w:sz="0" w:space="0" w:color="auto"/>
      </w:divBdr>
      <w:divsChild>
        <w:div w:id="1160846653">
          <w:marLeft w:val="446"/>
          <w:marRight w:val="0"/>
          <w:marTop w:val="0"/>
          <w:marBottom w:val="0"/>
          <w:divBdr>
            <w:top w:val="none" w:sz="0" w:space="0" w:color="auto"/>
            <w:left w:val="none" w:sz="0" w:space="0" w:color="auto"/>
            <w:bottom w:val="none" w:sz="0" w:space="0" w:color="auto"/>
            <w:right w:val="none" w:sz="0" w:space="0" w:color="auto"/>
          </w:divBdr>
        </w:div>
        <w:div w:id="1663461319">
          <w:marLeft w:val="446"/>
          <w:marRight w:val="0"/>
          <w:marTop w:val="0"/>
          <w:marBottom w:val="0"/>
          <w:divBdr>
            <w:top w:val="none" w:sz="0" w:space="0" w:color="auto"/>
            <w:left w:val="none" w:sz="0" w:space="0" w:color="auto"/>
            <w:bottom w:val="none" w:sz="0" w:space="0" w:color="auto"/>
            <w:right w:val="none" w:sz="0" w:space="0" w:color="auto"/>
          </w:divBdr>
        </w:div>
        <w:div w:id="986586859">
          <w:marLeft w:val="446"/>
          <w:marRight w:val="0"/>
          <w:marTop w:val="0"/>
          <w:marBottom w:val="0"/>
          <w:divBdr>
            <w:top w:val="none" w:sz="0" w:space="0" w:color="auto"/>
            <w:left w:val="none" w:sz="0" w:space="0" w:color="auto"/>
            <w:bottom w:val="none" w:sz="0" w:space="0" w:color="auto"/>
            <w:right w:val="none" w:sz="0" w:space="0" w:color="auto"/>
          </w:divBdr>
        </w:div>
        <w:div w:id="681779090">
          <w:marLeft w:val="446"/>
          <w:marRight w:val="0"/>
          <w:marTop w:val="0"/>
          <w:marBottom w:val="0"/>
          <w:divBdr>
            <w:top w:val="none" w:sz="0" w:space="0" w:color="auto"/>
            <w:left w:val="none" w:sz="0" w:space="0" w:color="auto"/>
            <w:bottom w:val="none" w:sz="0" w:space="0" w:color="auto"/>
            <w:right w:val="none" w:sz="0" w:space="0" w:color="auto"/>
          </w:divBdr>
        </w:div>
      </w:divsChild>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9518">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784273802">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13060426">
      <w:bodyDiv w:val="1"/>
      <w:marLeft w:val="0"/>
      <w:marRight w:val="0"/>
      <w:marTop w:val="0"/>
      <w:marBottom w:val="0"/>
      <w:divBdr>
        <w:top w:val="none" w:sz="0" w:space="0" w:color="auto"/>
        <w:left w:val="none" w:sz="0" w:space="0" w:color="auto"/>
        <w:bottom w:val="none" w:sz="0" w:space="0" w:color="auto"/>
        <w:right w:val="none" w:sz="0" w:space="0" w:color="auto"/>
      </w:divBdr>
    </w:div>
    <w:div w:id="841168045">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58592432">
      <w:bodyDiv w:val="1"/>
      <w:marLeft w:val="0"/>
      <w:marRight w:val="0"/>
      <w:marTop w:val="0"/>
      <w:marBottom w:val="0"/>
      <w:divBdr>
        <w:top w:val="none" w:sz="0" w:space="0" w:color="auto"/>
        <w:left w:val="none" w:sz="0" w:space="0" w:color="auto"/>
        <w:bottom w:val="none" w:sz="0" w:space="0" w:color="auto"/>
        <w:right w:val="none" w:sz="0" w:space="0" w:color="auto"/>
      </w:divBdr>
      <w:divsChild>
        <w:div w:id="115027929">
          <w:marLeft w:val="360"/>
          <w:marRight w:val="0"/>
          <w:marTop w:val="200"/>
          <w:marBottom w:val="0"/>
          <w:divBdr>
            <w:top w:val="none" w:sz="0" w:space="0" w:color="auto"/>
            <w:left w:val="none" w:sz="0" w:space="0" w:color="auto"/>
            <w:bottom w:val="none" w:sz="0" w:space="0" w:color="auto"/>
            <w:right w:val="none" w:sz="0" w:space="0" w:color="auto"/>
          </w:divBdr>
        </w:div>
      </w:divsChild>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27424580">
      <w:bodyDiv w:val="1"/>
      <w:marLeft w:val="0"/>
      <w:marRight w:val="0"/>
      <w:marTop w:val="0"/>
      <w:marBottom w:val="0"/>
      <w:divBdr>
        <w:top w:val="none" w:sz="0" w:space="0" w:color="auto"/>
        <w:left w:val="none" w:sz="0" w:space="0" w:color="auto"/>
        <w:bottom w:val="none" w:sz="0" w:space="0" w:color="auto"/>
        <w:right w:val="none" w:sz="0" w:space="0" w:color="auto"/>
      </w:divBdr>
      <w:divsChild>
        <w:div w:id="891889551">
          <w:marLeft w:val="360"/>
          <w:marRight w:val="0"/>
          <w:marTop w:val="200"/>
          <w:marBottom w:val="0"/>
          <w:divBdr>
            <w:top w:val="none" w:sz="0" w:space="0" w:color="auto"/>
            <w:left w:val="none" w:sz="0" w:space="0" w:color="auto"/>
            <w:bottom w:val="none" w:sz="0" w:space="0" w:color="auto"/>
            <w:right w:val="none" w:sz="0" w:space="0" w:color="auto"/>
          </w:divBdr>
        </w:div>
      </w:divsChild>
    </w:div>
    <w:div w:id="948389629">
      <w:bodyDiv w:val="1"/>
      <w:marLeft w:val="0"/>
      <w:marRight w:val="0"/>
      <w:marTop w:val="0"/>
      <w:marBottom w:val="0"/>
      <w:divBdr>
        <w:top w:val="none" w:sz="0" w:space="0" w:color="auto"/>
        <w:left w:val="none" w:sz="0" w:space="0" w:color="auto"/>
        <w:bottom w:val="none" w:sz="0" w:space="0" w:color="auto"/>
        <w:right w:val="none" w:sz="0" w:space="0" w:color="auto"/>
      </w:divBdr>
      <w:divsChild>
        <w:div w:id="831069084">
          <w:marLeft w:val="360"/>
          <w:marRight w:val="0"/>
          <w:marTop w:val="200"/>
          <w:marBottom w:val="0"/>
          <w:divBdr>
            <w:top w:val="none" w:sz="0" w:space="0" w:color="auto"/>
            <w:left w:val="none" w:sz="0" w:space="0" w:color="auto"/>
            <w:bottom w:val="none" w:sz="0" w:space="0" w:color="auto"/>
            <w:right w:val="none" w:sz="0" w:space="0" w:color="auto"/>
          </w:divBdr>
        </w:div>
      </w:divsChild>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1902">
      <w:bodyDiv w:val="1"/>
      <w:marLeft w:val="0"/>
      <w:marRight w:val="0"/>
      <w:marTop w:val="0"/>
      <w:marBottom w:val="0"/>
      <w:divBdr>
        <w:top w:val="none" w:sz="0" w:space="0" w:color="auto"/>
        <w:left w:val="none" w:sz="0" w:space="0" w:color="auto"/>
        <w:bottom w:val="none" w:sz="0" w:space="0" w:color="auto"/>
        <w:right w:val="none" w:sz="0" w:space="0" w:color="auto"/>
      </w:divBdr>
      <w:divsChild>
        <w:div w:id="291520664">
          <w:marLeft w:val="360"/>
          <w:marRight w:val="0"/>
          <w:marTop w:val="200"/>
          <w:marBottom w:val="0"/>
          <w:divBdr>
            <w:top w:val="none" w:sz="0" w:space="0" w:color="auto"/>
            <w:left w:val="none" w:sz="0" w:space="0" w:color="auto"/>
            <w:bottom w:val="none" w:sz="0" w:space="0" w:color="auto"/>
            <w:right w:val="none" w:sz="0" w:space="0" w:color="auto"/>
          </w:divBdr>
        </w:div>
        <w:div w:id="787502693">
          <w:marLeft w:val="360"/>
          <w:marRight w:val="0"/>
          <w:marTop w:val="200"/>
          <w:marBottom w:val="0"/>
          <w:divBdr>
            <w:top w:val="none" w:sz="0" w:space="0" w:color="auto"/>
            <w:left w:val="none" w:sz="0" w:space="0" w:color="auto"/>
            <w:bottom w:val="none" w:sz="0" w:space="0" w:color="auto"/>
            <w:right w:val="none" w:sz="0" w:space="0" w:color="auto"/>
          </w:divBdr>
        </w:div>
        <w:div w:id="1264221638">
          <w:marLeft w:val="360"/>
          <w:marRight w:val="0"/>
          <w:marTop w:val="200"/>
          <w:marBottom w:val="0"/>
          <w:divBdr>
            <w:top w:val="none" w:sz="0" w:space="0" w:color="auto"/>
            <w:left w:val="none" w:sz="0" w:space="0" w:color="auto"/>
            <w:bottom w:val="none" w:sz="0" w:space="0" w:color="auto"/>
            <w:right w:val="none" w:sz="0" w:space="0" w:color="auto"/>
          </w:divBdr>
        </w:div>
      </w:divsChild>
    </w:div>
    <w:div w:id="1011495607">
      <w:bodyDiv w:val="1"/>
      <w:marLeft w:val="0"/>
      <w:marRight w:val="0"/>
      <w:marTop w:val="0"/>
      <w:marBottom w:val="0"/>
      <w:divBdr>
        <w:top w:val="none" w:sz="0" w:space="0" w:color="auto"/>
        <w:left w:val="none" w:sz="0" w:space="0" w:color="auto"/>
        <w:bottom w:val="none" w:sz="0" w:space="0" w:color="auto"/>
        <w:right w:val="none" w:sz="0" w:space="0" w:color="auto"/>
      </w:divBdr>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2087">
      <w:bodyDiv w:val="1"/>
      <w:marLeft w:val="0"/>
      <w:marRight w:val="0"/>
      <w:marTop w:val="0"/>
      <w:marBottom w:val="0"/>
      <w:divBdr>
        <w:top w:val="none" w:sz="0" w:space="0" w:color="auto"/>
        <w:left w:val="none" w:sz="0" w:space="0" w:color="auto"/>
        <w:bottom w:val="none" w:sz="0" w:space="0" w:color="auto"/>
        <w:right w:val="none" w:sz="0" w:space="0" w:color="auto"/>
      </w:divBdr>
    </w:div>
    <w:div w:id="1026175896">
      <w:bodyDiv w:val="1"/>
      <w:marLeft w:val="0"/>
      <w:marRight w:val="0"/>
      <w:marTop w:val="0"/>
      <w:marBottom w:val="0"/>
      <w:divBdr>
        <w:top w:val="none" w:sz="0" w:space="0" w:color="auto"/>
        <w:left w:val="none" w:sz="0" w:space="0" w:color="auto"/>
        <w:bottom w:val="none" w:sz="0" w:space="0" w:color="auto"/>
        <w:right w:val="none" w:sz="0" w:space="0" w:color="auto"/>
      </w:divBdr>
    </w:div>
    <w:div w:id="1064908995">
      <w:bodyDiv w:val="1"/>
      <w:marLeft w:val="0"/>
      <w:marRight w:val="0"/>
      <w:marTop w:val="0"/>
      <w:marBottom w:val="0"/>
      <w:divBdr>
        <w:top w:val="none" w:sz="0" w:space="0" w:color="auto"/>
        <w:left w:val="none" w:sz="0" w:space="0" w:color="auto"/>
        <w:bottom w:val="none" w:sz="0" w:space="0" w:color="auto"/>
        <w:right w:val="none" w:sz="0" w:space="0" w:color="auto"/>
      </w:divBdr>
    </w:div>
    <w:div w:id="1080366196">
      <w:bodyDiv w:val="1"/>
      <w:marLeft w:val="0"/>
      <w:marRight w:val="0"/>
      <w:marTop w:val="0"/>
      <w:marBottom w:val="0"/>
      <w:divBdr>
        <w:top w:val="none" w:sz="0" w:space="0" w:color="auto"/>
        <w:left w:val="none" w:sz="0" w:space="0" w:color="auto"/>
        <w:bottom w:val="none" w:sz="0" w:space="0" w:color="auto"/>
        <w:right w:val="none" w:sz="0" w:space="0" w:color="auto"/>
      </w:divBdr>
    </w:div>
    <w:div w:id="1102918529">
      <w:bodyDiv w:val="1"/>
      <w:marLeft w:val="0"/>
      <w:marRight w:val="0"/>
      <w:marTop w:val="0"/>
      <w:marBottom w:val="0"/>
      <w:divBdr>
        <w:top w:val="none" w:sz="0" w:space="0" w:color="auto"/>
        <w:left w:val="none" w:sz="0" w:space="0" w:color="auto"/>
        <w:bottom w:val="none" w:sz="0" w:space="0" w:color="auto"/>
        <w:right w:val="none" w:sz="0" w:space="0" w:color="auto"/>
      </w:divBdr>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sChild>
        <w:div w:id="726032408">
          <w:marLeft w:val="1080"/>
          <w:marRight w:val="0"/>
          <w:marTop w:val="100"/>
          <w:marBottom w:val="0"/>
          <w:divBdr>
            <w:top w:val="none" w:sz="0" w:space="0" w:color="auto"/>
            <w:left w:val="none" w:sz="0" w:space="0" w:color="auto"/>
            <w:bottom w:val="none" w:sz="0" w:space="0" w:color="auto"/>
            <w:right w:val="none" w:sz="0" w:space="0" w:color="auto"/>
          </w:divBdr>
        </w:div>
        <w:div w:id="195235910">
          <w:marLeft w:val="1080"/>
          <w:marRight w:val="0"/>
          <w:marTop w:val="100"/>
          <w:marBottom w:val="0"/>
          <w:divBdr>
            <w:top w:val="none" w:sz="0" w:space="0" w:color="auto"/>
            <w:left w:val="none" w:sz="0" w:space="0" w:color="auto"/>
            <w:bottom w:val="none" w:sz="0" w:space="0" w:color="auto"/>
            <w:right w:val="none" w:sz="0" w:space="0" w:color="auto"/>
          </w:divBdr>
        </w:div>
        <w:div w:id="632249319">
          <w:marLeft w:val="1080"/>
          <w:marRight w:val="0"/>
          <w:marTop w:val="100"/>
          <w:marBottom w:val="0"/>
          <w:divBdr>
            <w:top w:val="none" w:sz="0" w:space="0" w:color="auto"/>
            <w:left w:val="none" w:sz="0" w:space="0" w:color="auto"/>
            <w:bottom w:val="none" w:sz="0" w:space="0" w:color="auto"/>
            <w:right w:val="none" w:sz="0" w:space="0" w:color="auto"/>
          </w:divBdr>
        </w:div>
      </w:divsChild>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29011101">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54032083">
      <w:bodyDiv w:val="1"/>
      <w:marLeft w:val="0"/>
      <w:marRight w:val="0"/>
      <w:marTop w:val="0"/>
      <w:marBottom w:val="0"/>
      <w:divBdr>
        <w:top w:val="none" w:sz="0" w:space="0" w:color="auto"/>
        <w:left w:val="none" w:sz="0" w:space="0" w:color="auto"/>
        <w:bottom w:val="none" w:sz="0" w:space="0" w:color="auto"/>
        <w:right w:val="none" w:sz="0" w:space="0" w:color="auto"/>
      </w:divBdr>
      <w:divsChild>
        <w:div w:id="1539313902">
          <w:marLeft w:val="360"/>
          <w:marRight w:val="0"/>
          <w:marTop w:val="200"/>
          <w:marBottom w:val="0"/>
          <w:divBdr>
            <w:top w:val="none" w:sz="0" w:space="0" w:color="auto"/>
            <w:left w:val="none" w:sz="0" w:space="0" w:color="auto"/>
            <w:bottom w:val="none" w:sz="0" w:space="0" w:color="auto"/>
            <w:right w:val="none" w:sz="0" w:space="0" w:color="auto"/>
          </w:divBdr>
        </w:div>
        <w:div w:id="325939213">
          <w:marLeft w:val="1080"/>
          <w:marRight w:val="0"/>
          <w:marTop w:val="100"/>
          <w:marBottom w:val="0"/>
          <w:divBdr>
            <w:top w:val="none" w:sz="0" w:space="0" w:color="auto"/>
            <w:left w:val="none" w:sz="0" w:space="0" w:color="auto"/>
            <w:bottom w:val="none" w:sz="0" w:space="0" w:color="auto"/>
            <w:right w:val="none" w:sz="0" w:space="0" w:color="auto"/>
          </w:divBdr>
        </w:div>
        <w:div w:id="1499467368">
          <w:marLeft w:val="1080"/>
          <w:marRight w:val="0"/>
          <w:marTop w:val="100"/>
          <w:marBottom w:val="0"/>
          <w:divBdr>
            <w:top w:val="none" w:sz="0" w:space="0" w:color="auto"/>
            <w:left w:val="none" w:sz="0" w:space="0" w:color="auto"/>
            <w:bottom w:val="none" w:sz="0" w:space="0" w:color="auto"/>
            <w:right w:val="none" w:sz="0" w:space="0" w:color="auto"/>
          </w:divBdr>
        </w:div>
      </w:divsChild>
    </w:div>
    <w:div w:id="1162043557">
      <w:bodyDiv w:val="1"/>
      <w:marLeft w:val="0"/>
      <w:marRight w:val="0"/>
      <w:marTop w:val="0"/>
      <w:marBottom w:val="0"/>
      <w:divBdr>
        <w:top w:val="none" w:sz="0" w:space="0" w:color="auto"/>
        <w:left w:val="none" w:sz="0" w:space="0" w:color="auto"/>
        <w:bottom w:val="none" w:sz="0" w:space="0" w:color="auto"/>
        <w:right w:val="none" w:sz="0" w:space="0" w:color="auto"/>
      </w:divBdr>
      <w:divsChild>
        <w:div w:id="787314112">
          <w:marLeft w:val="360"/>
          <w:marRight w:val="0"/>
          <w:marTop w:val="200"/>
          <w:marBottom w:val="0"/>
          <w:divBdr>
            <w:top w:val="none" w:sz="0" w:space="0" w:color="auto"/>
            <w:left w:val="none" w:sz="0" w:space="0" w:color="auto"/>
            <w:bottom w:val="none" w:sz="0" w:space="0" w:color="auto"/>
            <w:right w:val="none" w:sz="0" w:space="0" w:color="auto"/>
          </w:divBdr>
        </w:div>
        <w:div w:id="2021814060">
          <w:marLeft w:val="1080"/>
          <w:marRight w:val="0"/>
          <w:marTop w:val="100"/>
          <w:marBottom w:val="0"/>
          <w:divBdr>
            <w:top w:val="none" w:sz="0" w:space="0" w:color="auto"/>
            <w:left w:val="none" w:sz="0" w:space="0" w:color="auto"/>
            <w:bottom w:val="none" w:sz="0" w:space="0" w:color="auto"/>
            <w:right w:val="none" w:sz="0" w:space="0" w:color="auto"/>
          </w:divBdr>
        </w:div>
        <w:div w:id="751510990">
          <w:marLeft w:val="1800"/>
          <w:marRight w:val="0"/>
          <w:marTop w:val="100"/>
          <w:marBottom w:val="0"/>
          <w:divBdr>
            <w:top w:val="none" w:sz="0" w:space="0" w:color="auto"/>
            <w:left w:val="none" w:sz="0" w:space="0" w:color="auto"/>
            <w:bottom w:val="none" w:sz="0" w:space="0" w:color="auto"/>
            <w:right w:val="none" w:sz="0" w:space="0" w:color="auto"/>
          </w:divBdr>
        </w:div>
        <w:div w:id="2022658660">
          <w:marLeft w:val="1080"/>
          <w:marRight w:val="0"/>
          <w:marTop w:val="100"/>
          <w:marBottom w:val="0"/>
          <w:divBdr>
            <w:top w:val="none" w:sz="0" w:space="0" w:color="auto"/>
            <w:left w:val="none" w:sz="0" w:space="0" w:color="auto"/>
            <w:bottom w:val="none" w:sz="0" w:space="0" w:color="auto"/>
            <w:right w:val="none" w:sz="0" w:space="0" w:color="auto"/>
          </w:divBdr>
        </w:div>
        <w:div w:id="918295696">
          <w:marLeft w:val="1800"/>
          <w:marRight w:val="0"/>
          <w:marTop w:val="100"/>
          <w:marBottom w:val="0"/>
          <w:divBdr>
            <w:top w:val="none" w:sz="0" w:space="0" w:color="auto"/>
            <w:left w:val="none" w:sz="0" w:space="0" w:color="auto"/>
            <w:bottom w:val="none" w:sz="0" w:space="0" w:color="auto"/>
            <w:right w:val="none" w:sz="0" w:space="0" w:color="auto"/>
          </w:divBdr>
        </w:div>
        <w:div w:id="395082526">
          <w:marLeft w:val="360"/>
          <w:marRight w:val="0"/>
          <w:marTop w:val="200"/>
          <w:marBottom w:val="0"/>
          <w:divBdr>
            <w:top w:val="none" w:sz="0" w:space="0" w:color="auto"/>
            <w:left w:val="none" w:sz="0" w:space="0" w:color="auto"/>
            <w:bottom w:val="none" w:sz="0" w:space="0" w:color="auto"/>
            <w:right w:val="none" w:sz="0" w:space="0" w:color="auto"/>
          </w:divBdr>
        </w:div>
        <w:div w:id="365103140">
          <w:marLeft w:val="1080"/>
          <w:marRight w:val="0"/>
          <w:marTop w:val="100"/>
          <w:marBottom w:val="0"/>
          <w:divBdr>
            <w:top w:val="none" w:sz="0" w:space="0" w:color="auto"/>
            <w:left w:val="none" w:sz="0" w:space="0" w:color="auto"/>
            <w:bottom w:val="none" w:sz="0" w:space="0" w:color="auto"/>
            <w:right w:val="none" w:sz="0" w:space="0" w:color="auto"/>
          </w:divBdr>
        </w:div>
      </w:divsChild>
    </w:div>
    <w:div w:id="1180318385">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198276992">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4481979">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0955163">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19132316">
      <w:bodyDiv w:val="1"/>
      <w:marLeft w:val="0"/>
      <w:marRight w:val="0"/>
      <w:marTop w:val="0"/>
      <w:marBottom w:val="0"/>
      <w:divBdr>
        <w:top w:val="none" w:sz="0" w:space="0" w:color="auto"/>
        <w:left w:val="none" w:sz="0" w:space="0" w:color="auto"/>
        <w:bottom w:val="none" w:sz="0" w:space="0" w:color="auto"/>
        <w:right w:val="none" w:sz="0" w:space="0" w:color="auto"/>
      </w:divBdr>
    </w:div>
    <w:div w:id="1434202535">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50003523">
      <w:bodyDiv w:val="1"/>
      <w:marLeft w:val="0"/>
      <w:marRight w:val="0"/>
      <w:marTop w:val="0"/>
      <w:marBottom w:val="0"/>
      <w:divBdr>
        <w:top w:val="none" w:sz="0" w:space="0" w:color="auto"/>
        <w:left w:val="none" w:sz="0" w:space="0" w:color="auto"/>
        <w:bottom w:val="none" w:sz="0" w:space="0" w:color="auto"/>
        <w:right w:val="none" w:sz="0" w:space="0" w:color="auto"/>
      </w:divBdr>
      <w:divsChild>
        <w:div w:id="178158586">
          <w:marLeft w:val="1080"/>
          <w:marRight w:val="0"/>
          <w:marTop w:val="100"/>
          <w:marBottom w:val="0"/>
          <w:divBdr>
            <w:top w:val="none" w:sz="0" w:space="0" w:color="auto"/>
            <w:left w:val="none" w:sz="0" w:space="0" w:color="auto"/>
            <w:bottom w:val="none" w:sz="0" w:space="0" w:color="auto"/>
            <w:right w:val="none" w:sz="0" w:space="0" w:color="auto"/>
          </w:divBdr>
        </w:div>
      </w:divsChild>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496795510">
      <w:bodyDiv w:val="1"/>
      <w:marLeft w:val="0"/>
      <w:marRight w:val="0"/>
      <w:marTop w:val="0"/>
      <w:marBottom w:val="0"/>
      <w:divBdr>
        <w:top w:val="none" w:sz="0" w:space="0" w:color="auto"/>
        <w:left w:val="none" w:sz="0" w:space="0" w:color="auto"/>
        <w:bottom w:val="none" w:sz="0" w:space="0" w:color="auto"/>
        <w:right w:val="none" w:sz="0" w:space="0" w:color="auto"/>
      </w:divBdr>
    </w:div>
    <w:div w:id="1517035173">
      <w:bodyDiv w:val="1"/>
      <w:marLeft w:val="0"/>
      <w:marRight w:val="0"/>
      <w:marTop w:val="0"/>
      <w:marBottom w:val="0"/>
      <w:divBdr>
        <w:top w:val="none" w:sz="0" w:space="0" w:color="auto"/>
        <w:left w:val="none" w:sz="0" w:space="0" w:color="auto"/>
        <w:bottom w:val="none" w:sz="0" w:space="0" w:color="auto"/>
        <w:right w:val="none" w:sz="0" w:space="0" w:color="auto"/>
      </w:divBdr>
    </w:div>
    <w:div w:id="1521581834">
      <w:bodyDiv w:val="1"/>
      <w:marLeft w:val="0"/>
      <w:marRight w:val="0"/>
      <w:marTop w:val="0"/>
      <w:marBottom w:val="0"/>
      <w:divBdr>
        <w:top w:val="none" w:sz="0" w:space="0" w:color="auto"/>
        <w:left w:val="none" w:sz="0" w:space="0" w:color="auto"/>
        <w:bottom w:val="none" w:sz="0" w:space="0" w:color="auto"/>
        <w:right w:val="none" w:sz="0" w:space="0" w:color="auto"/>
      </w:divBdr>
      <w:divsChild>
        <w:div w:id="5249425">
          <w:marLeft w:val="1080"/>
          <w:marRight w:val="0"/>
          <w:marTop w:val="100"/>
          <w:marBottom w:val="0"/>
          <w:divBdr>
            <w:top w:val="none" w:sz="0" w:space="0" w:color="auto"/>
            <w:left w:val="none" w:sz="0" w:space="0" w:color="auto"/>
            <w:bottom w:val="none" w:sz="0" w:space="0" w:color="auto"/>
            <w:right w:val="none" w:sz="0" w:space="0" w:color="auto"/>
          </w:divBdr>
        </w:div>
      </w:divsChild>
    </w:div>
    <w:div w:id="1552426071">
      <w:bodyDiv w:val="1"/>
      <w:marLeft w:val="0"/>
      <w:marRight w:val="0"/>
      <w:marTop w:val="0"/>
      <w:marBottom w:val="0"/>
      <w:divBdr>
        <w:top w:val="none" w:sz="0" w:space="0" w:color="auto"/>
        <w:left w:val="none" w:sz="0" w:space="0" w:color="auto"/>
        <w:bottom w:val="none" w:sz="0" w:space="0" w:color="auto"/>
        <w:right w:val="none" w:sz="0" w:space="0" w:color="auto"/>
      </w:divBdr>
      <w:divsChild>
        <w:div w:id="1098986160">
          <w:marLeft w:val="360"/>
          <w:marRight w:val="0"/>
          <w:marTop w:val="200"/>
          <w:marBottom w:val="0"/>
          <w:divBdr>
            <w:top w:val="none" w:sz="0" w:space="0" w:color="auto"/>
            <w:left w:val="none" w:sz="0" w:space="0" w:color="auto"/>
            <w:bottom w:val="none" w:sz="0" w:space="0" w:color="auto"/>
            <w:right w:val="none" w:sz="0" w:space="0" w:color="auto"/>
          </w:divBdr>
        </w:div>
        <w:div w:id="1726219467">
          <w:marLeft w:val="360"/>
          <w:marRight w:val="0"/>
          <w:marTop w:val="200"/>
          <w:marBottom w:val="0"/>
          <w:divBdr>
            <w:top w:val="none" w:sz="0" w:space="0" w:color="auto"/>
            <w:left w:val="none" w:sz="0" w:space="0" w:color="auto"/>
            <w:bottom w:val="none" w:sz="0" w:space="0" w:color="auto"/>
            <w:right w:val="none" w:sz="0" w:space="0" w:color="auto"/>
          </w:divBdr>
        </w:div>
      </w:divsChild>
    </w:div>
    <w:div w:id="1553347423">
      <w:bodyDiv w:val="1"/>
      <w:marLeft w:val="0"/>
      <w:marRight w:val="0"/>
      <w:marTop w:val="0"/>
      <w:marBottom w:val="0"/>
      <w:divBdr>
        <w:top w:val="none" w:sz="0" w:space="0" w:color="auto"/>
        <w:left w:val="none" w:sz="0" w:space="0" w:color="auto"/>
        <w:bottom w:val="none" w:sz="0" w:space="0" w:color="auto"/>
        <w:right w:val="none" w:sz="0" w:space="0" w:color="auto"/>
      </w:divBdr>
      <w:divsChild>
        <w:div w:id="1167593148">
          <w:marLeft w:val="360"/>
          <w:marRight w:val="0"/>
          <w:marTop w:val="200"/>
          <w:marBottom w:val="0"/>
          <w:divBdr>
            <w:top w:val="none" w:sz="0" w:space="0" w:color="auto"/>
            <w:left w:val="none" w:sz="0" w:space="0" w:color="auto"/>
            <w:bottom w:val="none" w:sz="0" w:space="0" w:color="auto"/>
            <w:right w:val="none" w:sz="0" w:space="0" w:color="auto"/>
          </w:divBdr>
        </w:div>
      </w:divsChild>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594045250">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11619858">
      <w:bodyDiv w:val="1"/>
      <w:marLeft w:val="0"/>
      <w:marRight w:val="0"/>
      <w:marTop w:val="0"/>
      <w:marBottom w:val="0"/>
      <w:divBdr>
        <w:top w:val="none" w:sz="0" w:space="0" w:color="auto"/>
        <w:left w:val="none" w:sz="0" w:space="0" w:color="auto"/>
        <w:bottom w:val="none" w:sz="0" w:space="0" w:color="auto"/>
        <w:right w:val="none" w:sz="0" w:space="0" w:color="auto"/>
      </w:divBdr>
    </w:div>
    <w:div w:id="161621420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33057753">
      <w:bodyDiv w:val="1"/>
      <w:marLeft w:val="0"/>
      <w:marRight w:val="0"/>
      <w:marTop w:val="0"/>
      <w:marBottom w:val="0"/>
      <w:divBdr>
        <w:top w:val="none" w:sz="0" w:space="0" w:color="auto"/>
        <w:left w:val="none" w:sz="0" w:space="0" w:color="auto"/>
        <w:bottom w:val="none" w:sz="0" w:space="0" w:color="auto"/>
        <w:right w:val="none" w:sz="0" w:space="0" w:color="auto"/>
      </w:divBdr>
      <w:divsChild>
        <w:div w:id="85656158">
          <w:marLeft w:val="360"/>
          <w:marRight w:val="0"/>
          <w:marTop w:val="200"/>
          <w:marBottom w:val="0"/>
          <w:divBdr>
            <w:top w:val="none" w:sz="0" w:space="0" w:color="auto"/>
            <w:left w:val="none" w:sz="0" w:space="0" w:color="auto"/>
            <w:bottom w:val="none" w:sz="0" w:space="0" w:color="auto"/>
            <w:right w:val="none" w:sz="0" w:space="0" w:color="auto"/>
          </w:divBdr>
        </w:div>
        <w:div w:id="169103995">
          <w:marLeft w:val="360"/>
          <w:marRight w:val="0"/>
          <w:marTop w:val="200"/>
          <w:marBottom w:val="0"/>
          <w:divBdr>
            <w:top w:val="none" w:sz="0" w:space="0" w:color="auto"/>
            <w:left w:val="none" w:sz="0" w:space="0" w:color="auto"/>
            <w:bottom w:val="none" w:sz="0" w:space="0" w:color="auto"/>
            <w:right w:val="none" w:sz="0" w:space="0" w:color="auto"/>
          </w:divBdr>
        </w:div>
        <w:div w:id="1184897972">
          <w:marLeft w:val="360"/>
          <w:marRight w:val="0"/>
          <w:marTop w:val="200"/>
          <w:marBottom w:val="0"/>
          <w:divBdr>
            <w:top w:val="none" w:sz="0" w:space="0" w:color="auto"/>
            <w:left w:val="none" w:sz="0" w:space="0" w:color="auto"/>
            <w:bottom w:val="none" w:sz="0" w:space="0" w:color="auto"/>
            <w:right w:val="none" w:sz="0" w:space="0" w:color="auto"/>
          </w:divBdr>
        </w:div>
      </w:divsChild>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10496601">
      <w:bodyDiv w:val="1"/>
      <w:marLeft w:val="0"/>
      <w:marRight w:val="0"/>
      <w:marTop w:val="0"/>
      <w:marBottom w:val="0"/>
      <w:divBdr>
        <w:top w:val="none" w:sz="0" w:space="0" w:color="auto"/>
        <w:left w:val="none" w:sz="0" w:space="0" w:color="auto"/>
        <w:bottom w:val="none" w:sz="0" w:space="0" w:color="auto"/>
        <w:right w:val="none" w:sz="0" w:space="0" w:color="auto"/>
      </w:divBdr>
    </w:div>
    <w:div w:id="173350761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958">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24">
      <w:bodyDiv w:val="1"/>
      <w:marLeft w:val="0"/>
      <w:marRight w:val="0"/>
      <w:marTop w:val="0"/>
      <w:marBottom w:val="0"/>
      <w:divBdr>
        <w:top w:val="none" w:sz="0" w:space="0" w:color="auto"/>
        <w:left w:val="none" w:sz="0" w:space="0" w:color="auto"/>
        <w:bottom w:val="none" w:sz="0" w:space="0" w:color="auto"/>
        <w:right w:val="none" w:sz="0" w:space="0" w:color="auto"/>
      </w:divBdr>
    </w:div>
    <w:div w:id="1996251240">
      <w:bodyDiv w:val="1"/>
      <w:marLeft w:val="0"/>
      <w:marRight w:val="0"/>
      <w:marTop w:val="0"/>
      <w:marBottom w:val="0"/>
      <w:divBdr>
        <w:top w:val="none" w:sz="0" w:space="0" w:color="auto"/>
        <w:left w:val="none" w:sz="0" w:space="0" w:color="auto"/>
        <w:bottom w:val="none" w:sz="0" w:space="0" w:color="auto"/>
        <w:right w:val="none" w:sz="0" w:space="0" w:color="auto"/>
      </w:divBdr>
    </w:div>
    <w:div w:id="2036152499">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2513119">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65368415">
      <w:bodyDiv w:val="1"/>
      <w:marLeft w:val="0"/>
      <w:marRight w:val="0"/>
      <w:marTop w:val="0"/>
      <w:marBottom w:val="0"/>
      <w:divBdr>
        <w:top w:val="none" w:sz="0" w:space="0" w:color="auto"/>
        <w:left w:val="none" w:sz="0" w:space="0" w:color="auto"/>
        <w:bottom w:val="none" w:sz="0" w:space="0" w:color="auto"/>
        <w:right w:val="none" w:sz="0" w:space="0" w:color="auto"/>
      </w:divBdr>
    </w:div>
    <w:div w:id="2095276997">
      <w:bodyDiv w:val="1"/>
      <w:marLeft w:val="0"/>
      <w:marRight w:val="0"/>
      <w:marTop w:val="0"/>
      <w:marBottom w:val="0"/>
      <w:divBdr>
        <w:top w:val="none" w:sz="0" w:space="0" w:color="auto"/>
        <w:left w:val="none" w:sz="0" w:space="0" w:color="auto"/>
        <w:bottom w:val="none" w:sz="0" w:space="0" w:color="auto"/>
        <w:right w:val="none" w:sz="0" w:space="0" w:color="auto"/>
      </w:divBdr>
      <w:divsChild>
        <w:div w:id="1399788108">
          <w:marLeft w:val="1080"/>
          <w:marRight w:val="0"/>
          <w:marTop w:val="100"/>
          <w:marBottom w:val="0"/>
          <w:divBdr>
            <w:top w:val="none" w:sz="0" w:space="0" w:color="auto"/>
            <w:left w:val="none" w:sz="0" w:space="0" w:color="auto"/>
            <w:bottom w:val="none" w:sz="0" w:space="0" w:color="auto"/>
            <w:right w:val="none" w:sz="0" w:space="0" w:color="auto"/>
          </w:divBdr>
        </w:div>
      </w:divsChild>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29813613">
      <w:bodyDiv w:val="1"/>
      <w:marLeft w:val="0"/>
      <w:marRight w:val="0"/>
      <w:marTop w:val="0"/>
      <w:marBottom w:val="0"/>
      <w:divBdr>
        <w:top w:val="none" w:sz="0" w:space="0" w:color="auto"/>
        <w:left w:val="none" w:sz="0" w:space="0" w:color="auto"/>
        <w:bottom w:val="none" w:sz="0" w:space="0" w:color="auto"/>
        <w:right w:val="none" w:sz="0" w:space="0" w:color="auto"/>
      </w:divBdr>
      <w:divsChild>
        <w:div w:id="763768416">
          <w:marLeft w:val="446"/>
          <w:marRight w:val="0"/>
          <w:marTop w:val="0"/>
          <w:marBottom w:val="0"/>
          <w:divBdr>
            <w:top w:val="none" w:sz="0" w:space="0" w:color="auto"/>
            <w:left w:val="none" w:sz="0" w:space="0" w:color="auto"/>
            <w:bottom w:val="none" w:sz="0" w:space="0" w:color="auto"/>
            <w:right w:val="none" w:sz="0" w:space="0" w:color="auto"/>
          </w:divBdr>
        </w:div>
        <w:div w:id="848253626">
          <w:marLeft w:val="446"/>
          <w:marRight w:val="0"/>
          <w:marTop w:val="0"/>
          <w:marBottom w:val="0"/>
          <w:divBdr>
            <w:top w:val="none" w:sz="0" w:space="0" w:color="auto"/>
            <w:left w:val="none" w:sz="0" w:space="0" w:color="auto"/>
            <w:bottom w:val="none" w:sz="0" w:space="0" w:color="auto"/>
            <w:right w:val="none" w:sz="0" w:space="0" w:color="auto"/>
          </w:divBdr>
        </w:div>
        <w:div w:id="1535115546">
          <w:marLeft w:val="446"/>
          <w:marRight w:val="0"/>
          <w:marTop w:val="0"/>
          <w:marBottom w:val="0"/>
          <w:divBdr>
            <w:top w:val="none" w:sz="0" w:space="0" w:color="auto"/>
            <w:left w:val="none" w:sz="0" w:space="0" w:color="auto"/>
            <w:bottom w:val="none" w:sz="0" w:space="0" w:color="auto"/>
            <w:right w:val="none" w:sz="0" w:space="0" w:color="auto"/>
          </w:divBdr>
        </w:div>
        <w:div w:id="36826570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003FC-D5D8-40F9-AE06-23416F73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18236</Words>
  <Characters>103951</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2021-03-04T01:22:00Z</dcterms:created>
  <dcterms:modified xsi:type="dcterms:W3CDTF">2021-03-04T01:22:00Z</dcterms:modified>
</cp:coreProperties>
</file>