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64E5" w:rsidRPr="00E04E16" w:rsidRDefault="00FC64E5" w:rsidP="00FC64E5">
      <w:pPr>
        <w:ind w:left="360"/>
        <w:rPr>
          <w:rFonts w:ascii="Arial" w:hAnsi="Arial"/>
          <w:b/>
        </w:rPr>
      </w:pPr>
    </w:p>
    <w:p w:rsidR="00784A50" w:rsidRPr="00E04E16" w:rsidRDefault="00A06EF8" w:rsidP="008B0BAB">
      <w:pPr>
        <w:pStyle w:val="1-MainHeading"/>
        <w:keepNext w:val="0"/>
      </w:pPr>
      <w:r w:rsidRPr="00E04E16">
        <w:t>7.06</w:t>
      </w:r>
      <w:r w:rsidR="00163F66" w:rsidRPr="00E04E16">
        <w:tab/>
      </w:r>
      <w:r w:rsidR="00DD1253" w:rsidRPr="00E04E16">
        <w:t>PATIROMER</w:t>
      </w:r>
      <w:r w:rsidR="00071F60" w:rsidRPr="00E04E16">
        <w:t>,</w:t>
      </w:r>
      <w:r w:rsidR="00071F60" w:rsidRPr="00E04E16">
        <w:br/>
        <w:t>Sachet, 8.4 g powder for oral liquid</w:t>
      </w:r>
      <w:r w:rsidR="00DD1253" w:rsidRPr="00E04E16">
        <w:t>,</w:t>
      </w:r>
      <w:r w:rsidR="00DD1253" w:rsidRPr="00E04E16">
        <w:br/>
      </w:r>
      <w:r w:rsidR="00071F60" w:rsidRPr="00E04E16">
        <w:t>Sachet, 16.8 g powder for oral liquid</w:t>
      </w:r>
      <w:r w:rsidR="00DD1253" w:rsidRPr="00E04E16">
        <w:t>,</w:t>
      </w:r>
      <w:r w:rsidR="00DD1253" w:rsidRPr="00E04E16">
        <w:br/>
        <w:t>Veltassa</w:t>
      </w:r>
      <w:r w:rsidR="00DD1253" w:rsidRPr="00E04E16">
        <w:rPr>
          <w:vertAlign w:val="superscript"/>
        </w:rPr>
        <w:t xml:space="preserve"> </w:t>
      </w:r>
      <w:r w:rsidR="00DD1253" w:rsidRPr="00E04E16">
        <w:t>®,</w:t>
      </w:r>
      <w:r w:rsidR="00DD1253" w:rsidRPr="00E04E16">
        <w:br/>
        <w:t>Vifor Pharma</w:t>
      </w:r>
      <w:r w:rsidR="009C0B4B" w:rsidRPr="00E04E16">
        <w:t xml:space="preserve"> Pty Lt</w:t>
      </w:r>
      <w:r w:rsidR="00BF0E5C" w:rsidRPr="00E04E16">
        <w:t>d</w:t>
      </w:r>
      <w:r w:rsidR="00DD1253" w:rsidRPr="00E04E16">
        <w:t>.</w:t>
      </w:r>
    </w:p>
    <w:p w:rsidR="00B50DB8" w:rsidRPr="00E04E16" w:rsidRDefault="00B50DB8" w:rsidP="008B0BAB">
      <w:pPr>
        <w:pStyle w:val="2-SectionHeading"/>
        <w:keepNext w:val="0"/>
      </w:pPr>
      <w:bookmarkStart w:id="0" w:name="_Toc51063866"/>
      <w:r w:rsidRPr="00E04E16">
        <w:t xml:space="preserve">Purpose of </w:t>
      </w:r>
      <w:r w:rsidR="00CD7193" w:rsidRPr="00E04E16">
        <w:t>s</w:t>
      </w:r>
      <w:r w:rsidR="00BB3A45" w:rsidRPr="00E04E16">
        <w:t>ubmission</w:t>
      </w:r>
      <w:bookmarkEnd w:id="0"/>
    </w:p>
    <w:p w:rsidR="00600BFF" w:rsidRPr="00E04E16" w:rsidRDefault="00393169" w:rsidP="00393169">
      <w:pPr>
        <w:pStyle w:val="ExecSumBodyText"/>
      </w:pPr>
      <w:r w:rsidRPr="00E04E16">
        <w:t xml:space="preserve">The resubmission requested an Authority Required (telephone) listing for patiromer for the initial treatment of patients with </w:t>
      </w:r>
      <w:r w:rsidR="00600BFF" w:rsidRPr="00E04E16">
        <w:t>chronic kidney disease (</w:t>
      </w:r>
      <w:r w:rsidRPr="00E04E16">
        <w:t>CKD</w:t>
      </w:r>
      <w:r w:rsidR="00600BFF" w:rsidRPr="00E04E16">
        <w:t>)</w:t>
      </w:r>
      <w:r w:rsidRPr="00E04E16">
        <w:t xml:space="preserve"> Stage 3 </w:t>
      </w:r>
      <w:r w:rsidR="004F16B4" w:rsidRPr="00E04E16">
        <w:t>or</w:t>
      </w:r>
      <w:r w:rsidRPr="00E04E16">
        <w:rPr>
          <w:lang w:eastAsia="zh-CN"/>
        </w:rPr>
        <w:t xml:space="preserve"> </w:t>
      </w:r>
      <w:r w:rsidRPr="00E04E16">
        <w:t>4, with chronic hyperkalaemia (&gt; 1 episode of serum K</w:t>
      </w:r>
      <w:r w:rsidRPr="00E04E16">
        <w:rPr>
          <w:vertAlign w:val="superscript"/>
        </w:rPr>
        <w:t>+</w:t>
      </w:r>
      <w:r w:rsidRPr="00E04E16">
        <w:t xml:space="preserve"> ≥ 6.0 mmol/L in the previous 12 months), who are receiving </w:t>
      </w:r>
      <w:r w:rsidR="0064628F" w:rsidRPr="00E04E16">
        <w:rPr>
          <w:rFonts w:cs="Calibri"/>
          <w:color w:val="000000"/>
          <w:szCs w:val="18"/>
        </w:rPr>
        <w:t>renin angiotensin aldosterone system inhibitor</w:t>
      </w:r>
      <w:r w:rsidR="0064628F" w:rsidRPr="00E04E16">
        <w:t xml:space="preserve"> (RAASi)</w:t>
      </w:r>
      <w:r w:rsidRPr="00E04E16">
        <w:t xml:space="preserve"> </w:t>
      </w:r>
      <w:r w:rsidR="005816CD" w:rsidRPr="00E04E16">
        <w:t xml:space="preserve">therapy </w:t>
      </w:r>
      <w:r w:rsidRPr="00E04E16">
        <w:t xml:space="preserve">or </w:t>
      </w:r>
      <w:r w:rsidR="00FC6972" w:rsidRPr="00E04E16">
        <w:t xml:space="preserve">who </w:t>
      </w:r>
      <w:r w:rsidR="005816CD" w:rsidRPr="00E04E16">
        <w:t xml:space="preserve">are indicated for </w:t>
      </w:r>
      <w:r w:rsidRPr="00E04E16">
        <w:t xml:space="preserve">RAASi </w:t>
      </w:r>
      <w:r w:rsidR="005816CD" w:rsidRPr="00E04E16">
        <w:t>therapy</w:t>
      </w:r>
      <w:r w:rsidRPr="00E04E16">
        <w:t xml:space="preserve"> but are unable to tolerate this due to complications of hyperkalaemia, and an Authority Required (</w:t>
      </w:r>
      <w:r w:rsidR="00E63DD6" w:rsidRPr="00E04E16">
        <w:t>STREAMLINED</w:t>
      </w:r>
      <w:r w:rsidRPr="00E04E16">
        <w:t xml:space="preserve">) listing for continuing treatment. </w:t>
      </w:r>
    </w:p>
    <w:p w:rsidR="00393169" w:rsidRPr="00E04E16" w:rsidRDefault="00393169" w:rsidP="00393169">
      <w:pPr>
        <w:pStyle w:val="ExecSumBodyText"/>
      </w:pPr>
      <w:r w:rsidRPr="00E04E16">
        <w:t xml:space="preserve">The PBAC previously considered patiromer at the November 2019 meeting for the broader listing of </w:t>
      </w:r>
      <w:r w:rsidRPr="00E04E16">
        <w:rPr>
          <w:rFonts w:ascii="Calibri" w:hAnsi="Calibri"/>
          <w:szCs w:val="22"/>
          <w:lang w:eastAsia="en-US"/>
        </w:rPr>
        <w:t>patients with CKD Stage 3+ who are receiving one or more RAASi medicines and have experienced a recent episode of hyperkalaemia requiring pharmacological intervention</w:t>
      </w:r>
      <w:r w:rsidRPr="00E04E16">
        <w:t xml:space="preserve">. </w:t>
      </w:r>
    </w:p>
    <w:p w:rsidR="00393169" w:rsidRPr="00E04E16" w:rsidRDefault="00393169" w:rsidP="00393169">
      <w:pPr>
        <w:pStyle w:val="ExecSumBodyText"/>
      </w:pPr>
      <w:r w:rsidRPr="00E04E16">
        <w:t>Listing was requested on the basis of a cost-effectiveness analysis versus standard care (placebo)</w:t>
      </w:r>
      <w:r w:rsidR="00E04E16">
        <w:t xml:space="preserve">. </w:t>
      </w:r>
    </w:p>
    <w:p w:rsidR="00393169" w:rsidRPr="00E04E16" w:rsidRDefault="00393169" w:rsidP="00393169">
      <w:pPr>
        <w:pStyle w:val="TableFigureCaption"/>
      </w:pPr>
      <w:r w:rsidRPr="00E04E16">
        <w:t>Table 1: Key components of the clinical issue addressed by the submission (as stated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w:tblDescription w:val="Key components of the clinical issue addressed by the submission "/>
      </w:tblPr>
      <w:tblGrid>
        <w:gridCol w:w="1666"/>
        <w:gridCol w:w="7351"/>
      </w:tblGrid>
      <w:tr w:rsidR="00393169" w:rsidRPr="00E04E16" w:rsidTr="00393169">
        <w:trPr>
          <w:cantSplit/>
          <w:tblHeader/>
        </w:trPr>
        <w:tc>
          <w:tcPr>
            <w:tcW w:w="924" w:type="pct"/>
            <w:shd w:val="clear" w:color="auto" w:fill="auto"/>
          </w:tcPr>
          <w:p w:rsidR="00393169" w:rsidRPr="00E04E16" w:rsidRDefault="00393169" w:rsidP="00393169">
            <w:pPr>
              <w:pStyle w:val="Tableheadingrow"/>
              <w:rPr>
                <w:szCs w:val="20"/>
                <w:lang w:val="en-AU"/>
              </w:rPr>
            </w:pPr>
            <w:r w:rsidRPr="00E04E16">
              <w:rPr>
                <w:lang w:val="en-AU"/>
              </w:rPr>
              <w:t>Component</w:t>
            </w:r>
          </w:p>
        </w:tc>
        <w:tc>
          <w:tcPr>
            <w:tcW w:w="4076" w:type="pct"/>
            <w:shd w:val="clear" w:color="auto" w:fill="auto"/>
          </w:tcPr>
          <w:p w:rsidR="00393169" w:rsidRPr="00E04E16" w:rsidRDefault="00393169" w:rsidP="00393169">
            <w:pPr>
              <w:pStyle w:val="Tableheadingrow"/>
              <w:rPr>
                <w:lang w:val="en-AU"/>
              </w:rPr>
            </w:pPr>
            <w:r w:rsidRPr="00E04E16">
              <w:rPr>
                <w:lang w:val="en-AU"/>
              </w:rPr>
              <w:t>Description</w:t>
            </w:r>
          </w:p>
        </w:tc>
      </w:tr>
      <w:tr w:rsidR="00393169" w:rsidRPr="00E04E16" w:rsidTr="00393169">
        <w:trPr>
          <w:cantSplit/>
        </w:trPr>
        <w:tc>
          <w:tcPr>
            <w:tcW w:w="924" w:type="pct"/>
            <w:shd w:val="clear" w:color="auto" w:fill="auto"/>
          </w:tcPr>
          <w:p w:rsidR="00393169" w:rsidRPr="00E04E16" w:rsidRDefault="00393169" w:rsidP="00393169">
            <w:pPr>
              <w:pStyle w:val="TableText"/>
            </w:pPr>
            <w:r w:rsidRPr="00E04E16">
              <w:t>Population</w:t>
            </w:r>
          </w:p>
        </w:tc>
        <w:tc>
          <w:tcPr>
            <w:tcW w:w="4076" w:type="pct"/>
            <w:shd w:val="clear" w:color="auto" w:fill="auto"/>
          </w:tcPr>
          <w:p w:rsidR="00393169" w:rsidRPr="00E04E16" w:rsidRDefault="00393169" w:rsidP="00393169">
            <w:pPr>
              <w:pStyle w:val="TableText"/>
              <w:rPr>
                <w:szCs w:val="20"/>
              </w:rPr>
            </w:pPr>
            <w:r w:rsidRPr="00E04E16">
              <w:t>Adult patients with CKD Stage 3 –</w:t>
            </w:r>
            <w:r w:rsidRPr="00E04E16">
              <w:rPr>
                <w:lang w:eastAsia="zh-CN"/>
              </w:rPr>
              <w:t xml:space="preserve"> </w:t>
            </w:r>
            <w:r w:rsidRPr="00E04E16">
              <w:t>4, with chronic hyperkalaemia (&gt; 1 episodes of serum K</w:t>
            </w:r>
            <w:r w:rsidRPr="00E04E16">
              <w:rPr>
                <w:vertAlign w:val="superscript"/>
              </w:rPr>
              <w:t>+</w:t>
            </w:r>
            <w:r w:rsidRPr="00E04E16">
              <w:t xml:space="preserve"> ≥ 6.0 mmol/L in the previous 12 months), who are receiving ≥ 1 RAASi medicines or are indicated for a RAASi medicine but are unable to tolerate this due to complications of hyperkalaemia.</w:t>
            </w:r>
          </w:p>
        </w:tc>
      </w:tr>
      <w:tr w:rsidR="00393169" w:rsidRPr="00E04E16" w:rsidTr="00393169">
        <w:trPr>
          <w:cantSplit/>
        </w:trPr>
        <w:tc>
          <w:tcPr>
            <w:tcW w:w="924" w:type="pct"/>
            <w:shd w:val="clear" w:color="auto" w:fill="auto"/>
          </w:tcPr>
          <w:p w:rsidR="00393169" w:rsidRPr="00E04E16" w:rsidRDefault="00393169" w:rsidP="00393169">
            <w:pPr>
              <w:pStyle w:val="TableText"/>
            </w:pPr>
            <w:r w:rsidRPr="00E04E16">
              <w:t>Intervention</w:t>
            </w:r>
          </w:p>
        </w:tc>
        <w:tc>
          <w:tcPr>
            <w:tcW w:w="4076" w:type="pct"/>
            <w:shd w:val="clear" w:color="auto" w:fill="auto"/>
          </w:tcPr>
          <w:p w:rsidR="00393169" w:rsidRPr="00E04E16" w:rsidRDefault="00393169" w:rsidP="00393169">
            <w:pPr>
              <w:pStyle w:val="TableText"/>
            </w:pPr>
            <w:r w:rsidRPr="00E04E16">
              <w:t>Patiromer (as sorbitex calcium) at a starting dose of one sachet of 8.4 g per day with food, titrated at intervals of at least 1 week, by increments of 8.4 g, up to a maximum dose of 25.2 g per day.</w:t>
            </w:r>
          </w:p>
        </w:tc>
      </w:tr>
      <w:tr w:rsidR="00393169" w:rsidRPr="00E04E16" w:rsidTr="00393169">
        <w:trPr>
          <w:cantSplit/>
        </w:trPr>
        <w:tc>
          <w:tcPr>
            <w:tcW w:w="924" w:type="pct"/>
            <w:shd w:val="clear" w:color="auto" w:fill="auto"/>
          </w:tcPr>
          <w:p w:rsidR="00393169" w:rsidRPr="00E04E16" w:rsidRDefault="00393169" w:rsidP="00393169">
            <w:pPr>
              <w:pStyle w:val="TableText"/>
            </w:pPr>
            <w:r w:rsidRPr="00E04E16">
              <w:t>Comparator</w:t>
            </w:r>
          </w:p>
        </w:tc>
        <w:tc>
          <w:tcPr>
            <w:tcW w:w="4076" w:type="pct"/>
            <w:shd w:val="clear" w:color="auto" w:fill="auto"/>
          </w:tcPr>
          <w:p w:rsidR="00393169" w:rsidRPr="00E04E16" w:rsidRDefault="00393169" w:rsidP="00393169">
            <w:pPr>
              <w:pStyle w:val="TableText"/>
            </w:pPr>
            <w:r w:rsidRPr="00E04E16">
              <w:t>Standard care (i.e. low K</w:t>
            </w:r>
            <w:r w:rsidRPr="00E04E16">
              <w:rPr>
                <w:vertAlign w:val="superscript"/>
              </w:rPr>
              <w:t>+</w:t>
            </w:r>
            <w:r w:rsidRPr="00E04E16">
              <w:t xml:space="preserve"> diet and RAASi therapy)</w:t>
            </w:r>
          </w:p>
        </w:tc>
      </w:tr>
      <w:tr w:rsidR="00393169" w:rsidRPr="00E04E16" w:rsidTr="00393169">
        <w:trPr>
          <w:cantSplit/>
        </w:trPr>
        <w:tc>
          <w:tcPr>
            <w:tcW w:w="924" w:type="pct"/>
            <w:shd w:val="clear" w:color="auto" w:fill="auto"/>
          </w:tcPr>
          <w:p w:rsidR="00393169" w:rsidRPr="00E04E16" w:rsidRDefault="00393169" w:rsidP="00393169">
            <w:pPr>
              <w:pStyle w:val="TableText"/>
            </w:pPr>
            <w:r w:rsidRPr="00E04E16">
              <w:t>Outcomes</w:t>
            </w:r>
          </w:p>
        </w:tc>
        <w:tc>
          <w:tcPr>
            <w:tcW w:w="4076" w:type="pct"/>
            <w:shd w:val="clear" w:color="auto" w:fill="auto"/>
          </w:tcPr>
          <w:p w:rsidR="00393169" w:rsidRPr="00E04E16" w:rsidRDefault="00393169" w:rsidP="00393169">
            <w:pPr>
              <w:pStyle w:val="Tabletext0"/>
              <w:spacing w:before="0" w:after="0"/>
            </w:pPr>
            <w:r w:rsidRPr="00E04E16">
              <w:t>Maintenance of safe and acceptable serum K</w:t>
            </w:r>
            <w:r w:rsidRPr="00E04E16">
              <w:rPr>
                <w:vertAlign w:val="superscript"/>
              </w:rPr>
              <w:t>+</w:t>
            </w:r>
            <w:r w:rsidRPr="00E04E16">
              <w:t xml:space="preserve"> levels;</w:t>
            </w:r>
          </w:p>
          <w:p w:rsidR="00393169" w:rsidRPr="00E04E16" w:rsidRDefault="00393169" w:rsidP="00393169">
            <w:pPr>
              <w:pStyle w:val="Tabletext0"/>
              <w:spacing w:before="0" w:after="0"/>
            </w:pPr>
            <w:r w:rsidRPr="00E04E16">
              <w:t>Reduction in recurrent and/or chronic episodes of hyperkalaemia; and</w:t>
            </w:r>
          </w:p>
          <w:p w:rsidR="00393169" w:rsidRPr="00E04E16" w:rsidRDefault="00393169" w:rsidP="00393169">
            <w:pPr>
              <w:pStyle w:val="TableText"/>
              <w:rPr>
                <w:rFonts w:eastAsia="Times New Roman" w:cs="Arial"/>
                <w:bCs w:val="0"/>
                <w:snapToGrid w:val="0"/>
                <w:color w:val="0066FF"/>
                <w:szCs w:val="20"/>
              </w:rPr>
            </w:pPr>
            <w:r w:rsidRPr="00E04E16">
              <w:t>Maintenance or optimisation of guideline recommended maximum RAASi doses.</w:t>
            </w:r>
          </w:p>
        </w:tc>
      </w:tr>
      <w:tr w:rsidR="00393169" w:rsidRPr="00E04E16" w:rsidTr="00393169">
        <w:trPr>
          <w:cantSplit/>
        </w:trPr>
        <w:tc>
          <w:tcPr>
            <w:tcW w:w="924" w:type="pct"/>
            <w:shd w:val="clear" w:color="auto" w:fill="auto"/>
          </w:tcPr>
          <w:p w:rsidR="00393169" w:rsidRPr="00E04E16" w:rsidRDefault="00393169" w:rsidP="00393169">
            <w:pPr>
              <w:pStyle w:val="TableText"/>
            </w:pPr>
            <w:r w:rsidRPr="00E04E16">
              <w:t>Clinical claim</w:t>
            </w:r>
          </w:p>
        </w:tc>
        <w:tc>
          <w:tcPr>
            <w:tcW w:w="4076" w:type="pct"/>
            <w:shd w:val="clear" w:color="auto" w:fill="auto"/>
          </w:tcPr>
          <w:p w:rsidR="00393169" w:rsidRPr="00E04E16" w:rsidRDefault="00393169" w:rsidP="00393169">
            <w:pPr>
              <w:pStyle w:val="Tabletext0"/>
              <w:spacing w:before="0" w:after="0"/>
            </w:pPr>
            <w:r w:rsidRPr="00E04E16">
              <w:t xml:space="preserve">Superior efficacy compared to standard care alone, in terms of lowering serum K+ to normal range and enabling patients to remain on guideline recommended RAASi doses. </w:t>
            </w:r>
          </w:p>
          <w:p w:rsidR="00393169" w:rsidRPr="00E04E16" w:rsidRDefault="00393169" w:rsidP="00393169">
            <w:pPr>
              <w:pStyle w:val="TableText"/>
              <w:rPr>
                <w:rFonts w:eastAsia="Calibri" w:cs="Times New Roman"/>
                <w:bCs w:val="0"/>
                <w:szCs w:val="20"/>
                <w:lang w:eastAsia="en-US"/>
              </w:rPr>
            </w:pPr>
            <w:r w:rsidRPr="00E04E16">
              <w:rPr>
                <w:rFonts w:eastAsia="Calibri" w:cs="Times New Roman"/>
                <w:bCs w:val="0"/>
                <w:szCs w:val="20"/>
                <w:lang w:eastAsia="en-US"/>
              </w:rPr>
              <w:t>Inferior safety compared to standard care alone.</w:t>
            </w:r>
          </w:p>
        </w:tc>
      </w:tr>
    </w:tbl>
    <w:p w:rsidR="00393169" w:rsidRPr="00E04E16" w:rsidRDefault="00393169" w:rsidP="00393169">
      <w:pPr>
        <w:pStyle w:val="TableFigureFooter"/>
      </w:pPr>
      <w:r w:rsidRPr="00E04E16">
        <w:t>Source: Table 1.1.1, p.18 of the resubmission.</w:t>
      </w:r>
    </w:p>
    <w:p w:rsidR="00393169" w:rsidRPr="00E04E16" w:rsidRDefault="00393169" w:rsidP="00393169">
      <w:pPr>
        <w:pStyle w:val="TableFigureFooter"/>
        <w:rPr>
          <w:sz w:val="20"/>
        </w:rPr>
      </w:pPr>
      <w:r w:rsidRPr="00E04E16">
        <w:t xml:space="preserve">Abbreviations: </w:t>
      </w:r>
      <w:r w:rsidRPr="00E04E16">
        <w:rPr>
          <w:rFonts w:cs="Calibri"/>
          <w:color w:val="000000"/>
          <w:szCs w:val="18"/>
        </w:rPr>
        <w:t>CKD, chronic kidney disease; K+, serum potassium; RAASi, renin angiotensin aldosterone system inhibitor.</w:t>
      </w:r>
    </w:p>
    <w:p w:rsidR="005C25FF" w:rsidRPr="00E04E16" w:rsidRDefault="005C25FF" w:rsidP="004A6040">
      <w:pPr>
        <w:pStyle w:val="2-SectionHeading"/>
      </w:pPr>
      <w:bookmarkStart w:id="1" w:name="_Toc51063867"/>
      <w:r w:rsidRPr="00E04E16">
        <w:lastRenderedPageBreak/>
        <w:t>Background</w:t>
      </w:r>
      <w:bookmarkEnd w:id="1"/>
    </w:p>
    <w:p w:rsidR="005C25FF" w:rsidRPr="00E04E16" w:rsidRDefault="005C25FF" w:rsidP="004A6040">
      <w:pPr>
        <w:pStyle w:val="3-SubsectionHeading"/>
      </w:pPr>
      <w:bookmarkStart w:id="2" w:name="_Toc22897638"/>
      <w:bookmarkStart w:id="3" w:name="_Toc51063868"/>
      <w:r w:rsidRPr="00E04E16">
        <w:t>Registration status</w:t>
      </w:r>
      <w:bookmarkEnd w:id="2"/>
      <w:bookmarkEnd w:id="3"/>
    </w:p>
    <w:p w:rsidR="005C25FF" w:rsidRPr="00E04E16" w:rsidRDefault="00393169" w:rsidP="00393169">
      <w:pPr>
        <w:pStyle w:val="ExecSumBodyText"/>
      </w:pPr>
      <w:r w:rsidRPr="00E04E16">
        <w:t xml:space="preserve">Patiromer was listed on the Australian Register of Therapeutic Goods (ARTG) on 12 December 2017 for the treatment of hyperkalaemia in adults. </w:t>
      </w:r>
    </w:p>
    <w:p w:rsidR="005C25FF" w:rsidRPr="00E04E16" w:rsidRDefault="005C25FF" w:rsidP="004E18E9">
      <w:pPr>
        <w:pStyle w:val="3-SubsectionHeading"/>
      </w:pPr>
      <w:bookmarkStart w:id="4" w:name="_Toc22897639"/>
      <w:bookmarkStart w:id="5" w:name="_Toc51063869"/>
      <w:r w:rsidRPr="00E04E16">
        <w:t>Previous PBAC consideration</w:t>
      </w:r>
      <w:bookmarkEnd w:id="4"/>
      <w:bookmarkEnd w:id="5"/>
    </w:p>
    <w:p w:rsidR="00393169" w:rsidRPr="00E04E16" w:rsidRDefault="00393169" w:rsidP="00393169">
      <w:pPr>
        <w:pStyle w:val="ExecSumBodyText"/>
        <w:numPr>
          <w:ilvl w:val="1"/>
          <w:numId w:val="1"/>
        </w:numPr>
      </w:pPr>
      <w:r w:rsidRPr="00E04E16">
        <w:rPr>
          <w:snapToGrid/>
        </w:rPr>
        <w:t>Table 2 summarises the key matters of concern outstanding from the November 2019 submission for patiromer.</w:t>
      </w:r>
    </w:p>
    <w:p w:rsidR="00393169" w:rsidRPr="00E04E16" w:rsidRDefault="00393169" w:rsidP="00843D24">
      <w:pPr>
        <w:pStyle w:val="TableFigureCaption"/>
        <w:keepLines/>
      </w:pPr>
      <w:r w:rsidRPr="00E04E16">
        <w:t>Table 2: Summary of key matters of concern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3802"/>
        <w:gridCol w:w="3802"/>
      </w:tblGrid>
      <w:tr w:rsidR="00393169" w:rsidRPr="00E04E16" w:rsidTr="00EA21BA">
        <w:trPr>
          <w:cantSplit/>
          <w:tblHeader/>
        </w:trPr>
        <w:tc>
          <w:tcPr>
            <w:tcW w:w="784" w:type="pct"/>
            <w:vAlign w:val="center"/>
          </w:tcPr>
          <w:p w:rsidR="00393169" w:rsidRPr="00E04E16" w:rsidRDefault="00393169" w:rsidP="00843D24">
            <w:pPr>
              <w:pStyle w:val="TableText"/>
              <w:keepLines/>
              <w:rPr>
                <w:b/>
              </w:rPr>
            </w:pPr>
          </w:p>
        </w:tc>
        <w:tc>
          <w:tcPr>
            <w:tcW w:w="2108" w:type="pct"/>
            <w:vAlign w:val="center"/>
          </w:tcPr>
          <w:p w:rsidR="00393169" w:rsidRPr="00E04E16" w:rsidRDefault="00393169" w:rsidP="00843D24">
            <w:pPr>
              <w:pStyle w:val="TableText"/>
              <w:keepLines/>
              <w:ind w:right="-71"/>
              <w:jc w:val="center"/>
              <w:rPr>
                <w:rFonts w:eastAsia="Times New Roman" w:cs="Arial"/>
                <w:b/>
                <w:bCs w:val="0"/>
                <w:snapToGrid w:val="0"/>
                <w:szCs w:val="20"/>
              </w:rPr>
            </w:pPr>
            <w:r w:rsidRPr="00E04E16">
              <w:rPr>
                <w:rFonts w:eastAsia="Times New Roman" w:cs="Arial"/>
                <w:b/>
                <w:bCs w:val="0"/>
                <w:snapToGrid w:val="0"/>
                <w:szCs w:val="20"/>
              </w:rPr>
              <w:t>Matters of concern</w:t>
            </w:r>
          </w:p>
          <w:p w:rsidR="00393169" w:rsidRPr="00E04E16" w:rsidRDefault="00393169" w:rsidP="00843D24">
            <w:pPr>
              <w:pStyle w:val="TableText"/>
              <w:keepLines/>
              <w:ind w:right="-71"/>
              <w:jc w:val="center"/>
              <w:rPr>
                <w:rFonts w:eastAsia="Times New Roman" w:cs="Arial"/>
                <w:b/>
                <w:bCs w:val="0"/>
                <w:snapToGrid w:val="0"/>
                <w:szCs w:val="20"/>
              </w:rPr>
            </w:pPr>
            <w:r w:rsidRPr="00E04E16">
              <w:rPr>
                <w:rFonts w:eastAsia="Times New Roman" w:cs="Arial"/>
                <w:b/>
                <w:bCs w:val="0"/>
                <w:snapToGrid w:val="0"/>
                <w:szCs w:val="20"/>
              </w:rPr>
              <w:t>(November 2019 PBAC meeting)</w:t>
            </w:r>
          </w:p>
        </w:tc>
        <w:tc>
          <w:tcPr>
            <w:tcW w:w="2108" w:type="pct"/>
            <w:vAlign w:val="center"/>
          </w:tcPr>
          <w:p w:rsidR="00393169" w:rsidRPr="00E04E16" w:rsidRDefault="00393169" w:rsidP="00843D24">
            <w:pPr>
              <w:pStyle w:val="TableText"/>
              <w:keepLines/>
              <w:ind w:right="-71"/>
              <w:jc w:val="center"/>
              <w:rPr>
                <w:rFonts w:eastAsia="Times New Roman" w:cs="Arial"/>
                <w:b/>
                <w:bCs w:val="0"/>
                <w:snapToGrid w:val="0"/>
                <w:szCs w:val="20"/>
              </w:rPr>
            </w:pPr>
            <w:r w:rsidRPr="00E04E16">
              <w:rPr>
                <w:rFonts w:eastAsia="Times New Roman" w:cs="Arial"/>
                <w:b/>
                <w:bCs w:val="0"/>
                <w:snapToGrid w:val="0"/>
                <w:szCs w:val="20"/>
              </w:rPr>
              <w:t>Addressed in the resubmission</w:t>
            </w:r>
          </w:p>
        </w:tc>
      </w:tr>
      <w:tr w:rsidR="00393169" w:rsidRPr="00E04E16" w:rsidTr="00393169">
        <w:trPr>
          <w:cantSplit/>
        </w:trPr>
        <w:tc>
          <w:tcPr>
            <w:tcW w:w="5000" w:type="pct"/>
            <w:gridSpan w:val="3"/>
            <w:vAlign w:val="center"/>
          </w:tcPr>
          <w:p w:rsidR="00393169" w:rsidRPr="00E04E16" w:rsidRDefault="00393169" w:rsidP="00843D24">
            <w:pPr>
              <w:pStyle w:val="TableText"/>
              <w:keepLines/>
              <w:ind w:right="-71"/>
              <w:rPr>
                <w:b/>
              </w:rPr>
            </w:pPr>
            <w:r w:rsidRPr="00E04E16">
              <w:rPr>
                <w:b/>
              </w:rPr>
              <w:t xml:space="preserve">Context and intended use </w:t>
            </w:r>
          </w:p>
        </w:tc>
      </w:tr>
      <w:tr w:rsidR="00393169" w:rsidRPr="00E04E16" w:rsidTr="00393169">
        <w:tc>
          <w:tcPr>
            <w:tcW w:w="784" w:type="pct"/>
            <w:vAlign w:val="center"/>
          </w:tcPr>
          <w:p w:rsidR="00393169" w:rsidRPr="00E04E16" w:rsidRDefault="00393169" w:rsidP="00843D24">
            <w:pPr>
              <w:pStyle w:val="TableText"/>
              <w:keepLines/>
            </w:pPr>
            <w:r w:rsidRPr="00E04E16">
              <w:t>Requested restriction</w:t>
            </w:r>
          </w:p>
        </w:tc>
        <w:tc>
          <w:tcPr>
            <w:tcW w:w="2108" w:type="pct"/>
            <w:shd w:val="clear" w:color="auto" w:fill="auto"/>
          </w:tcPr>
          <w:p w:rsidR="00393169" w:rsidRPr="00E04E16" w:rsidRDefault="00393169" w:rsidP="00843D24">
            <w:pPr>
              <w:pStyle w:val="Tabletext0"/>
              <w:keepLines/>
              <w:spacing w:before="0" w:after="0"/>
              <w:ind w:right="-71"/>
            </w:pPr>
            <w:r w:rsidRPr="00E04E16">
              <w:t>The PBAC considered future proposed restrictions would need to:</w:t>
            </w:r>
          </w:p>
          <w:p w:rsidR="00393169" w:rsidRPr="00E04E16" w:rsidRDefault="00393169" w:rsidP="00843D24">
            <w:pPr>
              <w:pStyle w:val="Tabletext0"/>
              <w:keepLines/>
              <w:numPr>
                <w:ilvl w:val="0"/>
                <w:numId w:val="11"/>
              </w:numPr>
              <w:spacing w:before="0" w:after="0"/>
              <w:ind w:left="80" w:right="-71" w:hanging="77"/>
            </w:pPr>
            <w:r w:rsidRPr="00E04E16">
              <w:t>clearly define hyperkalaemia as a clinical criterion;</w:t>
            </w:r>
          </w:p>
          <w:p w:rsidR="00393169" w:rsidRPr="00E04E16" w:rsidRDefault="00393169" w:rsidP="00843D24">
            <w:pPr>
              <w:pStyle w:val="Tabletext0"/>
              <w:keepLines/>
              <w:numPr>
                <w:ilvl w:val="0"/>
                <w:numId w:val="11"/>
              </w:numPr>
              <w:spacing w:before="0" w:after="0"/>
              <w:ind w:left="80" w:right="-71" w:hanging="77"/>
            </w:pPr>
            <w:r w:rsidRPr="00E04E16">
              <w:t>restrict use to patients with CKD stage 3-4 only. Patients with end stage kidney disease or those receiving dialysis should not initiate or continue patiromer treatment;</w:t>
            </w:r>
          </w:p>
          <w:p w:rsidR="00393169" w:rsidRPr="00E04E16" w:rsidRDefault="00393169" w:rsidP="00843D24">
            <w:pPr>
              <w:pStyle w:val="Tabletext0"/>
              <w:keepLines/>
              <w:numPr>
                <w:ilvl w:val="0"/>
                <w:numId w:val="11"/>
              </w:numPr>
              <w:spacing w:before="0" w:after="0"/>
              <w:ind w:left="80" w:right="-71" w:hanging="77"/>
            </w:pPr>
            <w:r w:rsidRPr="00E04E16">
              <w:t>limit use to patients with chronic or recurrent hyperkalaemia (as a single episode of hyperkalaemia might not represent chronic disease);</w:t>
            </w:r>
          </w:p>
          <w:p w:rsidR="00393169" w:rsidRPr="00E04E16" w:rsidRDefault="00393169" w:rsidP="00843D24">
            <w:pPr>
              <w:pStyle w:val="Tabletext0"/>
              <w:keepLines/>
              <w:numPr>
                <w:ilvl w:val="0"/>
                <w:numId w:val="11"/>
              </w:numPr>
              <w:spacing w:before="0" w:after="0"/>
              <w:ind w:left="80" w:right="-71" w:hanging="77"/>
            </w:pPr>
            <w:r w:rsidRPr="00E04E16">
              <w:t>limit use to patients who are eligible for and remain on RAASi therapy;</w:t>
            </w:r>
          </w:p>
          <w:p w:rsidR="00393169" w:rsidRPr="00E04E16" w:rsidRDefault="00393169" w:rsidP="00843D24">
            <w:pPr>
              <w:pStyle w:val="Tabletext0"/>
              <w:keepLines/>
              <w:numPr>
                <w:ilvl w:val="0"/>
                <w:numId w:val="11"/>
              </w:numPr>
              <w:spacing w:before="0" w:after="0"/>
              <w:ind w:left="80" w:right="-71" w:hanging="77"/>
            </w:pPr>
            <w:r w:rsidRPr="00E04E16">
              <w:t>incorporate a stopping rule;</w:t>
            </w:r>
          </w:p>
          <w:p w:rsidR="00393169" w:rsidRPr="00E04E16" w:rsidRDefault="00393169" w:rsidP="00843D24">
            <w:pPr>
              <w:pStyle w:val="Tabletext0"/>
              <w:keepLines/>
              <w:numPr>
                <w:ilvl w:val="0"/>
                <w:numId w:val="11"/>
              </w:numPr>
              <w:spacing w:before="0" w:after="0"/>
              <w:ind w:left="80" w:right="-71" w:hanging="77"/>
            </w:pPr>
            <w:r w:rsidRPr="00E04E16">
              <w:t>limit prescribing to specialist medical practitioners; and</w:t>
            </w:r>
          </w:p>
          <w:p w:rsidR="00393169" w:rsidRPr="00E04E16" w:rsidRDefault="00393169" w:rsidP="00843D24">
            <w:pPr>
              <w:pStyle w:val="Tabletext0"/>
              <w:keepLines/>
              <w:numPr>
                <w:ilvl w:val="0"/>
                <w:numId w:val="11"/>
              </w:numPr>
              <w:spacing w:before="0" w:after="0"/>
              <w:ind w:left="80" w:right="-71" w:hanging="77"/>
              <w:rPr>
                <w:bCs/>
                <w:kern w:val="24"/>
              </w:rPr>
            </w:pPr>
            <w:r w:rsidRPr="00E04E16">
              <w:t>request an Authority Required (telephone) listing.</w:t>
            </w:r>
            <w:r w:rsidRPr="00E04E16">
              <w:rPr>
                <w:bCs/>
                <w:kern w:val="24"/>
              </w:rPr>
              <w:t xml:space="preserve"> </w:t>
            </w:r>
          </w:p>
          <w:p w:rsidR="00393169" w:rsidRPr="00E04E16" w:rsidRDefault="00393169" w:rsidP="00843D24">
            <w:pPr>
              <w:pStyle w:val="TableText"/>
              <w:keepLines/>
              <w:ind w:right="-71"/>
              <w:rPr>
                <w:rFonts w:eastAsia="Times New Roman" w:cs="Arial"/>
                <w:bCs w:val="0"/>
                <w:snapToGrid w:val="0"/>
                <w:szCs w:val="20"/>
              </w:rPr>
            </w:pPr>
            <w:r w:rsidRPr="00E04E16">
              <w:t>(para. 7.5, Patiromer Public Summary Document, November 2019 PBAC meeting)</w:t>
            </w:r>
          </w:p>
        </w:tc>
        <w:tc>
          <w:tcPr>
            <w:tcW w:w="2108" w:type="pct"/>
          </w:tcPr>
          <w:p w:rsidR="00393169" w:rsidRPr="00E04E16" w:rsidRDefault="00393169" w:rsidP="00843D24">
            <w:pPr>
              <w:pStyle w:val="Tabletext0"/>
              <w:keepLines/>
              <w:spacing w:before="0" w:after="0"/>
              <w:ind w:right="-71"/>
            </w:pPr>
            <w:r w:rsidRPr="00E04E16">
              <w:t>The proposed PBS restriction is consistent with Australian practice and:</w:t>
            </w:r>
          </w:p>
          <w:p w:rsidR="00393169" w:rsidRPr="00E04E16" w:rsidRDefault="00393169" w:rsidP="00843D24">
            <w:pPr>
              <w:pStyle w:val="Tabletext0"/>
              <w:keepLines/>
              <w:numPr>
                <w:ilvl w:val="0"/>
                <w:numId w:val="11"/>
              </w:numPr>
              <w:spacing w:before="0" w:after="0"/>
              <w:ind w:left="80" w:right="-71" w:hanging="77"/>
            </w:pPr>
            <w:r w:rsidRPr="00E04E16">
              <w:t>limits treatment initiation to patients who have experienced &gt; 1 episodes of serum K+ ≥ 6.0 mmol/L in the previous 12 months;</w:t>
            </w:r>
          </w:p>
          <w:p w:rsidR="00393169" w:rsidRPr="00E04E16" w:rsidRDefault="00393169" w:rsidP="00843D24">
            <w:pPr>
              <w:pStyle w:val="Tabletext0"/>
              <w:keepLines/>
              <w:numPr>
                <w:ilvl w:val="0"/>
                <w:numId w:val="11"/>
              </w:numPr>
              <w:spacing w:before="0" w:after="0"/>
              <w:ind w:left="80" w:right="-71" w:hanging="77"/>
            </w:pPr>
            <w:r w:rsidRPr="00E04E16">
              <w:t>limits treatment initiation to patients with CKD Stage 3 - 4 only</w:t>
            </w:r>
            <w:r w:rsidR="00880CE9" w:rsidRPr="00E04E16">
              <w:t>, who are eligible for and remain on RAASi therapy</w:t>
            </w:r>
            <w:r w:rsidRPr="00E04E16">
              <w:t>;</w:t>
            </w:r>
          </w:p>
          <w:p w:rsidR="00393169" w:rsidRPr="00E04E16" w:rsidRDefault="00393169" w:rsidP="00843D24">
            <w:pPr>
              <w:pStyle w:val="Tabletext0"/>
              <w:keepLines/>
              <w:numPr>
                <w:ilvl w:val="0"/>
                <w:numId w:val="11"/>
              </w:numPr>
              <w:spacing w:before="0" w:after="0"/>
              <w:ind w:left="80" w:right="-71" w:hanging="77"/>
            </w:pPr>
            <w:r w:rsidRPr="00E04E16">
              <w:t>limits prescribing to specialist medical practitioners; and</w:t>
            </w:r>
          </w:p>
          <w:p w:rsidR="00393169" w:rsidRPr="00E04E16" w:rsidRDefault="00393169" w:rsidP="00843D24">
            <w:pPr>
              <w:pStyle w:val="Tabletext0"/>
              <w:keepLines/>
              <w:numPr>
                <w:ilvl w:val="0"/>
                <w:numId w:val="11"/>
              </w:numPr>
              <w:spacing w:before="0" w:after="0"/>
              <w:ind w:left="80" w:right="-71" w:hanging="77"/>
            </w:pPr>
            <w:r w:rsidRPr="00E04E16">
              <w:t xml:space="preserve">requests a restriction level of Authority Required (telephone) for treatment initiation. </w:t>
            </w:r>
          </w:p>
          <w:p w:rsidR="00393169" w:rsidRPr="00E04E16" w:rsidRDefault="00393169" w:rsidP="00843D24">
            <w:pPr>
              <w:pStyle w:val="Tabletext0"/>
              <w:keepLines/>
              <w:spacing w:before="0" w:after="0"/>
              <w:ind w:left="28" w:right="-71"/>
              <w:rPr>
                <w:i/>
              </w:rPr>
            </w:pPr>
            <w:r w:rsidRPr="00E04E16">
              <w:t>The proposed restriction does not include a stopping rule, and allows continuing treatment of patients with ESKD with or without dialysis.</w:t>
            </w:r>
          </w:p>
        </w:tc>
      </w:tr>
      <w:tr w:rsidR="00393169" w:rsidRPr="00E04E16" w:rsidTr="00393169">
        <w:tc>
          <w:tcPr>
            <w:tcW w:w="784" w:type="pct"/>
            <w:vAlign w:val="center"/>
          </w:tcPr>
          <w:p w:rsidR="00393169" w:rsidRPr="00E04E16" w:rsidRDefault="00393169" w:rsidP="00393169">
            <w:pPr>
              <w:pStyle w:val="TableText"/>
              <w:keepNext w:val="0"/>
            </w:pPr>
            <w:r w:rsidRPr="00E04E16">
              <w:t>Comparator</w:t>
            </w:r>
          </w:p>
        </w:tc>
        <w:tc>
          <w:tcPr>
            <w:tcW w:w="2108" w:type="pct"/>
          </w:tcPr>
          <w:p w:rsidR="00393169" w:rsidRPr="00E04E16" w:rsidRDefault="00393169" w:rsidP="00393169">
            <w:pPr>
              <w:pStyle w:val="Tabletext0"/>
              <w:keepNext w:val="0"/>
              <w:spacing w:before="0" w:after="0"/>
              <w:ind w:right="-71"/>
            </w:pPr>
            <w:r w:rsidRPr="00E04E16">
              <w:t xml:space="preserve">The PBAC considered the comparator was poorly defined and did not specifically address diet modification or medication management, and that the intermittent use of </w:t>
            </w:r>
            <w:r w:rsidRPr="00E04E16">
              <w:rPr>
                <w:rFonts w:cs="Calibri"/>
                <w:szCs w:val="24"/>
                <w:lang w:eastAsia="en-AU"/>
              </w:rPr>
              <w:t>sodium polystyrene sulfonate</w:t>
            </w:r>
            <w:r w:rsidRPr="00E04E16">
              <w:t xml:space="preserve"> </w:t>
            </w:r>
            <w:r w:rsidR="002C2C8F" w:rsidRPr="00E04E16">
              <w:t xml:space="preserve">(SPS) </w:t>
            </w:r>
            <w:r w:rsidRPr="00E04E16">
              <w:t>an appropriate comparator (para 7.6, Patiromer Public Summary Document, November 2019 PBAC meeting).</w:t>
            </w:r>
          </w:p>
        </w:tc>
        <w:tc>
          <w:tcPr>
            <w:tcW w:w="2108" w:type="pct"/>
          </w:tcPr>
          <w:p w:rsidR="00393169" w:rsidRPr="00E04E16" w:rsidRDefault="00393169" w:rsidP="00393169">
            <w:pPr>
              <w:pStyle w:val="TableText"/>
              <w:keepNext w:val="0"/>
              <w:ind w:right="-71"/>
            </w:pPr>
            <w:r w:rsidRPr="00E04E16">
              <w:t xml:space="preserve">The resubmission did not change the nominated comparator but noted that standard care, with or without patiromer, includes diet modification and RAASi therapies. </w:t>
            </w:r>
          </w:p>
          <w:p w:rsidR="00393169" w:rsidRPr="00E04E16" w:rsidRDefault="00393169" w:rsidP="00393169">
            <w:pPr>
              <w:pStyle w:val="TableText"/>
              <w:keepNext w:val="0"/>
              <w:ind w:right="-71"/>
              <w:rPr>
                <w:rFonts w:eastAsia="Times New Roman" w:cs="Arial"/>
                <w:bCs w:val="0"/>
                <w:i/>
                <w:snapToGrid w:val="0"/>
                <w:szCs w:val="20"/>
              </w:rPr>
            </w:pPr>
            <w:r w:rsidRPr="00E04E16">
              <w:t>The resubmission argued that SPS is not an appropriate comparator.</w:t>
            </w:r>
          </w:p>
        </w:tc>
      </w:tr>
      <w:tr w:rsidR="00393169" w:rsidRPr="00E04E16" w:rsidTr="00393169">
        <w:trPr>
          <w:trHeight w:val="97"/>
        </w:trPr>
        <w:tc>
          <w:tcPr>
            <w:tcW w:w="5000" w:type="pct"/>
            <w:gridSpan w:val="3"/>
          </w:tcPr>
          <w:p w:rsidR="00393169" w:rsidRPr="00E04E16" w:rsidRDefault="00393169" w:rsidP="00393169">
            <w:pPr>
              <w:pStyle w:val="TableText"/>
              <w:keepNext w:val="0"/>
              <w:ind w:right="-71"/>
              <w:rPr>
                <w:b/>
              </w:rPr>
            </w:pPr>
            <w:r w:rsidRPr="00E04E16">
              <w:rPr>
                <w:b/>
              </w:rPr>
              <w:t>Clinical evidence</w:t>
            </w:r>
          </w:p>
        </w:tc>
      </w:tr>
      <w:tr w:rsidR="00393169" w:rsidRPr="00E04E16" w:rsidTr="00393169">
        <w:trPr>
          <w:trHeight w:val="2092"/>
        </w:trPr>
        <w:tc>
          <w:tcPr>
            <w:tcW w:w="784" w:type="pct"/>
            <w:vAlign w:val="center"/>
          </w:tcPr>
          <w:p w:rsidR="00393169" w:rsidRPr="00E04E16" w:rsidRDefault="00393169" w:rsidP="00393169">
            <w:pPr>
              <w:pStyle w:val="TableText"/>
              <w:keepNext w:val="0"/>
            </w:pPr>
            <w:r w:rsidRPr="00E04E16">
              <w:t>Efficacy of patiromer</w:t>
            </w:r>
          </w:p>
        </w:tc>
        <w:tc>
          <w:tcPr>
            <w:tcW w:w="2108" w:type="pct"/>
          </w:tcPr>
          <w:p w:rsidR="00393169" w:rsidRPr="00E04E16" w:rsidRDefault="00393169" w:rsidP="00393169">
            <w:pPr>
              <w:pStyle w:val="Tabletext0"/>
              <w:keepNext w:val="0"/>
              <w:spacing w:before="0" w:after="0"/>
              <w:ind w:right="-71"/>
            </w:pPr>
            <w:r w:rsidRPr="00E04E16">
              <w:t>The PBAC considered that the effects of patiromer are modest</w:t>
            </w:r>
            <w:r w:rsidR="0079285F" w:rsidRPr="00E04E16">
              <w:t>,</w:t>
            </w:r>
            <w:r w:rsidRPr="00E04E16">
              <w:t xml:space="preserve"> the clinical relevance of the observed changes was unknown, and that the data did not adequately support the submission’s claim of long-term efficacy. The PBAC also noted that an incremental benefit versus intermittent use of SPS was not demonstrated (para 7.8 and7.10, Patiromer Public Summary Document, November 2019 PBAC meeting).</w:t>
            </w:r>
          </w:p>
        </w:tc>
        <w:tc>
          <w:tcPr>
            <w:tcW w:w="2108" w:type="pct"/>
          </w:tcPr>
          <w:p w:rsidR="00393169" w:rsidRPr="00E04E16" w:rsidRDefault="00393169" w:rsidP="00393169">
            <w:pPr>
              <w:pStyle w:val="Tabletext0"/>
              <w:keepNext w:val="0"/>
              <w:spacing w:before="0" w:after="0"/>
              <w:ind w:right="-71"/>
            </w:pPr>
            <w:r w:rsidRPr="00E04E16">
              <w:t>The resubmission argued that the clinical evidence demonstrate</w:t>
            </w:r>
            <w:r w:rsidR="0079285F" w:rsidRPr="00E04E16">
              <w:t>s</w:t>
            </w:r>
            <w:r w:rsidRPr="00E04E16">
              <w:t xml:space="preserve"> the efficacy of patiromer,</w:t>
            </w:r>
            <w:r w:rsidR="0079285F" w:rsidRPr="00E04E16">
              <w:t xml:space="preserve"> and is</w:t>
            </w:r>
            <w:r w:rsidRPr="00E04E16">
              <w:t xml:space="preserve"> supported by the results of the Australian </w:t>
            </w:r>
            <w:r w:rsidR="00A80577" w:rsidRPr="00E04E16">
              <w:t>clinician s</w:t>
            </w:r>
            <w:r w:rsidRPr="00E04E16">
              <w:t>urvey.</w:t>
            </w:r>
            <w:r w:rsidR="00DD52EC" w:rsidRPr="00E04E16">
              <w:t xml:space="preserve"> </w:t>
            </w:r>
            <w:r w:rsidRPr="00E04E16">
              <w:t>The resubmission acknowledged that real-world evidence from the US shows the average treatment duration is considerably less than one year</w:t>
            </w:r>
            <w:r w:rsidR="00E04E16">
              <w:t xml:space="preserve">. </w:t>
            </w:r>
          </w:p>
          <w:p w:rsidR="00393169" w:rsidRPr="00E04E16" w:rsidRDefault="00393169" w:rsidP="00393169">
            <w:pPr>
              <w:pStyle w:val="TableText"/>
              <w:keepNext w:val="0"/>
              <w:ind w:right="-71"/>
              <w:rPr>
                <w:u w:val="single"/>
              </w:rPr>
            </w:pPr>
            <w:r w:rsidRPr="00E04E16">
              <w:t>No comparison with SPS was presented.</w:t>
            </w:r>
          </w:p>
        </w:tc>
      </w:tr>
      <w:tr w:rsidR="00393169" w:rsidRPr="00E04E16" w:rsidTr="00393169">
        <w:trPr>
          <w:trHeight w:val="1004"/>
        </w:trPr>
        <w:tc>
          <w:tcPr>
            <w:tcW w:w="784" w:type="pct"/>
            <w:vAlign w:val="center"/>
          </w:tcPr>
          <w:p w:rsidR="00393169" w:rsidRPr="00E04E16" w:rsidRDefault="00393169" w:rsidP="00393169">
            <w:pPr>
              <w:pStyle w:val="TableText"/>
              <w:keepNext w:val="0"/>
            </w:pPr>
            <w:r w:rsidRPr="00E04E16">
              <w:lastRenderedPageBreak/>
              <w:t>Monitoring</w:t>
            </w:r>
          </w:p>
        </w:tc>
        <w:tc>
          <w:tcPr>
            <w:tcW w:w="2108" w:type="pct"/>
          </w:tcPr>
          <w:p w:rsidR="00393169" w:rsidRPr="00E04E16" w:rsidRDefault="00393169" w:rsidP="00393169">
            <w:pPr>
              <w:pStyle w:val="Tabletext0"/>
              <w:keepNext w:val="0"/>
              <w:spacing w:before="0" w:after="0"/>
              <w:ind w:right="-71"/>
              <w:rPr>
                <w:rFonts w:cs="Arial"/>
              </w:rPr>
            </w:pPr>
            <w:r w:rsidRPr="00E04E16">
              <w:t>The PBAC noted that intensive monitoring and titration used in OPAL-HK Part B differed between arms</w:t>
            </w:r>
            <w:r w:rsidRPr="00E04E16">
              <w:rPr>
                <w:rFonts w:cs="Arial"/>
              </w:rPr>
              <w:t xml:space="preserve"> </w:t>
            </w:r>
            <w:r w:rsidRPr="00E04E16">
              <w:t>and that</w:t>
            </w:r>
            <w:r w:rsidRPr="00E04E16">
              <w:rPr>
                <w:rFonts w:cs="Arial"/>
              </w:rPr>
              <w:t xml:space="preserve"> </w:t>
            </w:r>
            <w:r w:rsidRPr="00E04E16">
              <w:t>down-titration of RAASi therapies was only permitted in the patiromer arm after the maximum dose (50.4 g/d) was exceeded</w:t>
            </w:r>
            <w:r w:rsidRPr="00E04E16">
              <w:rPr>
                <w:rFonts w:cs="Arial"/>
              </w:rPr>
              <w:t xml:space="preserve"> </w:t>
            </w:r>
            <w:r w:rsidRPr="00E04E16">
              <w:t>(para 7.9, Patiromer Public Summary Document, November 2019 PBAC meeting)</w:t>
            </w:r>
          </w:p>
        </w:tc>
        <w:tc>
          <w:tcPr>
            <w:tcW w:w="2108" w:type="pct"/>
          </w:tcPr>
          <w:p w:rsidR="00393169" w:rsidRPr="00E04E16" w:rsidRDefault="00393169" w:rsidP="00A80577">
            <w:pPr>
              <w:pStyle w:val="Tabletext0"/>
              <w:keepNext w:val="0"/>
              <w:spacing w:before="0" w:after="0"/>
              <w:ind w:right="-71"/>
              <w:rPr>
                <w:rFonts w:cs="Arial"/>
              </w:rPr>
            </w:pPr>
            <w:r w:rsidRPr="00E04E16">
              <w:t xml:space="preserve">The resubmission argued that the titration algorithms in OPAL-HK study were consistent with clinical guidelines, Australian </w:t>
            </w:r>
            <w:r w:rsidR="00A80577" w:rsidRPr="00E04E16">
              <w:t>clinician s</w:t>
            </w:r>
            <w:r w:rsidRPr="00E04E16">
              <w:t>urvey results and the approved patiromer Product Information.</w:t>
            </w:r>
          </w:p>
        </w:tc>
      </w:tr>
      <w:tr w:rsidR="00393169" w:rsidRPr="00E04E16" w:rsidTr="00393169">
        <w:trPr>
          <w:trHeight w:val="2168"/>
        </w:trPr>
        <w:tc>
          <w:tcPr>
            <w:tcW w:w="784" w:type="pct"/>
            <w:vAlign w:val="center"/>
          </w:tcPr>
          <w:p w:rsidR="00393169" w:rsidRPr="00E04E16" w:rsidRDefault="00393169" w:rsidP="00393169">
            <w:pPr>
              <w:pStyle w:val="TableText"/>
              <w:keepNext w:val="0"/>
            </w:pPr>
            <w:r w:rsidRPr="00E04E16">
              <w:t>Clinical claim</w:t>
            </w:r>
          </w:p>
        </w:tc>
        <w:tc>
          <w:tcPr>
            <w:tcW w:w="2108" w:type="pct"/>
          </w:tcPr>
          <w:p w:rsidR="00393169" w:rsidRPr="00E04E16" w:rsidRDefault="00393169" w:rsidP="00393169">
            <w:pPr>
              <w:pStyle w:val="Tabletext0"/>
              <w:keepNext w:val="0"/>
              <w:spacing w:before="0" w:after="0"/>
              <w:ind w:right="-71"/>
            </w:pPr>
            <w:r w:rsidRPr="00E04E16">
              <w:t>The PBAC noted the claim of optimal treatment with RAASi therapies relied on exploratory outcomes from the OPAL-HK, with a likely risk of bias that favoured patiromer (para 7.8, Patiromer Public Summary Document, November 2019 PBAC meeting).</w:t>
            </w:r>
          </w:p>
          <w:p w:rsidR="00393169" w:rsidRPr="00E04E16" w:rsidRDefault="00393169" w:rsidP="00393169">
            <w:pPr>
              <w:pStyle w:val="Tabletext0"/>
              <w:keepNext w:val="0"/>
              <w:spacing w:before="0" w:after="0"/>
              <w:ind w:right="-71"/>
            </w:pPr>
            <w:r w:rsidRPr="00E04E16">
              <w:t>The PBAC considered the risks of hypokalaemia and hypomagnesaemia should have been addressed (para 7.11, Patiromer Public Summary Document, November 2019 PBAC meeting).</w:t>
            </w:r>
          </w:p>
        </w:tc>
        <w:tc>
          <w:tcPr>
            <w:tcW w:w="2108" w:type="pct"/>
          </w:tcPr>
          <w:p w:rsidR="00393169" w:rsidRPr="00E04E16" w:rsidRDefault="00393169" w:rsidP="00393169">
            <w:pPr>
              <w:pStyle w:val="TableText"/>
              <w:keepNext w:val="0"/>
              <w:ind w:right="-71"/>
            </w:pPr>
            <w:r w:rsidRPr="00E04E16">
              <w:t>See above.</w:t>
            </w:r>
          </w:p>
          <w:p w:rsidR="00393169" w:rsidRPr="00E04E16" w:rsidRDefault="00393169" w:rsidP="00393169">
            <w:pPr>
              <w:pStyle w:val="TableText"/>
              <w:keepNext w:val="0"/>
              <w:ind w:right="-71"/>
            </w:pPr>
          </w:p>
          <w:p w:rsidR="00393169" w:rsidRPr="00E04E16" w:rsidRDefault="00393169" w:rsidP="00393169">
            <w:pPr>
              <w:pStyle w:val="TableText"/>
              <w:keepNext w:val="0"/>
              <w:ind w:right="-71"/>
            </w:pPr>
            <w:r w:rsidRPr="00E04E16">
              <w:t>The risk of hypokalaemia and hypomagnesaemia were not addressed in the resubmission.</w:t>
            </w:r>
          </w:p>
        </w:tc>
      </w:tr>
      <w:tr w:rsidR="00393169" w:rsidRPr="00E04E16" w:rsidTr="00393169">
        <w:trPr>
          <w:trHeight w:val="97"/>
        </w:trPr>
        <w:tc>
          <w:tcPr>
            <w:tcW w:w="5000" w:type="pct"/>
            <w:gridSpan w:val="3"/>
          </w:tcPr>
          <w:p w:rsidR="00393169" w:rsidRPr="00E04E16" w:rsidRDefault="00393169" w:rsidP="00393169">
            <w:pPr>
              <w:pStyle w:val="TableText"/>
              <w:keepNext w:val="0"/>
              <w:ind w:right="-71"/>
              <w:rPr>
                <w:b/>
              </w:rPr>
            </w:pPr>
            <w:r w:rsidRPr="00E04E16">
              <w:rPr>
                <w:b/>
              </w:rPr>
              <w:t>Economic model</w:t>
            </w:r>
          </w:p>
        </w:tc>
      </w:tr>
      <w:tr w:rsidR="00393169" w:rsidRPr="00E04E16" w:rsidTr="00393169">
        <w:trPr>
          <w:trHeight w:val="60"/>
        </w:trPr>
        <w:tc>
          <w:tcPr>
            <w:tcW w:w="784" w:type="pct"/>
            <w:vAlign w:val="center"/>
          </w:tcPr>
          <w:p w:rsidR="00393169" w:rsidRPr="00E04E16" w:rsidRDefault="00393169" w:rsidP="00393169">
            <w:pPr>
              <w:pStyle w:val="TableText"/>
              <w:keepNext w:val="0"/>
            </w:pPr>
            <w:r w:rsidRPr="00E04E16">
              <w:t>Hyperkalaemia events</w:t>
            </w:r>
          </w:p>
        </w:tc>
        <w:tc>
          <w:tcPr>
            <w:tcW w:w="2108" w:type="pct"/>
          </w:tcPr>
          <w:p w:rsidR="00393169" w:rsidRPr="00E04E16" w:rsidRDefault="00393169" w:rsidP="00393169">
            <w:pPr>
              <w:pStyle w:val="Tabletext0"/>
              <w:keepNext w:val="0"/>
              <w:spacing w:before="0" w:after="0"/>
              <w:rPr>
                <w:rFonts w:eastAsia="Times New Roman"/>
              </w:rPr>
            </w:pPr>
            <w:r w:rsidRPr="00E04E16">
              <w:rPr>
                <w:rFonts w:eastAsia="Times New Roman"/>
              </w:rPr>
              <w:t>The PBAC considered the key driver of the model (reduction in hyperkalaemia events) was inappropriate, and did not align with the rationale for listing (optimal RAASi therapy), and that the incidence of hyperkalaemia did not influence the use of hyperkalaemia treatments or RAASi therapy (</w:t>
            </w:r>
            <w:r w:rsidRPr="00E04E16">
              <w:t>para 7.13, Patiromer Public Summary Document, November 2019 PBAC meeting</w:t>
            </w:r>
            <w:r w:rsidRPr="00E04E16">
              <w:rPr>
                <w:rFonts w:eastAsia="Times New Roman"/>
              </w:rPr>
              <w:t>).</w:t>
            </w:r>
          </w:p>
        </w:tc>
        <w:tc>
          <w:tcPr>
            <w:tcW w:w="2108" w:type="pct"/>
          </w:tcPr>
          <w:p w:rsidR="00393169" w:rsidRPr="00E04E16" w:rsidRDefault="00393169" w:rsidP="00393169">
            <w:pPr>
              <w:pStyle w:val="TableText"/>
              <w:keepNext w:val="0"/>
              <w:ind w:right="-71"/>
              <w:rPr>
                <w:u w:val="single"/>
              </w:rPr>
            </w:pPr>
            <w:r w:rsidRPr="00E04E16">
              <w:rPr>
                <w:rFonts w:eastAsia="Times New Roman"/>
              </w:rPr>
              <w:t>Health states in the current model are defined by CKD stage and serum potassium categories (&lt;5.5, 5.5-6.0, &gt; 6.0 mmol/L), with the la</w:t>
            </w:r>
            <w:r w:rsidR="00EA21BA" w:rsidRPr="00E04E16">
              <w:rPr>
                <w:rFonts w:eastAsia="Times New Roman"/>
              </w:rPr>
              <w:t>t</w:t>
            </w:r>
            <w:r w:rsidRPr="00E04E16">
              <w:rPr>
                <w:rFonts w:eastAsia="Times New Roman"/>
              </w:rPr>
              <w:t>ter determining RAASi use</w:t>
            </w:r>
            <w:r w:rsidR="00E04E16">
              <w:rPr>
                <w:rFonts w:eastAsia="Times New Roman"/>
              </w:rPr>
              <w:t xml:space="preserve">. </w:t>
            </w:r>
            <w:r w:rsidRPr="00E04E16">
              <w:rPr>
                <w:rFonts w:eastAsia="Times New Roman"/>
              </w:rPr>
              <w:t>Hyperkalaemia is not an explicit event in the current model.</w:t>
            </w:r>
          </w:p>
        </w:tc>
      </w:tr>
      <w:tr w:rsidR="00393169" w:rsidRPr="00E04E16" w:rsidTr="00393169">
        <w:trPr>
          <w:trHeight w:val="60"/>
        </w:trPr>
        <w:tc>
          <w:tcPr>
            <w:tcW w:w="784" w:type="pct"/>
            <w:vAlign w:val="center"/>
          </w:tcPr>
          <w:p w:rsidR="00393169" w:rsidRPr="00E04E16" w:rsidRDefault="00393169" w:rsidP="00393169">
            <w:pPr>
              <w:pStyle w:val="TableText"/>
              <w:keepNext w:val="0"/>
            </w:pPr>
            <w:r w:rsidRPr="00E04E16">
              <w:t>Mortality</w:t>
            </w:r>
          </w:p>
        </w:tc>
        <w:tc>
          <w:tcPr>
            <w:tcW w:w="2108" w:type="pct"/>
          </w:tcPr>
          <w:p w:rsidR="00393169" w:rsidRPr="00E04E16" w:rsidRDefault="00393169" w:rsidP="00393169">
            <w:pPr>
              <w:pStyle w:val="Tabletext0"/>
              <w:keepNext w:val="0"/>
              <w:spacing w:before="0" w:after="0"/>
              <w:ind w:right="-71"/>
            </w:pPr>
            <w:r w:rsidRPr="00E04E16">
              <w:rPr>
                <w:rFonts w:eastAsia="Times New Roman"/>
              </w:rPr>
              <w:t>The PBAC considered the overall rate of mortality was substantially overestimated due to the potential for double/triple counting between categories (</w:t>
            </w:r>
            <w:r w:rsidRPr="00E04E16">
              <w:t>para 7.15, Patiromer Public Summary Document, November 2019 PBAC meeting</w:t>
            </w:r>
            <w:r w:rsidRPr="00E04E16">
              <w:rPr>
                <w:rFonts w:eastAsia="Times New Roman"/>
              </w:rPr>
              <w:t>).</w:t>
            </w:r>
          </w:p>
        </w:tc>
        <w:tc>
          <w:tcPr>
            <w:tcW w:w="2108" w:type="pct"/>
          </w:tcPr>
          <w:p w:rsidR="00393169" w:rsidRPr="00E04E16" w:rsidRDefault="00393169" w:rsidP="00393169">
            <w:pPr>
              <w:pStyle w:val="TableText"/>
              <w:keepNext w:val="0"/>
              <w:ind w:right="-71"/>
              <w:rPr>
                <w:u w:val="single"/>
              </w:rPr>
            </w:pPr>
            <w:r w:rsidRPr="00E04E16">
              <w:rPr>
                <w:rFonts w:eastAsia="Times New Roman"/>
              </w:rPr>
              <w:t>Overall mortality risk</w:t>
            </w:r>
            <w:r w:rsidR="00475778" w:rsidRPr="00E04E16">
              <w:rPr>
                <w:rFonts w:eastAsia="Times New Roman"/>
              </w:rPr>
              <w:t xml:space="preserve"> is</w:t>
            </w:r>
            <w:r w:rsidRPr="00E04E16">
              <w:rPr>
                <w:rFonts w:eastAsia="Times New Roman"/>
              </w:rPr>
              <w:t xml:space="preserve"> calculated for each health state by cycle</w:t>
            </w:r>
            <w:r w:rsidR="00475778" w:rsidRPr="00E04E16">
              <w:rPr>
                <w:rFonts w:eastAsia="Times New Roman"/>
              </w:rPr>
              <w:t>,</w:t>
            </w:r>
            <w:r w:rsidRPr="00E04E16">
              <w:rPr>
                <w:rFonts w:eastAsia="Times New Roman"/>
              </w:rPr>
              <w:t xml:space="preserve"> based on general population mortality with standardised mortality ratios applied for CKD stage, and case-fatality risk of a cardiovascular event.</w:t>
            </w:r>
            <w:r w:rsidR="00EA21BA" w:rsidRPr="00E04E16">
              <w:rPr>
                <w:rFonts w:eastAsia="Times New Roman"/>
              </w:rPr>
              <w:t xml:space="preserve"> Hyperkalaemia is not associated with additional mortality.</w:t>
            </w:r>
          </w:p>
        </w:tc>
      </w:tr>
      <w:tr w:rsidR="00393169" w:rsidRPr="00E04E16" w:rsidTr="00393169">
        <w:trPr>
          <w:trHeight w:val="60"/>
        </w:trPr>
        <w:tc>
          <w:tcPr>
            <w:tcW w:w="784" w:type="pct"/>
            <w:vAlign w:val="center"/>
          </w:tcPr>
          <w:p w:rsidR="00393169" w:rsidRPr="00E04E16" w:rsidRDefault="00393169" w:rsidP="00393169">
            <w:pPr>
              <w:pStyle w:val="TableText"/>
              <w:keepNext w:val="0"/>
            </w:pPr>
            <w:r w:rsidRPr="00E04E16">
              <w:t>Adherence</w:t>
            </w:r>
          </w:p>
        </w:tc>
        <w:tc>
          <w:tcPr>
            <w:tcW w:w="2108" w:type="pct"/>
          </w:tcPr>
          <w:p w:rsidR="00393169" w:rsidRPr="00E04E16" w:rsidRDefault="00393169" w:rsidP="00393169">
            <w:pPr>
              <w:pStyle w:val="Tabletext0"/>
              <w:keepNext w:val="0"/>
              <w:spacing w:before="0" w:after="0"/>
              <w:ind w:right="-71"/>
            </w:pPr>
            <w:r w:rsidRPr="00E04E16">
              <w:rPr>
                <w:rFonts w:eastAsia="Times New Roman"/>
              </w:rPr>
              <w:t>The ESC considered the implementation of adherence estimates as a flat reduction in drug costs was inappropriate (</w:t>
            </w:r>
            <w:r w:rsidRPr="00E04E16">
              <w:t>para 6.61, Patiromer Public Summary Document, November 2019 PBAC meeting</w:t>
            </w:r>
            <w:r w:rsidRPr="00E04E16">
              <w:rPr>
                <w:rFonts w:eastAsia="Times New Roman"/>
              </w:rPr>
              <w:t>).</w:t>
            </w:r>
          </w:p>
        </w:tc>
        <w:tc>
          <w:tcPr>
            <w:tcW w:w="2108" w:type="pct"/>
          </w:tcPr>
          <w:p w:rsidR="00393169" w:rsidRPr="00E04E16" w:rsidRDefault="00BF1E05" w:rsidP="001811AF">
            <w:pPr>
              <w:pStyle w:val="TableText"/>
              <w:keepNext w:val="0"/>
              <w:ind w:right="-71"/>
              <w:rPr>
                <w:u w:val="single"/>
              </w:rPr>
            </w:pPr>
            <w:r w:rsidRPr="00E04E16">
              <w:rPr>
                <w:rFonts w:eastAsia="Times New Roman"/>
              </w:rPr>
              <w:t>The resubmission incorporates t</w:t>
            </w:r>
            <w:r w:rsidR="00393169" w:rsidRPr="00E04E16">
              <w:rPr>
                <w:rFonts w:eastAsia="Times New Roman"/>
              </w:rPr>
              <w:t>reatment discontinuation</w:t>
            </w:r>
            <w:r w:rsidRPr="00E04E16">
              <w:rPr>
                <w:rFonts w:eastAsia="Times New Roman"/>
              </w:rPr>
              <w:t xml:space="preserve"> and</w:t>
            </w:r>
            <w:r w:rsidR="00393169" w:rsidRPr="00E04E16">
              <w:rPr>
                <w:rFonts w:eastAsia="Times New Roman"/>
              </w:rPr>
              <w:t xml:space="preserve"> excludes an add</w:t>
            </w:r>
            <w:r w:rsidR="001811AF" w:rsidRPr="00E04E16">
              <w:rPr>
                <w:rFonts w:eastAsia="Times New Roman"/>
              </w:rPr>
              <w:t>itional compliance adjustment. T</w:t>
            </w:r>
            <w:r w:rsidR="00393169" w:rsidRPr="00E04E16">
              <w:rPr>
                <w:rFonts w:eastAsia="Times New Roman"/>
              </w:rPr>
              <w:t>he treatment effects of patiromer are truncated at one year.</w:t>
            </w:r>
          </w:p>
        </w:tc>
      </w:tr>
      <w:tr w:rsidR="00393169" w:rsidRPr="00E04E16" w:rsidTr="00393169">
        <w:trPr>
          <w:trHeight w:val="60"/>
        </w:trPr>
        <w:tc>
          <w:tcPr>
            <w:tcW w:w="784" w:type="pct"/>
            <w:vAlign w:val="center"/>
          </w:tcPr>
          <w:p w:rsidR="00393169" w:rsidRPr="00E04E16" w:rsidRDefault="00393169" w:rsidP="00393169">
            <w:pPr>
              <w:pStyle w:val="TableText"/>
              <w:keepNext w:val="0"/>
            </w:pPr>
            <w:r w:rsidRPr="00E04E16">
              <w:t>RAASi intensity</w:t>
            </w:r>
          </w:p>
        </w:tc>
        <w:tc>
          <w:tcPr>
            <w:tcW w:w="2108" w:type="pct"/>
          </w:tcPr>
          <w:p w:rsidR="00393169" w:rsidRPr="00E04E16" w:rsidRDefault="00393169" w:rsidP="001811AF">
            <w:pPr>
              <w:pStyle w:val="Tabletext0"/>
              <w:keepNext w:val="0"/>
              <w:spacing w:before="0" w:after="0"/>
              <w:ind w:right="-71"/>
            </w:pPr>
            <w:r w:rsidRPr="00E04E16">
              <w:rPr>
                <w:rFonts w:eastAsia="Times New Roman"/>
              </w:rPr>
              <w:t>The ESC noted that the risk of reducing or discontinuing RAASi therapy in the placebo arm was based on the NPS Report, 2017 (≥ 6.0 mmol/L) and the economic model defined hyperkalaemia as ≥5.5 mmol/L overestimating the risk of RAASi change in the placebo arm (</w:t>
            </w:r>
            <w:r w:rsidRPr="00E04E16">
              <w:t>para 6.60, Patiromer Public Summary Document, November 2019 PBAC meeting</w:t>
            </w:r>
            <w:r w:rsidRPr="00E04E16">
              <w:rPr>
                <w:rFonts w:eastAsia="Times New Roman"/>
              </w:rPr>
              <w:t>).</w:t>
            </w:r>
          </w:p>
        </w:tc>
        <w:tc>
          <w:tcPr>
            <w:tcW w:w="2108" w:type="pct"/>
          </w:tcPr>
          <w:p w:rsidR="00393169" w:rsidRPr="00E04E16" w:rsidRDefault="00EA21BA" w:rsidP="001811AF">
            <w:pPr>
              <w:pStyle w:val="TableText"/>
              <w:keepNext w:val="0"/>
              <w:ind w:right="-71"/>
              <w:rPr>
                <w:u w:val="single"/>
              </w:rPr>
            </w:pPr>
            <w:r w:rsidRPr="00E04E16">
              <w:rPr>
                <w:rFonts w:eastAsia="Times New Roman"/>
              </w:rPr>
              <w:t xml:space="preserve">The resubmission claimed that </w:t>
            </w:r>
            <w:r w:rsidR="00393169" w:rsidRPr="00E04E16">
              <w:rPr>
                <w:rFonts w:eastAsia="Times New Roman"/>
              </w:rPr>
              <w:t>RAASi dose reductions by serum K</w:t>
            </w:r>
            <w:r w:rsidR="00393169" w:rsidRPr="00E04E16">
              <w:rPr>
                <w:rFonts w:eastAsia="Times New Roman"/>
                <w:vertAlign w:val="superscript"/>
              </w:rPr>
              <w:t>+</w:t>
            </w:r>
            <w:r w:rsidR="00393169" w:rsidRPr="00E04E16">
              <w:rPr>
                <w:rFonts w:eastAsia="Times New Roman"/>
              </w:rPr>
              <w:t xml:space="preserve"> categories: 0% (&lt;5.5 mmol/L), 50% (5.5-6.0 mmol/L), 100% (&gt;6.0 mmol/L), </w:t>
            </w:r>
            <w:r w:rsidRPr="00E04E16">
              <w:rPr>
                <w:rFonts w:eastAsia="Times New Roman"/>
              </w:rPr>
              <w:t>were</w:t>
            </w:r>
            <w:r w:rsidR="00393169" w:rsidRPr="00E04E16">
              <w:rPr>
                <w:rFonts w:eastAsia="Times New Roman"/>
              </w:rPr>
              <w:t xml:space="preserve"> used in the NICE model and validated in an Australia</w:t>
            </w:r>
            <w:r w:rsidR="00A80577" w:rsidRPr="00E04E16">
              <w:rPr>
                <w:rFonts w:eastAsia="Times New Roman"/>
              </w:rPr>
              <w:t>n clinician</w:t>
            </w:r>
            <w:r w:rsidR="00393169" w:rsidRPr="00E04E16">
              <w:rPr>
                <w:rFonts w:eastAsia="Times New Roman"/>
              </w:rPr>
              <w:t xml:space="preserve"> </w:t>
            </w:r>
            <w:r w:rsidR="00A80577" w:rsidRPr="00E04E16">
              <w:rPr>
                <w:rFonts w:eastAsia="Times New Roman"/>
              </w:rPr>
              <w:t>s</w:t>
            </w:r>
            <w:r w:rsidR="001811AF" w:rsidRPr="00E04E16">
              <w:rPr>
                <w:rFonts w:eastAsia="Times New Roman"/>
              </w:rPr>
              <w:t>urvey</w:t>
            </w:r>
            <w:r w:rsidR="00393169" w:rsidRPr="00E04E16">
              <w:rPr>
                <w:rFonts w:eastAsia="Times New Roman"/>
              </w:rPr>
              <w:t>.</w:t>
            </w:r>
          </w:p>
        </w:tc>
      </w:tr>
      <w:tr w:rsidR="00393169" w:rsidRPr="00E04E16" w:rsidTr="00393169">
        <w:trPr>
          <w:trHeight w:val="60"/>
        </w:trPr>
        <w:tc>
          <w:tcPr>
            <w:tcW w:w="784" w:type="pct"/>
            <w:vAlign w:val="center"/>
          </w:tcPr>
          <w:p w:rsidR="00393169" w:rsidRPr="00E04E16" w:rsidRDefault="00393169" w:rsidP="00393169">
            <w:pPr>
              <w:pStyle w:val="TableText"/>
              <w:keepNext w:val="0"/>
            </w:pPr>
            <w:r w:rsidRPr="00E04E16">
              <w:t>Patiromer dose</w:t>
            </w:r>
          </w:p>
        </w:tc>
        <w:tc>
          <w:tcPr>
            <w:tcW w:w="2108" w:type="pct"/>
          </w:tcPr>
          <w:p w:rsidR="00393169" w:rsidRPr="00E04E16" w:rsidRDefault="00393169" w:rsidP="00393169">
            <w:pPr>
              <w:pStyle w:val="Tabletext0"/>
              <w:keepNext w:val="0"/>
              <w:spacing w:before="0" w:after="0"/>
              <w:ind w:right="-71"/>
            </w:pPr>
            <w:r w:rsidRPr="00E04E16">
              <w:rPr>
                <w:rFonts w:eastAsia="Times New Roman"/>
              </w:rPr>
              <w:t>The PBAC noted that the fixed dose of patiromer in the model, 16.8 g, was lower than the mean doses administered in the AMETHYST-DN and OPAL-HK Part B studies (</w:t>
            </w:r>
            <w:r w:rsidRPr="00E04E16">
              <w:t>para 7.15, Patiromer Public Summary Document, November 2019 PBAC meeting</w:t>
            </w:r>
            <w:r w:rsidRPr="00E04E16">
              <w:rPr>
                <w:rFonts w:eastAsia="Times New Roman"/>
              </w:rPr>
              <w:t>).</w:t>
            </w:r>
          </w:p>
        </w:tc>
        <w:tc>
          <w:tcPr>
            <w:tcW w:w="2108" w:type="pct"/>
          </w:tcPr>
          <w:p w:rsidR="00393169" w:rsidRPr="00E04E16" w:rsidRDefault="00393169" w:rsidP="00EA21BA">
            <w:pPr>
              <w:pStyle w:val="Tabletext0"/>
              <w:keepNext w:val="0"/>
              <w:spacing w:before="0" w:after="0"/>
              <w:rPr>
                <w:u w:val="single"/>
              </w:rPr>
            </w:pPr>
            <w:r w:rsidRPr="00E04E16">
              <w:rPr>
                <w:rFonts w:eastAsia="Times New Roman"/>
              </w:rPr>
              <w:t xml:space="preserve">The </w:t>
            </w:r>
            <w:r w:rsidR="00EA21BA" w:rsidRPr="00E04E16">
              <w:rPr>
                <w:rFonts w:eastAsia="Times New Roman"/>
              </w:rPr>
              <w:t xml:space="preserve">model assumes that patients will receive either </w:t>
            </w:r>
            <w:r w:rsidRPr="00E04E16">
              <w:rPr>
                <w:rFonts w:eastAsia="Times New Roman"/>
              </w:rPr>
              <w:t>8.4 g</w:t>
            </w:r>
            <w:r w:rsidR="00EA21BA" w:rsidRPr="00E04E16">
              <w:rPr>
                <w:rFonts w:eastAsia="Times New Roman"/>
              </w:rPr>
              <w:t xml:space="preserve"> or</w:t>
            </w:r>
            <w:r w:rsidRPr="00E04E16">
              <w:rPr>
                <w:rFonts w:eastAsia="Times New Roman"/>
              </w:rPr>
              <w:t xml:space="preserve"> 16.8 g</w:t>
            </w:r>
            <w:r w:rsidR="00EA21BA" w:rsidRPr="00E04E16">
              <w:rPr>
                <w:rFonts w:eastAsia="Times New Roman"/>
              </w:rPr>
              <w:t xml:space="preserve"> of patiromer daily, inconsistent with dosing in OPAL-HK.</w:t>
            </w:r>
            <w:r w:rsidRPr="00E04E16">
              <w:rPr>
                <w:rFonts w:eastAsia="Times New Roman"/>
              </w:rPr>
              <w:t xml:space="preserve"> </w:t>
            </w:r>
          </w:p>
        </w:tc>
      </w:tr>
      <w:tr w:rsidR="00393169" w:rsidRPr="00E04E16" w:rsidTr="00393169">
        <w:trPr>
          <w:trHeight w:val="60"/>
        </w:trPr>
        <w:tc>
          <w:tcPr>
            <w:tcW w:w="784" w:type="pct"/>
            <w:vAlign w:val="center"/>
          </w:tcPr>
          <w:p w:rsidR="00393169" w:rsidRPr="00E04E16" w:rsidRDefault="00393169" w:rsidP="00393169">
            <w:pPr>
              <w:pStyle w:val="TableText"/>
              <w:keepNext w:val="0"/>
            </w:pPr>
            <w:r w:rsidRPr="00E04E16">
              <w:t>Hyperkalaemia hospitalisation</w:t>
            </w:r>
          </w:p>
        </w:tc>
        <w:tc>
          <w:tcPr>
            <w:tcW w:w="2108" w:type="pct"/>
          </w:tcPr>
          <w:p w:rsidR="00393169" w:rsidRPr="00E04E16" w:rsidRDefault="00393169" w:rsidP="00393169">
            <w:pPr>
              <w:pStyle w:val="Tabletext0"/>
              <w:keepNext w:val="0"/>
              <w:spacing w:before="0" w:after="0"/>
              <w:ind w:right="-71"/>
            </w:pPr>
            <w:r w:rsidRPr="00E04E16">
              <w:rPr>
                <w:rFonts w:eastAsia="Times New Roman"/>
              </w:rPr>
              <w:t xml:space="preserve">The PBAC considered the assumption that all hyperkalaemia events would result in an </w:t>
            </w:r>
            <w:r w:rsidRPr="00E04E16">
              <w:rPr>
                <w:rFonts w:eastAsia="Times New Roman"/>
              </w:rPr>
              <w:lastRenderedPageBreak/>
              <w:t>emergency room visit was inconsistent with treatment guidelines (</w:t>
            </w:r>
            <w:r w:rsidRPr="00E04E16">
              <w:t>para 7.14, Patiromer Public Summary Document, November 2019 PBAC meeting</w:t>
            </w:r>
            <w:r w:rsidRPr="00E04E16">
              <w:rPr>
                <w:rFonts w:eastAsia="Times New Roman"/>
              </w:rPr>
              <w:t>)</w:t>
            </w:r>
          </w:p>
        </w:tc>
        <w:tc>
          <w:tcPr>
            <w:tcW w:w="2108" w:type="pct"/>
          </w:tcPr>
          <w:p w:rsidR="00393169" w:rsidRPr="00E04E16" w:rsidRDefault="00EA21BA" w:rsidP="00EA21BA">
            <w:pPr>
              <w:pStyle w:val="TableText"/>
              <w:keepNext w:val="0"/>
              <w:ind w:right="-71"/>
              <w:rPr>
                <w:u w:val="single"/>
              </w:rPr>
            </w:pPr>
            <w:r w:rsidRPr="00E04E16">
              <w:rPr>
                <w:rFonts w:eastAsia="Times New Roman"/>
              </w:rPr>
              <w:lastRenderedPageBreak/>
              <w:t xml:space="preserve">The cost of hospitalisation associated with hyperkalaemia is applied to the proportion of </w:t>
            </w:r>
            <w:r w:rsidRPr="00E04E16">
              <w:rPr>
                <w:rFonts w:eastAsia="Times New Roman"/>
              </w:rPr>
              <w:lastRenderedPageBreak/>
              <w:t>patients hospitalise</w:t>
            </w:r>
            <w:r w:rsidR="006B7C37" w:rsidRPr="00E04E16">
              <w:rPr>
                <w:rFonts w:eastAsia="Times New Roman"/>
              </w:rPr>
              <w:t>d</w:t>
            </w:r>
            <w:r w:rsidRPr="00E04E16">
              <w:rPr>
                <w:rFonts w:eastAsia="Times New Roman"/>
              </w:rPr>
              <w:t>, based on t</w:t>
            </w:r>
            <w:r w:rsidR="00393169" w:rsidRPr="00E04E16">
              <w:rPr>
                <w:rFonts w:eastAsia="Times New Roman"/>
              </w:rPr>
              <w:t>he additional risk of hospitalisation over 6 months</w:t>
            </w:r>
            <w:r w:rsidRPr="00E04E16">
              <w:rPr>
                <w:rFonts w:eastAsia="Times New Roman"/>
              </w:rPr>
              <w:t xml:space="preserve"> in a Danish study (Thomsen 2018)</w:t>
            </w:r>
            <w:r w:rsidR="00393169" w:rsidRPr="00E04E16">
              <w:rPr>
                <w:rFonts w:eastAsia="Times New Roman"/>
              </w:rPr>
              <w:t>.</w:t>
            </w:r>
          </w:p>
        </w:tc>
      </w:tr>
      <w:tr w:rsidR="00393169" w:rsidRPr="00E04E16" w:rsidTr="00393169">
        <w:trPr>
          <w:trHeight w:val="97"/>
        </w:trPr>
        <w:tc>
          <w:tcPr>
            <w:tcW w:w="5000" w:type="pct"/>
            <w:gridSpan w:val="3"/>
          </w:tcPr>
          <w:p w:rsidR="00393169" w:rsidRPr="00E04E16" w:rsidRDefault="00393169" w:rsidP="00843D24">
            <w:pPr>
              <w:pStyle w:val="TableText"/>
              <w:keepLines/>
              <w:ind w:right="-71"/>
              <w:rPr>
                <w:b/>
              </w:rPr>
            </w:pPr>
            <w:r w:rsidRPr="00E04E16">
              <w:rPr>
                <w:b/>
              </w:rPr>
              <w:lastRenderedPageBreak/>
              <w:t>Financial implication of listing</w:t>
            </w:r>
          </w:p>
        </w:tc>
      </w:tr>
      <w:tr w:rsidR="00393169" w:rsidRPr="00E04E16" w:rsidTr="00393169">
        <w:trPr>
          <w:trHeight w:val="60"/>
        </w:trPr>
        <w:tc>
          <w:tcPr>
            <w:tcW w:w="784" w:type="pct"/>
            <w:vAlign w:val="center"/>
          </w:tcPr>
          <w:p w:rsidR="00393169" w:rsidRPr="00E04E16" w:rsidRDefault="00393169" w:rsidP="00393169">
            <w:pPr>
              <w:pStyle w:val="TableText"/>
              <w:keepNext w:val="0"/>
            </w:pPr>
            <w:r w:rsidRPr="00E04E16">
              <w:t>Prevalence of CKD</w:t>
            </w:r>
          </w:p>
        </w:tc>
        <w:tc>
          <w:tcPr>
            <w:tcW w:w="2108" w:type="pct"/>
          </w:tcPr>
          <w:p w:rsidR="00393169" w:rsidRPr="00E04E16" w:rsidRDefault="00393169" w:rsidP="00843D24">
            <w:pPr>
              <w:pStyle w:val="Tabletext0"/>
              <w:keepLines/>
              <w:spacing w:before="0" w:after="0"/>
              <w:ind w:right="-71"/>
            </w:pPr>
            <w:r w:rsidRPr="00E04E16">
              <w:t>DUSC considered that the assumption that the prevalence of CKD Stage 3+ has not changed since 2011-2012 is not reasonable (para 6.71, Patiromer Public Summary Document, November 2019 PBAC meeting).</w:t>
            </w:r>
          </w:p>
        </w:tc>
        <w:tc>
          <w:tcPr>
            <w:tcW w:w="2108" w:type="pct"/>
          </w:tcPr>
          <w:p w:rsidR="00393169" w:rsidRPr="00E04E16" w:rsidRDefault="00393169" w:rsidP="00843D24">
            <w:pPr>
              <w:pStyle w:val="Tabletext0"/>
              <w:keepLines/>
              <w:spacing w:before="0" w:after="0"/>
            </w:pPr>
            <w:r w:rsidRPr="00E04E16">
              <w:t>The annual increase in prevalence between 2000-12 (0.11%) is applied from 2012 onwards</w:t>
            </w:r>
            <w:r w:rsidR="00E04E16">
              <w:t xml:space="preserve">. </w:t>
            </w:r>
          </w:p>
          <w:p w:rsidR="00393169" w:rsidRPr="00E04E16" w:rsidRDefault="00393169" w:rsidP="00843D24">
            <w:pPr>
              <w:pStyle w:val="TableText"/>
              <w:keepLines/>
              <w:ind w:right="-71"/>
              <w:rPr>
                <w:u w:val="single"/>
              </w:rPr>
            </w:pPr>
          </w:p>
        </w:tc>
      </w:tr>
      <w:tr w:rsidR="00393169" w:rsidRPr="00E04E16" w:rsidTr="00393169">
        <w:trPr>
          <w:trHeight w:val="60"/>
        </w:trPr>
        <w:tc>
          <w:tcPr>
            <w:tcW w:w="784" w:type="pct"/>
            <w:vAlign w:val="center"/>
          </w:tcPr>
          <w:p w:rsidR="00393169" w:rsidRPr="00E04E16" w:rsidRDefault="00393169" w:rsidP="00393169">
            <w:pPr>
              <w:pStyle w:val="TableText"/>
              <w:keepNext w:val="0"/>
            </w:pPr>
            <w:r w:rsidRPr="00E04E16">
              <w:t>Incidence of hyperkalaemia</w:t>
            </w:r>
          </w:p>
        </w:tc>
        <w:tc>
          <w:tcPr>
            <w:tcW w:w="2108" w:type="pct"/>
          </w:tcPr>
          <w:p w:rsidR="00393169" w:rsidRPr="00E04E16" w:rsidRDefault="00393169" w:rsidP="00393169">
            <w:pPr>
              <w:pStyle w:val="Tabletext0"/>
              <w:keepNext w:val="0"/>
              <w:spacing w:before="0" w:after="0"/>
              <w:ind w:right="-71"/>
            </w:pPr>
            <w:r w:rsidRPr="00E04E16">
              <w:t>DUSC considered that major limitations in the NPS Report underestimated the proportion of patients with CKD Stage 3+ who experienced a hyperkalaemia episode (3.1%) (para 6.71, Patiromer Public Summary Document, November 2019 PBAC meeting). </w:t>
            </w:r>
          </w:p>
        </w:tc>
        <w:tc>
          <w:tcPr>
            <w:tcW w:w="2108" w:type="pct"/>
          </w:tcPr>
          <w:p w:rsidR="00393169" w:rsidRPr="00E04E16" w:rsidRDefault="00393169" w:rsidP="00393169">
            <w:pPr>
              <w:pStyle w:val="Tabletext0"/>
              <w:keepNext w:val="0"/>
              <w:spacing w:before="0" w:after="0"/>
            </w:pPr>
            <w:r w:rsidRPr="00E04E16">
              <w:t>No other relevant studies were identified in a targeted literature review.</w:t>
            </w:r>
          </w:p>
          <w:p w:rsidR="00393169" w:rsidRPr="00E04E16" w:rsidRDefault="00393169" w:rsidP="00393169">
            <w:pPr>
              <w:pStyle w:val="Tabletext0"/>
              <w:keepNext w:val="0"/>
              <w:spacing w:before="0" w:after="0"/>
            </w:pPr>
            <w:r w:rsidRPr="00E04E16">
              <w:t>The incidence of hyperkalaemia in the Jun et al (2019</w:t>
            </w:r>
            <w:r w:rsidR="00EA21BA" w:rsidRPr="00E04E16">
              <w:t>; a subsequent publication of the NPS report</w:t>
            </w:r>
            <w:r w:rsidRPr="00E04E16">
              <w:t xml:space="preserve">) is applied to 100% of patients with CKD Stage 3-4 to account for hyperkalaemia in patients who are intolerant to RAASi therapy. </w:t>
            </w:r>
          </w:p>
        </w:tc>
      </w:tr>
      <w:tr w:rsidR="00393169" w:rsidRPr="00E04E16" w:rsidTr="00393169">
        <w:trPr>
          <w:trHeight w:val="60"/>
        </w:trPr>
        <w:tc>
          <w:tcPr>
            <w:tcW w:w="784" w:type="pct"/>
            <w:vAlign w:val="center"/>
          </w:tcPr>
          <w:p w:rsidR="00393169" w:rsidRPr="00E04E16" w:rsidRDefault="00393169" w:rsidP="00393169">
            <w:pPr>
              <w:pStyle w:val="TableText"/>
              <w:keepNext w:val="0"/>
            </w:pPr>
            <w:r w:rsidRPr="00E04E16">
              <w:t>Prevalence of hyperkalaemia</w:t>
            </w:r>
          </w:p>
        </w:tc>
        <w:tc>
          <w:tcPr>
            <w:tcW w:w="2108" w:type="pct"/>
          </w:tcPr>
          <w:p w:rsidR="00393169" w:rsidRPr="00E04E16" w:rsidRDefault="00393169" w:rsidP="00393169">
            <w:pPr>
              <w:pStyle w:val="Tabletext0"/>
              <w:keepNext w:val="0"/>
              <w:spacing w:before="0" w:after="0"/>
            </w:pPr>
            <w:r w:rsidRPr="00E04E16">
              <w:t>DUSC considered the definition of recent hyperkalaemia in the estimates was inconsistent with the restriction and underestimated the size of the prevalent population, and that the assumption that the prevalent population in the first year of listing is equivalent to 25% of the incident population from the prior year was not reasonable (para 6.71, Patiromer Public Summary Document, November 2019 PBAC meeting)</w:t>
            </w:r>
          </w:p>
        </w:tc>
        <w:tc>
          <w:tcPr>
            <w:tcW w:w="2108" w:type="pct"/>
          </w:tcPr>
          <w:p w:rsidR="00393169" w:rsidRPr="00E04E16" w:rsidRDefault="00393169" w:rsidP="00393169">
            <w:pPr>
              <w:pStyle w:val="TableText"/>
              <w:keepNext w:val="0"/>
              <w:ind w:right="-71"/>
              <w:rPr>
                <w:u w:val="single"/>
              </w:rPr>
            </w:pPr>
            <w:r w:rsidRPr="00E04E16">
              <w:t>This proportion was increased to 100% so that “recent episode of hyperkalaemia” refers to the previous 12 months in line with the proposed PBS listing (rather than the previous 3 months).</w:t>
            </w:r>
          </w:p>
        </w:tc>
      </w:tr>
      <w:tr w:rsidR="00393169" w:rsidRPr="00E04E16" w:rsidTr="00393169">
        <w:trPr>
          <w:trHeight w:val="60"/>
        </w:trPr>
        <w:tc>
          <w:tcPr>
            <w:tcW w:w="784" w:type="pct"/>
            <w:vAlign w:val="center"/>
          </w:tcPr>
          <w:p w:rsidR="00393169" w:rsidRPr="00E04E16" w:rsidRDefault="00393169" w:rsidP="00393169">
            <w:pPr>
              <w:pStyle w:val="TableText"/>
              <w:keepNext w:val="0"/>
            </w:pPr>
            <w:r w:rsidRPr="00E04E16">
              <w:t xml:space="preserve">Adherence and </w:t>
            </w:r>
            <w:r w:rsidR="002B1457" w:rsidRPr="00E04E16">
              <w:t>prevalence</w:t>
            </w:r>
          </w:p>
        </w:tc>
        <w:tc>
          <w:tcPr>
            <w:tcW w:w="2108" w:type="pct"/>
          </w:tcPr>
          <w:p w:rsidR="00393169" w:rsidRPr="00E04E16" w:rsidRDefault="00393169" w:rsidP="00393169">
            <w:pPr>
              <w:pStyle w:val="Tabletext0"/>
              <w:keepNext w:val="0"/>
              <w:spacing w:before="0" w:after="0"/>
              <w:ind w:right="-71"/>
            </w:pPr>
            <w:r w:rsidRPr="00E04E16">
              <w:t>DUSC considered adherence and persistence based on AMETHYST-DN were overestimated due to intensive monitoring (para 6.71, Patiromer Public Summary Document, November 2019 PBAC meeting)</w:t>
            </w:r>
          </w:p>
        </w:tc>
        <w:tc>
          <w:tcPr>
            <w:tcW w:w="2108" w:type="pct"/>
          </w:tcPr>
          <w:p w:rsidR="00393169" w:rsidRPr="00E04E16" w:rsidRDefault="00393169" w:rsidP="00CC2F89">
            <w:pPr>
              <w:pStyle w:val="TableText"/>
              <w:keepNext w:val="0"/>
              <w:ind w:right="-71"/>
              <w:rPr>
                <w:u w:val="single"/>
              </w:rPr>
            </w:pPr>
            <w:r w:rsidRPr="00E04E16">
              <w:t>Extrapolation of US claims data for patiromer was used to estimate persistence.</w:t>
            </w:r>
          </w:p>
        </w:tc>
      </w:tr>
      <w:tr w:rsidR="00393169" w:rsidRPr="00E04E16" w:rsidTr="00393169">
        <w:trPr>
          <w:trHeight w:val="60"/>
        </w:trPr>
        <w:tc>
          <w:tcPr>
            <w:tcW w:w="784" w:type="pct"/>
            <w:vAlign w:val="center"/>
          </w:tcPr>
          <w:p w:rsidR="00393169" w:rsidRPr="00E04E16" w:rsidRDefault="00393169" w:rsidP="00393169">
            <w:pPr>
              <w:pStyle w:val="TableText"/>
              <w:keepNext w:val="0"/>
            </w:pPr>
            <w:r w:rsidRPr="00E04E16">
              <w:t>Uptake</w:t>
            </w:r>
          </w:p>
        </w:tc>
        <w:tc>
          <w:tcPr>
            <w:tcW w:w="2108" w:type="pct"/>
          </w:tcPr>
          <w:p w:rsidR="00393169" w:rsidRPr="00E04E16" w:rsidRDefault="00393169" w:rsidP="00393169">
            <w:pPr>
              <w:pStyle w:val="Tabletext0"/>
              <w:keepNext w:val="0"/>
              <w:spacing w:before="0" w:after="0"/>
              <w:ind w:right="-71"/>
            </w:pPr>
            <w:r w:rsidRPr="00E04E16">
              <w:t>DUSC considered that uptake of patiromer was underestimated (para 6.71, Patiromer Public Summary Document, November 2019 PBAC meeting)</w:t>
            </w:r>
          </w:p>
        </w:tc>
        <w:tc>
          <w:tcPr>
            <w:tcW w:w="2108" w:type="pct"/>
          </w:tcPr>
          <w:p w:rsidR="00393169" w:rsidRPr="00E04E16" w:rsidRDefault="00393169" w:rsidP="004F16B4">
            <w:pPr>
              <w:pStyle w:val="TableText"/>
              <w:keepNext w:val="0"/>
              <w:ind w:right="-71"/>
              <w:rPr>
                <w:u w:val="single"/>
              </w:rPr>
            </w:pPr>
            <w:r w:rsidRPr="00E04E16">
              <w:t xml:space="preserve">Higher uptake rates estimated from a survey of Australian </w:t>
            </w:r>
            <w:r w:rsidR="00A80577" w:rsidRPr="00E04E16">
              <w:t xml:space="preserve">clinicians </w:t>
            </w:r>
            <w:r w:rsidRPr="00E04E16">
              <w:t>were used in the resubmission.</w:t>
            </w:r>
          </w:p>
        </w:tc>
      </w:tr>
    </w:tbl>
    <w:p w:rsidR="00393169" w:rsidRPr="00E04E16" w:rsidRDefault="00393169" w:rsidP="00393169">
      <w:pPr>
        <w:pStyle w:val="TableFigureFooter"/>
      </w:pPr>
      <w:r w:rsidRPr="00E04E16">
        <w:t>Source: Table 1.1, p.16; Table 2.1. Table 2.1, p.36; Table 3.1, p.91; Table 4.1, p.129 of the resubmission; Patiromer Public Summary Document, November 2019 PBAC meeting.</w:t>
      </w:r>
    </w:p>
    <w:p w:rsidR="005C25FF" w:rsidRPr="00E04E16" w:rsidRDefault="00393169" w:rsidP="00393169">
      <w:pPr>
        <w:pStyle w:val="TableFigureFooter"/>
      </w:pPr>
      <w:r w:rsidRPr="00E04E16">
        <w:t>Abbreviations: SPS, sodium polystyrene sulfonate</w:t>
      </w:r>
    </w:p>
    <w:p w:rsidR="00225816" w:rsidRPr="00E04E16" w:rsidRDefault="00225816" w:rsidP="00225816">
      <w:pPr>
        <w:pStyle w:val="ExecSumBodyText"/>
        <w:numPr>
          <w:ilvl w:val="0"/>
          <w:numId w:val="0"/>
        </w:numPr>
        <w:ind w:left="720"/>
        <w:rPr>
          <w:i/>
        </w:rPr>
      </w:pPr>
      <w:r w:rsidRPr="00E04E16">
        <w:rPr>
          <w:i/>
        </w:rPr>
        <w:t>For more detail on PBAC’s view, see section 7 PBAC outcome.</w:t>
      </w:r>
    </w:p>
    <w:p w:rsidR="00B60939" w:rsidRPr="00E04E16" w:rsidRDefault="00B50DB8" w:rsidP="004E18E9">
      <w:pPr>
        <w:pStyle w:val="2-SectionHeading"/>
      </w:pPr>
      <w:bookmarkStart w:id="6" w:name="_Toc51063870"/>
      <w:r w:rsidRPr="00E04E16">
        <w:t>Requested listing</w:t>
      </w:r>
      <w:bookmarkEnd w:id="6"/>
    </w:p>
    <w:p w:rsidR="00AF589B" w:rsidRPr="00E04E16" w:rsidRDefault="00AF589B" w:rsidP="000079DC">
      <w:pPr>
        <w:pStyle w:val="ExecSumBodyText"/>
      </w:pPr>
      <w:r w:rsidRPr="00E04E16">
        <w:t xml:space="preserve">The proposed restriction is shown below. </w:t>
      </w:r>
    </w:p>
    <w:p w:rsidR="00AF589B" w:rsidRPr="00E04E16" w:rsidRDefault="00AF589B" w:rsidP="000079DC">
      <w:pPr>
        <w:pStyle w:val="ExecSumBodyText"/>
      </w:pPr>
      <w:r w:rsidRPr="00E04E16">
        <w:t>Suggestions and additions proposed by the Secretariat are added in italics and suggested deletions are crossed out with strikethrough.</w:t>
      </w:r>
    </w:p>
    <w:p w:rsidR="000079DC" w:rsidRPr="00E04E16" w:rsidRDefault="000079DC" w:rsidP="00AF589B">
      <w:pPr>
        <w:pStyle w:val="ExecSumBodyText"/>
        <w:numPr>
          <w:ilvl w:val="0"/>
          <w:numId w:val="0"/>
        </w:numPr>
        <w:ind w:left="720"/>
      </w:pPr>
    </w:p>
    <w:tbl>
      <w:tblPr>
        <w:tblW w:w="8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992"/>
        <w:gridCol w:w="851"/>
        <w:gridCol w:w="850"/>
        <w:gridCol w:w="851"/>
        <w:gridCol w:w="1133"/>
      </w:tblGrid>
      <w:tr w:rsidR="00AF589B" w:rsidRPr="00E04E16" w:rsidTr="00AB728F">
        <w:trPr>
          <w:cantSplit/>
          <w:trHeight w:val="471"/>
        </w:trPr>
        <w:tc>
          <w:tcPr>
            <w:tcW w:w="4248" w:type="dxa"/>
          </w:tcPr>
          <w:p w:rsidR="00AF589B" w:rsidRPr="00E04E16" w:rsidRDefault="00AF589B" w:rsidP="00A80577">
            <w:pPr>
              <w:keepNext/>
              <w:keepLines/>
              <w:rPr>
                <w:rFonts w:ascii="Arial Narrow" w:hAnsi="Arial Narrow"/>
                <w:b/>
                <w:sz w:val="20"/>
              </w:rPr>
            </w:pPr>
            <w:r w:rsidRPr="00E04E16">
              <w:rPr>
                <w:rFonts w:ascii="Arial Narrow" w:hAnsi="Arial Narrow"/>
                <w:b/>
                <w:sz w:val="20"/>
              </w:rPr>
              <w:lastRenderedPageBreak/>
              <w:t>MEDICINAL PRODUCT</w:t>
            </w:r>
          </w:p>
          <w:p w:rsidR="00AF589B" w:rsidRPr="00E04E16" w:rsidRDefault="00AF589B" w:rsidP="00A80577">
            <w:pPr>
              <w:keepNext/>
              <w:keepLines/>
            </w:pPr>
            <w:r w:rsidRPr="00E04E16">
              <w:rPr>
                <w:rFonts w:ascii="Arial Narrow" w:hAnsi="Arial Narrow"/>
                <w:b/>
                <w:sz w:val="20"/>
              </w:rPr>
              <w:t>medicinal product pack</w:t>
            </w:r>
          </w:p>
        </w:tc>
        <w:tc>
          <w:tcPr>
            <w:tcW w:w="992" w:type="dxa"/>
          </w:tcPr>
          <w:p w:rsidR="00AF589B" w:rsidRPr="00E04E16" w:rsidRDefault="00AF589B" w:rsidP="00A80577">
            <w:pPr>
              <w:keepNext/>
              <w:keepLines/>
              <w:ind w:left="-108"/>
              <w:jc w:val="center"/>
              <w:rPr>
                <w:rFonts w:ascii="Arial Narrow" w:hAnsi="Arial Narrow"/>
                <w:b/>
                <w:sz w:val="18"/>
                <w:szCs w:val="18"/>
              </w:rPr>
            </w:pPr>
            <w:r w:rsidRPr="00E04E16">
              <w:rPr>
                <w:rFonts w:ascii="Arial Narrow" w:hAnsi="Arial Narrow"/>
                <w:b/>
                <w:sz w:val="18"/>
                <w:szCs w:val="18"/>
              </w:rPr>
              <w:t>PBS item code</w:t>
            </w:r>
          </w:p>
        </w:tc>
        <w:tc>
          <w:tcPr>
            <w:tcW w:w="851" w:type="dxa"/>
          </w:tcPr>
          <w:p w:rsidR="00AF589B" w:rsidRPr="00E04E16" w:rsidRDefault="00AF589B" w:rsidP="00A80577">
            <w:pPr>
              <w:keepNext/>
              <w:keepLines/>
              <w:ind w:left="-108"/>
              <w:jc w:val="center"/>
              <w:rPr>
                <w:rFonts w:ascii="Arial Narrow" w:hAnsi="Arial Narrow"/>
                <w:b/>
                <w:sz w:val="18"/>
                <w:szCs w:val="18"/>
              </w:rPr>
            </w:pPr>
            <w:r w:rsidRPr="00E04E16">
              <w:rPr>
                <w:rFonts w:ascii="Arial Narrow" w:hAnsi="Arial Narrow"/>
                <w:b/>
                <w:sz w:val="18"/>
                <w:szCs w:val="18"/>
              </w:rPr>
              <w:t>Max. qty packs</w:t>
            </w:r>
          </w:p>
        </w:tc>
        <w:tc>
          <w:tcPr>
            <w:tcW w:w="850" w:type="dxa"/>
          </w:tcPr>
          <w:p w:rsidR="00AF589B" w:rsidRPr="00E04E16" w:rsidRDefault="00AF589B" w:rsidP="00A80577">
            <w:pPr>
              <w:keepNext/>
              <w:keepLines/>
              <w:ind w:left="-108"/>
              <w:jc w:val="center"/>
              <w:rPr>
                <w:rFonts w:ascii="Arial Narrow" w:hAnsi="Arial Narrow"/>
                <w:b/>
                <w:sz w:val="18"/>
                <w:szCs w:val="18"/>
              </w:rPr>
            </w:pPr>
            <w:r w:rsidRPr="00E04E16">
              <w:rPr>
                <w:rFonts w:ascii="Arial Narrow" w:hAnsi="Arial Narrow"/>
                <w:b/>
                <w:sz w:val="18"/>
                <w:szCs w:val="18"/>
              </w:rPr>
              <w:t>Max. qty units</w:t>
            </w:r>
          </w:p>
        </w:tc>
        <w:tc>
          <w:tcPr>
            <w:tcW w:w="851" w:type="dxa"/>
          </w:tcPr>
          <w:p w:rsidR="00AF589B" w:rsidRPr="00E04E16" w:rsidRDefault="00AF589B" w:rsidP="00A80577">
            <w:pPr>
              <w:keepNext/>
              <w:keepLines/>
              <w:ind w:left="-108"/>
              <w:jc w:val="center"/>
              <w:rPr>
                <w:rFonts w:ascii="Arial Narrow" w:hAnsi="Arial Narrow"/>
                <w:b/>
                <w:sz w:val="18"/>
                <w:szCs w:val="18"/>
              </w:rPr>
            </w:pPr>
            <w:r w:rsidRPr="00E04E16">
              <w:rPr>
                <w:rFonts w:ascii="Arial Narrow" w:hAnsi="Arial Narrow"/>
                <w:b/>
                <w:sz w:val="18"/>
                <w:szCs w:val="18"/>
              </w:rPr>
              <w:t>№.of</w:t>
            </w:r>
          </w:p>
          <w:p w:rsidR="00AF589B" w:rsidRPr="00E04E16" w:rsidRDefault="00AF589B" w:rsidP="00A80577">
            <w:pPr>
              <w:keepNext/>
              <w:keepLines/>
              <w:ind w:left="-108"/>
              <w:jc w:val="center"/>
              <w:rPr>
                <w:rFonts w:ascii="Arial Narrow" w:hAnsi="Arial Narrow"/>
                <w:b/>
                <w:sz w:val="18"/>
                <w:szCs w:val="18"/>
              </w:rPr>
            </w:pPr>
            <w:r w:rsidRPr="00E04E16">
              <w:rPr>
                <w:rFonts w:ascii="Arial Narrow" w:hAnsi="Arial Narrow"/>
                <w:b/>
                <w:sz w:val="18"/>
                <w:szCs w:val="18"/>
              </w:rPr>
              <w:t>Rpts</w:t>
            </w:r>
          </w:p>
        </w:tc>
        <w:tc>
          <w:tcPr>
            <w:tcW w:w="1133" w:type="dxa"/>
          </w:tcPr>
          <w:p w:rsidR="00AF589B" w:rsidRPr="00E04E16" w:rsidRDefault="00AF589B" w:rsidP="00A80577">
            <w:pPr>
              <w:keepNext/>
              <w:keepLines/>
              <w:rPr>
                <w:rFonts w:ascii="Arial Narrow" w:hAnsi="Arial Narrow"/>
                <w:b/>
                <w:sz w:val="18"/>
                <w:szCs w:val="18"/>
              </w:rPr>
            </w:pPr>
            <w:r w:rsidRPr="00E04E16">
              <w:rPr>
                <w:rFonts w:ascii="Arial Narrow" w:hAnsi="Arial Narrow"/>
                <w:b/>
                <w:sz w:val="18"/>
                <w:szCs w:val="18"/>
              </w:rPr>
              <w:t>Available brands</w:t>
            </w:r>
          </w:p>
        </w:tc>
      </w:tr>
      <w:tr w:rsidR="00AF589B" w:rsidRPr="00E04E16" w:rsidTr="00AB728F">
        <w:trPr>
          <w:cantSplit/>
          <w:trHeight w:val="250"/>
        </w:trPr>
        <w:tc>
          <w:tcPr>
            <w:tcW w:w="8925" w:type="dxa"/>
            <w:gridSpan w:val="6"/>
          </w:tcPr>
          <w:p w:rsidR="00AF589B" w:rsidRPr="00E04E16" w:rsidRDefault="00AF589B" w:rsidP="00A80577">
            <w:pPr>
              <w:keepNext/>
              <w:keepLines/>
              <w:ind w:left="-108"/>
              <w:rPr>
                <w:rFonts w:ascii="Arial Narrow" w:hAnsi="Arial Narrow"/>
                <w:sz w:val="18"/>
                <w:szCs w:val="18"/>
              </w:rPr>
            </w:pPr>
            <w:r w:rsidRPr="00E04E16">
              <w:rPr>
                <w:rFonts w:ascii="Arial Narrow" w:hAnsi="Arial Narrow"/>
                <w:sz w:val="18"/>
                <w:szCs w:val="18"/>
              </w:rPr>
              <w:t>PATIROMER</w:t>
            </w:r>
          </w:p>
        </w:tc>
      </w:tr>
      <w:tr w:rsidR="00AF589B" w:rsidRPr="00E04E16" w:rsidTr="00AB728F">
        <w:trPr>
          <w:cantSplit/>
          <w:trHeight w:val="471"/>
        </w:trPr>
        <w:tc>
          <w:tcPr>
            <w:tcW w:w="4248" w:type="dxa"/>
          </w:tcPr>
          <w:p w:rsidR="00AF589B" w:rsidRPr="00E04E16" w:rsidRDefault="00AF589B" w:rsidP="00A80577">
            <w:pPr>
              <w:keepNext/>
              <w:keepLines/>
              <w:ind w:left="-108"/>
              <w:rPr>
                <w:rFonts w:ascii="Arial Narrow" w:hAnsi="Arial Narrow"/>
                <w:sz w:val="18"/>
                <w:szCs w:val="18"/>
              </w:rPr>
            </w:pPr>
          </w:p>
          <w:p w:rsidR="00C66800" w:rsidRPr="00E04E16" w:rsidRDefault="00C66800" w:rsidP="00A80577">
            <w:pPr>
              <w:keepNext/>
              <w:keepLines/>
              <w:ind w:left="-108"/>
              <w:rPr>
                <w:rFonts w:ascii="Arial Narrow" w:hAnsi="Arial Narrow"/>
                <w:sz w:val="18"/>
                <w:szCs w:val="18"/>
              </w:rPr>
            </w:pPr>
          </w:p>
          <w:p w:rsidR="00AF589B" w:rsidRPr="00E04E16" w:rsidRDefault="00AF589B" w:rsidP="00A80577">
            <w:pPr>
              <w:keepNext/>
              <w:keepLines/>
              <w:ind w:left="-108"/>
              <w:rPr>
                <w:rFonts w:ascii="Arial Narrow" w:hAnsi="Arial Narrow"/>
                <w:b/>
                <w:sz w:val="18"/>
                <w:szCs w:val="18"/>
              </w:rPr>
            </w:pPr>
            <w:r w:rsidRPr="00E04E16">
              <w:rPr>
                <w:rFonts w:ascii="Arial Narrow" w:hAnsi="Arial Narrow"/>
                <w:sz w:val="18"/>
                <w:szCs w:val="18"/>
              </w:rPr>
              <w:t xml:space="preserve">patiromer 8.4 g powder for oral liquid, 30 sachets </w:t>
            </w:r>
          </w:p>
        </w:tc>
        <w:tc>
          <w:tcPr>
            <w:tcW w:w="992" w:type="dxa"/>
          </w:tcPr>
          <w:p w:rsidR="00AF589B" w:rsidRPr="00E04E16" w:rsidRDefault="00AF589B" w:rsidP="00A80577">
            <w:pPr>
              <w:keepNext/>
              <w:keepLines/>
              <w:ind w:left="-108"/>
              <w:jc w:val="center"/>
              <w:rPr>
                <w:rFonts w:ascii="Arial Narrow" w:hAnsi="Arial Narrow"/>
                <w:sz w:val="18"/>
                <w:szCs w:val="18"/>
              </w:rPr>
            </w:pPr>
          </w:p>
          <w:p w:rsidR="00AF589B" w:rsidRPr="00E04E16" w:rsidRDefault="00AF589B" w:rsidP="00A80577">
            <w:pPr>
              <w:keepNext/>
              <w:keepLines/>
              <w:ind w:left="-108"/>
              <w:rPr>
                <w:rFonts w:ascii="Arial Narrow" w:hAnsi="Arial Narrow"/>
                <w:sz w:val="18"/>
                <w:szCs w:val="18"/>
              </w:rPr>
            </w:pPr>
          </w:p>
          <w:p w:rsidR="00AF589B" w:rsidRPr="00E04E16" w:rsidRDefault="00AF589B" w:rsidP="00A80577">
            <w:pPr>
              <w:keepNext/>
              <w:keepLines/>
              <w:ind w:left="-108"/>
              <w:jc w:val="center"/>
              <w:rPr>
                <w:rFonts w:ascii="Arial Narrow" w:hAnsi="Arial Narrow"/>
                <w:b/>
                <w:sz w:val="18"/>
                <w:szCs w:val="18"/>
              </w:rPr>
            </w:pPr>
            <w:r w:rsidRPr="00E04E16">
              <w:rPr>
                <w:rFonts w:ascii="Arial Narrow" w:hAnsi="Arial Narrow"/>
                <w:sz w:val="18"/>
                <w:szCs w:val="18"/>
              </w:rPr>
              <w:t>NEW</w:t>
            </w:r>
          </w:p>
        </w:tc>
        <w:tc>
          <w:tcPr>
            <w:tcW w:w="851" w:type="dxa"/>
          </w:tcPr>
          <w:p w:rsidR="00AF589B" w:rsidRPr="00E04E16" w:rsidRDefault="00AF589B" w:rsidP="00A80577">
            <w:pPr>
              <w:keepNext/>
              <w:keepLines/>
              <w:jc w:val="center"/>
              <w:rPr>
                <w:rFonts w:ascii="Arial Narrow" w:hAnsi="Arial Narrow"/>
                <w:sz w:val="18"/>
                <w:szCs w:val="18"/>
              </w:rPr>
            </w:pPr>
          </w:p>
          <w:p w:rsidR="00AF589B" w:rsidRPr="00E04E16" w:rsidRDefault="00AF589B" w:rsidP="00A80577">
            <w:pPr>
              <w:keepNext/>
              <w:keepLines/>
              <w:ind w:left="-108"/>
              <w:jc w:val="center"/>
              <w:rPr>
                <w:rFonts w:ascii="Arial Narrow" w:hAnsi="Arial Narrow"/>
                <w:sz w:val="18"/>
                <w:szCs w:val="18"/>
              </w:rPr>
            </w:pPr>
          </w:p>
          <w:p w:rsidR="00AF589B" w:rsidRPr="00E04E16" w:rsidRDefault="00AF589B" w:rsidP="00A80577">
            <w:pPr>
              <w:keepNext/>
              <w:keepLines/>
              <w:ind w:left="-108"/>
              <w:jc w:val="center"/>
              <w:rPr>
                <w:rFonts w:ascii="Arial Narrow" w:hAnsi="Arial Narrow"/>
                <w:b/>
                <w:sz w:val="18"/>
                <w:szCs w:val="18"/>
              </w:rPr>
            </w:pPr>
            <w:r w:rsidRPr="00E04E16">
              <w:rPr>
                <w:rFonts w:ascii="Arial Narrow" w:hAnsi="Arial Narrow"/>
                <w:sz w:val="18"/>
                <w:szCs w:val="18"/>
              </w:rPr>
              <w:t>1</w:t>
            </w:r>
          </w:p>
        </w:tc>
        <w:tc>
          <w:tcPr>
            <w:tcW w:w="850" w:type="dxa"/>
          </w:tcPr>
          <w:p w:rsidR="00AF589B" w:rsidRPr="00E04E16" w:rsidRDefault="00AF589B" w:rsidP="00A80577">
            <w:pPr>
              <w:keepNext/>
              <w:keepLines/>
              <w:ind w:left="-108"/>
              <w:jc w:val="center"/>
              <w:rPr>
                <w:rFonts w:ascii="Arial Narrow" w:hAnsi="Arial Narrow"/>
                <w:sz w:val="18"/>
                <w:szCs w:val="18"/>
              </w:rPr>
            </w:pPr>
          </w:p>
          <w:p w:rsidR="00AF589B" w:rsidRPr="00E04E16" w:rsidRDefault="00AF589B" w:rsidP="00A80577">
            <w:pPr>
              <w:keepNext/>
              <w:keepLines/>
              <w:rPr>
                <w:rFonts w:ascii="Arial Narrow" w:hAnsi="Arial Narrow"/>
                <w:sz w:val="18"/>
                <w:szCs w:val="18"/>
              </w:rPr>
            </w:pPr>
          </w:p>
          <w:p w:rsidR="00AF589B" w:rsidRPr="00E04E16" w:rsidRDefault="00AF589B" w:rsidP="00A80577">
            <w:pPr>
              <w:keepNext/>
              <w:keepLines/>
              <w:ind w:left="-108"/>
              <w:jc w:val="center"/>
              <w:rPr>
                <w:rFonts w:ascii="Arial Narrow" w:hAnsi="Arial Narrow"/>
                <w:b/>
                <w:sz w:val="18"/>
                <w:szCs w:val="18"/>
              </w:rPr>
            </w:pPr>
            <w:r w:rsidRPr="00E04E16">
              <w:rPr>
                <w:rFonts w:ascii="Arial Narrow" w:hAnsi="Arial Narrow"/>
                <w:sz w:val="18"/>
                <w:szCs w:val="18"/>
              </w:rPr>
              <w:t>30</w:t>
            </w:r>
          </w:p>
        </w:tc>
        <w:tc>
          <w:tcPr>
            <w:tcW w:w="851" w:type="dxa"/>
          </w:tcPr>
          <w:p w:rsidR="00AF589B" w:rsidRPr="00E04E16" w:rsidRDefault="00AF589B" w:rsidP="00A80577">
            <w:pPr>
              <w:keepNext/>
              <w:keepLines/>
              <w:ind w:left="-108"/>
              <w:jc w:val="center"/>
              <w:rPr>
                <w:rFonts w:ascii="Arial Narrow" w:hAnsi="Arial Narrow"/>
                <w:sz w:val="18"/>
                <w:szCs w:val="18"/>
              </w:rPr>
            </w:pPr>
          </w:p>
          <w:p w:rsidR="00AF589B" w:rsidRPr="00E04E16" w:rsidRDefault="00AF589B" w:rsidP="00A80577">
            <w:pPr>
              <w:keepNext/>
              <w:keepLines/>
              <w:ind w:left="-108"/>
              <w:jc w:val="center"/>
              <w:rPr>
                <w:rFonts w:ascii="Arial Narrow" w:hAnsi="Arial Narrow"/>
                <w:sz w:val="18"/>
                <w:szCs w:val="18"/>
              </w:rPr>
            </w:pPr>
          </w:p>
          <w:p w:rsidR="00AF589B" w:rsidRPr="00E04E16" w:rsidRDefault="00AF589B" w:rsidP="00A80577">
            <w:pPr>
              <w:keepNext/>
              <w:keepLines/>
              <w:ind w:left="-108"/>
              <w:jc w:val="center"/>
              <w:rPr>
                <w:rFonts w:ascii="Arial Narrow" w:hAnsi="Arial Narrow"/>
                <w:b/>
                <w:sz w:val="18"/>
                <w:szCs w:val="18"/>
              </w:rPr>
            </w:pPr>
            <w:r w:rsidRPr="00E04E16">
              <w:rPr>
                <w:rFonts w:ascii="Arial Narrow" w:hAnsi="Arial Narrow"/>
                <w:sz w:val="18"/>
                <w:szCs w:val="18"/>
              </w:rPr>
              <w:t>5</w:t>
            </w:r>
          </w:p>
        </w:tc>
        <w:tc>
          <w:tcPr>
            <w:tcW w:w="1133" w:type="dxa"/>
          </w:tcPr>
          <w:p w:rsidR="00AF589B" w:rsidRPr="00E04E16" w:rsidRDefault="00AF589B" w:rsidP="00A80577">
            <w:pPr>
              <w:keepNext/>
              <w:keepLines/>
              <w:rPr>
                <w:rFonts w:ascii="Arial Narrow" w:hAnsi="Arial Narrow"/>
                <w:sz w:val="18"/>
                <w:szCs w:val="18"/>
              </w:rPr>
            </w:pPr>
          </w:p>
          <w:p w:rsidR="00AF589B" w:rsidRPr="00E04E16" w:rsidRDefault="00AF589B" w:rsidP="00A80577">
            <w:pPr>
              <w:keepNext/>
              <w:keepLines/>
              <w:rPr>
                <w:rFonts w:ascii="Arial Narrow" w:hAnsi="Arial Narrow"/>
                <w:sz w:val="18"/>
                <w:szCs w:val="18"/>
              </w:rPr>
            </w:pPr>
          </w:p>
          <w:p w:rsidR="00AF589B" w:rsidRPr="00E04E16" w:rsidRDefault="00AF589B" w:rsidP="00A80577">
            <w:pPr>
              <w:keepNext/>
              <w:keepLines/>
              <w:rPr>
                <w:rFonts w:ascii="Arial Narrow" w:hAnsi="Arial Narrow"/>
                <w:b/>
                <w:sz w:val="18"/>
                <w:szCs w:val="18"/>
              </w:rPr>
            </w:pPr>
            <w:r w:rsidRPr="00E04E16">
              <w:rPr>
                <w:rFonts w:ascii="Arial Narrow" w:hAnsi="Arial Narrow"/>
                <w:sz w:val="18"/>
                <w:szCs w:val="18"/>
              </w:rPr>
              <w:t>Veltassa</w:t>
            </w:r>
            <w:r w:rsidRPr="00E04E16">
              <w:rPr>
                <w:rFonts w:ascii="Arial Narrow" w:hAnsi="Arial Narrow"/>
                <w:sz w:val="18"/>
                <w:szCs w:val="18"/>
                <w:vertAlign w:val="superscript"/>
              </w:rPr>
              <w:t>®</w:t>
            </w:r>
          </w:p>
        </w:tc>
      </w:tr>
      <w:tr w:rsidR="00AF589B" w:rsidRPr="00E04E16" w:rsidTr="00AB728F">
        <w:trPr>
          <w:cantSplit/>
          <w:trHeight w:val="471"/>
        </w:trPr>
        <w:tc>
          <w:tcPr>
            <w:tcW w:w="4248" w:type="dxa"/>
          </w:tcPr>
          <w:p w:rsidR="00AF589B" w:rsidRPr="00E04E16" w:rsidRDefault="00AF589B" w:rsidP="00A80577">
            <w:pPr>
              <w:keepNext/>
              <w:keepLines/>
              <w:ind w:left="-108"/>
              <w:rPr>
                <w:rFonts w:ascii="Arial Narrow" w:hAnsi="Arial Narrow"/>
                <w:sz w:val="18"/>
                <w:szCs w:val="18"/>
              </w:rPr>
            </w:pPr>
          </w:p>
          <w:p w:rsidR="00AF589B" w:rsidRPr="00E04E16" w:rsidRDefault="00AF589B" w:rsidP="00A80577">
            <w:pPr>
              <w:keepNext/>
              <w:keepLines/>
              <w:ind w:left="-108"/>
              <w:rPr>
                <w:rFonts w:ascii="Arial Narrow" w:hAnsi="Arial Narrow"/>
                <w:sz w:val="18"/>
                <w:szCs w:val="18"/>
              </w:rPr>
            </w:pPr>
            <w:r w:rsidRPr="00E04E16">
              <w:rPr>
                <w:rFonts w:ascii="Arial Narrow" w:hAnsi="Arial Narrow"/>
                <w:sz w:val="18"/>
                <w:szCs w:val="18"/>
              </w:rPr>
              <w:t>patiromer 16.8 g powder for oral liquid, 30 sachets</w:t>
            </w:r>
          </w:p>
        </w:tc>
        <w:tc>
          <w:tcPr>
            <w:tcW w:w="992" w:type="dxa"/>
          </w:tcPr>
          <w:p w:rsidR="00AF589B" w:rsidRPr="00E04E16" w:rsidRDefault="00AF589B" w:rsidP="00A80577">
            <w:pPr>
              <w:keepNext/>
              <w:keepLines/>
              <w:rPr>
                <w:rFonts w:ascii="Arial Narrow" w:hAnsi="Arial Narrow"/>
                <w:sz w:val="18"/>
                <w:szCs w:val="18"/>
              </w:rPr>
            </w:pPr>
          </w:p>
          <w:p w:rsidR="00AF589B" w:rsidRPr="00E04E16" w:rsidRDefault="00AF589B" w:rsidP="00A80577">
            <w:pPr>
              <w:keepNext/>
              <w:keepLines/>
              <w:ind w:left="-108"/>
              <w:jc w:val="center"/>
              <w:rPr>
                <w:rFonts w:ascii="Arial Narrow" w:hAnsi="Arial Narrow"/>
                <w:sz w:val="18"/>
                <w:szCs w:val="18"/>
              </w:rPr>
            </w:pPr>
            <w:r w:rsidRPr="00E04E16">
              <w:rPr>
                <w:rFonts w:ascii="Arial Narrow" w:hAnsi="Arial Narrow"/>
                <w:sz w:val="18"/>
                <w:szCs w:val="18"/>
              </w:rPr>
              <w:t>NEW</w:t>
            </w:r>
          </w:p>
        </w:tc>
        <w:tc>
          <w:tcPr>
            <w:tcW w:w="851" w:type="dxa"/>
          </w:tcPr>
          <w:p w:rsidR="00AF589B" w:rsidRPr="00E04E16" w:rsidRDefault="00AF589B" w:rsidP="00A80577">
            <w:pPr>
              <w:keepNext/>
              <w:keepLines/>
              <w:rPr>
                <w:rFonts w:ascii="Arial Narrow" w:hAnsi="Arial Narrow"/>
                <w:sz w:val="18"/>
                <w:szCs w:val="18"/>
              </w:rPr>
            </w:pPr>
          </w:p>
          <w:p w:rsidR="00AF589B" w:rsidRPr="00E04E16" w:rsidRDefault="00AF589B" w:rsidP="00A80577">
            <w:pPr>
              <w:keepNext/>
              <w:keepLines/>
              <w:jc w:val="center"/>
              <w:rPr>
                <w:rFonts w:ascii="Arial Narrow" w:hAnsi="Arial Narrow"/>
                <w:sz w:val="18"/>
                <w:szCs w:val="18"/>
              </w:rPr>
            </w:pPr>
            <w:r w:rsidRPr="00E04E16">
              <w:rPr>
                <w:rFonts w:ascii="Arial Narrow" w:hAnsi="Arial Narrow"/>
                <w:sz w:val="18"/>
                <w:szCs w:val="18"/>
              </w:rPr>
              <w:t>1</w:t>
            </w:r>
          </w:p>
        </w:tc>
        <w:tc>
          <w:tcPr>
            <w:tcW w:w="850" w:type="dxa"/>
          </w:tcPr>
          <w:p w:rsidR="00AF589B" w:rsidRPr="00E04E16" w:rsidRDefault="00AF589B" w:rsidP="00A80577">
            <w:pPr>
              <w:keepNext/>
              <w:keepLines/>
              <w:rPr>
                <w:rFonts w:ascii="Arial Narrow" w:hAnsi="Arial Narrow"/>
                <w:sz w:val="18"/>
                <w:szCs w:val="18"/>
              </w:rPr>
            </w:pPr>
          </w:p>
          <w:p w:rsidR="00AF589B" w:rsidRPr="00E04E16" w:rsidRDefault="00AF589B" w:rsidP="00A80577">
            <w:pPr>
              <w:keepNext/>
              <w:keepLines/>
              <w:ind w:left="-108"/>
              <w:jc w:val="center"/>
              <w:rPr>
                <w:rFonts w:ascii="Arial Narrow" w:hAnsi="Arial Narrow"/>
                <w:sz w:val="18"/>
                <w:szCs w:val="18"/>
              </w:rPr>
            </w:pPr>
            <w:r w:rsidRPr="00E04E16">
              <w:rPr>
                <w:rFonts w:ascii="Arial Narrow" w:hAnsi="Arial Narrow"/>
                <w:sz w:val="18"/>
                <w:szCs w:val="18"/>
              </w:rPr>
              <w:t>30</w:t>
            </w:r>
          </w:p>
        </w:tc>
        <w:tc>
          <w:tcPr>
            <w:tcW w:w="851" w:type="dxa"/>
          </w:tcPr>
          <w:p w:rsidR="00AF589B" w:rsidRPr="00E04E16" w:rsidRDefault="00AF589B" w:rsidP="00A80577">
            <w:pPr>
              <w:keepNext/>
              <w:keepLines/>
              <w:rPr>
                <w:rFonts w:ascii="Arial Narrow" w:hAnsi="Arial Narrow"/>
                <w:sz w:val="18"/>
                <w:szCs w:val="18"/>
              </w:rPr>
            </w:pPr>
          </w:p>
          <w:p w:rsidR="00AF589B" w:rsidRPr="00E04E16" w:rsidRDefault="00AF589B" w:rsidP="00A80577">
            <w:pPr>
              <w:keepNext/>
              <w:keepLines/>
              <w:ind w:left="-108"/>
              <w:jc w:val="center"/>
              <w:rPr>
                <w:rFonts w:ascii="Arial Narrow" w:hAnsi="Arial Narrow"/>
                <w:sz w:val="18"/>
                <w:szCs w:val="18"/>
              </w:rPr>
            </w:pPr>
            <w:r w:rsidRPr="00E04E16">
              <w:rPr>
                <w:rFonts w:ascii="Arial Narrow" w:hAnsi="Arial Narrow"/>
                <w:sz w:val="18"/>
                <w:szCs w:val="18"/>
              </w:rPr>
              <w:t>5</w:t>
            </w:r>
          </w:p>
        </w:tc>
        <w:tc>
          <w:tcPr>
            <w:tcW w:w="1133" w:type="dxa"/>
          </w:tcPr>
          <w:p w:rsidR="00AF589B" w:rsidRPr="00E04E16" w:rsidRDefault="00AF589B" w:rsidP="00A80577">
            <w:pPr>
              <w:keepNext/>
              <w:keepLines/>
              <w:rPr>
                <w:rFonts w:ascii="Arial Narrow" w:hAnsi="Arial Narrow"/>
                <w:sz w:val="18"/>
                <w:szCs w:val="18"/>
              </w:rPr>
            </w:pPr>
          </w:p>
          <w:p w:rsidR="00AF589B" w:rsidRPr="00E04E16" w:rsidRDefault="00AF589B" w:rsidP="00A80577">
            <w:pPr>
              <w:keepNext/>
              <w:keepLines/>
              <w:rPr>
                <w:rFonts w:ascii="Arial Narrow" w:hAnsi="Arial Narrow"/>
                <w:sz w:val="18"/>
                <w:szCs w:val="18"/>
              </w:rPr>
            </w:pPr>
            <w:r w:rsidRPr="00E04E16">
              <w:rPr>
                <w:rFonts w:ascii="Arial Narrow" w:hAnsi="Arial Narrow"/>
                <w:sz w:val="18"/>
                <w:szCs w:val="18"/>
              </w:rPr>
              <w:t>Veltassa</w:t>
            </w:r>
            <w:r w:rsidRPr="00E04E16">
              <w:rPr>
                <w:rFonts w:ascii="Arial Narrow" w:hAnsi="Arial Narrow"/>
                <w:sz w:val="18"/>
                <w:szCs w:val="18"/>
                <w:vertAlign w:val="superscript"/>
              </w:rPr>
              <w:t>®</w:t>
            </w:r>
          </w:p>
        </w:tc>
      </w:tr>
    </w:tbl>
    <w:p w:rsidR="00AF589B" w:rsidRPr="00E04E16" w:rsidRDefault="00AF589B" w:rsidP="00AF589B">
      <w:pPr>
        <w:rPr>
          <w:rFonts w:ascii="Arial Narrow" w:hAnsi="Arial Narrow"/>
          <w:b/>
          <w:sz w:val="18"/>
          <w:szCs w:val="18"/>
        </w:rPr>
      </w:pPr>
    </w:p>
    <w:p w:rsidR="00AF589B" w:rsidRPr="00E04E16" w:rsidRDefault="00AF589B" w:rsidP="00AF589B">
      <w:pPr>
        <w:rPr>
          <w:rFonts w:ascii="Arial Narrow" w:hAnsi="Arial Narrow"/>
          <w:b/>
          <w:sz w:val="18"/>
          <w:szCs w:val="18"/>
        </w:rPr>
      </w:pPr>
      <w:r w:rsidRPr="00E04E16">
        <w:rPr>
          <w:rFonts w:ascii="Arial Narrow" w:hAnsi="Arial Narrow"/>
          <w:b/>
          <w:sz w:val="18"/>
          <w:szCs w:val="18"/>
        </w:rPr>
        <w:t>Restriction Summary [new] / Treatment of Concept: [new]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81"/>
        <w:gridCol w:w="8036"/>
      </w:tblGrid>
      <w:tr w:rsidR="00AF589B" w:rsidRPr="00E04E16" w:rsidTr="00AB728F">
        <w:tc>
          <w:tcPr>
            <w:tcW w:w="544" w:type="pct"/>
            <w:vMerge w:val="restart"/>
            <w:tcBorders>
              <w:top w:val="single" w:sz="4" w:space="0" w:color="auto"/>
              <w:left w:val="single" w:sz="4" w:space="0" w:color="auto"/>
              <w:right w:val="single" w:sz="4" w:space="0" w:color="auto"/>
            </w:tcBorders>
          </w:tcPr>
          <w:p w:rsidR="00AF589B" w:rsidRPr="00E04E16" w:rsidRDefault="00AF589B" w:rsidP="00AB728F">
            <w:pPr>
              <w:jc w:val="center"/>
              <w:rPr>
                <w:rFonts w:ascii="Arial Narrow" w:hAnsi="Arial Narrow"/>
                <w:sz w:val="18"/>
                <w:szCs w:val="18"/>
              </w:rPr>
            </w:pPr>
          </w:p>
        </w:tc>
        <w:tc>
          <w:tcPr>
            <w:tcW w:w="4456" w:type="pct"/>
            <w:tcBorders>
              <w:top w:val="single" w:sz="4" w:space="0" w:color="auto"/>
              <w:left w:val="single" w:sz="4" w:space="0" w:color="auto"/>
              <w:bottom w:val="single" w:sz="4" w:space="0" w:color="auto"/>
              <w:right w:val="single" w:sz="4" w:space="0" w:color="auto"/>
            </w:tcBorders>
          </w:tcPr>
          <w:p w:rsidR="00AF589B" w:rsidRPr="00E04E16" w:rsidRDefault="00AF589B" w:rsidP="00AB728F">
            <w:pPr>
              <w:rPr>
                <w:rFonts w:ascii="Arial Narrow" w:hAnsi="Arial Narrow"/>
                <w:sz w:val="18"/>
                <w:szCs w:val="18"/>
              </w:rPr>
            </w:pPr>
            <w:r w:rsidRPr="00E04E16">
              <w:rPr>
                <w:rFonts w:ascii="Arial Narrow" w:hAnsi="Arial Narrow"/>
                <w:b/>
                <w:sz w:val="18"/>
                <w:szCs w:val="18"/>
              </w:rPr>
              <w:t xml:space="preserve">Category / Program:   </w:t>
            </w:r>
            <w:r w:rsidRPr="00E04E16">
              <w:rPr>
                <w:rFonts w:ascii="Arial Narrow" w:hAnsi="Arial Narrow"/>
                <w:sz w:val="18"/>
                <w:szCs w:val="18"/>
              </w:rPr>
              <w:t>GENERAL – General Schedule (Code GE)</w:t>
            </w:r>
          </w:p>
        </w:tc>
      </w:tr>
      <w:tr w:rsidR="00AF589B" w:rsidRPr="00E04E16" w:rsidTr="00AB728F">
        <w:trPr>
          <w:trHeight w:val="240"/>
        </w:trPr>
        <w:tc>
          <w:tcPr>
            <w:tcW w:w="544" w:type="pct"/>
            <w:vMerge/>
            <w:tcBorders>
              <w:left w:val="single" w:sz="4" w:space="0" w:color="auto"/>
              <w:right w:val="single" w:sz="4" w:space="0" w:color="auto"/>
            </w:tcBorders>
          </w:tcPr>
          <w:p w:rsidR="00AF589B" w:rsidRPr="00E04E16" w:rsidRDefault="00AF589B" w:rsidP="00AB728F">
            <w:pPr>
              <w:rPr>
                <w:rFonts w:ascii="Arial Narrow" w:hAnsi="Arial Narrow"/>
                <w:sz w:val="18"/>
                <w:szCs w:val="18"/>
              </w:rPr>
            </w:pPr>
          </w:p>
        </w:tc>
        <w:tc>
          <w:tcPr>
            <w:tcW w:w="4456" w:type="pct"/>
            <w:tcBorders>
              <w:top w:val="single" w:sz="4" w:space="0" w:color="auto"/>
              <w:left w:val="single" w:sz="4" w:space="0" w:color="auto"/>
              <w:bottom w:val="single" w:sz="4" w:space="0" w:color="auto"/>
              <w:right w:val="single" w:sz="4" w:space="0" w:color="auto"/>
            </w:tcBorders>
          </w:tcPr>
          <w:p w:rsidR="00AF589B" w:rsidRPr="00E04E16" w:rsidRDefault="00AF589B" w:rsidP="00AB728F">
            <w:pPr>
              <w:rPr>
                <w:rFonts w:ascii="Arial Narrow" w:hAnsi="Arial Narrow"/>
                <w:b/>
                <w:sz w:val="18"/>
                <w:szCs w:val="18"/>
              </w:rPr>
            </w:pPr>
            <w:r w:rsidRPr="00E04E16">
              <w:rPr>
                <w:rFonts w:ascii="Arial Narrow" w:hAnsi="Arial Narrow"/>
                <w:b/>
                <w:sz w:val="18"/>
                <w:szCs w:val="18"/>
              </w:rPr>
              <w:t xml:space="preserve">Prescriber type:   </w:t>
            </w:r>
            <w:r w:rsidRPr="00E04E16">
              <w:rPr>
                <w:rFonts w:ascii="Arial Narrow" w:hAnsi="Arial Narrow"/>
                <w:sz w:val="18"/>
                <w:szCs w:val="18"/>
              </w:rPr>
              <w:fldChar w:fldCharType="begin">
                <w:ffData>
                  <w:name w:val=""/>
                  <w:enabled/>
                  <w:calcOnExit w:val="0"/>
                  <w:checkBox>
                    <w:sizeAuto/>
                    <w:default w:val="1"/>
                  </w:checkBox>
                </w:ffData>
              </w:fldChar>
            </w:r>
            <w:r w:rsidRPr="00E04E16">
              <w:rPr>
                <w:rFonts w:ascii="Arial Narrow" w:hAnsi="Arial Narrow"/>
                <w:sz w:val="18"/>
                <w:szCs w:val="18"/>
              </w:rPr>
              <w:instrText xml:space="preserve"> FORMCHECKBOX </w:instrText>
            </w:r>
            <w:r w:rsidR="00465117">
              <w:rPr>
                <w:rFonts w:ascii="Arial Narrow" w:hAnsi="Arial Narrow"/>
                <w:sz w:val="18"/>
                <w:szCs w:val="18"/>
              </w:rPr>
            </w:r>
            <w:r w:rsidR="00465117">
              <w:rPr>
                <w:rFonts w:ascii="Arial Narrow" w:hAnsi="Arial Narrow"/>
                <w:sz w:val="18"/>
                <w:szCs w:val="18"/>
              </w:rPr>
              <w:fldChar w:fldCharType="separate"/>
            </w:r>
            <w:r w:rsidRPr="00E04E16">
              <w:rPr>
                <w:rFonts w:ascii="Arial Narrow" w:hAnsi="Arial Narrow"/>
                <w:sz w:val="18"/>
                <w:szCs w:val="18"/>
              </w:rPr>
              <w:fldChar w:fldCharType="end"/>
            </w:r>
            <w:r w:rsidRPr="00E04E16">
              <w:rPr>
                <w:rFonts w:ascii="Arial Narrow" w:hAnsi="Arial Narrow"/>
                <w:sz w:val="18"/>
                <w:szCs w:val="18"/>
              </w:rPr>
              <w:t xml:space="preserve">Medical Practitioners   </w:t>
            </w:r>
          </w:p>
        </w:tc>
      </w:tr>
      <w:tr w:rsidR="00AF589B" w:rsidRPr="00E04E16" w:rsidTr="00AB728F">
        <w:tc>
          <w:tcPr>
            <w:tcW w:w="544" w:type="pct"/>
            <w:vMerge/>
            <w:tcBorders>
              <w:left w:val="single" w:sz="4" w:space="0" w:color="auto"/>
              <w:right w:val="single" w:sz="4" w:space="0" w:color="auto"/>
            </w:tcBorders>
          </w:tcPr>
          <w:p w:rsidR="00AF589B" w:rsidRPr="00E04E16" w:rsidRDefault="00AF589B" w:rsidP="00AB728F">
            <w:pPr>
              <w:rPr>
                <w:rFonts w:ascii="Arial Narrow" w:hAnsi="Arial Narrow"/>
                <w:sz w:val="18"/>
                <w:szCs w:val="18"/>
              </w:rPr>
            </w:pPr>
          </w:p>
        </w:tc>
        <w:tc>
          <w:tcPr>
            <w:tcW w:w="4456" w:type="pct"/>
            <w:tcBorders>
              <w:top w:val="single" w:sz="4" w:space="0" w:color="auto"/>
              <w:left w:val="single" w:sz="4" w:space="0" w:color="auto"/>
              <w:bottom w:val="single" w:sz="4" w:space="0" w:color="auto"/>
              <w:right w:val="single" w:sz="4" w:space="0" w:color="auto"/>
            </w:tcBorders>
          </w:tcPr>
          <w:p w:rsidR="00AF589B" w:rsidRPr="00E04E16" w:rsidRDefault="00AF589B" w:rsidP="00AB728F">
            <w:pPr>
              <w:rPr>
                <w:rFonts w:ascii="Arial Narrow" w:hAnsi="Arial Narrow"/>
                <w:b/>
                <w:sz w:val="18"/>
                <w:szCs w:val="18"/>
              </w:rPr>
            </w:pPr>
            <w:r w:rsidRPr="00E04E16">
              <w:rPr>
                <w:rFonts w:ascii="Arial Narrow" w:hAnsi="Arial Narrow"/>
                <w:b/>
                <w:sz w:val="18"/>
                <w:szCs w:val="18"/>
              </w:rPr>
              <w:t xml:space="preserve">Restriction Type: </w:t>
            </w:r>
            <w:r w:rsidRPr="00E04E16">
              <w:rPr>
                <w:rFonts w:ascii="Arial Narrow" w:eastAsia="Calibri" w:hAnsi="Arial Narrow"/>
                <w:sz w:val="18"/>
                <w:szCs w:val="18"/>
              </w:rPr>
              <w:fldChar w:fldCharType="begin">
                <w:ffData>
                  <w:name w:val="Check3"/>
                  <w:enabled/>
                  <w:calcOnExit w:val="0"/>
                  <w:checkBox>
                    <w:sizeAuto/>
                    <w:default w:val="1"/>
                  </w:checkBox>
                </w:ffData>
              </w:fldChar>
            </w:r>
            <w:r w:rsidRPr="00E04E16">
              <w:rPr>
                <w:rFonts w:ascii="Arial Narrow" w:eastAsia="Calibri" w:hAnsi="Arial Narrow"/>
                <w:sz w:val="18"/>
                <w:szCs w:val="18"/>
              </w:rPr>
              <w:instrText xml:space="preserve"> FORMCHECKBOX </w:instrText>
            </w:r>
            <w:r w:rsidR="00465117">
              <w:rPr>
                <w:rFonts w:ascii="Arial Narrow" w:eastAsia="Calibri" w:hAnsi="Arial Narrow"/>
                <w:sz w:val="18"/>
                <w:szCs w:val="18"/>
              </w:rPr>
            </w:r>
            <w:r w:rsidR="00465117">
              <w:rPr>
                <w:rFonts w:ascii="Arial Narrow" w:eastAsia="Calibri" w:hAnsi="Arial Narrow"/>
                <w:sz w:val="18"/>
                <w:szCs w:val="18"/>
              </w:rPr>
              <w:fldChar w:fldCharType="separate"/>
            </w:r>
            <w:r w:rsidRPr="00E04E16">
              <w:rPr>
                <w:rFonts w:ascii="Arial Narrow" w:eastAsia="Calibri" w:hAnsi="Arial Narrow"/>
                <w:sz w:val="18"/>
                <w:szCs w:val="18"/>
              </w:rPr>
              <w:fldChar w:fldCharType="end"/>
            </w:r>
            <w:r w:rsidRPr="00E04E16">
              <w:rPr>
                <w:rFonts w:ascii="Arial Narrow" w:eastAsia="Calibri" w:hAnsi="Arial Narrow"/>
                <w:sz w:val="18"/>
                <w:szCs w:val="18"/>
              </w:rPr>
              <w:t>Authority Required – immediate/real time assessment by Services Australia (telephone/online)</w:t>
            </w:r>
          </w:p>
        </w:tc>
      </w:tr>
      <w:tr w:rsidR="00AF589B" w:rsidRPr="00E04E16" w:rsidTr="00AB728F">
        <w:tc>
          <w:tcPr>
            <w:tcW w:w="544" w:type="pct"/>
            <w:vMerge/>
            <w:tcBorders>
              <w:left w:val="single" w:sz="4" w:space="0" w:color="auto"/>
              <w:right w:val="single" w:sz="4" w:space="0" w:color="auto"/>
            </w:tcBorders>
            <w:vAlign w:val="center"/>
          </w:tcPr>
          <w:p w:rsidR="00AF589B" w:rsidRPr="00E04E16" w:rsidRDefault="00AF589B" w:rsidP="00AB728F">
            <w:pPr>
              <w:jc w:val="center"/>
              <w:rPr>
                <w:rFonts w:ascii="Arial Narrow" w:hAnsi="Arial Narrow"/>
                <w:color w:val="333333"/>
                <w:sz w:val="18"/>
                <w:szCs w:val="18"/>
              </w:rPr>
            </w:pPr>
          </w:p>
        </w:tc>
        <w:tc>
          <w:tcPr>
            <w:tcW w:w="4456" w:type="pct"/>
            <w:tcBorders>
              <w:left w:val="single" w:sz="4" w:space="0" w:color="auto"/>
            </w:tcBorders>
            <w:vAlign w:val="center"/>
          </w:tcPr>
          <w:p w:rsidR="00AF589B" w:rsidRPr="00E04E16" w:rsidRDefault="00AF589B" w:rsidP="00AB728F">
            <w:pPr>
              <w:rPr>
                <w:rFonts w:ascii="Arial Narrow" w:hAnsi="Arial Narrow"/>
                <w:bCs/>
                <w:color w:val="333333"/>
                <w:sz w:val="18"/>
                <w:szCs w:val="18"/>
              </w:rPr>
            </w:pPr>
            <w:r w:rsidRPr="00E04E16">
              <w:rPr>
                <w:rFonts w:ascii="Arial Narrow" w:hAnsi="Arial Narrow"/>
                <w:b/>
                <w:bCs/>
                <w:color w:val="333333"/>
                <w:sz w:val="18"/>
                <w:szCs w:val="18"/>
              </w:rPr>
              <w:t xml:space="preserve">Episodicity: </w:t>
            </w:r>
            <w:r w:rsidRPr="00E04E16">
              <w:rPr>
                <w:rFonts w:ascii="Arial Narrow" w:hAnsi="Arial Narrow"/>
                <w:bCs/>
                <w:color w:val="333333"/>
                <w:sz w:val="18"/>
                <w:szCs w:val="18"/>
              </w:rPr>
              <w:t>Chronic</w:t>
            </w:r>
          </w:p>
        </w:tc>
      </w:tr>
      <w:tr w:rsidR="00AF589B" w:rsidRPr="00E04E16" w:rsidTr="00AB728F">
        <w:tc>
          <w:tcPr>
            <w:tcW w:w="544" w:type="pct"/>
            <w:vMerge/>
            <w:tcBorders>
              <w:left w:val="single" w:sz="4" w:space="0" w:color="auto"/>
              <w:right w:val="single" w:sz="4" w:space="0" w:color="auto"/>
            </w:tcBorders>
            <w:vAlign w:val="center"/>
          </w:tcPr>
          <w:p w:rsidR="00AF589B" w:rsidRPr="00E04E16" w:rsidRDefault="00AF589B" w:rsidP="00AB728F">
            <w:pPr>
              <w:jc w:val="center"/>
              <w:rPr>
                <w:rFonts w:ascii="Arial Narrow" w:hAnsi="Arial Narrow"/>
                <w:color w:val="333333"/>
                <w:sz w:val="18"/>
                <w:szCs w:val="18"/>
              </w:rPr>
            </w:pPr>
          </w:p>
        </w:tc>
        <w:tc>
          <w:tcPr>
            <w:tcW w:w="4456" w:type="pct"/>
            <w:tcBorders>
              <w:left w:val="single" w:sz="4" w:space="0" w:color="auto"/>
            </w:tcBorders>
            <w:vAlign w:val="center"/>
          </w:tcPr>
          <w:p w:rsidR="00AF589B" w:rsidRPr="00E04E16" w:rsidRDefault="00AF589B" w:rsidP="00AB728F">
            <w:pPr>
              <w:rPr>
                <w:rFonts w:ascii="Arial Narrow" w:hAnsi="Arial Narrow"/>
                <w:b/>
                <w:bCs/>
                <w:color w:val="333333"/>
                <w:sz w:val="18"/>
                <w:szCs w:val="18"/>
              </w:rPr>
            </w:pPr>
            <w:r w:rsidRPr="00E04E16">
              <w:rPr>
                <w:rFonts w:ascii="Arial Narrow" w:hAnsi="Arial Narrow"/>
                <w:b/>
                <w:bCs/>
                <w:color w:val="333333"/>
                <w:sz w:val="18"/>
                <w:szCs w:val="18"/>
              </w:rPr>
              <w:t xml:space="preserve">Condition: </w:t>
            </w:r>
            <w:r w:rsidRPr="00E04E16">
              <w:rPr>
                <w:rFonts w:ascii="Arial Narrow" w:hAnsi="Arial Narrow"/>
                <w:bCs/>
                <w:color w:val="333333"/>
                <w:sz w:val="18"/>
                <w:szCs w:val="18"/>
              </w:rPr>
              <w:t>Hyperkalaemia</w:t>
            </w:r>
          </w:p>
        </w:tc>
      </w:tr>
      <w:tr w:rsidR="00AF589B" w:rsidRPr="00E04E16" w:rsidTr="00A23C1C">
        <w:tc>
          <w:tcPr>
            <w:tcW w:w="544" w:type="pct"/>
            <w:vAlign w:val="center"/>
          </w:tcPr>
          <w:p w:rsidR="00AF589B" w:rsidRPr="00E04E16" w:rsidRDefault="00AF589B" w:rsidP="00AB728F">
            <w:pPr>
              <w:jc w:val="center"/>
              <w:rPr>
                <w:rFonts w:ascii="Arial Narrow" w:hAnsi="Arial Narrow"/>
                <w:color w:val="333333"/>
                <w:sz w:val="18"/>
                <w:szCs w:val="18"/>
              </w:rPr>
            </w:pPr>
          </w:p>
        </w:tc>
        <w:tc>
          <w:tcPr>
            <w:tcW w:w="4456" w:type="pct"/>
            <w:vAlign w:val="center"/>
            <w:hideMark/>
          </w:tcPr>
          <w:p w:rsidR="00AF589B" w:rsidRPr="00E04E16" w:rsidRDefault="00AF589B" w:rsidP="00AB728F">
            <w:pPr>
              <w:rPr>
                <w:rFonts w:ascii="Arial Narrow" w:hAnsi="Arial Narrow"/>
                <w:color w:val="333333"/>
                <w:sz w:val="18"/>
                <w:szCs w:val="18"/>
              </w:rPr>
            </w:pPr>
            <w:r w:rsidRPr="00E04E16">
              <w:rPr>
                <w:rFonts w:ascii="Arial Narrow" w:hAnsi="Arial Narrow"/>
                <w:b/>
                <w:bCs/>
                <w:color w:val="333333"/>
                <w:sz w:val="18"/>
                <w:szCs w:val="18"/>
              </w:rPr>
              <w:t>Indication:</w:t>
            </w:r>
            <w:r w:rsidRPr="00E04E16">
              <w:rPr>
                <w:rFonts w:ascii="Arial Narrow" w:hAnsi="Arial Narrow"/>
                <w:color w:val="333333"/>
                <w:sz w:val="18"/>
                <w:szCs w:val="18"/>
              </w:rPr>
              <w:t xml:space="preserve"> Chronic hyperkalaemia</w:t>
            </w:r>
          </w:p>
        </w:tc>
      </w:tr>
      <w:tr w:rsidR="00AF589B" w:rsidRPr="00E04E16" w:rsidTr="00A23C1C">
        <w:tc>
          <w:tcPr>
            <w:tcW w:w="544" w:type="pct"/>
            <w:vAlign w:val="center"/>
          </w:tcPr>
          <w:p w:rsidR="00AF589B" w:rsidRPr="00E04E16" w:rsidRDefault="00AF589B" w:rsidP="00AB728F">
            <w:pPr>
              <w:jc w:val="center"/>
              <w:rPr>
                <w:rFonts w:ascii="Arial Narrow" w:hAnsi="Arial Narrow"/>
                <w:color w:val="333333"/>
                <w:sz w:val="18"/>
                <w:szCs w:val="18"/>
              </w:rPr>
            </w:pPr>
          </w:p>
        </w:tc>
        <w:tc>
          <w:tcPr>
            <w:tcW w:w="4456" w:type="pct"/>
            <w:vAlign w:val="center"/>
            <w:hideMark/>
          </w:tcPr>
          <w:p w:rsidR="00AF589B" w:rsidRPr="00E04E16" w:rsidRDefault="00AF589B" w:rsidP="00AB728F">
            <w:pPr>
              <w:rPr>
                <w:rFonts w:ascii="Arial Narrow" w:hAnsi="Arial Narrow"/>
                <w:i/>
                <w:color w:val="333333"/>
                <w:sz w:val="18"/>
                <w:szCs w:val="18"/>
              </w:rPr>
            </w:pPr>
            <w:r w:rsidRPr="00E04E16">
              <w:rPr>
                <w:rFonts w:ascii="Arial Narrow" w:hAnsi="Arial Narrow"/>
                <w:b/>
                <w:bCs/>
                <w:color w:val="333333"/>
                <w:sz w:val="18"/>
                <w:szCs w:val="18"/>
              </w:rPr>
              <w:t>Treatment Phase:</w:t>
            </w:r>
            <w:r w:rsidRPr="00E04E16">
              <w:rPr>
                <w:rFonts w:ascii="Arial Narrow" w:hAnsi="Arial Narrow"/>
                <w:color w:val="333333"/>
                <w:sz w:val="18"/>
                <w:szCs w:val="18"/>
              </w:rPr>
              <w:t xml:space="preserve"> Initial </w:t>
            </w:r>
            <w:r w:rsidRPr="00E04E16">
              <w:rPr>
                <w:rFonts w:ascii="Arial Narrow" w:hAnsi="Arial Narrow"/>
                <w:i/>
                <w:color w:val="333333"/>
                <w:sz w:val="18"/>
                <w:szCs w:val="18"/>
              </w:rPr>
              <w:t>treatment</w:t>
            </w:r>
          </w:p>
        </w:tc>
      </w:tr>
      <w:tr w:rsidR="00AF589B" w:rsidRPr="00E04E16" w:rsidTr="00A23C1C">
        <w:tc>
          <w:tcPr>
            <w:tcW w:w="544" w:type="pct"/>
            <w:vMerge w:val="restart"/>
            <w:vAlign w:val="center"/>
          </w:tcPr>
          <w:p w:rsidR="00AF589B" w:rsidRPr="00E04E16" w:rsidRDefault="00AF589B" w:rsidP="00AB728F">
            <w:pPr>
              <w:jc w:val="center"/>
              <w:rPr>
                <w:rFonts w:ascii="Arial Narrow" w:hAnsi="Arial Narrow"/>
                <w:color w:val="333333"/>
                <w:sz w:val="18"/>
                <w:szCs w:val="18"/>
              </w:rPr>
            </w:pPr>
          </w:p>
        </w:tc>
        <w:tc>
          <w:tcPr>
            <w:tcW w:w="4456" w:type="pct"/>
            <w:vAlign w:val="center"/>
            <w:hideMark/>
          </w:tcPr>
          <w:p w:rsidR="00AF589B" w:rsidRPr="00E04E16" w:rsidRDefault="00AF589B" w:rsidP="00AB728F">
            <w:pPr>
              <w:rPr>
                <w:rFonts w:ascii="Arial Narrow" w:hAnsi="Arial Narrow"/>
                <w:color w:val="333333"/>
                <w:sz w:val="18"/>
                <w:szCs w:val="18"/>
              </w:rPr>
            </w:pPr>
            <w:r w:rsidRPr="00E04E16">
              <w:rPr>
                <w:rFonts w:ascii="Arial Narrow" w:hAnsi="Arial Narrow"/>
                <w:b/>
                <w:bCs/>
                <w:strike/>
                <w:color w:val="333333"/>
                <w:sz w:val="18"/>
                <w:szCs w:val="18"/>
              </w:rPr>
              <w:t xml:space="preserve">Clinical </w:t>
            </w:r>
            <w:r w:rsidRPr="00E04E16">
              <w:rPr>
                <w:rFonts w:ascii="Arial Narrow" w:hAnsi="Arial Narrow"/>
                <w:b/>
                <w:bCs/>
                <w:i/>
                <w:color w:val="333333"/>
                <w:sz w:val="18"/>
                <w:szCs w:val="18"/>
              </w:rPr>
              <w:t xml:space="preserve">Population </w:t>
            </w:r>
            <w:r w:rsidRPr="00E04E16">
              <w:rPr>
                <w:rFonts w:ascii="Arial Narrow" w:hAnsi="Arial Narrow"/>
                <w:b/>
                <w:bCs/>
                <w:color w:val="333333"/>
                <w:sz w:val="18"/>
                <w:szCs w:val="18"/>
              </w:rPr>
              <w:t>criteria:</w:t>
            </w:r>
          </w:p>
        </w:tc>
      </w:tr>
      <w:tr w:rsidR="00AF589B" w:rsidRPr="00E04E16" w:rsidTr="00A23C1C">
        <w:tc>
          <w:tcPr>
            <w:tcW w:w="544" w:type="pct"/>
            <w:vMerge/>
            <w:vAlign w:val="center"/>
          </w:tcPr>
          <w:p w:rsidR="00AF589B" w:rsidRPr="00E04E16" w:rsidRDefault="00AF589B" w:rsidP="00AB728F">
            <w:pPr>
              <w:jc w:val="center"/>
              <w:rPr>
                <w:rFonts w:ascii="Arial Narrow" w:hAnsi="Arial Narrow"/>
                <w:color w:val="333333"/>
                <w:sz w:val="18"/>
                <w:szCs w:val="18"/>
              </w:rPr>
            </w:pPr>
          </w:p>
        </w:tc>
        <w:tc>
          <w:tcPr>
            <w:tcW w:w="4456" w:type="pct"/>
            <w:vAlign w:val="center"/>
            <w:hideMark/>
          </w:tcPr>
          <w:p w:rsidR="00AF589B" w:rsidRPr="00E04E16" w:rsidRDefault="00AF589B" w:rsidP="00AB728F">
            <w:pPr>
              <w:rPr>
                <w:rFonts w:ascii="Arial Narrow" w:hAnsi="Arial Narrow"/>
                <w:color w:val="333333"/>
                <w:sz w:val="18"/>
                <w:szCs w:val="18"/>
              </w:rPr>
            </w:pPr>
            <w:r w:rsidRPr="00E04E16">
              <w:rPr>
                <w:rFonts w:ascii="Arial Narrow" w:hAnsi="Arial Narrow"/>
                <w:color w:val="333333"/>
                <w:sz w:val="18"/>
                <w:szCs w:val="18"/>
              </w:rPr>
              <w:t xml:space="preserve">Patient must have </w:t>
            </w:r>
            <w:r w:rsidRPr="00E04E16">
              <w:rPr>
                <w:rFonts w:ascii="Arial Narrow" w:hAnsi="Arial Narrow"/>
                <w:strike/>
                <w:color w:val="333333"/>
                <w:sz w:val="18"/>
                <w:szCs w:val="18"/>
              </w:rPr>
              <w:t>S</w:t>
            </w:r>
            <w:r w:rsidRPr="00E04E16">
              <w:rPr>
                <w:rFonts w:ascii="Arial Narrow" w:hAnsi="Arial Narrow"/>
                <w:i/>
                <w:color w:val="333333"/>
                <w:sz w:val="18"/>
                <w:szCs w:val="18"/>
              </w:rPr>
              <w:t>s</w:t>
            </w:r>
            <w:r w:rsidRPr="00E04E16">
              <w:rPr>
                <w:rFonts w:ascii="Arial Narrow" w:hAnsi="Arial Narrow"/>
                <w:color w:val="333333"/>
                <w:sz w:val="18"/>
                <w:szCs w:val="18"/>
              </w:rPr>
              <w:t xml:space="preserve">tage 3 </w:t>
            </w:r>
            <w:r w:rsidRPr="00E04E16">
              <w:rPr>
                <w:rFonts w:ascii="Arial Narrow" w:hAnsi="Arial Narrow"/>
                <w:strike/>
                <w:color w:val="333333"/>
                <w:sz w:val="18"/>
                <w:szCs w:val="18"/>
              </w:rPr>
              <w:t>or</w:t>
            </w:r>
            <w:r w:rsidRPr="00E04E16">
              <w:rPr>
                <w:rFonts w:ascii="Arial Narrow" w:hAnsi="Arial Narrow"/>
                <w:color w:val="333333"/>
                <w:sz w:val="18"/>
                <w:szCs w:val="18"/>
              </w:rPr>
              <w:t xml:space="preserve"> </w:t>
            </w:r>
            <w:r w:rsidRPr="00E04E16">
              <w:rPr>
                <w:rFonts w:ascii="Arial Narrow" w:hAnsi="Arial Narrow"/>
                <w:i/>
                <w:color w:val="333333"/>
                <w:sz w:val="18"/>
                <w:szCs w:val="18"/>
              </w:rPr>
              <w:t xml:space="preserve">to stage </w:t>
            </w:r>
            <w:r w:rsidRPr="00E04E16">
              <w:rPr>
                <w:rFonts w:ascii="Arial Narrow" w:hAnsi="Arial Narrow"/>
                <w:color w:val="333333"/>
                <w:sz w:val="18"/>
                <w:szCs w:val="18"/>
              </w:rPr>
              <w:t>4 chronic kidney disease;</w:t>
            </w:r>
          </w:p>
        </w:tc>
      </w:tr>
      <w:tr w:rsidR="00AF589B" w:rsidRPr="00E04E16" w:rsidTr="00A23C1C">
        <w:tc>
          <w:tcPr>
            <w:tcW w:w="544" w:type="pct"/>
            <w:vAlign w:val="center"/>
          </w:tcPr>
          <w:p w:rsidR="00AF589B" w:rsidRPr="00E04E16" w:rsidRDefault="00AF589B" w:rsidP="00AB728F">
            <w:pPr>
              <w:jc w:val="center"/>
              <w:rPr>
                <w:rFonts w:ascii="Arial Narrow" w:hAnsi="Arial Narrow"/>
                <w:color w:val="333333"/>
                <w:sz w:val="18"/>
                <w:szCs w:val="18"/>
              </w:rPr>
            </w:pPr>
          </w:p>
        </w:tc>
        <w:tc>
          <w:tcPr>
            <w:tcW w:w="4456" w:type="pct"/>
            <w:vAlign w:val="center"/>
            <w:hideMark/>
          </w:tcPr>
          <w:p w:rsidR="00AF589B" w:rsidRPr="00E04E16" w:rsidRDefault="00AF589B" w:rsidP="00AB728F">
            <w:pPr>
              <w:rPr>
                <w:rFonts w:ascii="Arial Narrow" w:hAnsi="Arial Narrow"/>
                <w:color w:val="333333"/>
                <w:sz w:val="18"/>
                <w:szCs w:val="18"/>
              </w:rPr>
            </w:pPr>
            <w:r w:rsidRPr="00E04E16">
              <w:rPr>
                <w:rFonts w:ascii="Arial Narrow" w:hAnsi="Arial Narrow"/>
                <w:b/>
                <w:bCs/>
                <w:color w:val="333333"/>
                <w:sz w:val="18"/>
                <w:szCs w:val="18"/>
              </w:rPr>
              <w:t>AND</w:t>
            </w:r>
          </w:p>
        </w:tc>
      </w:tr>
      <w:tr w:rsidR="00AF589B" w:rsidRPr="00E04E16" w:rsidTr="00AB728F">
        <w:tc>
          <w:tcPr>
            <w:tcW w:w="544" w:type="pct"/>
            <w:vAlign w:val="center"/>
          </w:tcPr>
          <w:p w:rsidR="00AF589B" w:rsidRPr="00E04E16" w:rsidRDefault="00AF589B" w:rsidP="00AB728F">
            <w:pPr>
              <w:rPr>
                <w:rFonts w:ascii="Arial Narrow" w:hAnsi="Arial Narrow"/>
                <w:color w:val="333333"/>
                <w:sz w:val="18"/>
                <w:szCs w:val="18"/>
              </w:rPr>
            </w:pPr>
          </w:p>
        </w:tc>
        <w:tc>
          <w:tcPr>
            <w:tcW w:w="4456" w:type="pct"/>
            <w:vAlign w:val="center"/>
            <w:hideMark/>
          </w:tcPr>
          <w:p w:rsidR="00AF589B" w:rsidRPr="00E04E16" w:rsidRDefault="00AF589B" w:rsidP="00AB728F">
            <w:pPr>
              <w:rPr>
                <w:rFonts w:ascii="Arial Narrow" w:hAnsi="Arial Narrow"/>
                <w:color w:val="333333"/>
                <w:sz w:val="18"/>
                <w:szCs w:val="18"/>
              </w:rPr>
            </w:pPr>
            <w:r w:rsidRPr="00E04E16">
              <w:rPr>
                <w:rFonts w:ascii="Arial Narrow" w:hAnsi="Arial Narrow"/>
                <w:b/>
                <w:bCs/>
                <w:color w:val="333333"/>
                <w:sz w:val="18"/>
                <w:szCs w:val="18"/>
              </w:rPr>
              <w:t>Clinical criteria:</w:t>
            </w:r>
          </w:p>
        </w:tc>
      </w:tr>
      <w:tr w:rsidR="00AF589B" w:rsidRPr="00E04E16" w:rsidTr="00AB728F">
        <w:tc>
          <w:tcPr>
            <w:tcW w:w="544" w:type="pct"/>
            <w:vAlign w:val="center"/>
          </w:tcPr>
          <w:p w:rsidR="00AF589B" w:rsidRPr="00E04E16" w:rsidRDefault="00AF589B" w:rsidP="00AB728F">
            <w:pPr>
              <w:jc w:val="center"/>
              <w:rPr>
                <w:rFonts w:ascii="Arial Narrow" w:hAnsi="Arial Narrow"/>
                <w:color w:val="333333"/>
                <w:sz w:val="18"/>
                <w:szCs w:val="18"/>
              </w:rPr>
            </w:pPr>
          </w:p>
        </w:tc>
        <w:tc>
          <w:tcPr>
            <w:tcW w:w="4456" w:type="pct"/>
            <w:vAlign w:val="center"/>
            <w:hideMark/>
          </w:tcPr>
          <w:p w:rsidR="00AF589B" w:rsidRPr="00E04E16" w:rsidRDefault="00AF589B" w:rsidP="00AB728F">
            <w:pPr>
              <w:rPr>
                <w:rFonts w:ascii="Arial Narrow" w:hAnsi="Arial Narrow"/>
                <w:color w:val="333333"/>
                <w:sz w:val="18"/>
                <w:szCs w:val="18"/>
              </w:rPr>
            </w:pPr>
            <w:r w:rsidRPr="00E04E16">
              <w:rPr>
                <w:rFonts w:ascii="Arial Narrow" w:hAnsi="Arial Narrow"/>
                <w:color w:val="333333"/>
                <w:sz w:val="18"/>
                <w:szCs w:val="18"/>
              </w:rPr>
              <w:t xml:space="preserve">Patient must have experienced </w:t>
            </w:r>
            <w:r w:rsidRPr="00E04E16">
              <w:rPr>
                <w:rFonts w:ascii="Arial Narrow" w:hAnsi="Arial Narrow"/>
                <w:strike/>
                <w:color w:val="333333"/>
                <w:sz w:val="18"/>
                <w:szCs w:val="18"/>
              </w:rPr>
              <w:t>&gt;</w:t>
            </w:r>
            <w:r w:rsidRPr="00E04E16">
              <w:rPr>
                <w:rFonts w:ascii="Arial Narrow" w:hAnsi="Arial Narrow"/>
                <w:i/>
                <w:strike/>
                <w:color w:val="333333"/>
                <w:sz w:val="18"/>
                <w:szCs w:val="18"/>
              </w:rPr>
              <w:t xml:space="preserve"> </w:t>
            </w:r>
            <w:r w:rsidRPr="00E04E16">
              <w:rPr>
                <w:rFonts w:ascii="Arial Narrow" w:hAnsi="Arial Narrow"/>
                <w:strike/>
                <w:color w:val="333333"/>
                <w:sz w:val="18"/>
                <w:szCs w:val="18"/>
              </w:rPr>
              <w:t>1</w:t>
            </w:r>
            <w:r w:rsidRPr="00E04E16">
              <w:rPr>
                <w:rFonts w:ascii="Arial Narrow" w:hAnsi="Arial Narrow"/>
                <w:color w:val="333333"/>
                <w:sz w:val="18"/>
                <w:szCs w:val="18"/>
              </w:rPr>
              <w:t xml:space="preserve"> </w:t>
            </w:r>
            <w:r w:rsidRPr="00E04E16">
              <w:rPr>
                <w:rFonts w:ascii="Arial Narrow" w:hAnsi="Arial Narrow"/>
                <w:i/>
                <w:color w:val="333333"/>
                <w:sz w:val="18"/>
                <w:szCs w:val="18"/>
              </w:rPr>
              <w:t xml:space="preserve">at least 2 </w:t>
            </w:r>
            <w:r w:rsidRPr="00E04E16">
              <w:rPr>
                <w:rFonts w:ascii="Arial Narrow" w:hAnsi="Arial Narrow"/>
                <w:color w:val="333333"/>
                <w:sz w:val="18"/>
                <w:szCs w:val="18"/>
              </w:rPr>
              <w:t>episode</w:t>
            </w:r>
            <w:r w:rsidRPr="00E04E16">
              <w:rPr>
                <w:rFonts w:ascii="Arial Narrow" w:hAnsi="Arial Narrow"/>
                <w:i/>
                <w:color w:val="333333"/>
                <w:sz w:val="18"/>
                <w:szCs w:val="18"/>
              </w:rPr>
              <w:t>s</w:t>
            </w:r>
            <w:r w:rsidRPr="00E04E16">
              <w:rPr>
                <w:rFonts w:ascii="Arial Narrow" w:hAnsi="Arial Narrow"/>
                <w:color w:val="333333"/>
                <w:sz w:val="18"/>
                <w:szCs w:val="18"/>
              </w:rPr>
              <w:t xml:space="preserve"> of hyperkalaemia </w:t>
            </w:r>
            <w:r w:rsidRPr="00E04E16">
              <w:rPr>
                <w:rFonts w:ascii="Arial Narrow" w:hAnsi="Arial Narrow"/>
                <w:strike/>
                <w:color w:val="333333"/>
                <w:sz w:val="18"/>
                <w:szCs w:val="18"/>
              </w:rPr>
              <w:t>(serum K</w:t>
            </w:r>
            <w:r w:rsidRPr="00E04E16">
              <w:rPr>
                <w:rFonts w:ascii="Arial Narrow" w:hAnsi="Arial Narrow"/>
                <w:strike/>
                <w:color w:val="333333"/>
                <w:sz w:val="18"/>
                <w:szCs w:val="18"/>
                <w:vertAlign w:val="superscript"/>
              </w:rPr>
              <w:t>+</w:t>
            </w:r>
            <w:r w:rsidRPr="00E04E16">
              <w:rPr>
                <w:rFonts w:ascii="Arial Narrow" w:hAnsi="Arial Narrow"/>
                <w:strike/>
                <w:color w:val="333333"/>
                <w:sz w:val="18"/>
                <w:szCs w:val="18"/>
              </w:rPr>
              <w:t xml:space="preserve"> ≥ 6.0 mmol/L) </w:t>
            </w:r>
            <w:r w:rsidRPr="00E04E16">
              <w:rPr>
                <w:rFonts w:ascii="Arial Narrow" w:hAnsi="Arial Narrow"/>
                <w:color w:val="333333"/>
                <w:sz w:val="18"/>
                <w:szCs w:val="18"/>
              </w:rPr>
              <w:t>within the previous 12 months</w:t>
            </w:r>
            <w:r w:rsidRPr="00E04E16">
              <w:rPr>
                <w:rFonts w:ascii="Arial Narrow" w:hAnsi="Arial Narrow"/>
                <w:i/>
                <w:color w:val="333333"/>
                <w:sz w:val="18"/>
                <w:szCs w:val="18"/>
              </w:rPr>
              <w:t xml:space="preserve"> to establish that the condition is chronic, whereby hyperkalaemia is defined as serum potassium levels of 6.0 mmol/L or higher</w:t>
            </w:r>
            <w:r w:rsidRPr="00E04E16">
              <w:rPr>
                <w:rFonts w:ascii="Arial Narrow" w:hAnsi="Arial Narrow"/>
                <w:color w:val="333333"/>
                <w:sz w:val="18"/>
                <w:szCs w:val="18"/>
              </w:rPr>
              <w:t xml:space="preserve"> </w:t>
            </w:r>
          </w:p>
        </w:tc>
      </w:tr>
      <w:tr w:rsidR="00AF589B" w:rsidRPr="00E04E16" w:rsidTr="00AB728F">
        <w:tc>
          <w:tcPr>
            <w:tcW w:w="544" w:type="pct"/>
            <w:vAlign w:val="center"/>
          </w:tcPr>
          <w:p w:rsidR="00AF589B" w:rsidRPr="00E04E16" w:rsidRDefault="00AF589B" w:rsidP="00AB728F">
            <w:pPr>
              <w:jc w:val="center"/>
              <w:rPr>
                <w:rFonts w:ascii="Arial Narrow" w:hAnsi="Arial Narrow"/>
                <w:color w:val="333333"/>
                <w:sz w:val="18"/>
                <w:szCs w:val="18"/>
              </w:rPr>
            </w:pPr>
          </w:p>
        </w:tc>
        <w:tc>
          <w:tcPr>
            <w:tcW w:w="4456" w:type="pct"/>
            <w:vAlign w:val="center"/>
            <w:hideMark/>
          </w:tcPr>
          <w:p w:rsidR="00AF589B" w:rsidRPr="00E04E16" w:rsidRDefault="00AF589B" w:rsidP="00AB728F">
            <w:pPr>
              <w:rPr>
                <w:rFonts w:ascii="Arial Narrow" w:hAnsi="Arial Narrow"/>
                <w:i/>
                <w:color w:val="333333"/>
                <w:sz w:val="18"/>
                <w:szCs w:val="18"/>
              </w:rPr>
            </w:pPr>
            <w:r w:rsidRPr="00E04E16">
              <w:rPr>
                <w:rFonts w:ascii="Arial Narrow" w:hAnsi="Arial Narrow"/>
                <w:b/>
                <w:bCs/>
                <w:i/>
                <w:color w:val="333333"/>
                <w:sz w:val="18"/>
                <w:szCs w:val="18"/>
              </w:rPr>
              <w:t>AND</w:t>
            </w:r>
          </w:p>
        </w:tc>
      </w:tr>
      <w:tr w:rsidR="00AF589B" w:rsidRPr="00E04E16" w:rsidTr="00AB728F">
        <w:tc>
          <w:tcPr>
            <w:tcW w:w="544" w:type="pct"/>
            <w:vAlign w:val="center"/>
          </w:tcPr>
          <w:p w:rsidR="00AF589B" w:rsidRPr="00E04E16" w:rsidRDefault="00AF589B" w:rsidP="00AB728F">
            <w:pPr>
              <w:jc w:val="center"/>
              <w:rPr>
                <w:rFonts w:ascii="Arial Narrow" w:hAnsi="Arial Narrow"/>
                <w:color w:val="333333"/>
                <w:sz w:val="18"/>
                <w:szCs w:val="18"/>
              </w:rPr>
            </w:pPr>
          </w:p>
        </w:tc>
        <w:tc>
          <w:tcPr>
            <w:tcW w:w="4456" w:type="pct"/>
            <w:vAlign w:val="center"/>
          </w:tcPr>
          <w:p w:rsidR="00AF589B" w:rsidRPr="00E04E16" w:rsidRDefault="00AF589B" w:rsidP="00AB728F">
            <w:pPr>
              <w:rPr>
                <w:rFonts w:ascii="Arial Narrow" w:hAnsi="Arial Narrow"/>
                <w:b/>
                <w:bCs/>
                <w:i/>
                <w:color w:val="333333"/>
                <w:sz w:val="18"/>
                <w:szCs w:val="18"/>
              </w:rPr>
            </w:pPr>
            <w:r w:rsidRPr="00E04E16">
              <w:rPr>
                <w:rFonts w:ascii="Arial Narrow" w:hAnsi="Arial Narrow"/>
                <w:b/>
                <w:bCs/>
                <w:i/>
                <w:color w:val="333333"/>
                <w:sz w:val="18"/>
                <w:szCs w:val="18"/>
              </w:rPr>
              <w:t>Clinical criteria:</w:t>
            </w:r>
          </w:p>
        </w:tc>
      </w:tr>
      <w:tr w:rsidR="00AF589B" w:rsidRPr="00E04E16" w:rsidTr="00AB728F">
        <w:tc>
          <w:tcPr>
            <w:tcW w:w="544" w:type="pct"/>
            <w:vAlign w:val="center"/>
          </w:tcPr>
          <w:p w:rsidR="00AF589B" w:rsidRPr="00E04E16" w:rsidRDefault="00AF589B" w:rsidP="00AB728F">
            <w:pPr>
              <w:jc w:val="center"/>
              <w:rPr>
                <w:rFonts w:ascii="Arial Narrow" w:hAnsi="Arial Narrow"/>
                <w:color w:val="333333"/>
                <w:sz w:val="18"/>
                <w:szCs w:val="18"/>
              </w:rPr>
            </w:pPr>
          </w:p>
        </w:tc>
        <w:tc>
          <w:tcPr>
            <w:tcW w:w="4456" w:type="pct"/>
            <w:vAlign w:val="center"/>
          </w:tcPr>
          <w:p w:rsidR="00AF589B" w:rsidRPr="00E04E16" w:rsidRDefault="00AF589B" w:rsidP="00AB728F">
            <w:pPr>
              <w:rPr>
                <w:rFonts w:ascii="Arial Narrow" w:hAnsi="Arial Narrow"/>
                <w:bCs/>
                <w:i/>
                <w:color w:val="333333"/>
                <w:sz w:val="18"/>
                <w:szCs w:val="18"/>
              </w:rPr>
            </w:pPr>
            <w:r w:rsidRPr="00E04E16">
              <w:rPr>
                <w:rFonts w:ascii="Arial Narrow" w:hAnsi="Arial Narrow"/>
                <w:bCs/>
                <w:i/>
                <w:color w:val="333333"/>
                <w:sz w:val="18"/>
                <w:szCs w:val="18"/>
              </w:rPr>
              <w:t>The treatment must not be in place of emergency treatment of hyperkalaemia</w:t>
            </w:r>
          </w:p>
        </w:tc>
      </w:tr>
      <w:tr w:rsidR="00AF589B" w:rsidRPr="00E04E16" w:rsidTr="00AB728F">
        <w:tc>
          <w:tcPr>
            <w:tcW w:w="544" w:type="pct"/>
            <w:vAlign w:val="center"/>
          </w:tcPr>
          <w:p w:rsidR="00AF589B" w:rsidRPr="00E04E16" w:rsidRDefault="00AF589B" w:rsidP="00AB728F">
            <w:pPr>
              <w:jc w:val="center"/>
              <w:rPr>
                <w:rFonts w:ascii="Arial Narrow" w:hAnsi="Arial Narrow"/>
                <w:color w:val="333333"/>
                <w:sz w:val="18"/>
                <w:szCs w:val="18"/>
              </w:rPr>
            </w:pPr>
          </w:p>
        </w:tc>
        <w:tc>
          <w:tcPr>
            <w:tcW w:w="4456" w:type="pct"/>
            <w:vAlign w:val="center"/>
          </w:tcPr>
          <w:p w:rsidR="00AF589B" w:rsidRPr="00E04E16" w:rsidRDefault="00AF589B" w:rsidP="00AB728F">
            <w:pPr>
              <w:rPr>
                <w:rFonts w:ascii="Arial Narrow" w:hAnsi="Arial Narrow"/>
                <w:b/>
                <w:bCs/>
                <w:strike/>
                <w:color w:val="333333"/>
                <w:sz w:val="18"/>
                <w:szCs w:val="18"/>
              </w:rPr>
            </w:pPr>
            <w:r w:rsidRPr="00E04E16">
              <w:rPr>
                <w:rFonts w:ascii="Arial Narrow" w:hAnsi="Arial Narrow"/>
                <w:b/>
                <w:bCs/>
                <w:color w:val="333333"/>
                <w:sz w:val="18"/>
                <w:szCs w:val="18"/>
              </w:rPr>
              <w:t>AND</w:t>
            </w:r>
          </w:p>
        </w:tc>
      </w:tr>
      <w:tr w:rsidR="00AF589B" w:rsidRPr="00E04E16" w:rsidTr="00AB728F">
        <w:tc>
          <w:tcPr>
            <w:tcW w:w="544" w:type="pct"/>
            <w:vMerge w:val="restart"/>
            <w:vAlign w:val="center"/>
          </w:tcPr>
          <w:p w:rsidR="00AF589B" w:rsidRPr="00E04E16" w:rsidRDefault="00AF589B" w:rsidP="00AB728F">
            <w:pPr>
              <w:jc w:val="center"/>
              <w:rPr>
                <w:rFonts w:ascii="Arial Narrow" w:hAnsi="Arial Narrow"/>
                <w:color w:val="333333"/>
                <w:sz w:val="18"/>
                <w:szCs w:val="18"/>
              </w:rPr>
            </w:pPr>
          </w:p>
        </w:tc>
        <w:tc>
          <w:tcPr>
            <w:tcW w:w="4456" w:type="pct"/>
            <w:vAlign w:val="center"/>
            <w:hideMark/>
          </w:tcPr>
          <w:p w:rsidR="00AF589B" w:rsidRPr="00E04E16" w:rsidRDefault="00AF589B" w:rsidP="00AB728F">
            <w:pPr>
              <w:rPr>
                <w:rFonts w:ascii="Arial Narrow" w:hAnsi="Arial Narrow"/>
                <w:color w:val="333333"/>
                <w:sz w:val="18"/>
                <w:szCs w:val="18"/>
              </w:rPr>
            </w:pPr>
            <w:r w:rsidRPr="00E04E16">
              <w:rPr>
                <w:rFonts w:ascii="Arial Narrow" w:hAnsi="Arial Narrow"/>
                <w:b/>
                <w:bCs/>
                <w:strike/>
                <w:color w:val="333333"/>
                <w:sz w:val="18"/>
                <w:szCs w:val="18"/>
              </w:rPr>
              <w:t>Clinical</w:t>
            </w:r>
            <w:r w:rsidRPr="00E04E16">
              <w:rPr>
                <w:rFonts w:ascii="Arial Narrow" w:hAnsi="Arial Narrow"/>
                <w:b/>
                <w:bCs/>
                <w:color w:val="333333"/>
                <w:sz w:val="18"/>
                <w:szCs w:val="18"/>
              </w:rPr>
              <w:t xml:space="preserve"> </w:t>
            </w:r>
            <w:r w:rsidRPr="00E04E16">
              <w:rPr>
                <w:rFonts w:ascii="Arial Narrow" w:hAnsi="Arial Narrow"/>
                <w:b/>
                <w:bCs/>
                <w:i/>
                <w:color w:val="333333"/>
                <w:sz w:val="18"/>
                <w:szCs w:val="18"/>
              </w:rPr>
              <w:t xml:space="preserve">Treatment </w:t>
            </w:r>
            <w:r w:rsidRPr="00E04E16">
              <w:rPr>
                <w:rFonts w:ascii="Arial Narrow" w:hAnsi="Arial Narrow"/>
                <w:b/>
                <w:bCs/>
                <w:color w:val="333333"/>
                <w:sz w:val="18"/>
                <w:szCs w:val="18"/>
              </w:rPr>
              <w:t>criteria:</w:t>
            </w:r>
          </w:p>
        </w:tc>
      </w:tr>
      <w:tr w:rsidR="00AF589B" w:rsidRPr="00E04E16" w:rsidTr="00AB728F">
        <w:tc>
          <w:tcPr>
            <w:tcW w:w="544" w:type="pct"/>
            <w:vMerge/>
            <w:vAlign w:val="center"/>
          </w:tcPr>
          <w:p w:rsidR="00AF589B" w:rsidRPr="00E04E16" w:rsidRDefault="00AF589B" w:rsidP="00AB728F">
            <w:pPr>
              <w:jc w:val="center"/>
              <w:rPr>
                <w:rFonts w:ascii="Arial Narrow" w:hAnsi="Arial Narrow"/>
                <w:color w:val="333333"/>
                <w:sz w:val="18"/>
                <w:szCs w:val="18"/>
              </w:rPr>
            </w:pPr>
          </w:p>
        </w:tc>
        <w:tc>
          <w:tcPr>
            <w:tcW w:w="4456" w:type="pct"/>
            <w:vAlign w:val="center"/>
            <w:hideMark/>
          </w:tcPr>
          <w:p w:rsidR="00AF589B" w:rsidRPr="00E04E16" w:rsidRDefault="00AF589B" w:rsidP="00AB728F">
            <w:pPr>
              <w:rPr>
                <w:rFonts w:ascii="Arial Narrow" w:hAnsi="Arial Narrow"/>
                <w:color w:val="333333"/>
                <w:sz w:val="18"/>
                <w:szCs w:val="18"/>
              </w:rPr>
            </w:pPr>
            <w:r w:rsidRPr="00E04E16">
              <w:rPr>
                <w:rFonts w:ascii="Arial Narrow" w:hAnsi="Arial Narrow"/>
                <w:color w:val="333333"/>
                <w:sz w:val="18"/>
                <w:szCs w:val="18"/>
              </w:rPr>
              <w:t xml:space="preserve">Patient must be </w:t>
            </w:r>
            <w:r w:rsidRPr="00E04E16">
              <w:rPr>
                <w:rFonts w:ascii="Arial Narrow" w:hAnsi="Arial Narrow"/>
                <w:strike/>
                <w:color w:val="333333"/>
                <w:sz w:val="18"/>
                <w:szCs w:val="18"/>
              </w:rPr>
              <w:t>receiving</w:t>
            </w:r>
            <w:r w:rsidRPr="00E04E16">
              <w:rPr>
                <w:rFonts w:ascii="Arial Narrow" w:hAnsi="Arial Narrow"/>
                <w:color w:val="333333"/>
                <w:sz w:val="18"/>
                <w:szCs w:val="18"/>
              </w:rPr>
              <w:t xml:space="preserve"> </w:t>
            </w:r>
            <w:r w:rsidRPr="00E04E16">
              <w:rPr>
                <w:rFonts w:ascii="Arial Narrow" w:hAnsi="Arial Narrow"/>
                <w:i/>
                <w:color w:val="333333"/>
                <w:sz w:val="18"/>
                <w:szCs w:val="18"/>
              </w:rPr>
              <w:t xml:space="preserve">undergoing </w:t>
            </w:r>
            <w:r w:rsidRPr="00E04E16">
              <w:rPr>
                <w:rFonts w:ascii="Arial Narrow" w:hAnsi="Arial Narrow"/>
                <w:color w:val="333333"/>
                <w:sz w:val="18"/>
                <w:szCs w:val="18"/>
              </w:rPr>
              <w:t xml:space="preserve">treatment with at least one renin angiotensin aldosterone system inhibitor; or </w:t>
            </w:r>
          </w:p>
        </w:tc>
      </w:tr>
      <w:tr w:rsidR="00AF589B" w:rsidRPr="00E04E16" w:rsidTr="00AB728F">
        <w:tc>
          <w:tcPr>
            <w:tcW w:w="544" w:type="pct"/>
            <w:vAlign w:val="center"/>
          </w:tcPr>
          <w:p w:rsidR="00AF589B" w:rsidRPr="00E04E16" w:rsidRDefault="00AF589B" w:rsidP="00AB728F">
            <w:pPr>
              <w:jc w:val="center"/>
              <w:rPr>
                <w:rFonts w:ascii="Arial Narrow" w:hAnsi="Arial Narrow"/>
                <w:color w:val="333333"/>
                <w:sz w:val="18"/>
                <w:szCs w:val="18"/>
              </w:rPr>
            </w:pPr>
          </w:p>
        </w:tc>
        <w:tc>
          <w:tcPr>
            <w:tcW w:w="4456" w:type="pct"/>
            <w:vAlign w:val="center"/>
          </w:tcPr>
          <w:p w:rsidR="00AF589B" w:rsidRPr="00E04E16" w:rsidRDefault="00AF589B" w:rsidP="00AB728F">
            <w:pPr>
              <w:rPr>
                <w:rFonts w:ascii="Arial Narrow" w:hAnsi="Arial Narrow"/>
                <w:color w:val="333333"/>
                <w:sz w:val="18"/>
                <w:szCs w:val="18"/>
              </w:rPr>
            </w:pPr>
            <w:r w:rsidRPr="00E04E16">
              <w:rPr>
                <w:rFonts w:ascii="Arial Narrow" w:hAnsi="Arial Narrow"/>
                <w:color w:val="333333"/>
                <w:sz w:val="18"/>
                <w:szCs w:val="18"/>
              </w:rPr>
              <w:t>Patient must be indicated for treatment with a</w:t>
            </w:r>
            <w:r w:rsidRPr="00E04E16">
              <w:rPr>
                <w:rFonts w:ascii="Arial Narrow" w:hAnsi="Arial Narrow"/>
                <w:strike/>
                <w:color w:val="333333"/>
                <w:sz w:val="18"/>
                <w:szCs w:val="18"/>
              </w:rPr>
              <w:t>t least one</w:t>
            </w:r>
            <w:r w:rsidRPr="00E04E16">
              <w:rPr>
                <w:rFonts w:ascii="Arial Narrow" w:hAnsi="Arial Narrow"/>
                <w:color w:val="333333"/>
                <w:sz w:val="18"/>
                <w:szCs w:val="18"/>
              </w:rPr>
              <w:t xml:space="preserve"> renin angiotensin aldosterone system inhibitor; </w:t>
            </w:r>
            <w:r w:rsidRPr="00E04E16">
              <w:rPr>
                <w:rFonts w:ascii="Arial Narrow" w:hAnsi="Arial Narrow"/>
                <w:i/>
                <w:color w:val="333333"/>
                <w:sz w:val="18"/>
                <w:szCs w:val="18"/>
              </w:rPr>
              <w:t xml:space="preserve">but </w:t>
            </w:r>
            <w:r w:rsidRPr="00E04E16">
              <w:rPr>
                <w:rFonts w:ascii="Arial Narrow" w:hAnsi="Arial Narrow"/>
                <w:strike/>
                <w:color w:val="333333"/>
                <w:sz w:val="18"/>
                <w:szCs w:val="18"/>
              </w:rPr>
              <w:t xml:space="preserve">and un </w:t>
            </w:r>
            <w:r w:rsidRPr="00E04E16">
              <w:rPr>
                <w:rFonts w:ascii="Arial Narrow" w:hAnsi="Arial Narrow"/>
                <w:i/>
                <w:color w:val="333333"/>
                <w:sz w:val="18"/>
                <w:szCs w:val="18"/>
              </w:rPr>
              <w:t xml:space="preserve">not </w:t>
            </w:r>
            <w:r w:rsidRPr="00E04E16">
              <w:rPr>
                <w:rFonts w:ascii="Arial Narrow" w:hAnsi="Arial Narrow"/>
                <w:color w:val="333333"/>
                <w:sz w:val="18"/>
                <w:szCs w:val="18"/>
              </w:rPr>
              <w:t xml:space="preserve">able to tolerate this </w:t>
            </w:r>
            <w:r w:rsidRPr="00E04E16">
              <w:rPr>
                <w:rFonts w:ascii="Arial Narrow" w:hAnsi="Arial Narrow"/>
                <w:i/>
                <w:color w:val="333333"/>
                <w:sz w:val="18"/>
                <w:szCs w:val="18"/>
              </w:rPr>
              <w:t xml:space="preserve">therapy </w:t>
            </w:r>
            <w:r w:rsidRPr="00E04E16">
              <w:rPr>
                <w:rFonts w:ascii="Arial Narrow" w:hAnsi="Arial Narrow"/>
                <w:color w:val="333333"/>
                <w:sz w:val="18"/>
                <w:szCs w:val="18"/>
              </w:rPr>
              <w:t xml:space="preserve">due to </w:t>
            </w:r>
            <w:r w:rsidRPr="00E04E16">
              <w:rPr>
                <w:rFonts w:ascii="Arial Narrow" w:hAnsi="Arial Narrow"/>
                <w:strike/>
                <w:color w:val="333333"/>
                <w:sz w:val="18"/>
                <w:szCs w:val="18"/>
              </w:rPr>
              <w:t xml:space="preserve">complications </w:t>
            </w:r>
            <w:r w:rsidRPr="00E04E16">
              <w:rPr>
                <w:rFonts w:ascii="Arial Narrow" w:hAnsi="Arial Narrow"/>
                <w:i/>
                <w:color w:val="333333"/>
                <w:sz w:val="18"/>
                <w:szCs w:val="18"/>
              </w:rPr>
              <w:t xml:space="preserve">prior occurrence </w:t>
            </w:r>
            <w:r w:rsidRPr="00E04E16">
              <w:rPr>
                <w:rFonts w:ascii="Arial Narrow" w:hAnsi="Arial Narrow"/>
                <w:color w:val="333333"/>
                <w:sz w:val="18"/>
                <w:szCs w:val="18"/>
              </w:rPr>
              <w:t>of hyperkalaemia</w:t>
            </w:r>
          </w:p>
        </w:tc>
      </w:tr>
      <w:tr w:rsidR="00AF589B" w:rsidRPr="00E04E16" w:rsidTr="00AB728F">
        <w:tc>
          <w:tcPr>
            <w:tcW w:w="544" w:type="pct"/>
            <w:vAlign w:val="center"/>
          </w:tcPr>
          <w:p w:rsidR="00AF589B" w:rsidRPr="00E04E16" w:rsidRDefault="00AF589B" w:rsidP="00AB728F">
            <w:pPr>
              <w:jc w:val="center"/>
              <w:rPr>
                <w:rFonts w:ascii="Arial Narrow" w:hAnsi="Arial Narrow"/>
                <w:color w:val="333333"/>
                <w:sz w:val="18"/>
                <w:szCs w:val="18"/>
              </w:rPr>
            </w:pPr>
          </w:p>
        </w:tc>
        <w:tc>
          <w:tcPr>
            <w:tcW w:w="4456" w:type="pct"/>
            <w:vAlign w:val="center"/>
          </w:tcPr>
          <w:p w:rsidR="00AF589B" w:rsidRPr="00E04E16" w:rsidRDefault="00AF589B" w:rsidP="00AB728F">
            <w:pPr>
              <w:rPr>
                <w:rFonts w:ascii="Arial Narrow" w:hAnsi="Arial Narrow"/>
                <w:color w:val="333333"/>
                <w:sz w:val="18"/>
                <w:szCs w:val="18"/>
              </w:rPr>
            </w:pPr>
            <w:r w:rsidRPr="00E04E16">
              <w:rPr>
                <w:rFonts w:ascii="Arial Narrow" w:hAnsi="Arial Narrow"/>
                <w:b/>
                <w:bCs/>
                <w:color w:val="333333"/>
                <w:sz w:val="18"/>
                <w:szCs w:val="18"/>
              </w:rPr>
              <w:t>AND</w:t>
            </w:r>
          </w:p>
        </w:tc>
      </w:tr>
      <w:tr w:rsidR="00AF589B" w:rsidRPr="00E04E16" w:rsidTr="00AB728F">
        <w:tc>
          <w:tcPr>
            <w:tcW w:w="544" w:type="pct"/>
            <w:vMerge w:val="restart"/>
            <w:vAlign w:val="center"/>
          </w:tcPr>
          <w:p w:rsidR="00AF589B" w:rsidRPr="00E04E16" w:rsidRDefault="00AF589B" w:rsidP="00AB728F">
            <w:pPr>
              <w:jc w:val="center"/>
              <w:rPr>
                <w:rFonts w:ascii="Arial Narrow" w:hAnsi="Arial Narrow"/>
                <w:color w:val="333333"/>
                <w:sz w:val="18"/>
                <w:szCs w:val="18"/>
              </w:rPr>
            </w:pPr>
          </w:p>
        </w:tc>
        <w:tc>
          <w:tcPr>
            <w:tcW w:w="4456" w:type="pct"/>
            <w:vAlign w:val="center"/>
          </w:tcPr>
          <w:p w:rsidR="00AF589B" w:rsidRPr="00E04E16" w:rsidRDefault="00AF589B" w:rsidP="00AB728F">
            <w:pPr>
              <w:rPr>
                <w:rFonts w:ascii="Arial Narrow" w:hAnsi="Arial Narrow"/>
                <w:color w:val="333333"/>
                <w:sz w:val="18"/>
                <w:szCs w:val="18"/>
              </w:rPr>
            </w:pPr>
            <w:r w:rsidRPr="00E04E16">
              <w:rPr>
                <w:rFonts w:ascii="Arial Narrow" w:hAnsi="Arial Narrow"/>
                <w:b/>
                <w:bCs/>
                <w:strike/>
                <w:color w:val="333333"/>
                <w:sz w:val="18"/>
                <w:szCs w:val="18"/>
              </w:rPr>
              <w:t>Clinical</w:t>
            </w:r>
            <w:r w:rsidRPr="00E04E16">
              <w:rPr>
                <w:rFonts w:ascii="Arial Narrow" w:hAnsi="Arial Narrow"/>
                <w:b/>
                <w:bCs/>
                <w:color w:val="333333"/>
                <w:sz w:val="18"/>
                <w:szCs w:val="18"/>
              </w:rPr>
              <w:t xml:space="preserve"> </w:t>
            </w:r>
            <w:r w:rsidRPr="00E04E16">
              <w:rPr>
                <w:rFonts w:ascii="Arial Narrow" w:hAnsi="Arial Narrow"/>
                <w:b/>
                <w:bCs/>
                <w:i/>
                <w:color w:val="333333"/>
                <w:sz w:val="18"/>
                <w:szCs w:val="18"/>
              </w:rPr>
              <w:t xml:space="preserve">Treatment </w:t>
            </w:r>
            <w:r w:rsidRPr="00E04E16">
              <w:rPr>
                <w:rFonts w:ascii="Arial Narrow" w:hAnsi="Arial Narrow"/>
                <w:b/>
                <w:bCs/>
                <w:color w:val="333333"/>
                <w:sz w:val="18"/>
                <w:szCs w:val="18"/>
              </w:rPr>
              <w:t>criteria:</w:t>
            </w:r>
          </w:p>
        </w:tc>
      </w:tr>
      <w:tr w:rsidR="00AF589B" w:rsidRPr="00E04E16" w:rsidTr="00AB728F">
        <w:tc>
          <w:tcPr>
            <w:tcW w:w="544" w:type="pct"/>
            <w:vMerge/>
            <w:vAlign w:val="center"/>
          </w:tcPr>
          <w:p w:rsidR="00AF589B" w:rsidRPr="00E04E16" w:rsidRDefault="00AF589B" w:rsidP="00AB728F">
            <w:pPr>
              <w:jc w:val="center"/>
              <w:rPr>
                <w:rFonts w:ascii="Arial Narrow" w:hAnsi="Arial Narrow"/>
                <w:color w:val="333333"/>
                <w:sz w:val="18"/>
                <w:szCs w:val="18"/>
              </w:rPr>
            </w:pPr>
          </w:p>
        </w:tc>
        <w:tc>
          <w:tcPr>
            <w:tcW w:w="4456" w:type="pct"/>
            <w:vAlign w:val="center"/>
          </w:tcPr>
          <w:p w:rsidR="00AF589B" w:rsidRPr="00E04E16" w:rsidRDefault="00AF589B" w:rsidP="00AB728F">
            <w:pPr>
              <w:rPr>
                <w:rFonts w:ascii="Arial Narrow" w:hAnsi="Arial Narrow"/>
                <w:color w:val="333333"/>
                <w:sz w:val="18"/>
                <w:szCs w:val="18"/>
              </w:rPr>
            </w:pPr>
            <w:r w:rsidRPr="00E04E16">
              <w:rPr>
                <w:rFonts w:ascii="Arial Narrow" w:hAnsi="Arial Narrow"/>
                <w:color w:val="333333"/>
                <w:sz w:val="18"/>
                <w:szCs w:val="18"/>
              </w:rPr>
              <w:t xml:space="preserve">Patient must not be </w:t>
            </w:r>
            <w:r w:rsidRPr="00E04E16">
              <w:rPr>
                <w:rFonts w:ascii="Arial Narrow" w:hAnsi="Arial Narrow"/>
                <w:strike/>
                <w:color w:val="333333"/>
                <w:sz w:val="18"/>
                <w:szCs w:val="18"/>
              </w:rPr>
              <w:t>receiving</w:t>
            </w:r>
            <w:r w:rsidRPr="00E04E16">
              <w:rPr>
                <w:rFonts w:ascii="Arial Narrow" w:hAnsi="Arial Narrow"/>
                <w:color w:val="333333"/>
                <w:sz w:val="18"/>
                <w:szCs w:val="18"/>
              </w:rPr>
              <w:t xml:space="preserve"> </w:t>
            </w:r>
            <w:r w:rsidRPr="00E04E16">
              <w:rPr>
                <w:rFonts w:ascii="Arial Narrow" w:hAnsi="Arial Narrow"/>
                <w:i/>
                <w:color w:val="333333"/>
                <w:sz w:val="18"/>
                <w:szCs w:val="18"/>
              </w:rPr>
              <w:t xml:space="preserve">undergoing </w:t>
            </w:r>
            <w:r w:rsidRPr="00E04E16">
              <w:rPr>
                <w:rFonts w:ascii="Arial Narrow" w:hAnsi="Arial Narrow"/>
                <w:color w:val="333333"/>
                <w:sz w:val="18"/>
                <w:szCs w:val="18"/>
              </w:rPr>
              <w:t>dialysis</w:t>
            </w:r>
          </w:p>
        </w:tc>
      </w:tr>
      <w:tr w:rsidR="00AF589B" w:rsidRPr="00E04E16" w:rsidTr="00AB728F">
        <w:tc>
          <w:tcPr>
            <w:tcW w:w="544" w:type="pct"/>
            <w:vAlign w:val="center"/>
          </w:tcPr>
          <w:p w:rsidR="00AF589B" w:rsidRPr="00E04E16" w:rsidRDefault="00AF589B" w:rsidP="00AB728F">
            <w:pPr>
              <w:jc w:val="center"/>
              <w:rPr>
                <w:rFonts w:ascii="Arial Narrow" w:hAnsi="Arial Narrow"/>
                <w:color w:val="333333"/>
                <w:sz w:val="18"/>
                <w:szCs w:val="18"/>
              </w:rPr>
            </w:pPr>
          </w:p>
        </w:tc>
        <w:tc>
          <w:tcPr>
            <w:tcW w:w="4456" w:type="pct"/>
            <w:vAlign w:val="center"/>
          </w:tcPr>
          <w:p w:rsidR="00AF589B" w:rsidRPr="00E04E16" w:rsidRDefault="00AF589B" w:rsidP="00AB728F">
            <w:pPr>
              <w:rPr>
                <w:rFonts w:ascii="Arial Narrow" w:hAnsi="Arial Narrow"/>
                <w:color w:val="333333"/>
                <w:sz w:val="18"/>
                <w:szCs w:val="18"/>
              </w:rPr>
            </w:pPr>
            <w:r w:rsidRPr="00E04E16">
              <w:rPr>
                <w:rFonts w:ascii="Arial Narrow" w:hAnsi="Arial Narrow"/>
                <w:b/>
                <w:bCs/>
                <w:color w:val="333333"/>
                <w:sz w:val="18"/>
                <w:szCs w:val="18"/>
              </w:rPr>
              <w:t>AND</w:t>
            </w:r>
          </w:p>
        </w:tc>
      </w:tr>
      <w:tr w:rsidR="00AF589B" w:rsidRPr="00E04E16" w:rsidTr="00AB728F">
        <w:tc>
          <w:tcPr>
            <w:tcW w:w="544" w:type="pct"/>
            <w:vMerge w:val="restart"/>
            <w:vAlign w:val="center"/>
          </w:tcPr>
          <w:p w:rsidR="00AF589B" w:rsidRPr="00E04E16" w:rsidRDefault="00AF589B" w:rsidP="00AB728F">
            <w:pPr>
              <w:jc w:val="center"/>
              <w:rPr>
                <w:rFonts w:ascii="Arial Narrow" w:hAnsi="Arial Narrow"/>
                <w:color w:val="333333"/>
                <w:sz w:val="18"/>
                <w:szCs w:val="18"/>
              </w:rPr>
            </w:pPr>
          </w:p>
        </w:tc>
        <w:tc>
          <w:tcPr>
            <w:tcW w:w="4456" w:type="pct"/>
            <w:vAlign w:val="center"/>
          </w:tcPr>
          <w:p w:rsidR="00AF589B" w:rsidRPr="00E04E16" w:rsidRDefault="00AF589B" w:rsidP="00AB728F">
            <w:pPr>
              <w:rPr>
                <w:rFonts w:ascii="Arial Narrow" w:hAnsi="Arial Narrow"/>
                <w:color w:val="333333"/>
                <w:sz w:val="18"/>
                <w:szCs w:val="18"/>
              </w:rPr>
            </w:pPr>
            <w:r w:rsidRPr="00E04E16">
              <w:rPr>
                <w:rFonts w:ascii="Arial Narrow" w:hAnsi="Arial Narrow"/>
                <w:b/>
                <w:bCs/>
                <w:color w:val="333333"/>
                <w:sz w:val="18"/>
                <w:szCs w:val="18"/>
              </w:rPr>
              <w:t>Treatment criteria:</w:t>
            </w:r>
          </w:p>
        </w:tc>
      </w:tr>
      <w:tr w:rsidR="00AF589B" w:rsidRPr="00E04E16" w:rsidTr="00AB728F">
        <w:tc>
          <w:tcPr>
            <w:tcW w:w="544" w:type="pct"/>
            <w:vMerge/>
            <w:vAlign w:val="center"/>
          </w:tcPr>
          <w:p w:rsidR="00AF589B" w:rsidRPr="00E04E16" w:rsidRDefault="00AF589B" w:rsidP="00AB728F">
            <w:pPr>
              <w:jc w:val="center"/>
              <w:rPr>
                <w:rFonts w:ascii="Arial Narrow" w:hAnsi="Arial Narrow"/>
                <w:color w:val="333333"/>
                <w:sz w:val="18"/>
                <w:szCs w:val="18"/>
              </w:rPr>
            </w:pPr>
          </w:p>
        </w:tc>
        <w:tc>
          <w:tcPr>
            <w:tcW w:w="4456" w:type="pct"/>
            <w:vAlign w:val="center"/>
          </w:tcPr>
          <w:p w:rsidR="00AF589B" w:rsidRPr="00E04E16" w:rsidRDefault="00AF589B" w:rsidP="00AB728F">
            <w:pPr>
              <w:rPr>
                <w:rFonts w:ascii="Arial Narrow" w:hAnsi="Arial Narrow"/>
                <w:i/>
                <w:color w:val="333333"/>
                <w:sz w:val="18"/>
                <w:szCs w:val="18"/>
              </w:rPr>
            </w:pPr>
            <w:r w:rsidRPr="00E04E16">
              <w:rPr>
                <w:rFonts w:ascii="Arial Narrow" w:hAnsi="Arial Narrow"/>
                <w:i/>
                <w:color w:val="333333"/>
                <w:sz w:val="18"/>
                <w:szCs w:val="18"/>
              </w:rPr>
              <w:t>Must be treated by a specialist medical practitioner</w:t>
            </w:r>
          </w:p>
        </w:tc>
      </w:tr>
      <w:tr w:rsidR="00AF589B" w:rsidRPr="00E04E16" w:rsidTr="00A23C1C">
        <w:tc>
          <w:tcPr>
            <w:tcW w:w="544" w:type="pct"/>
            <w:vAlign w:val="center"/>
          </w:tcPr>
          <w:p w:rsidR="00AF589B" w:rsidRPr="00E04E16" w:rsidRDefault="00AF589B" w:rsidP="00AB728F">
            <w:pPr>
              <w:jc w:val="center"/>
              <w:rPr>
                <w:rFonts w:ascii="Arial Narrow" w:hAnsi="Arial Narrow"/>
                <w:strike/>
                <w:color w:val="333333"/>
                <w:sz w:val="18"/>
                <w:szCs w:val="18"/>
              </w:rPr>
            </w:pPr>
          </w:p>
        </w:tc>
        <w:tc>
          <w:tcPr>
            <w:tcW w:w="4456" w:type="pct"/>
            <w:vAlign w:val="center"/>
            <w:hideMark/>
          </w:tcPr>
          <w:p w:rsidR="00AF589B" w:rsidRPr="00E04E16" w:rsidRDefault="00AF589B" w:rsidP="00AB728F">
            <w:pPr>
              <w:rPr>
                <w:rFonts w:ascii="Arial Narrow" w:hAnsi="Arial Narrow"/>
                <w:strike/>
                <w:color w:val="333333"/>
                <w:sz w:val="18"/>
                <w:szCs w:val="18"/>
              </w:rPr>
            </w:pPr>
            <w:r w:rsidRPr="00E04E16">
              <w:rPr>
                <w:rFonts w:ascii="Arial Narrow" w:hAnsi="Arial Narrow"/>
                <w:b/>
                <w:bCs/>
                <w:strike/>
                <w:color w:val="333333"/>
                <w:sz w:val="18"/>
                <w:szCs w:val="18"/>
              </w:rPr>
              <w:t xml:space="preserve">Administrative Advice: </w:t>
            </w:r>
            <w:r w:rsidRPr="00E04E16">
              <w:rPr>
                <w:rFonts w:ascii="Arial Narrow" w:hAnsi="Arial Narrow"/>
                <w:strike/>
                <w:color w:val="333333"/>
                <w:sz w:val="18"/>
                <w:szCs w:val="18"/>
              </w:rPr>
              <w:t>Patiromer should not replace emergency treatment of hyperkalaemia</w:t>
            </w:r>
          </w:p>
        </w:tc>
      </w:tr>
      <w:tr w:rsidR="00AF589B" w:rsidRPr="00E04E16" w:rsidTr="00AB728F">
        <w:tc>
          <w:tcPr>
            <w:tcW w:w="544" w:type="pct"/>
            <w:vAlign w:val="center"/>
          </w:tcPr>
          <w:p w:rsidR="00AF589B" w:rsidRPr="00E04E16" w:rsidRDefault="00AF589B" w:rsidP="00AB728F">
            <w:pPr>
              <w:jc w:val="center"/>
              <w:rPr>
                <w:rFonts w:ascii="Arial Narrow" w:hAnsi="Arial Narrow"/>
                <w:color w:val="333333"/>
                <w:sz w:val="18"/>
                <w:szCs w:val="18"/>
              </w:rPr>
            </w:pPr>
          </w:p>
        </w:tc>
        <w:tc>
          <w:tcPr>
            <w:tcW w:w="4456" w:type="pct"/>
            <w:vAlign w:val="center"/>
          </w:tcPr>
          <w:p w:rsidR="00AF589B" w:rsidRPr="00E04E16" w:rsidRDefault="00AF589B" w:rsidP="00AB728F">
            <w:pPr>
              <w:rPr>
                <w:rFonts w:ascii="Arial Narrow" w:hAnsi="Arial Narrow" w:cstheme="minorHAnsi"/>
                <w:b/>
                <w:sz w:val="18"/>
                <w:szCs w:val="18"/>
              </w:rPr>
            </w:pPr>
            <w:r w:rsidRPr="00E04E16">
              <w:rPr>
                <w:rFonts w:ascii="Arial Narrow" w:hAnsi="Arial Narrow" w:cstheme="minorHAnsi"/>
                <w:b/>
                <w:sz w:val="18"/>
                <w:szCs w:val="18"/>
              </w:rPr>
              <w:t>Administrative Advice:</w:t>
            </w:r>
          </w:p>
          <w:p w:rsidR="00AF589B" w:rsidRPr="00E04E16" w:rsidRDefault="00AF589B" w:rsidP="00AB728F">
            <w:pPr>
              <w:rPr>
                <w:rFonts w:ascii="Arial Narrow" w:hAnsi="Arial Narrow"/>
                <w:b/>
                <w:bCs/>
                <w:i/>
                <w:color w:val="333333"/>
                <w:sz w:val="18"/>
                <w:szCs w:val="18"/>
              </w:rPr>
            </w:pPr>
            <w:r w:rsidRPr="00E04E16">
              <w:rPr>
                <w:rFonts w:ascii="Arial Narrow" w:hAnsi="Arial Narrow" w:cstheme="minorHAnsi"/>
                <w:i/>
                <w:sz w:val="18"/>
                <w:szCs w:val="18"/>
              </w:rPr>
              <w:t xml:space="preserve">Applications for authorisation under this restriction may be made in real time using the Online PBS Authorities system (see </w:t>
            </w:r>
            <w:r w:rsidRPr="004E288B">
              <w:rPr>
                <w:rFonts w:ascii="Arial Narrow" w:hAnsi="Arial Narrow" w:cstheme="minorHAnsi"/>
                <w:sz w:val="18"/>
                <w:szCs w:val="18"/>
              </w:rPr>
              <w:t>www.servicesaustralia.gov.au/HPOS</w:t>
            </w:r>
            <w:r w:rsidRPr="00E04E16">
              <w:rPr>
                <w:rFonts w:ascii="Arial Narrow" w:hAnsi="Arial Narrow" w:cstheme="minorHAnsi"/>
                <w:i/>
                <w:sz w:val="18"/>
                <w:szCs w:val="18"/>
              </w:rPr>
              <w:t>)  or by telephone by contacting Services Australia on 1800 888 333</w:t>
            </w:r>
          </w:p>
        </w:tc>
      </w:tr>
    </w:tbl>
    <w:p w:rsidR="00AF589B" w:rsidRPr="00E04E16" w:rsidRDefault="00AF589B" w:rsidP="00AF589B">
      <w:pPr>
        <w:rPr>
          <w:highlight w:val="yellow"/>
        </w:rPr>
      </w:pPr>
      <w:r w:rsidRPr="00E04E16">
        <w:rPr>
          <w:highlight w:val="yellow"/>
        </w:rPr>
        <w:br w:type="page"/>
      </w:r>
    </w:p>
    <w:p w:rsidR="00AF589B" w:rsidRPr="00E04E16" w:rsidRDefault="00AF589B" w:rsidP="00AF589B">
      <w:pPr>
        <w:rPr>
          <w:rFonts w:ascii="Arial Narrow" w:hAnsi="Arial Narrow"/>
          <w:b/>
          <w:sz w:val="18"/>
          <w:szCs w:val="18"/>
        </w:rPr>
      </w:pPr>
      <w:r w:rsidRPr="00E04E16">
        <w:rPr>
          <w:rFonts w:ascii="Arial Narrow" w:hAnsi="Arial Narrow"/>
          <w:b/>
          <w:sz w:val="18"/>
          <w:szCs w:val="18"/>
        </w:rPr>
        <w:lastRenderedPageBreak/>
        <w:t>Restriction Summary [new] / Treatment of Concept: [new]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81"/>
        <w:gridCol w:w="8036"/>
      </w:tblGrid>
      <w:tr w:rsidR="00AF589B" w:rsidRPr="00E04E16" w:rsidTr="00AB728F">
        <w:tc>
          <w:tcPr>
            <w:tcW w:w="544" w:type="pct"/>
            <w:vMerge w:val="restart"/>
            <w:tcBorders>
              <w:top w:val="single" w:sz="4" w:space="0" w:color="auto"/>
              <w:left w:val="single" w:sz="4" w:space="0" w:color="auto"/>
              <w:right w:val="single" w:sz="4" w:space="0" w:color="auto"/>
            </w:tcBorders>
          </w:tcPr>
          <w:p w:rsidR="00AF589B" w:rsidRPr="00E04E16" w:rsidRDefault="00AF589B" w:rsidP="00AB728F">
            <w:pPr>
              <w:jc w:val="center"/>
              <w:rPr>
                <w:rFonts w:ascii="Arial Narrow" w:hAnsi="Arial Narrow"/>
                <w:sz w:val="18"/>
                <w:szCs w:val="18"/>
              </w:rPr>
            </w:pPr>
          </w:p>
        </w:tc>
        <w:tc>
          <w:tcPr>
            <w:tcW w:w="4456" w:type="pct"/>
            <w:tcBorders>
              <w:top w:val="single" w:sz="4" w:space="0" w:color="auto"/>
              <w:left w:val="single" w:sz="4" w:space="0" w:color="auto"/>
              <w:bottom w:val="single" w:sz="4" w:space="0" w:color="auto"/>
              <w:right w:val="single" w:sz="4" w:space="0" w:color="auto"/>
            </w:tcBorders>
          </w:tcPr>
          <w:p w:rsidR="00AF589B" w:rsidRPr="00E04E16" w:rsidRDefault="00AF589B" w:rsidP="00AB728F">
            <w:pPr>
              <w:rPr>
                <w:rFonts w:ascii="Arial Narrow" w:hAnsi="Arial Narrow"/>
                <w:sz w:val="18"/>
                <w:szCs w:val="18"/>
              </w:rPr>
            </w:pPr>
            <w:r w:rsidRPr="00E04E16">
              <w:rPr>
                <w:rFonts w:ascii="Arial Narrow" w:hAnsi="Arial Narrow"/>
                <w:b/>
                <w:sz w:val="18"/>
                <w:szCs w:val="18"/>
              </w:rPr>
              <w:t xml:space="preserve">Category / Program:   </w:t>
            </w:r>
            <w:r w:rsidRPr="00E04E16">
              <w:rPr>
                <w:rFonts w:ascii="Arial Narrow" w:hAnsi="Arial Narrow"/>
                <w:sz w:val="18"/>
                <w:szCs w:val="18"/>
              </w:rPr>
              <w:t xml:space="preserve">GENERAL – General Schedule (Code GE) </w:t>
            </w:r>
          </w:p>
        </w:tc>
      </w:tr>
      <w:tr w:rsidR="00AF589B" w:rsidRPr="00E04E16" w:rsidTr="00AB728F">
        <w:trPr>
          <w:trHeight w:val="240"/>
        </w:trPr>
        <w:tc>
          <w:tcPr>
            <w:tcW w:w="544" w:type="pct"/>
            <w:vMerge/>
            <w:tcBorders>
              <w:left w:val="single" w:sz="4" w:space="0" w:color="auto"/>
              <w:right w:val="single" w:sz="4" w:space="0" w:color="auto"/>
            </w:tcBorders>
          </w:tcPr>
          <w:p w:rsidR="00AF589B" w:rsidRPr="00E04E16" w:rsidRDefault="00AF589B" w:rsidP="00AB728F">
            <w:pPr>
              <w:rPr>
                <w:rFonts w:ascii="Arial Narrow" w:hAnsi="Arial Narrow"/>
                <w:sz w:val="18"/>
                <w:szCs w:val="18"/>
              </w:rPr>
            </w:pPr>
          </w:p>
        </w:tc>
        <w:tc>
          <w:tcPr>
            <w:tcW w:w="4456" w:type="pct"/>
            <w:tcBorders>
              <w:top w:val="single" w:sz="4" w:space="0" w:color="auto"/>
              <w:left w:val="single" w:sz="4" w:space="0" w:color="auto"/>
              <w:bottom w:val="single" w:sz="4" w:space="0" w:color="auto"/>
              <w:right w:val="single" w:sz="4" w:space="0" w:color="auto"/>
            </w:tcBorders>
          </w:tcPr>
          <w:p w:rsidR="00AF589B" w:rsidRPr="00E04E16" w:rsidRDefault="00AF589B" w:rsidP="00AB728F">
            <w:pPr>
              <w:rPr>
                <w:rFonts w:ascii="Arial Narrow" w:hAnsi="Arial Narrow"/>
                <w:b/>
                <w:sz w:val="18"/>
                <w:szCs w:val="18"/>
              </w:rPr>
            </w:pPr>
            <w:r w:rsidRPr="00E04E16">
              <w:rPr>
                <w:rFonts w:ascii="Arial Narrow" w:hAnsi="Arial Narrow"/>
                <w:b/>
                <w:sz w:val="18"/>
                <w:szCs w:val="18"/>
              </w:rPr>
              <w:t>Prescriber type:</w:t>
            </w:r>
            <w:r w:rsidR="00F90902">
              <w:rPr>
                <w:rFonts w:ascii="Arial Narrow" w:hAnsi="Arial Narrow"/>
                <w:b/>
                <w:sz w:val="18"/>
                <w:szCs w:val="18"/>
              </w:rPr>
              <w:t xml:space="preserve">  </w:t>
            </w:r>
            <w:r w:rsidRPr="00E04E16">
              <w:rPr>
                <w:rFonts w:ascii="Arial Narrow" w:hAnsi="Arial Narrow"/>
                <w:sz w:val="18"/>
                <w:szCs w:val="18"/>
              </w:rPr>
              <w:t xml:space="preserve"> </w:t>
            </w:r>
            <w:r w:rsidRPr="00E04E16">
              <w:rPr>
                <w:rFonts w:ascii="Arial Narrow" w:hAnsi="Arial Narrow"/>
                <w:sz w:val="18"/>
                <w:szCs w:val="18"/>
              </w:rPr>
              <w:fldChar w:fldCharType="begin">
                <w:ffData>
                  <w:name w:val=""/>
                  <w:enabled/>
                  <w:calcOnExit w:val="0"/>
                  <w:checkBox>
                    <w:sizeAuto/>
                    <w:default w:val="1"/>
                  </w:checkBox>
                </w:ffData>
              </w:fldChar>
            </w:r>
            <w:r w:rsidRPr="00E04E16">
              <w:rPr>
                <w:rFonts w:ascii="Arial Narrow" w:hAnsi="Arial Narrow"/>
                <w:sz w:val="18"/>
                <w:szCs w:val="18"/>
              </w:rPr>
              <w:instrText xml:space="preserve"> FORMCHECKBOX </w:instrText>
            </w:r>
            <w:r w:rsidR="00465117">
              <w:rPr>
                <w:rFonts w:ascii="Arial Narrow" w:hAnsi="Arial Narrow"/>
                <w:sz w:val="18"/>
                <w:szCs w:val="18"/>
              </w:rPr>
            </w:r>
            <w:r w:rsidR="00465117">
              <w:rPr>
                <w:rFonts w:ascii="Arial Narrow" w:hAnsi="Arial Narrow"/>
                <w:sz w:val="18"/>
                <w:szCs w:val="18"/>
              </w:rPr>
              <w:fldChar w:fldCharType="separate"/>
            </w:r>
            <w:r w:rsidRPr="00E04E16">
              <w:rPr>
                <w:rFonts w:ascii="Arial Narrow" w:hAnsi="Arial Narrow"/>
                <w:sz w:val="18"/>
                <w:szCs w:val="18"/>
              </w:rPr>
              <w:fldChar w:fldCharType="end"/>
            </w:r>
            <w:r w:rsidRPr="00E04E16">
              <w:rPr>
                <w:rFonts w:ascii="Arial Narrow" w:hAnsi="Arial Narrow"/>
                <w:sz w:val="18"/>
                <w:szCs w:val="18"/>
              </w:rPr>
              <w:t xml:space="preserve">Medical Practitioners   </w:t>
            </w:r>
          </w:p>
        </w:tc>
      </w:tr>
      <w:tr w:rsidR="00AF589B" w:rsidRPr="00E04E16" w:rsidTr="00AB728F">
        <w:trPr>
          <w:trHeight w:val="204"/>
        </w:trPr>
        <w:tc>
          <w:tcPr>
            <w:tcW w:w="544" w:type="pct"/>
            <w:vMerge/>
            <w:tcBorders>
              <w:left w:val="single" w:sz="4" w:space="0" w:color="auto"/>
              <w:right w:val="single" w:sz="4" w:space="0" w:color="auto"/>
            </w:tcBorders>
          </w:tcPr>
          <w:p w:rsidR="00AF589B" w:rsidRPr="00E04E16" w:rsidRDefault="00AF589B" w:rsidP="00AB728F">
            <w:pPr>
              <w:rPr>
                <w:rFonts w:ascii="Arial Narrow" w:hAnsi="Arial Narrow"/>
                <w:sz w:val="18"/>
                <w:szCs w:val="18"/>
              </w:rPr>
            </w:pPr>
          </w:p>
        </w:tc>
        <w:tc>
          <w:tcPr>
            <w:tcW w:w="4456" w:type="pct"/>
            <w:tcBorders>
              <w:top w:val="single" w:sz="4" w:space="0" w:color="auto"/>
              <w:left w:val="single" w:sz="4" w:space="0" w:color="auto"/>
              <w:bottom w:val="single" w:sz="4" w:space="0" w:color="auto"/>
              <w:right w:val="single" w:sz="4" w:space="0" w:color="auto"/>
            </w:tcBorders>
          </w:tcPr>
          <w:p w:rsidR="00AF589B" w:rsidRPr="00E04E16" w:rsidRDefault="00AF589B" w:rsidP="00AB728F">
            <w:pPr>
              <w:rPr>
                <w:rFonts w:ascii="Arial Narrow" w:hAnsi="Arial Narrow"/>
                <w:b/>
                <w:sz w:val="18"/>
                <w:szCs w:val="18"/>
              </w:rPr>
            </w:pPr>
            <w:r w:rsidRPr="00E04E16">
              <w:rPr>
                <w:rFonts w:ascii="Arial Narrow" w:hAnsi="Arial Narrow"/>
                <w:b/>
                <w:sz w:val="18"/>
                <w:szCs w:val="18"/>
              </w:rPr>
              <w:t xml:space="preserve">Restriction Type: </w:t>
            </w:r>
            <w:r w:rsidRPr="00E04E16">
              <w:rPr>
                <w:rFonts w:ascii="Arial Narrow" w:eastAsia="Calibri" w:hAnsi="Arial Narrow"/>
                <w:sz w:val="18"/>
                <w:szCs w:val="18"/>
              </w:rPr>
              <w:fldChar w:fldCharType="begin">
                <w:ffData>
                  <w:name w:val=""/>
                  <w:enabled/>
                  <w:calcOnExit w:val="0"/>
                  <w:checkBox>
                    <w:sizeAuto/>
                    <w:default w:val="1"/>
                  </w:checkBox>
                </w:ffData>
              </w:fldChar>
            </w:r>
            <w:r w:rsidRPr="00E04E16">
              <w:rPr>
                <w:rFonts w:ascii="Arial Narrow" w:eastAsia="Calibri" w:hAnsi="Arial Narrow"/>
                <w:sz w:val="18"/>
                <w:szCs w:val="18"/>
              </w:rPr>
              <w:instrText xml:space="preserve"> FORMCHECKBOX </w:instrText>
            </w:r>
            <w:r w:rsidR="00465117">
              <w:rPr>
                <w:rFonts w:ascii="Arial Narrow" w:eastAsia="Calibri" w:hAnsi="Arial Narrow"/>
                <w:sz w:val="18"/>
                <w:szCs w:val="18"/>
              </w:rPr>
            </w:r>
            <w:r w:rsidR="00465117">
              <w:rPr>
                <w:rFonts w:ascii="Arial Narrow" w:eastAsia="Calibri" w:hAnsi="Arial Narrow"/>
                <w:sz w:val="18"/>
                <w:szCs w:val="18"/>
              </w:rPr>
              <w:fldChar w:fldCharType="separate"/>
            </w:r>
            <w:r w:rsidRPr="00E04E16">
              <w:rPr>
                <w:rFonts w:ascii="Arial Narrow" w:eastAsia="Calibri" w:hAnsi="Arial Narrow"/>
                <w:sz w:val="18"/>
                <w:szCs w:val="18"/>
              </w:rPr>
              <w:fldChar w:fldCharType="end"/>
            </w:r>
            <w:r w:rsidRPr="00E04E16">
              <w:rPr>
                <w:rFonts w:ascii="Arial Narrow" w:eastAsia="Calibri" w:hAnsi="Arial Narrow"/>
                <w:sz w:val="18"/>
                <w:szCs w:val="18"/>
              </w:rPr>
              <w:t xml:space="preserve"> Authority Required – Streamlined [new code] </w:t>
            </w:r>
          </w:p>
        </w:tc>
      </w:tr>
      <w:tr w:rsidR="00AF589B" w:rsidRPr="00E04E16" w:rsidTr="00AB728F">
        <w:tc>
          <w:tcPr>
            <w:tcW w:w="544" w:type="pct"/>
            <w:vMerge/>
            <w:tcBorders>
              <w:left w:val="single" w:sz="4" w:space="0" w:color="auto"/>
              <w:right w:val="single" w:sz="4" w:space="0" w:color="auto"/>
            </w:tcBorders>
            <w:vAlign w:val="center"/>
          </w:tcPr>
          <w:p w:rsidR="00AF589B" w:rsidRPr="00E04E16" w:rsidRDefault="00AF589B" w:rsidP="00AB728F">
            <w:pPr>
              <w:jc w:val="center"/>
              <w:rPr>
                <w:rFonts w:ascii="Arial Narrow" w:hAnsi="Arial Narrow"/>
                <w:color w:val="333333"/>
                <w:sz w:val="18"/>
                <w:szCs w:val="18"/>
              </w:rPr>
            </w:pPr>
          </w:p>
        </w:tc>
        <w:tc>
          <w:tcPr>
            <w:tcW w:w="4456" w:type="pct"/>
            <w:tcBorders>
              <w:left w:val="single" w:sz="4" w:space="0" w:color="auto"/>
            </w:tcBorders>
            <w:vAlign w:val="center"/>
          </w:tcPr>
          <w:p w:rsidR="00AF589B" w:rsidRPr="00E04E16" w:rsidRDefault="00AF589B" w:rsidP="00AB728F">
            <w:pPr>
              <w:rPr>
                <w:rFonts w:ascii="Arial Narrow" w:hAnsi="Arial Narrow"/>
                <w:bCs/>
                <w:color w:val="333333"/>
                <w:sz w:val="18"/>
                <w:szCs w:val="18"/>
              </w:rPr>
            </w:pPr>
            <w:r w:rsidRPr="00E04E16">
              <w:rPr>
                <w:rFonts w:ascii="Arial Narrow" w:hAnsi="Arial Narrow"/>
                <w:b/>
                <w:bCs/>
                <w:color w:val="333333"/>
                <w:sz w:val="18"/>
                <w:szCs w:val="18"/>
              </w:rPr>
              <w:t xml:space="preserve">Episodicity: </w:t>
            </w:r>
            <w:r w:rsidRPr="00E04E16">
              <w:rPr>
                <w:rFonts w:ascii="Arial Narrow" w:hAnsi="Arial Narrow"/>
                <w:bCs/>
                <w:color w:val="333333"/>
                <w:sz w:val="18"/>
                <w:szCs w:val="18"/>
              </w:rPr>
              <w:t>Chronic</w:t>
            </w:r>
          </w:p>
        </w:tc>
      </w:tr>
      <w:tr w:rsidR="00AF589B" w:rsidRPr="00E04E16" w:rsidTr="00AB728F">
        <w:tc>
          <w:tcPr>
            <w:tcW w:w="544" w:type="pct"/>
            <w:vMerge/>
            <w:tcBorders>
              <w:left w:val="single" w:sz="4" w:space="0" w:color="auto"/>
              <w:right w:val="single" w:sz="4" w:space="0" w:color="auto"/>
            </w:tcBorders>
            <w:vAlign w:val="center"/>
          </w:tcPr>
          <w:p w:rsidR="00AF589B" w:rsidRPr="00E04E16" w:rsidRDefault="00AF589B" w:rsidP="00AB728F">
            <w:pPr>
              <w:jc w:val="center"/>
              <w:rPr>
                <w:rFonts w:ascii="Arial Narrow" w:hAnsi="Arial Narrow"/>
                <w:color w:val="333333"/>
                <w:sz w:val="18"/>
                <w:szCs w:val="18"/>
              </w:rPr>
            </w:pPr>
          </w:p>
        </w:tc>
        <w:tc>
          <w:tcPr>
            <w:tcW w:w="4456" w:type="pct"/>
            <w:tcBorders>
              <w:left w:val="single" w:sz="4" w:space="0" w:color="auto"/>
            </w:tcBorders>
            <w:vAlign w:val="center"/>
          </w:tcPr>
          <w:p w:rsidR="00AF589B" w:rsidRPr="00E04E16" w:rsidRDefault="00AF589B" w:rsidP="00AB728F">
            <w:pPr>
              <w:rPr>
                <w:rFonts w:ascii="Arial Narrow" w:hAnsi="Arial Narrow"/>
                <w:b/>
                <w:bCs/>
                <w:color w:val="333333"/>
                <w:sz w:val="18"/>
                <w:szCs w:val="18"/>
              </w:rPr>
            </w:pPr>
            <w:r w:rsidRPr="00E04E16">
              <w:rPr>
                <w:rFonts w:ascii="Arial Narrow" w:hAnsi="Arial Narrow"/>
                <w:b/>
                <w:bCs/>
                <w:color w:val="333333"/>
                <w:sz w:val="18"/>
                <w:szCs w:val="18"/>
              </w:rPr>
              <w:t xml:space="preserve">Condition: </w:t>
            </w:r>
            <w:r w:rsidRPr="00E04E16">
              <w:rPr>
                <w:rFonts w:ascii="Arial Narrow" w:hAnsi="Arial Narrow"/>
                <w:bCs/>
                <w:color w:val="333333"/>
                <w:sz w:val="18"/>
                <w:szCs w:val="18"/>
              </w:rPr>
              <w:t>Hyperkalaemia</w:t>
            </w:r>
          </w:p>
        </w:tc>
      </w:tr>
      <w:tr w:rsidR="00AF589B" w:rsidRPr="00E04E16" w:rsidTr="00A23C1C">
        <w:tc>
          <w:tcPr>
            <w:tcW w:w="544" w:type="pct"/>
            <w:vAlign w:val="center"/>
          </w:tcPr>
          <w:p w:rsidR="00AF589B" w:rsidRPr="00E04E16" w:rsidRDefault="00AF589B" w:rsidP="00AB728F">
            <w:pPr>
              <w:jc w:val="center"/>
              <w:rPr>
                <w:rFonts w:ascii="Arial Narrow" w:hAnsi="Arial Narrow"/>
                <w:color w:val="333333"/>
                <w:sz w:val="18"/>
                <w:szCs w:val="18"/>
              </w:rPr>
            </w:pPr>
          </w:p>
        </w:tc>
        <w:tc>
          <w:tcPr>
            <w:tcW w:w="4456" w:type="pct"/>
            <w:vAlign w:val="center"/>
            <w:hideMark/>
          </w:tcPr>
          <w:p w:rsidR="00AF589B" w:rsidRPr="00E04E16" w:rsidRDefault="00AF589B" w:rsidP="00AB728F">
            <w:pPr>
              <w:rPr>
                <w:rFonts w:ascii="Arial Narrow" w:hAnsi="Arial Narrow"/>
                <w:color w:val="333333"/>
                <w:sz w:val="18"/>
                <w:szCs w:val="18"/>
              </w:rPr>
            </w:pPr>
            <w:r w:rsidRPr="00E04E16">
              <w:rPr>
                <w:rFonts w:ascii="Arial Narrow" w:hAnsi="Arial Narrow"/>
                <w:b/>
                <w:bCs/>
                <w:color w:val="333333"/>
                <w:sz w:val="18"/>
                <w:szCs w:val="18"/>
              </w:rPr>
              <w:t>Indication:</w:t>
            </w:r>
            <w:r w:rsidRPr="00E04E16">
              <w:rPr>
                <w:rFonts w:ascii="Arial Narrow" w:hAnsi="Arial Narrow"/>
                <w:color w:val="333333"/>
                <w:sz w:val="18"/>
                <w:szCs w:val="18"/>
              </w:rPr>
              <w:t xml:space="preserve"> Chronic hyperkalaemia</w:t>
            </w:r>
          </w:p>
        </w:tc>
      </w:tr>
      <w:tr w:rsidR="00AF589B" w:rsidRPr="00E04E16" w:rsidTr="00A23C1C">
        <w:trPr>
          <w:trHeight w:val="272"/>
        </w:trPr>
        <w:tc>
          <w:tcPr>
            <w:tcW w:w="544" w:type="pct"/>
            <w:vAlign w:val="center"/>
          </w:tcPr>
          <w:p w:rsidR="00AF589B" w:rsidRPr="00E04E16" w:rsidRDefault="00AF589B" w:rsidP="00AB728F">
            <w:pPr>
              <w:jc w:val="center"/>
              <w:rPr>
                <w:rFonts w:ascii="Arial Narrow" w:hAnsi="Arial Narrow"/>
                <w:color w:val="333333"/>
                <w:sz w:val="18"/>
                <w:szCs w:val="18"/>
              </w:rPr>
            </w:pPr>
          </w:p>
        </w:tc>
        <w:tc>
          <w:tcPr>
            <w:tcW w:w="4456" w:type="pct"/>
            <w:vAlign w:val="center"/>
            <w:hideMark/>
          </w:tcPr>
          <w:p w:rsidR="00AF589B" w:rsidRPr="00E04E16" w:rsidRDefault="00AF589B" w:rsidP="00AB728F">
            <w:pPr>
              <w:rPr>
                <w:rFonts w:ascii="Arial Narrow" w:hAnsi="Arial Narrow"/>
                <w:i/>
                <w:color w:val="333333"/>
                <w:sz w:val="18"/>
                <w:szCs w:val="18"/>
              </w:rPr>
            </w:pPr>
            <w:r w:rsidRPr="00E04E16">
              <w:rPr>
                <w:rFonts w:ascii="Arial Narrow" w:hAnsi="Arial Narrow"/>
                <w:b/>
                <w:bCs/>
                <w:color w:val="333333"/>
                <w:sz w:val="18"/>
                <w:szCs w:val="18"/>
              </w:rPr>
              <w:t>Treatment Phase:</w:t>
            </w:r>
            <w:r w:rsidRPr="00E04E16">
              <w:rPr>
                <w:rFonts w:ascii="Arial Narrow" w:hAnsi="Arial Narrow"/>
                <w:color w:val="333333"/>
                <w:sz w:val="18"/>
                <w:szCs w:val="18"/>
              </w:rPr>
              <w:t xml:space="preserve"> Continuing</w:t>
            </w:r>
            <w:r w:rsidRPr="00E04E16">
              <w:rPr>
                <w:rFonts w:ascii="Arial Narrow" w:hAnsi="Arial Narrow"/>
                <w:i/>
                <w:color w:val="333333"/>
                <w:sz w:val="18"/>
                <w:szCs w:val="18"/>
              </w:rPr>
              <w:t xml:space="preserve"> treatment</w:t>
            </w:r>
          </w:p>
        </w:tc>
      </w:tr>
      <w:tr w:rsidR="00AF589B" w:rsidRPr="00E04E16" w:rsidTr="00A23C1C">
        <w:tc>
          <w:tcPr>
            <w:tcW w:w="544" w:type="pct"/>
            <w:vAlign w:val="center"/>
          </w:tcPr>
          <w:p w:rsidR="00AF589B" w:rsidRPr="00E04E16" w:rsidRDefault="00AF589B" w:rsidP="00AB728F">
            <w:pPr>
              <w:jc w:val="center"/>
              <w:rPr>
                <w:rFonts w:ascii="Arial Narrow" w:hAnsi="Arial Narrow"/>
                <w:color w:val="333333"/>
                <w:sz w:val="18"/>
                <w:szCs w:val="18"/>
              </w:rPr>
            </w:pPr>
          </w:p>
        </w:tc>
        <w:tc>
          <w:tcPr>
            <w:tcW w:w="4456" w:type="pct"/>
            <w:vAlign w:val="center"/>
            <w:hideMark/>
          </w:tcPr>
          <w:p w:rsidR="00AF589B" w:rsidRPr="00E04E16" w:rsidRDefault="00AF589B" w:rsidP="00AB728F">
            <w:pPr>
              <w:rPr>
                <w:rFonts w:ascii="Arial Narrow" w:hAnsi="Arial Narrow"/>
                <w:color w:val="333333"/>
                <w:sz w:val="18"/>
                <w:szCs w:val="18"/>
              </w:rPr>
            </w:pPr>
            <w:r w:rsidRPr="00E04E16">
              <w:rPr>
                <w:rFonts w:ascii="Arial Narrow" w:hAnsi="Arial Narrow"/>
                <w:b/>
                <w:bCs/>
                <w:color w:val="333333"/>
                <w:sz w:val="18"/>
                <w:szCs w:val="18"/>
              </w:rPr>
              <w:t>Clinical criteria:</w:t>
            </w:r>
          </w:p>
        </w:tc>
      </w:tr>
      <w:tr w:rsidR="00AF589B" w:rsidRPr="00E04E16" w:rsidTr="00A23C1C">
        <w:tc>
          <w:tcPr>
            <w:tcW w:w="544" w:type="pct"/>
            <w:vAlign w:val="center"/>
          </w:tcPr>
          <w:p w:rsidR="00AF589B" w:rsidRPr="00E04E16" w:rsidRDefault="00AF589B" w:rsidP="00AB728F">
            <w:pPr>
              <w:jc w:val="center"/>
              <w:rPr>
                <w:rFonts w:ascii="Arial Narrow" w:hAnsi="Arial Narrow"/>
                <w:color w:val="333333"/>
                <w:sz w:val="18"/>
                <w:szCs w:val="18"/>
              </w:rPr>
            </w:pPr>
          </w:p>
        </w:tc>
        <w:tc>
          <w:tcPr>
            <w:tcW w:w="4456" w:type="pct"/>
            <w:vAlign w:val="center"/>
            <w:hideMark/>
          </w:tcPr>
          <w:p w:rsidR="00AF589B" w:rsidRPr="00E04E16" w:rsidRDefault="00AF589B" w:rsidP="00AB728F">
            <w:pPr>
              <w:rPr>
                <w:rFonts w:ascii="Arial Narrow" w:hAnsi="Arial Narrow"/>
                <w:color w:val="333333"/>
                <w:sz w:val="18"/>
                <w:szCs w:val="18"/>
              </w:rPr>
            </w:pPr>
            <w:r w:rsidRPr="00E04E16">
              <w:rPr>
                <w:rFonts w:ascii="Arial Narrow" w:hAnsi="Arial Narrow"/>
                <w:color w:val="333333"/>
                <w:sz w:val="18"/>
                <w:szCs w:val="18"/>
              </w:rPr>
              <w:t>Patient must have previously received PBS-subsidised treatment with this drug for this condition</w:t>
            </w:r>
          </w:p>
        </w:tc>
      </w:tr>
      <w:tr w:rsidR="00AF589B" w:rsidRPr="00E04E16" w:rsidTr="00A23C1C">
        <w:tc>
          <w:tcPr>
            <w:tcW w:w="544" w:type="pct"/>
            <w:vAlign w:val="center"/>
          </w:tcPr>
          <w:p w:rsidR="00AF589B" w:rsidRPr="00E04E16" w:rsidRDefault="00AF589B" w:rsidP="00AB728F">
            <w:pPr>
              <w:jc w:val="center"/>
              <w:rPr>
                <w:rFonts w:ascii="Arial Narrow" w:hAnsi="Arial Narrow"/>
                <w:color w:val="333333"/>
                <w:sz w:val="18"/>
                <w:szCs w:val="18"/>
              </w:rPr>
            </w:pPr>
          </w:p>
        </w:tc>
        <w:tc>
          <w:tcPr>
            <w:tcW w:w="4456" w:type="pct"/>
            <w:vAlign w:val="center"/>
            <w:hideMark/>
          </w:tcPr>
          <w:p w:rsidR="00AF589B" w:rsidRPr="00E04E16" w:rsidRDefault="00AF589B" w:rsidP="00AB728F">
            <w:pPr>
              <w:rPr>
                <w:rFonts w:ascii="Arial Narrow" w:hAnsi="Arial Narrow"/>
                <w:color w:val="333333"/>
                <w:sz w:val="18"/>
                <w:szCs w:val="18"/>
              </w:rPr>
            </w:pPr>
            <w:r w:rsidRPr="00E04E16">
              <w:rPr>
                <w:rFonts w:ascii="Arial Narrow" w:hAnsi="Arial Narrow"/>
                <w:b/>
                <w:bCs/>
                <w:color w:val="333333"/>
                <w:sz w:val="18"/>
                <w:szCs w:val="18"/>
              </w:rPr>
              <w:t>AND</w:t>
            </w:r>
          </w:p>
        </w:tc>
      </w:tr>
      <w:tr w:rsidR="00AF589B" w:rsidRPr="00E04E16" w:rsidTr="00AB728F">
        <w:tc>
          <w:tcPr>
            <w:tcW w:w="544" w:type="pct"/>
            <w:vAlign w:val="center"/>
          </w:tcPr>
          <w:p w:rsidR="00AF589B" w:rsidRPr="00E04E16" w:rsidRDefault="00AF589B" w:rsidP="00AB728F">
            <w:pPr>
              <w:jc w:val="center"/>
              <w:rPr>
                <w:rFonts w:ascii="Arial Narrow" w:hAnsi="Arial Narrow"/>
                <w:color w:val="333333"/>
                <w:sz w:val="18"/>
                <w:szCs w:val="18"/>
              </w:rPr>
            </w:pPr>
          </w:p>
        </w:tc>
        <w:tc>
          <w:tcPr>
            <w:tcW w:w="4456" w:type="pct"/>
            <w:vAlign w:val="center"/>
            <w:hideMark/>
          </w:tcPr>
          <w:p w:rsidR="00AF589B" w:rsidRPr="00E04E16" w:rsidRDefault="00AF589B" w:rsidP="00AB728F">
            <w:pPr>
              <w:rPr>
                <w:rFonts w:ascii="Arial Narrow" w:hAnsi="Arial Narrow"/>
                <w:color w:val="333333"/>
                <w:sz w:val="18"/>
                <w:szCs w:val="18"/>
              </w:rPr>
            </w:pPr>
            <w:r w:rsidRPr="00E04E16">
              <w:rPr>
                <w:rFonts w:ascii="Arial Narrow" w:hAnsi="Arial Narrow"/>
                <w:b/>
                <w:bCs/>
                <w:color w:val="333333"/>
                <w:sz w:val="18"/>
                <w:szCs w:val="18"/>
              </w:rPr>
              <w:t>Clinical criteria:</w:t>
            </w:r>
          </w:p>
        </w:tc>
      </w:tr>
      <w:tr w:rsidR="00AF589B" w:rsidRPr="00E04E16" w:rsidTr="00AB728F">
        <w:tc>
          <w:tcPr>
            <w:tcW w:w="544" w:type="pct"/>
            <w:vAlign w:val="center"/>
          </w:tcPr>
          <w:p w:rsidR="00AF589B" w:rsidRPr="00E04E16" w:rsidRDefault="00AF589B" w:rsidP="00AB728F">
            <w:pPr>
              <w:jc w:val="center"/>
              <w:rPr>
                <w:rFonts w:ascii="Arial Narrow" w:hAnsi="Arial Narrow"/>
                <w:color w:val="333333"/>
                <w:sz w:val="18"/>
                <w:szCs w:val="18"/>
              </w:rPr>
            </w:pPr>
          </w:p>
        </w:tc>
        <w:tc>
          <w:tcPr>
            <w:tcW w:w="4456" w:type="pct"/>
            <w:vAlign w:val="center"/>
            <w:hideMark/>
          </w:tcPr>
          <w:p w:rsidR="00AF589B" w:rsidRPr="00E04E16" w:rsidRDefault="00AF589B" w:rsidP="00AB728F">
            <w:pPr>
              <w:rPr>
                <w:rFonts w:ascii="Arial Narrow" w:hAnsi="Arial Narrow"/>
                <w:color w:val="333333"/>
                <w:sz w:val="18"/>
                <w:szCs w:val="18"/>
              </w:rPr>
            </w:pPr>
            <w:r w:rsidRPr="00E04E16">
              <w:rPr>
                <w:rFonts w:ascii="Arial Narrow" w:hAnsi="Arial Narrow"/>
                <w:color w:val="333333"/>
                <w:sz w:val="18"/>
                <w:szCs w:val="18"/>
              </w:rPr>
              <w:t xml:space="preserve">Patient must be </w:t>
            </w:r>
            <w:r w:rsidRPr="00E04E16">
              <w:rPr>
                <w:rFonts w:ascii="Arial Narrow" w:hAnsi="Arial Narrow"/>
                <w:strike/>
                <w:color w:val="333333"/>
                <w:sz w:val="18"/>
                <w:szCs w:val="18"/>
              </w:rPr>
              <w:t>receiving</w:t>
            </w:r>
            <w:r w:rsidRPr="00E04E16">
              <w:rPr>
                <w:rFonts w:ascii="Arial Narrow" w:hAnsi="Arial Narrow"/>
                <w:color w:val="333333"/>
                <w:sz w:val="18"/>
                <w:szCs w:val="18"/>
              </w:rPr>
              <w:t xml:space="preserve"> </w:t>
            </w:r>
            <w:r w:rsidRPr="00E04E16">
              <w:rPr>
                <w:rFonts w:ascii="Arial Narrow" w:hAnsi="Arial Narrow"/>
                <w:i/>
                <w:color w:val="333333"/>
                <w:sz w:val="18"/>
                <w:szCs w:val="18"/>
              </w:rPr>
              <w:t xml:space="preserve">undergoing </w:t>
            </w:r>
            <w:r w:rsidRPr="00E04E16">
              <w:rPr>
                <w:rFonts w:ascii="Arial Narrow" w:hAnsi="Arial Narrow"/>
                <w:color w:val="333333"/>
                <w:sz w:val="18"/>
                <w:szCs w:val="18"/>
              </w:rPr>
              <w:t>treatment with at least one renin angiotensin aldosterone system inhibitor</w:t>
            </w:r>
          </w:p>
        </w:tc>
      </w:tr>
      <w:tr w:rsidR="00AF589B" w:rsidRPr="00E04E16" w:rsidTr="00AB728F">
        <w:tc>
          <w:tcPr>
            <w:tcW w:w="544" w:type="pct"/>
            <w:vAlign w:val="center"/>
          </w:tcPr>
          <w:p w:rsidR="00AF589B" w:rsidRPr="00E04E16" w:rsidRDefault="00AF589B" w:rsidP="00AB728F">
            <w:pPr>
              <w:jc w:val="center"/>
              <w:rPr>
                <w:rFonts w:ascii="Arial Narrow" w:hAnsi="Arial Narrow"/>
                <w:color w:val="333333"/>
                <w:sz w:val="18"/>
                <w:szCs w:val="18"/>
              </w:rPr>
            </w:pPr>
          </w:p>
        </w:tc>
        <w:tc>
          <w:tcPr>
            <w:tcW w:w="4456" w:type="pct"/>
            <w:vAlign w:val="center"/>
          </w:tcPr>
          <w:p w:rsidR="00AF589B" w:rsidRPr="00E04E16" w:rsidRDefault="00AF589B" w:rsidP="00AB728F">
            <w:pPr>
              <w:rPr>
                <w:rFonts w:ascii="Arial Narrow" w:hAnsi="Arial Narrow"/>
                <w:b/>
                <w:bCs/>
                <w:color w:val="333333"/>
                <w:sz w:val="18"/>
                <w:szCs w:val="18"/>
              </w:rPr>
            </w:pPr>
            <w:r w:rsidRPr="00E04E16">
              <w:rPr>
                <w:rFonts w:ascii="Arial Narrow" w:hAnsi="Arial Narrow"/>
                <w:b/>
                <w:bCs/>
                <w:i/>
                <w:color w:val="333333"/>
                <w:sz w:val="18"/>
                <w:szCs w:val="18"/>
              </w:rPr>
              <w:t>AND</w:t>
            </w:r>
          </w:p>
        </w:tc>
      </w:tr>
      <w:tr w:rsidR="00AF589B" w:rsidRPr="00E04E16" w:rsidTr="00AB728F">
        <w:tc>
          <w:tcPr>
            <w:tcW w:w="544" w:type="pct"/>
            <w:vAlign w:val="center"/>
          </w:tcPr>
          <w:p w:rsidR="00AF589B" w:rsidRPr="00E04E16" w:rsidRDefault="00AF589B" w:rsidP="00AB728F">
            <w:pPr>
              <w:jc w:val="center"/>
              <w:rPr>
                <w:rFonts w:ascii="Arial Narrow" w:hAnsi="Arial Narrow"/>
                <w:color w:val="333333"/>
                <w:sz w:val="18"/>
                <w:szCs w:val="18"/>
              </w:rPr>
            </w:pPr>
          </w:p>
        </w:tc>
        <w:tc>
          <w:tcPr>
            <w:tcW w:w="4456" w:type="pct"/>
            <w:vAlign w:val="center"/>
          </w:tcPr>
          <w:p w:rsidR="00AF589B" w:rsidRPr="00E04E16" w:rsidRDefault="00AF589B" w:rsidP="00AB728F">
            <w:pPr>
              <w:rPr>
                <w:rFonts w:ascii="Arial Narrow" w:hAnsi="Arial Narrow"/>
                <w:b/>
                <w:bCs/>
                <w:color w:val="333333"/>
                <w:sz w:val="18"/>
                <w:szCs w:val="18"/>
              </w:rPr>
            </w:pPr>
            <w:r w:rsidRPr="00E04E16">
              <w:rPr>
                <w:rFonts w:ascii="Arial Narrow" w:hAnsi="Arial Narrow"/>
                <w:b/>
                <w:bCs/>
                <w:i/>
                <w:color w:val="333333"/>
                <w:sz w:val="18"/>
                <w:szCs w:val="18"/>
              </w:rPr>
              <w:t>Clinical criteria:</w:t>
            </w:r>
          </w:p>
        </w:tc>
      </w:tr>
      <w:tr w:rsidR="00AF589B" w:rsidRPr="00E04E16" w:rsidTr="00AB728F">
        <w:tc>
          <w:tcPr>
            <w:tcW w:w="544" w:type="pct"/>
            <w:vAlign w:val="center"/>
          </w:tcPr>
          <w:p w:rsidR="00AF589B" w:rsidRPr="00E04E16" w:rsidRDefault="00AF589B" w:rsidP="00AB728F">
            <w:pPr>
              <w:jc w:val="center"/>
              <w:rPr>
                <w:rFonts w:ascii="Arial Narrow" w:hAnsi="Arial Narrow"/>
                <w:color w:val="333333"/>
                <w:sz w:val="18"/>
                <w:szCs w:val="18"/>
              </w:rPr>
            </w:pPr>
          </w:p>
        </w:tc>
        <w:tc>
          <w:tcPr>
            <w:tcW w:w="4456" w:type="pct"/>
            <w:vAlign w:val="center"/>
          </w:tcPr>
          <w:p w:rsidR="00AF589B" w:rsidRPr="00E04E16" w:rsidRDefault="00AF589B" w:rsidP="00AB728F">
            <w:pPr>
              <w:rPr>
                <w:rFonts w:ascii="Arial Narrow" w:hAnsi="Arial Narrow"/>
                <w:b/>
                <w:bCs/>
                <w:color w:val="333333"/>
                <w:sz w:val="18"/>
                <w:szCs w:val="18"/>
              </w:rPr>
            </w:pPr>
            <w:r w:rsidRPr="00E04E16">
              <w:rPr>
                <w:rFonts w:ascii="Arial Narrow" w:hAnsi="Arial Narrow"/>
                <w:bCs/>
                <w:i/>
                <w:color w:val="333333"/>
                <w:sz w:val="18"/>
                <w:szCs w:val="18"/>
              </w:rPr>
              <w:t>The treatment must not be in place of emergency treatment of hyperkalaemia</w:t>
            </w:r>
          </w:p>
        </w:tc>
      </w:tr>
      <w:tr w:rsidR="00AF589B" w:rsidRPr="00E04E16" w:rsidTr="00AB728F">
        <w:tc>
          <w:tcPr>
            <w:tcW w:w="544" w:type="pct"/>
            <w:vAlign w:val="center"/>
          </w:tcPr>
          <w:p w:rsidR="00AF589B" w:rsidRPr="00E04E16" w:rsidRDefault="00AF589B" w:rsidP="00AB728F">
            <w:pPr>
              <w:jc w:val="center"/>
              <w:rPr>
                <w:rFonts w:ascii="Arial Narrow" w:hAnsi="Arial Narrow"/>
                <w:color w:val="333333"/>
                <w:sz w:val="18"/>
                <w:szCs w:val="18"/>
              </w:rPr>
            </w:pPr>
          </w:p>
        </w:tc>
        <w:tc>
          <w:tcPr>
            <w:tcW w:w="4456" w:type="pct"/>
            <w:vAlign w:val="center"/>
          </w:tcPr>
          <w:p w:rsidR="00AF589B" w:rsidRPr="00E04E16" w:rsidRDefault="00AF589B" w:rsidP="00AB728F">
            <w:pPr>
              <w:rPr>
                <w:rFonts w:ascii="Arial Narrow" w:hAnsi="Arial Narrow"/>
                <w:i/>
                <w:color w:val="333333"/>
                <w:sz w:val="18"/>
                <w:szCs w:val="18"/>
              </w:rPr>
            </w:pPr>
            <w:r w:rsidRPr="00E04E16">
              <w:rPr>
                <w:rFonts w:ascii="Arial Narrow" w:hAnsi="Arial Narrow"/>
                <w:b/>
                <w:bCs/>
                <w:color w:val="333333"/>
                <w:sz w:val="18"/>
                <w:szCs w:val="18"/>
              </w:rPr>
              <w:t>AND</w:t>
            </w:r>
          </w:p>
        </w:tc>
      </w:tr>
      <w:tr w:rsidR="00AF589B" w:rsidRPr="00E04E16" w:rsidTr="00AB728F">
        <w:tc>
          <w:tcPr>
            <w:tcW w:w="544" w:type="pct"/>
            <w:vAlign w:val="center"/>
          </w:tcPr>
          <w:p w:rsidR="00AF589B" w:rsidRPr="00E04E16" w:rsidRDefault="00AF589B" w:rsidP="00AB728F">
            <w:pPr>
              <w:jc w:val="center"/>
              <w:rPr>
                <w:rFonts w:ascii="Arial Narrow" w:hAnsi="Arial Narrow"/>
                <w:color w:val="333333"/>
                <w:sz w:val="18"/>
                <w:szCs w:val="18"/>
              </w:rPr>
            </w:pPr>
          </w:p>
        </w:tc>
        <w:tc>
          <w:tcPr>
            <w:tcW w:w="4456" w:type="pct"/>
            <w:vAlign w:val="center"/>
          </w:tcPr>
          <w:p w:rsidR="00AF589B" w:rsidRPr="00E04E16" w:rsidRDefault="00AF589B" w:rsidP="00AB728F">
            <w:pPr>
              <w:rPr>
                <w:rFonts w:ascii="Arial Narrow" w:hAnsi="Arial Narrow"/>
                <w:i/>
                <w:color w:val="333333"/>
                <w:sz w:val="18"/>
                <w:szCs w:val="18"/>
              </w:rPr>
            </w:pPr>
            <w:r w:rsidRPr="00E04E16">
              <w:rPr>
                <w:rFonts w:ascii="Arial Narrow" w:hAnsi="Arial Narrow"/>
                <w:b/>
                <w:bCs/>
                <w:i/>
                <w:color w:val="333333"/>
                <w:sz w:val="18"/>
                <w:szCs w:val="18"/>
              </w:rPr>
              <w:t>Treatment criteria:</w:t>
            </w:r>
          </w:p>
        </w:tc>
      </w:tr>
      <w:tr w:rsidR="00AF589B" w:rsidRPr="00E04E16" w:rsidTr="00AB728F">
        <w:tc>
          <w:tcPr>
            <w:tcW w:w="544" w:type="pct"/>
            <w:vAlign w:val="center"/>
          </w:tcPr>
          <w:p w:rsidR="00AF589B" w:rsidRPr="00E04E16" w:rsidRDefault="00AF589B" w:rsidP="00AB728F">
            <w:pPr>
              <w:jc w:val="center"/>
              <w:rPr>
                <w:rFonts w:ascii="Arial Narrow" w:hAnsi="Arial Narrow"/>
                <w:color w:val="333333"/>
                <w:sz w:val="18"/>
                <w:szCs w:val="18"/>
              </w:rPr>
            </w:pPr>
          </w:p>
        </w:tc>
        <w:tc>
          <w:tcPr>
            <w:tcW w:w="4456" w:type="pct"/>
            <w:vAlign w:val="center"/>
          </w:tcPr>
          <w:p w:rsidR="00AF589B" w:rsidRPr="00E04E16" w:rsidRDefault="00AF589B" w:rsidP="00AB728F">
            <w:pPr>
              <w:rPr>
                <w:rFonts w:ascii="Arial Narrow" w:hAnsi="Arial Narrow"/>
                <w:i/>
                <w:color w:val="333333"/>
                <w:sz w:val="18"/>
                <w:szCs w:val="18"/>
              </w:rPr>
            </w:pPr>
            <w:r w:rsidRPr="00E04E16">
              <w:rPr>
                <w:rFonts w:ascii="Arial Narrow" w:hAnsi="Arial Narrow"/>
                <w:i/>
                <w:color w:val="333333"/>
                <w:sz w:val="18"/>
                <w:szCs w:val="18"/>
              </w:rPr>
              <w:t>Patient must not be undergoing dialysis</w:t>
            </w:r>
          </w:p>
        </w:tc>
      </w:tr>
      <w:tr w:rsidR="00AF589B" w:rsidRPr="00E04E16" w:rsidTr="00AB728F">
        <w:tc>
          <w:tcPr>
            <w:tcW w:w="544" w:type="pct"/>
            <w:vAlign w:val="center"/>
          </w:tcPr>
          <w:p w:rsidR="00AF589B" w:rsidRPr="00E04E16" w:rsidRDefault="00AF589B" w:rsidP="00AB728F">
            <w:pPr>
              <w:jc w:val="center"/>
              <w:rPr>
                <w:rFonts w:ascii="Arial Narrow" w:hAnsi="Arial Narrow"/>
                <w:color w:val="333333"/>
                <w:sz w:val="18"/>
                <w:szCs w:val="18"/>
              </w:rPr>
            </w:pPr>
          </w:p>
        </w:tc>
        <w:tc>
          <w:tcPr>
            <w:tcW w:w="4456" w:type="pct"/>
            <w:vAlign w:val="center"/>
          </w:tcPr>
          <w:p w:rsidR="00AF589B" w:rsidRPr="00E04E16" w:rsidRDefault="00AF589B" w:rsidP="00AB728F">
            <w:pPr>
              <w:rPr>
                <w:rFonts w:ascii="Arial Narrow" w:hAnsi="Arial Narrow"/>
                <w:i/>
                <w:color w:val="333333"/>
                <w:sz w:val="18"/>
                <w:szCs w:val="18"/>
              </w:rPr>
            </w:pPr>
            <w:r w:rsidRPr="00E04E16">
              <w:rPr>
                <w:rFonts w:ascii="Arial Narrow" w:hAnsi="Arial Narrow"/>
                <w:b/>
                <w:bCs/>
                <w:color w:val="333333"/>
                <w:sz w:val="18"/>
                <w:szCs w:val="18"/>
              </w:rPr>
              <w:t>AND</w:t>
            </w:r>
          </w:p>
        </w:tc>
      </w:tr>
      <w:tr w:rsidR="00AF589B" w:rsidRPr="00E04E16" w:rsidTr="00AB728F">
        <w:tc>
          <w:tcPr>
            <w:tcW w:w="544" w:type="pct"/>
            <w:vAlign w:val="center"/>
          </w:tcPr>
          <w:p w:rsidR="00AF589B" w:rsidRPr="00E04E16" w:rsidRDefault="00AF589B" w:rsidP="00AB728F">
            <w:pPr>
              <w:jc w:val="center"/>
              <w:rPr>
                <w:rFonts w:ascii="Arial Narrow" w:hAnsi="Arial Narrow"/>
                <w:color w:val="333333"/>
                <w:sz w:val="18"/>
                <w:szCs w:val="18"/>
              </w:rPr>
            </w:pPr>
          </w:p>
        </w:tc>
        <w:tc>
          <w:tcPr>
            <w:tcW w:w="4456" w:type="pct"/>
            <w:vAlign w:val="center"/>
          </w:tcPr>
          <w:p w:rsidR="00AF589B" w:rsidRPr="00E04E16" w:rsidRDefault="00AF589B" w:rsidP="00AB728F">
            <w:pPr>
              <w:rPr>
                <w:rFonts w:ascii="Arial Narrow" w:hAnsi="Arial Narrow"/>
                <w:i/>
                <w:color w:val="333333"/>
                <w:sz w:val="18"/>
                <w:szCs w:val="18"/>
              </w:rPr>
            </w:pPr>
            <w:r w:rsidRPr="00E04E16">
              <w:rPr>
                <w:rFonts w:ascii="Arial Narrow" w:hAnsi="Arial Narrow"/>
                <w:b/>
                <w:bCs/>
                <w:i/>
                <w:color w:val="333333"/>
                <w:sz w:val="18"/>
                <w:szCs w:val="18"/>
              </w:rPr>
              <w:t>Treatment criteria:</w:t>
            </w:r>
          </w:p>
        </w:tc>
      </w:tr>
      <w:tr w:rsidR="00AF589B" w:rsidRPr="00E04E16" w:rsidTr="00AB728F">
        <w:tc>
          <w:tcPr>
            <w:tcW w:w="544" w:type="pct"/>
            <w:vAlign w:val="center"/>
          </w:tcPr>
          <w:p w:rsidR="00AF589B" w:rsidRPr="00E04E16" w:rsidRDefault="00AF589B" w:rsidP="00AB728F">
            <w:pPr>
              <w:jc w:val="center"/>
              <w:rPr>
                <w:rFonts w:ascii="Arial Narrow" w:hAnsi="Arial Narrow"/>
                <w:color w:val="333333"/>
                <w:sz w:val="18"/>
                <w:szCs w:val="18"/>
              </w:rPr>
            </w:pPr>
          </w:p>
        </w:tc>
        <w:tc>
          <w:tcPr>
            <w:tcW w:w="4456" w:type="pct"/>
            <w:vAlign w:val="center"/>
          </w:tcPr>
          <w:p w:rsidR="00AF589B" w:rsidRPr="00E04E16" w:rsidRDefault="00AF589B" w:rsidP="00AB728F">
            <w:pPr>
              <w:rPr>
                <w:rFonts w:ascii="Arial Narrow" w:hAnsi="Arial Narrow"/>
                <w:i/>
                <w:color w:val="333333"/>
                <w:sz w:val="18"/>
                <w:szCs w:val="18"/>
              </w:rPr>
            </w:pPr>
            <w:r w:rsidRPr="00E04E16">
              <w:rPr>
                <w:rFonts w:ascii="Arial Narrow" w:hAnsi="Arial Narrow"/>
                <w:i/>
                <w:color w:val="333333"/>
                <w:sz w:val="18"/>
                <w:szCs w:val="18"/>
              </w:rPr>
              <w:t xml:space="preserve">Patient must have stage 3 to stage 4 chronic kidney disease </w:t>
            </w:r>
          </w:p>
        </w:tc>
      </w:tr>
      <w:tr w:rsidR="00AF589B" w:rsidRPr="00E04E16" w:rsidTr="00AB728F">
        <w:tc>
          <w:tcPr>
            <w:tcW w:w="544" w:type="pct"/>
            <w:vAlign w:val="center"/>
          </w:tcPr>
          <w:p w:rsidR="00AF589B" w:rsidRPr="00E04E16" w:rsidRDefault="00AF589B" w:rsidP="00AB728F">
            <w:pPr>
              <w:jc w:val="center"/>
              <w:rPr>
                <w:rFonts w:ascii="Arial Narrow" w:hAnsi="Arial Narrow"/>
                <w:color w:val="333333"/>
                <w:sz w:val="18"/>
                <w:szCs w:val="18"/>
              </w:rPr>
            </w:pPr>
          </w:p>
        </w:tc>
        <w:tc>
          <w:tcPr>
            <w:tcW w:w="4456" w:type="pct"/>
            <w:vAlign w:val="center"/>
          </w:tcPr>
          <w:p w:rsidR="00AF589B" w:rsidRPr="00E04E16" w:rsidRDefault="00AF589B" w:rsidP="00AB728F">
            <w:pPr>
              <w:rPr>
                <w:rFonts w:ascii="Arial Narrow" w:hAnsi="Arial Narrow"/>
                <w:i/>
                <w:color w:val="333333"/>
                <w:sz w:val="18"/>
                <w:szCs w:val="18"/>
              </w:rPr>
            </w:pPr>
            <w:r w:rsidRPr="00E04E16">
              <w:rPr>
                <w:rFonts w:ascii="Arial Narrow" w:hAnsi="Arial Narrow"/>
                <w:b/>
                <w:bCs/>
                <w:color w:val="333333"/>
                <w:sz w:val="18"/>
                <w:szCs w:val="18"/>
              </w:rPr>
              <w:t>AND</w:t>
            </w:r>
          </w:p>
        </w:tc>
      </w:tr>
      <w:tr w:rsidR="00AF589B" w:rsidRPr="00E04E16" w:rsidTr="00AB728F">
        <w:tc>
          <w:tcPr>
            <w:tcW w:w="544" w:type="pct"/>
            <w:vAlign w:val="center"/>
          </w:tcPr>
          <w:p w:rsidR="00AF589B" w:rsidRPr="00E04E16" w:rsidRDefault="00AF589B" w:rsidP="00AB728F">
            <w:pPr>
              <w:jc w:val="center"/>
              <w:rPr>
                <w:rFonts w:ascii="Arial Narrow" w:hAnsi="Arial Narrow"/>
                <w:color w:val="333333"/>
                <w:sz w:val="18"/>
                <w:szCs w:val="18"/>
              </w:rPr>
            </w:pPr>
          </w:p>
        </w:tc>
        <w:tc>
          <w:tcPr>
            <w:tcW w:w="4456" w:type="pct"/>
            <w:vAlign w:val="center"/>
          </w:tcPr>
          <w:p w:rsidR="00AF589B" w:rsidRPr="00E04E16" w:rsidRDefault="00AF589B" w:rsidP="00AB728F">
            <w:pPr>
              <w:rPr>
                <w:rFonts w:ascii="Arial Narrow" w:hAnsi="Arial Narrow"/>
                <w:i/>
                <w:color w:val="333333"/>
                <w:sz w:val="18"/>
                <w:szCs w:val="18"/>
              </w:rPr>
            </w:pPr>
            <w:r w:rsidRPr="00E04E16">
              <w:rPr>
                <w:rFonts w:ascii="Arial Narrow" w:hAnsi="Arial Narrow"/>
                <w:b/>
                <w:bCs/>
                <w:i/>
                <w:color w:val="333333"/>
                <w:sz w:val="18"/>
                <w:szCs w:val="18"/>
              </w:rPr>
              <w:t>Treatment criteria:</w:t>
            </w:r>
          </w:p>
        </w:tc>
      </w:tr>
      <w:tr w:rsidR="00AF589B" w:rsidRPr="00E04E16" w:rsidTr="00AB728F">
        <w:tc>
          <w:tcPr>
            <w:tcW w:w="544" w:type="pct"/>
            <w:vAlign w:val="center"/>
          </w:tcPr>
          <w:p w:rsidR="00AF589B" w:rsidRPr="00E04E16" w:rsidRDefault="00AF589B" w:rsidP="00AB728F">
            <w:pPr>
              <w:jc w:val="center"/>
              <w:rPr>
                <w:rFonts w:ascii="Arial Narrow" w:hAnsi="Arial Narrow"/>
                <w:color w:val="333333"/>
                <w:sz w:val="18"/>
                <w:szCs w:val="18"/>
              </w:rPr>
            </w:pPr>
          </w:p>
        </w:tc>
        <w:tc>
          <w:tcPr>
            <w:tcW w:w="4456" w:type="pct"/>
            <w:vAlign w:val="center"/>
          </w:tcPr>
          <w:p w:rsidR="00AF589B" w:rsidRPr="00E04E16" w:rsidRDefault="00AF589B" w:rsidP="00AB728F">
            <w:pPr>
              <w:rPr>
                <w:rFonts w:ascii="Arial Narrow" w:hAnsi="Arial Narrow"/>
                <w:i/>
                <w:color w:val="333333"/>
                <w:sz w:val="18"/>
                <w:szCs w:val="18"/>
              </w:rPr>
            </w:pPr>
            <w:r w:rsidRPr="00E04E16">
              <w:rPr>
                <w:rFonts w:ascii="Arial Narrow" w:hAnsi="Arial Narrow"/>
                <w:i/>
                <w:color w:val="333333"/>
                <w:sz w:val="18"/>
                <w:szCs w:val="18"/>
              </w:rPr>
              <w:t>Must be treated by a specialist medical practitioner</w:t>
            </w:r>
          </w:p>
        </w:tc>
      </w:tr>
      <w:tr w:rsidR="00AF589B" w:rsidRPr="00E04E16" w:rsidTr="00A23C1C">
        <w:tc>
          <w:tcPr>
            <w:tcW w:w="544" w:type="pct"/>
            <w:vAlign w:val="center"/>
          </w:tcPr>
          <w:p w:rsidR="00AF589B" w:rsidRPr="00E04E16" w:rsidRDefault="00AF589B" w:rsidP="00AB728F">
            <w:pPr>
              <w:jc w:val="center"/>
              <w:rPr>
                <w:rFonts w:ascii="Arial Narrow" w:hAnsi="Arial Narrow"/>
                <w:strike/>
                <w:color w:val="333333"/>
                <w:sz w:val="18"/>
                <w:szCs w:val="18"/>
              </w:rPr>
            </w:pPr>
          </w:p>
        </w:tc>
        <w:tc>
          <w:tcPr>
            <w:tcW w:w="4456" w:type="pct"/>
            <w:vAlign w:val="center"/>
            <w:hideMark/>
          </w:tcPr>
          <w:p w:rsidR="00AF589B" w:rsidRPr="00E04E16" w:rsidRDefault="00AF589B" w:rsidP="00AB728F">
            <w:pPr>
              <w:rPr>
                <w:rFonts w:ascii="Arial Narrow" w:hAnsi="Arial Narrow"/>
                <w:strike/>
                <w:color w:val="333333"/>
                <w:sz w:val="18"/>
                <w:szCs w:val="18"/>
              </w:rPr>
            </w:pPr>
            <w:r w:rsidRPr="00E04E16">
              <w:rPr>
                <w:rFonts w:ascii="Arial Narrow" w:hAnsi="Arial Narrow"/>
                <w:b/>
                <w:bCs/>
                <w:strike/>
                <w:color w:val="333333"/>
                <w:sz w:val="18"/>
                <w:szCs w:val="18"/>
              </w:rPr>
              <w:t xml:space="preserve">Administrative Advice: </w:t>
            </w:r>
            <w:r w:rsidRPr="00E04E16">
              <w:rPr>
                <w:rFonts w:ascii="Arial Narrow" w:hAnsi="Arial Narrow"/>
                <w:strike/>
                <w:color w:val="333333"/>
                <w:sz w:val="18"/>
                <w:szCs w:val="18"/>
              </w:rPr>
              <w:t>Patiromer should not replace emergency treatment of hyperkalaemia</w:t>
            </w:r>
          </w:p>
        </w:tc>
      </w:tr>
    </w:tbl>
    <w:p w:rsidR="00AF589B" w:rsidRPr="00E04E16" w:rsidRDefault="00AF589B" w:rsidP="00AF589B">
      <w:pPr>
        <w:pStyle w:val="ExecSumBodyText"/>
        <w:numPr>
          <w:ilvl w:val="0"/>
          <w:numId w:val="0"/>
        </w:numPr>
        <w:rPr>
          <w:highlight w:val="yellow"/>
        </w:rPr>
      </w:pPr>
    </w:p>
    <w:p w:rsidR="00EA21BA" w:rsidRPr="00E04E16" w:rsidRDefault="00EA21BA" w:rsidP="00757141">
      <w:pPr>
        <w:pStyle w:val="ExecSumBodyText"/>
        <w:rPr>
          <w:color w:val="0066FF"/>
        </w:rPr>
      </w:pPr>
      <w:r w:rsidRPr="00E04E16">
        <w:t xml:space="preserve">The requested </w:t>
      </w:r>
      <w:r w:rsidR="004E288B">
        <w:rPr>
          <w:noProof/>
          <w:color w:val="000000"/>
          <w:highlight w:val="black"/>
        </w:rPr>
        <w:t>''''''</w:t>
      </w:r>
      <w:r w:rsidRPr="00E04E16">
        <w:t xml:space="preserve"> price for the patiromer 8.4 g and 16.8 g sachets </w:t>
      </w:r>
      <w:r w:rsidR="00757141" w:rsidRPr="00E04E16">
        <w:t>(DPMQ $</w:t>
      </w:r>
      <w:r w:rsidR="004E288B">
        <w:rPr>
          <w:noProof/>
          <w:color w:val="000000"/>
          <w:highlight w:val="black"/>
        </w:rPr>
        <w:t>'''''''''''''</w:t>
      </w:r>
      <w:r w:rsidR="00757141" w:rsidRPr="00E04E16">
        <w:t xml:space="preserve">) </w:t>
      </w:r>
      <w:r w:rsidRPr="00E04E16">
        <w:t>is lower than the price requested in the November 2019 submission for the 8.4 g and 16.8 g sachets (DPMQ $</w:t>
      </w:r>
      <w:r w:rsidR="004E288B">
        <w:rPr>
          <w:noProof/>
          <w:color w:val="000000"/>
          <w:highlight w:val="black"/>
        </w:rPr>
        <w:t>''''''''''''</w:t>
      </w:r>
      <w:r w:rsidRPr="00E04E16">
        <w:t xml:space="preserve"> and $</w:t>
      </w:r>
      <w:r w:rsidR="004E288B">
        <w:rPr>
          <w:noProof/>
          <w:color w:val="000000"/>
          <w:highlight w:val="black"/>
        </w:rPr>
        <w:t>''''''''''''</w:t>
      </w:r>
      <w:r w:rsidRPr="00E04E16">
        <w:t xml:space="preserve"> respectively). The maximum recommended dose of patiromer (25.2 g/day) requires one script for patiromer 8.4 g and one script for patiromer 16.8 g concurrently. </w:t>
      </w:r>
    </w:p>
    <w:p w:rsidR="00EA21BA" w:rsidRPr="00E04E16" w:rsidRDefault="00EA21BA" w:rsidP="00EA21BA">
      <w:pPr>
        <w:pStyle w:val="ExecSumBodyText"/>
        <w:rPr>
          <w:color w:val="0066FF"/>
        </w:rPr>
      </w:pPr>
      <w:r w:rsidRPr="00E04E16">
        <w:t>No special pricing arrangement was proposed.</w:t>
      </w:r>
    </w:p>
    <w:p w:rsidR="004F16B4" w:rsidRPr="00E04E16" w:rsidRDefault="00EA21BA" w:rsidP="00BD7F55">
      <w:pPr>
        <w:pStyle w:val="ExecSumBodyText"/>
        <w:rPr>
          <w:color w:val="0066FF"/>
        </w:rPr>
      </w:pPr>
      <w:r w:rsidRPr="00E04E16">
        <w:t>T</w:t>
      </w:r>
      <w:r w:rsidR="004F16B4" w:rsidRPr="00E04E16">
        <w:t xml:space="preserve">o address the PBAC’s previous concerns that hyperkalaemia should be clearly defined </w:t>
      </w:r>
      <w:r w:rsidR="009D00EB" w:rsidRPr="00E04E16">
        <w:t xml:space="preserve">in the restriction </w:t>
      </w:r>
      <w:r w:rsidR="004F16B4" w:rsidRPr="00E04E16">
        <w:t>and use should be limited to patients with chronic or recurrent hyperkalaemia</w:t>
      </w:r>
      <w:r w:rsidR="009D00EB" w:rsidRPr="00E04E16">
        <w:t>, t</w:t>
      </w:r>
      <w:r w:rsidRPr="00E04E16">
        <w:t>he requested</w:t>
      </w:r>
      <w:r w:rsidR="009D00EB" w:rsidRPr="00E04E16">
        <w:t xml:space="preserve"> initial</w:t>
      </w:r>
      <w:r w:rsidRPr="00E04E16">
        <w:t xml:space="preserve"> restriction </w:t>
      </w:r>
      <w:r w:rsidR="009D00EB" w:rsidRPr="00E04E16">
        <w:t>included</w:t>
      </w:r>
      <w:r w:rsidRPr="00E04E16">
        <w:t xml:space="preserve"> a criterion </w:t>
      </w:r>
      <w:r w:rsidR="009D00EB" w:rsidRPr="00E04E16">
        <w:t xml:space="preserve">specifying that a patient must have at least two episodes of </w:t>
      </w:r>
      <w:r w:rsidRPr="00E04E16">
        <w:t>hyperkalaemia</w:t>
      </w:r>
      <w:r w:rsidR="009D00EB" w:rsidRPr="00E04E16">
        <w:t xml:space="preserve"> (with</w:t>
      </w:r>
      <w:r w:rsidRPr="00E04E16">
        <w:t xml:space="preserve"> </w:t>
      </w:r>
      <w:r w:rsidR="009D00EB" w:rsidRPr="00E04E16">
        <w:t xml:space="preserve">serum K+ </w:t>
      </w:r>
      <w:r w:rsidR="009D00EB" w:rsidRPr="00E04E16">
        <w:rPr>
          <w:rFonts w:cs="Calibri"/>
        </w:rPr>
        <w:t>≥</w:t>
      </w:r>
      <w:r w:rsidR="009D00EB" w:rsidRPr="00E04E16">
        <w:t> 6.0 mmol/L) within the previous 12 months.</w:t>
      </w:r>
      <w:r w:rsidRPr="00E04E16">
        <w:t xml:space="preserve"> </w:t>
      </w:r>
      <w:r w:rsidR="009D00EB" w:rsidRPr="00E04E16">
        <w:t xml:space="preserve">The PBAC considered that this would still allow use in a broad range of patients, but acknowledged it may be difficult to define the population more narrowly. </w:t>
      </w:r>
    </w:p>
    <w:p w:rsidR="00EA21BA" w:rsidRPr="00E04E16" w:rsidRDefault="004F16B4" w:rsidP="00BD7F55">
      <w:pPr>
        <w:pStyle w:val="ExecSumBodyText"/>
        <w:rPr>
          <w:color w:val="0066FF"/>
        </w:rPr>
      </w:pPr>
      <w:r w:rsidRPr="00E04E16">
        <w:t xml:space="preserve">The requested restriction also </w:t>
      </w:r>
      <w:r w:rsidR="00EA21BA" w:rsidRPr="00E04E16">
        <w:t>exclud</w:t>
      </w:r>
      <w:r w:rsidRPr="00E04E16">
        <w:t>es</w:t>
      </w:r>
      <w:r w:rsidR="00EA21BA" w:rsidRPr="00E04E16">
        <w:t xml:space="preserve"> initiation of subsidised therapy in patients with ESKD or receiving dialysis. However, the requested restriction does not include a discontinuation rule, and eligible continuing patients may continue treatment with patiromer on disease progression to end stage kidney disease (ESKD) or in combination with renal dialysis.</w:t>
      </w:r>
      <w:r w:rsidR="002072E1" w:rsidRPr="00E04E16">
        <w:t xml:space="preserve"> The Secretariat proposed inclusion of the following </w:t>
      </w:r>
      <w:r w:rsidR="002072E1" w:rsidRPr="00E04E16">
        <w:lastRenderedPageBreak/>
        <w:t xml:space="preserve">criteria in the continuing treatment phase: ‘Patient must </w:t>
      </w:r>
      <w:r w:rsidR="005845BB" w:rsidRPr="00E04E16">
        <w:t>have stage 3 or stage 4 chronic kidney disease’</w:t>
      </w:r>
      <w:r w:rsidR="002072E1" w:rsidRPr="00E04E16">
        <w:t xml:space="preserve">; and ‘Patient must not be </w:t>
      </w:r>
      <w:r w:rsidR="005845BB" w:rsidRPr="00E04E16">
        <w:t>undergoing</w:t>
      </w:r>
      <w:r w:rsidR="002072E1" w:rsidRPr="00E04E16">
        <w:t xml:space="preserve"> dialysis</w:t>
      </w:r>
      <w:r w:rsidR="00763362" w:rsidRPr="00E04E16">
        <w:t>’</w:t>
      </w:r>
      <w:r w:rsidR="002072E1" w:rsidRPr="00E04E16">
        <w:t xml:space="preserve">. The </w:t>
      </w:r>
      <w:r w:rsidR="00717025" w:rsidRPr="00E04E16">
        <w:t>Pre-Sub-Committee Response (</w:t>
      </w:r>
      <w:r w:rsidR="002072E1" w:rsidRPr="00E04E16">
        <w:t>PSCR</w:t>
      </w:r>
      <w:r w:rsidR="00717025" w:rsidRPr="00E04E16">
        <w:t>)</w:t>
      </w:r>
      <w:r w:rsidR="002072E1" w:rsidRPr="00E04E16">
        <w:t xml:space="preserve"> </w:t>
      </w:r>
      <w:r w:rsidR="00717025" w:rsidRPr="00E04E16">
        <w:t>agreed to the inclusion of these criteria.</w:t>
      </w:r>
    </w:p>
    <w:p w:rsidR="005845BB" w:rsidRPr="00E04E16" w:rsidRDefault="00EA21BA" w:rsidP="006A578D">
      <w:pPr>
        <w:pStyle w:val="ExecSumBodyText"/>
        <w:rPr>
          <w:color w:val="0066FF"/>
        </w:rPr>
      </w:pPr>
      <w:r w:rsidRPr="00E04E16">
        <w:t>Similar to the November 2019 submission, eligibility for patiromer does not require patients to have attempted dietary potassium modification, medication adjustment (other than RAASI medicines) or adequate treatment of underlying pathology</w:t>
      </w:r>
      <w:r w:rsidR="00E66A05" w:rsidRPr="00E04E16">
        <w:t xml:space="preserve">. </w:t>
      </w:r>
      <w:r w:rsidR="005845BB" w:rsidRPr="00E04E16">
        <w:t xml:space="preserve">The ESC considered that the restriction should require patients to have attempted and/or be undergoing other standard care measures for the prevention of chronic/recurrent hyperkalaemia, including use of low potassium diets and treatment of other reversible factors. </w:t>
      </w:r>
    </w:p>
    <w:p w:rsidR="00EA21BA" w:rsidRPr="00E04E16" w:rsidRDefault="00E66A05" w:rsidP="00EA21BA">
      <w:pPr>
        <w:pStyle w:val="ExecSumBodyText"/>
        <w:rPr>
          <w:color w:val="0066FF"/>
        </w:rPr>
      </w:pPr>
      <w:r w:rsidRPr="00E04E16">
        <w:t>P</w:t>
      </w:r>
      <w:r w:rsidR="00EA21BA" w:rsidRPr="00E04E16">
        <w:t xml:space="preserve">atients who may be optimally treated on reduced RAASi doses or other non-RAASi cardiovascular therapies (calcium channel blockers; thiazide or loop diuretics) </w:t>
      </w:r>
      <w:r w:rsidR="00843D24" w:rsidRPr="00E04E16">
        <w:t>are</w:t>
      </w:r>
      <w:r w:rsidR="00EA21BA" w:rsidRPr="00E04E16">
        <w:t xml:space="preserve"> eligible for subsidised treatment with patiromer. In addition, the requested restriction does not limit prescribing to specialist medical practitioners.</w:t>
      </w:r>
    </w:p>
    <w:p w:rsidR="00870762" w:rsidRPr="00E04E16" w:rsidRDefault="00B51927" w:rsidP="008A5067">
      <w:pPr>
        <w:pStyle w:val="ExecSumBodyText"/>
        <w:rPr>
          <w:i/>
          <w:color w:val="0066FF"/>
        </w:rPr>
      </w:pPr>
      <w:r w:rsidRPr="00E04E16">
        <w:t xml:space="preserve">The pre-PBAC response proposed the addition of </w:t>
      </w:r>
      <w:r w:rsidR="004F16B4" w:rsidRPr="00E04E16">
        <w:t xml:space="preserve">the following criterion: </w:t>
      </w:r>
      <w:r w:rsidRPr="00E04E16">
        <w:t xml:space="preserve">‘for use where sodium polystyrene sulfonate (SPS) or calcium polystyrene sulfonate (CPS) resins are inappropriate’. The </w:t>
      </w:r>
      <w:r w:rsidR="00870762" w:rsidRPr="00E04E16">
        <w:t xml:space="preserve">pre-PBAC response </w:t>
      </w:r>
      <w:r w:rsidRPr="00E04E16">
        <w:t xml:space="preserve">stated that this would further clarify the clinical need for patiromer as a longer-term therapy for the management </w:t>
      </w:r>
      <w:r w:rsidR="00FA60F5" w:rsidRPr="00E04E16">
        <w:t xml:space="preserve">of recurrent hyperkalaemia, as distinct from the limited treatment scenarios in which intermittent SPS/CPS may be used. </w:t>
      </w:r>
      <w:r w:rsidR="00870762" w:rsidRPr="00E04E16">
        <w:t xml:space="preserve">The PBAC considered this criterion </w:t>
      </w:r>
      <w:r w:rsidR="000A1213" w:rsidRPr="00E04E16">
        <w:t>was</w:t>
      </w:r>
      <w:r w:rsidR="00870762" w:rsidRPr="00E04E16">
        <w:t xml:space="preserve"> not appropriate </w:t>
      </w:r>
      <w:r w:rsidR="008A5067" w:rsidRPr="008A5067">
        <w:t>as the management of hyperkalaemia in this population may involve varying clinical interventions including the usage of SPS/CPS resins</w:t>
      </w:r>
      <w:r w:rsidR="00870762" w:rsidRPr="00E04E16">
        <w:t xml:space="preserve">. </w:t>
      </w:r>
    </w:p>
    <w:p w:rsidR="00225816" w:rsidRPr="00E04E16" w:rsidRDefault="00225816" w:rsidP="00870762">
      <w:pPr>
        <w:pStyle w:val="ExecSumBodyText"/>
        <w:numPr>
          <w:ilvl w:val="0"/>
          <w:numId w:val="0"/>
        </w:numPr>
        <w:ind w:left="720"/>
        <w:rPr>
          <w:i/>
          <w:color w:val="0066FF"/>
        </w:rPr>
      </w:pPr>
      <w:r w:rsidRPr="00E04E16">
        <w:rPr>
          <w:i/>
        </w:rPr>
        <w:t>For more detail on PBAC’s view, see section 7 PBAC outcome.</w:t>
      </w:r>
    </w:p>
    <w:p w:rsidR="00B50DB8" w:rsidRPr="00E04E16" w:rsidRDefault="00203181" w:rsidP="004E18E9">
      <w:pPr>
        <w:pStyle w:val="2-SectionHeading"/>
      </w:pPr>
      <w:bookmarkStart w:id="7" w:name="_Toc51063871"/>
      <w:r w:rsidRPr="00E04E16">
        <w:t xml:space="preserve">Population and </w:t>
      </w:r>
      <w:r w:rsidR="008E0D3C" w:rsidRPr="00E04E16">
        <w:t>d</w:t>
      </w:r>
      <w:r w:rsidRPr="00E04E16">
        <w:t>isease</w:t>
      </w:r>
      <w:bookmarkEnd w:id="7"/>
    </w:p>
    <w:p w:rsidR="00EA21BA" w:rsidRPr="00E04E16" w:rsidRDefault="00EA21BA" w:rsidP="00EA21BA">
      <w:pPr>
        <w:pStyle w:val="ExecSumBodyText"/>
      </w:pPr>
      <w:r w:rsidRPr="00E04E16">
        <w:t>Hyperkalaemia is a common electrolyte abnormality resulting from a variety of causes related to decreased excretion, transcellular potassium shifts or exogenous sources, and may be exacerbated by administration of medicines impacting potassium excretion via the kidney; e.g</w:t>
      </w:r>
      <w:r w:rsidR="00637E16" w:rsidRPr="00E04E16">
        <w:t xml:space="preserve">. </w:t>
      </w:r>
      <w:r w:rsidRPr="00E04E16">
        <w:t xml:space="preserve">RAASi, nonsteroidal anti-inflammatory drugs (NSAIDs), and potassium sparing diuretics (spironolactone). Hyperkalaemia is most commonly observed in patients with acute kidney injury (AKI) and/or chronic kidney disease (CKD), particularly in combination with type 2 diabetes mellitus (T2DM) and/or chronic heart failure (CHF). </w:t>
      </w:r>
    </w:p>
    <w:p w:rsidR="00EA21BA" w:rsidRPr="00E04E16" w:rsidRDefault="00EA21BA" w:rsidP="00EA21BA">
      <w:pPr>
        <w:pStyle w:val="ExecSumBodyText"/>
      </w:pPr>
      <w:r w:rsidRPr="00E04E16">
        <w:t>A diagnosis of hyperkalaemia is based on laboratory assessed serum potassium concentrations and clinical symptoms (muscle weakness, ascending paralysis, cardiac conduction abnormalities, arrhythmias and other electrocardiograph (ECG) changes). Untreated, hyperkalaemia may result in paralysis of the respiratory muscles, fatal cardiac arrhythmias and sudden death.</w:t>
      </w:r>
    </w:p>
    <w:p w:rsidR="00EA21BA" w:rsidRPr="00E04E16" w:rsidRDefault="00EA21BA" w:rsidP="00EA21BA">
      <w:pPr>
        <w:pStyle w:val="ExecSumBodyText"/>
      </w:pPr>
      <w:r w:rsidRPr="00E04E16">
        <w:t xml:space="preserve">Patiromer is an insoluble non-absorbable, cation exchange polymer that binds and facilitates the excretion potassium through the gastrointestinal tract, reducing serum </w:t>
      </w:r>
      <w:r w:rsidRPr="00E04E16">
        <w:lastRenderedPageBreak/>
        <w:t>potassium levels. The proposed course of patiromer treatment is continuing oral therapy commencing at 8.4 g once daily (taken with food), increased by increments of 8.4 g as required at one week intervals up to a maximum dose of 25.2 g daily, if required. This is consistent with the patiromer Product Information. However, the Product Information also recommends that patiromer should only be initiated where serum potassium is not adequately controlled with dietary modification alone and should be reduced or discontinued when potassium levels fall below the desired range (not specified). In addition, patiromer may interfere with absorption of other medicines and should be taken at least three hours before or after other oral medications.</w:t>
      </w:r>
    </w:p>
    <w:p w:rsidR="007627BE" w:rsidRPr="00E04E16" w:rsidRDefault="00EA21BA" w:rsidP="00075D97">
      <w:pPr>
        <w:pStyle w:val="ExecSumBodyText"/>
      </w:pPr>
      <w:r w:rsidRPr="00E04E16">
        <w:t xml:space="preserve">The resubmission proposed </w:t>
      </w:r>
      <w:r w:rsidR="0042353D" w:rsidRPr="00E04E16">
        <w:t xml:space="preserve">that </w:t>
      </w:r>
      <w:r w:rsidRPr="00E04E16">
        <w:t>patients with CKD Stage 3-4 treated with RAASi medicines</w:t>
      </w:r>
      <w:r w:rsidR="0042353D" w:rsidRPr="00E04E16">
        <w:t xml:space="preserve"> (</w:t>
      </w:r>
      <w:r w:rsidRPr="00E04E16">
        <w:t xml:space="preserve">or </w:t>
      </w:r>
      <w:r w:rsidR="0042353D" w:rsidRPr="00E04E16">
        <w:t xml:space="preserve">who are </w:t>
      </w:r>
      <w:r w:rsidRPr="00E04E16">
        <w:t>indicated for a RAASi medicine but unable to tolerate this due to complications of hyperkalaemia</w:t>
      </w:r>
      <w:r w:rsidR="0042353D" w:rsidRPr="00E04E16">
        <w:t>) who</w:t>
      </w:r>
      <w:r w:rsidRPr="00E04E16">
        <w:t xml:space="preserve"> experienc</w:t>
      </w:r>
      <w:r w:rsidR="0042353D" w:rsidRPr="00E04E16">
        <w:t>e</w:t>
      </w:r>
      <w:r w:rsidRPr="00E04E16">
        <w:t xml:space="preserve"> chronic/recurrent hyperkalaemia (&gt; 1 episode of serum K+ ≥ 6.0 mmol/L in the prior 12 months) should be eligible for subsidised treatment with patiromer to enable maximal RAASi therapy. The resubmission acknowledged that patients treated with patiromer should continue </w:t>
      </w:r>
      <w:r w:rsidR="00803C5C" w:rsidRPr="00E04E16">
        <w:t xml:space="preserve">with a </w:t>
      </w:r>
      <w:r w:rsidRPr="00E04E16">
        <w:t xml:space="preserve">low potassium diet as standard care while treated with patiromer. The initiation of pharmacological interventions when serum potassium levels are </w:t>
      </w:r>
      <w:r w:rsidR="0064628F" w:rsidRPr="00E04E16">
        <w:rPr>
          <w:rFonts w:cstheme="minorHAnsi"/>
        </w:rPr>
        <w:t>≥</w:t>
      </w:r>
      <w:r w:rsidRPr="00E04E16">
        <w:t xml:space="preserve"> 6.0 mmol/L is consistent with Australian clinical guidelines. However, it is unclear how treatment with patiromer will be integrated with acute interventions (e.g. calcium or sodium polystyrene sulfonate resins, correction of acidosis, insulin).</w:t>
      </w:r>
    </w:p>
    <w:p w:rsidR="00FF1E4F" w:rsidRPr="00E04E16" w:rsidRDefault="00FF1E4F" w:rsidP="00557859">
      <w:pPr>
        <w:pStyle w:val="ExecSumBodyText"/>
      </w:pPr>
      <w:r w:rsidRPr="00E04E16">
        <w:t xml:space="preserve">The </w:t>
      </w:r>
      <w:r w:rsidR="00557859" w:rsidRPr="00E04E16">
        <w:t>re</w:t>
      </w:r>
      <w:r w:rsidRPr="00E04E16">
        <w:t xml:space="preserve">submission </w:t>
      </w:r>
      <w:r w:rsidR="00557859" w:rsidRPr="00E04E16">
        <w:t xml:space="preserve">stated </w:t>
      </w:r>
      <w:r w:rsidRPr="00E04E16">
        <w:t xml:space="preserve">that </w:t>
      </w:r>
      <w:r w:rsidR="00557859" w:rsidRPr="00E04E16">
        <w:t>the intention of the proposed PBS listing is that patients with chronic hyperkalaemia would receive ongoing treatment with patiromer to prevent further recurrences of hyperkalaemia and enable ongoing optimal treatment with RAASi medicines.</w:t>
      </w:r>
      <w:r w:rsidRPr="00E04E16">
        <w:t xml:space="preserve"> </w:t>
      </w:r>
      <w:r w:rsidR="00557859" w:rsidRPr="00E04E16">
        <w:t xml:space="preserve">However, the resubmission </w:t>
      </w:r>
      <w:r w:rsidR="00F82737" w:rsidRPr="00E04E16">
        <w:t xml:space="preserve">also </w:t>
      </w:r>
      <w:r w:rsidR="00557859" w:rsidRPr="00E04E16">
        <w:t xml:space="preserve">presented </w:t>
      </w:r>
      <w:r w:rsidRPr="00E04E16">
        <w:t>US real world claims data suggest</w:t>
      </w:r>
      <w:r w:rsidR="00557859" w:rsidRPr="00E04E16">
        <w:t>ing</w:t>
      </w:r>
      <w:r w:rsidRPr="00E04E16">
        <w:t xml:space="preserve"> patiromer treatment for acute and/or chronic hyperkalaemia may be of short duration (i.e. &lt; 3 months in 50% of patients; &lt;</w:t>
      </w:r>
      <w:r w:rsidR="0025395D" w:rsidRPr="00E04E16">
        <w:t> </w:t>
      </w:r>
      <w:r w:rsidRPr="00E04E16">
        <w:t>12 months in 80% of patients)</w:t>
      </w:r>
      <w:r w:rsidR="002F12DF">
        <w:rPr>
          <w:rStyle w:val="FootnoteReference"/>
        </w:rPr>
        <w:footnoteReference w:id="1"/>
      </w:r>
      <w:r w:rsidRPr="00E04E16">
        <w:t xml:space="preserve">, </w:t>
      </w:r>
      <w:r w:rsidR="00F82737" w:rsidRPr="00E04E16">
        <w:t xml:space="preserve">and included </w:t>
      </w:r>
      <w:r w:rsidR="002920A6" w:rsidRPr="00E04E16">
        <w:t xml:space="preserve">a </w:t>
      </w:r>
      <w:r w:rsidR="00F82737" w:rsidRPr="00E04E16">
        <w:t xml:space="preserve">short </w:t>
      </w:r>
      <w:r w:rsidRPr="00E04E16">
        <w:t>duration of treatment</w:t>
      </w:r>
      <w:r w:rsidR="002920A6" w:rsidRPr="00E04E16">
        <w:t xml:space="preserve"> (maximum of one year)</w:t>
      </w:r>
      <w:r w:rsidRPr="00E04E16">
        <w:t xml:space="preserve"> in the current economic model.</w:t>
      </w:r>
      <w:r w:rsidR="00F82737" w:rsidRPr="00E04E16">
        <w:t xml:space="preserve"> </w:t>
      </w:r>
    </w:p>
    <w:p w:rsidR="006C5EEA" w:rsidRPr="00E04E16" w:rsidRDefault="00F82737" w:rsidP="006C5EEA">
      <w:pPr>
        <w:pStyle w:val="ExecSumBodyText"/>
      </w:pPr>
      <w:r w:rsidRPr="00E04E16">
        <w:t xml:space="preserve">The </w:t>
      </w:r>
      <w:r w:rsidR="00E82581" w:rsidRPr="00E04E16">
        <w:t xml:space="preserve">ESC considered that the </w:t>
      </w:r>
      <w:r w:rsidRPr="00E04E16">
        <w:t>intended use of patiromer in the eligible Australian population remains unclear in terms of duration of treatment, intermittent versus continuous use (i.e. discontinuation/re</w:t>
      </w:r>
      <w:r w:rsidR="001C02B2" w:rsidRPr="00E04E16">
        <w:t>-</w:t>
      </w:r>
      <w:r w:rsidRPr="00E04E16">
        <w:t>initiation of treatment in response to serum potassium fluctuation), and interaction with other medicines used in chronic illness.</w:t>
      </w:r>
    </w:p>
    <w:p w:rsidR="00225816" w:rsidRPr="00E04E16" w:rsidRDefault="00225816" w:rsidP="00225816">
      <w:pPr>
        <w:pStyle w:val="ExecSumBodyText"/>
        <w:numPr>
          <w:ilvl w:val="0"/>
          <w:numId w:val="0"/>
        </w:numPr>
        <w:ind w:left="720"/>
        <w:rPr>
          <w:i/>
        </w:rPr>
      </w:pPr>
      <w:r w:rsidRPr="00E04E16">
        <w:rPr>
          <w:i/>
        </w:rPr>
        <w:t xml:space="preserve">For more detail on PBAC’s view, see section 7 PBAC outcome. </w:t>
      </w:r>
    </w:p>
    <w:p w:rsidR="00B50DB8" w:rsidRPr="00E04E16" w:rsidRDefault="00B50DB8" w:rsidP="004E18E9">
      <w:pPr>
        <w:pStyle w:val="2-SectionHeading"/>
      </w:pPr>
      <w:bookmarkStart w:id="8" w:name="_Toc51063872"/>
      <w:r w:rsidRPr="00E04E16">
        <w:lastRenderedPageBreak/>
        <w:t>Comparator</w:t>
      </w:r>
      <w:bookmarkEnd w:id="8"/>
    </w:p>
    <w:p w:rsidR="00EA21BA" w:rsidRPr="00E04E16" w:rsidRDefault="00EA21BA" w:rsidP="00EA21BA">
      <w:pPr>
        <w:pStyle w:val="ExecSumBodyText"/>
        <w:rPr>
          <w:snapToGrid/>
        </w:rPr>
      </w:pPr>
      <w:r w:rsidRPr="00E04E16">
        <w:t>The resubmission nominated ‘no active ongoing pharmacological treatment’ as the main comparator (i.e. placebo in the context of the clinical trials and standard care alone in the context of clinical practice). Standard care is defined as regular monitoring of serum potassium concentration, dietary restriction of potassium intake and individualised management of concomitant medications (e.g. RAASi therapy)</w:t>
      </w:r>
      <w:r w:rsidR="00E04E16">
        <w:t xml:space="preserve">. </w:t>
      </w:r>
    </w:p>
    <w:p w:rsidR="00EA21BA" w:rsidRPr="00E04E16" w:rsidRDefault="00EA21BA" w:rsidP="00EA21BA">
      <w:pPr>
        <w:pStyle w:val="ExecSumBodyText"/>
      </w:pPr>
      <w:r w:rsidRPr="00E04E16">
        <w:t xml:space="preserve">The nominated comparator is unchanged from the previous submission. At the November 2019 meeting the PBAC considered that intermittent use of SPS was an appropriate comparator (para 7.6, Patiromer Public Summary Document, November 2019 PBAC meeting). The resubmission argued that SPS was not recommended for longer term use in chronic/recurrent hyperkalaemia due to frequent tolerability challenges, life-threatening side effects (intestinal necrosis) and relatively poor clinical data supporting chronic use of SPS (EMA 2017; Laureati et al. 2019; Noel et al. 2019), and was not supported in clinical guidelines (KDIGO 2020, Rafique 2017). </w:t>
      </w:r>
      <w:r w:rsidR="00037140" w:rsidRPr="00E04E16">
        <w:t xml:space="preserve">The ESC </w:t>
      </w:r>
      <w:r w:rsidR="000230E4" w:rsidRPr="00E04E16">
        <w:t>considered</w:t>
      </w:r>
      <w:r w:rsidR="00037140" w:rsidRPr="00E04E16">
        <w:t xml:space="preserve"> that i</w:t>
      </w:r>
      <w:r w:rsidR="00191FD1" w:rsidRPr="00E04E16">
        <w:t xml:space="preserve">t </w:t>
      </w:r>
      <w:r w:rsidR="00037140" w:rsidRPr="00E04E16">
        <w:t>was</w:t>
      </w:r>
      <w:r w:rsidR="009750A2" w:rsidRPr="00E04E16">
        <w:t xml:space="preserve"> </w:t>
      </w:r>
      <w:r w:rsidR="00191FD1" w:rsidRPr="00E04E16">
        <w:t>unclear whether the use of patiromer in the Australian setting would be materially different to the use of SPS and CPS resins</w:t>
      </w:r>
      <w:r w:rsidR="002920A6" w:rsidRPr="00E04E16">
        <w:t xml:space="preserve">, i.e. used </w:t>
      </w:r>
      <w:r w:rsidR="00763362" w:rsidRPr="00E04E16">
        <w:t xml:space="preserve">briefly and </w:t>
      </w:r>
      <w:r w:rsidR="002920A6" w:rsidRPr="00E04E16">
        <w:rPr>
          <w:rFonts w:cstheme="minorHAnsi"/>
        </w:rPr>
        <w:t>intermittently and reinitiated for recurrent hyperkalaemia events.</w:t>
      </w:r>
    </w:p>
    <w:p w:rsidR="0096293F" w:rsidRPr="00E04E16" w:rsidRDefault="00EA21BA" w:rsidP="00A944BE">
      <w:pPr>
        <w:pStyle w:val="ExecSumBodyText"/>
        <w:rPr>
          <w:snapToGrid/>
          <w:color w:val="0066FF"/>
        </w:rPr>
      </w:pPr>
      <w:r w:rsidRPr="00E04E16">
        <w:t xml:space="preserve">A </w:t>
      </w:r>
      <w:r w:rsidR="00803C5C" w:rsidRPr="00E04E16">
        <w:t xml:space="preserve">small </w:t>
      </w:r>
      <w:r w:rsidRPr="00E04E16">
        <w:t xml:space="preserve">survey of </w:t>
      </w:r>
      <w:r w:rsidR="00FC6972" w:rsidRPr="00E04E16">
        <w:t>clinicians (n = 11, comprising 7 nephrologists and 4 cardiologists)</w:t>
      </w:r>
      <w:r w:rsidRPr="00E04E16">
        <w:t xml:space="preserve"> conducted for the resubmission suggested hyperkalaemia is generally managed with diet and RAASi modification in the Australian setting, and ongoing or intermittent use of SPS is currently used in an average of 11% of hyperkalaemia patients (median: 9%; range: 0 to 30%)</w:t>
      </w:r>
      <w:r w:rsidR="009750A2" w:rsidRPr="00E04E16">
        <w:t xml:space="preserve"> and CPS in </w:t>
      </w:r>
      <w:r w:rsidR="00C00744" w:rsidRPr="00E04E16">
        <w:t xml:space="preserve">an average of </w:t>
      </w:r>
      <w:r w:rsidR="009750A2" w:rsidRPr="00E04E16">
        <w:t>5% of patients</w:t>
      </w:r>
      <w:r w:rsidR="00C00744" w:rsidRPr="00E04E16">
        <w:t xml:space="preserve"> (median: 0%: range 0 to 45%)</w:t>
      </w:r>
      <w:r w:rsidRPr="00E04E16">
        <w:t>.</w:t>
      </w:r>
      <w:r w:rsidRPr="00E04E16">
        <w:rPr>
          <w:snapToGrid/>
        </w:rPr>
        <w:t xml:space="preserve"> </w:t>
      </w:r>
      <w:r w:rsidR="00643B25" w:rsidRPr="00E04E16">
        <w:rPr>
          <w:snapToGrid/>
        </w:rPr>
        <w:t xml:space="preserve">While the resubmission considered that the clinician survey </w:t>
      </w:r>
      <w:r w:rsidR="00843D24" w:rsidRPr="00E04E16">
        <w:rPr>
          <w:snapToGrid/>
        </w:rPr>
        <w:t>supported its claim</w:t>
      </w:r>
      <w:r w:rsidR="00643B25" w:rsidRPr="00E04E16">
        <w:rPr>
          <w:snapToGrid/>
        </w:rPr>
        <w:t xml:space="preserve"> that SPS was not an appropriate comparator, the ESC considered that the survey was relatively small</w:t>
      </w:r>
      <w:r w:rsidR="00A4017B" w:rsidRPr="00E04E16">
        <w:rPr>
          <w:snapToGrid/>
        </w:rPr>
        <w:t xml:space="preserve">, and was not an informative approach for determining </w:t>
      </w:r>
      <w:r w:rsidR="00637E16" w:rsidRPr="00E04E16">
        <w:rPr>
          <w:snapToGrid/>
        </w:rPr>
        <w:t xml:space="preserve">the </w:t>
      </w:r>
      <w:r w:rsidR="00A4017B" w:rsidRPr="00E04E16">
        <w:rPr>
          <w:snapToGrid/>
        </w:rPr>
        <w:t>comparator/s</w:t>
      </w:r>
      <w:r w:rsidR="00643B25" w:rsidRPr="00E04E16">
        <w:rPr>
          <w:snapToGrid/>
        </w:rPr>
        <w:t xml:space="preserve">. </w:t>
      </w:r>
      <w:r w:rsidR="00A15BEC" w:rsidRPr="00E04E16">
        <w:rPr>
          <w:snapToGrid/>
        </w:rPr>
        <w:t xml:space="preserve">Further, while </w:t>
      </w:r>
      <w:r w:rsidR="002A6B1A" w:rsidRPr="00E04E16">
        <w:rPr>
          <w:snapToGrid/>
        </w:rPr>
        <w:t xml:space="preserve">the survey indicated that </w:t>
      </w:r>
      <w:r w:rsidR="00A15BEC" w:rsidRPr="00E04E16">
        <w:rPr>
          <w:snapToGrid/>
        </w:rPr>
        <w:t xml:space="preserve">SPS and CPS may only be used in a relatively small proportion of the overall group of patients with hyperkalaemia, the ESC considered that patiromer </w:t>
      </w:r>
      <w:r w:rsidR="00763362" w:rsidRPr="00E04E16">
        <w:rPr>
          <w:snapToGrid/>
        </w:rPr>
        <w:t xml:space="preserve">may </w:t>
      </w:r>
      <w:r w:rsidR="00A15BEC" w:rsidRPr="00E04E16">
        <w:rPr>
          <w:snapToGrid/>
        </w:rPr>
        <w:t>also be used in only a relatively small proportion of hyperkalaemia patients (given the proposed restriction criteria</w:t>
      </w:r>
      <w:r w:rsidR="002A6B1A" w:rsidRPr="00E04E16">
        <w:rPr>
          <w:snapToGrid/>
        </w:rPr>
        <w:t xml:space="preserve"> and likely uptake</w:t>
      </w:r>
      <w:r w:rsidR="00A15BEC" w:rsidRPr="00E04E16">
        <w:rPr>
          <w:snapToGrid/>
        </w:rPr>
        <w:t>)</w:t>
      </w:r>
      <w:r w:rsidR="002A6B1A" w:rsidRPr="00E04E16">
        <w:rPr>
          <w:snapToGrid/>
        </w:rPr>
        <w:t>. The ESC considered</w:t>
      </w:r>
      <w:r w:rsidR="00A15BEC" w:rsidRPr="00E04E16">
        <w:rPr>
          <w:snapToGrid/>
        </w:rPr>
        <w:t xml:space="preserve"> there</w:t>
      </w:r>
      <w:r w:rsidR="00740023" w:rsidRPr="00E04E16">
        <w:rPr>
          <w:snapToGrid/>
        </w:rPr>
        <w:t xml:space="preserve"> </w:t>
      </w:r>
      <w:r w:rsidR="00A15BEC" w:rsidRPr="00E04E16">
        <w:rPr>
          <w:snapToGrid/>
        </w:rPr>
        <w:t xml:space="preserve">would likely be a significant degree of overlap </w:t>
      </w:r>
      <w:r w:rsidR="00536491">
        <w:rPr>
          <w:snapToGrid/>
        </w:rPr>
        <w:t>in the patient populations</w:t>
      </w:r>
      <w:r w:rsidR="00A15BEC" w:rsidRPr="00E04E16">
        <w:rPr>
          <w:snapToGrid/>
        </w:rPr>
        <w:t xml:space="preserve"> using SPS/CPS and patiromer. </w:t>
      </w:r>
      <w:r w:rsidR="00643B25" w:rsidRPr="00E04E16">
        <w:rPr>
          <w:snapToGrid/>
        </w:rPr>
        <w:t>The</w:t>
      </w:r>
      <w:r w:rsidR="00974D46" w:rsidRPr="00E04E16">
        <w:rPr>
          <w:snapToGrid/>
        </w:rPr>
        <w:t xml:space="preserve"> </w:t>
      </w:r>
      <w:r w:rsidR="000A1213" w:rsidRPr="00E04E16">
        <w:rPr>
          <w:snapToGrid/>
        </w:rPr>
        <w:t xml:space="preserve">ESC and </w:t>
      </w:r>
      <w:r w:rsidR="00C23586" w:rsidRPr="00E04E16">
        <w:rPr>
          <w:snapToGrid/>
        </w:rPr>
        <w:t>PBAC</w:t>
      </w:r>
      <w:r w:rsidR="00643B25" w:rsidRPr="00E04E16">
        <w:rPr>
          <w:snapToGrid/>
        </w:rPr>
        <w:t xml:space="preserve"> maintained that </w:t>
      </w:r>
      <w:r w:rsidR="00643B25" w:rsidRPr="00E04E16">
        <w:t>intermittent use of SPS</w:t>
      </w:r>
      <w:r w:rsidR="00637E16" w:rsidRPr="00E04E16">
        <w:t>/CPS is</w:t>
      </w:r>
      <w:r w:rsidR="00643B25" w:rsidRPr="00E04E16">
        <w:t xml:space="preserve"> a </w:t>
      </w:r>
      <w:r w:rsidR="00637E16" w:rsidRPr="00E04E16">
        <w:t xml:space="preserve">relevant </w:t>
      </w:r>
      <w:r w:rsidR="00643B25" w:rsidRPr="00E04E16">
        <w:t>comparator.</w:t>
      </w:r>
    </w:p>
    <w:p w:rsidR="009A1CD2" w:rsidRPr="00E04E16" w:rsidRDefault="009A1CD2" w:rsidP="000A1213">
      <w:pPr>
        <w:pStyle w:val="ExecSumBodyText"/>
        <w:rPr>
          <w:snapToGrid/>
          <w:color w:val="0066FF"/>
        </w:rPr>
      </w:pPr>
      <w:r w:rsidRPr="00E04E16">
        <w:t>The pre-PBAC response stated that the proposed addition</w:t>
      </w:r>
      <w:r w:rsidR="000A1213" w:rsidRPr="00E04E16">
        <w:t>al</w:t>
      </w:r>
      <w:r w:rsidRPr="00E04E16">
        <w:t xml:space="preserve"> PBS restriction </w:t>
      </w:r>
      <w:r w:rsidR="000A1213" w:rsidRPr="00E04E16">
        <w:t>criterion limiting use to patients in whom</w:t>
      </w:r>
      <w:r w:rsidRPr="00E04E16">
        <w:t xml:space="preserve"> SPS/CPS </w:t>
      </w:r>
      <w:r w:rsidR="000A1213" w:rsidRPr="00E04E16">
        <w:t xml:space="preserve">resins are inappropriate would preclude SPS/CPS resins </w:t>
      </w:r>
      <w:r w:rsidRPr="00E04E16">
        <w:t xml:space="preserve">from being considered </w:t>
      </w:r>
      <w:r w:rsidR="000A1213" w:rsidRPr="00E04E16">
        <w:t>as</w:t>
      </w:r>
      <w:r w:rsidRPr="00E04E16">
        <w:t xml:space="preserve"> comparator</w:t>
      </w:r>
      <w:r w:rsidR="000A1213" w:rsidRPr="00E04E16">
        <w:t>s</w:t>
      </w:r>
      <w:r w:rsidR="00A612A6" w:rsidRPr="00E04E16">
        <w:t>;</w:t>
      </w:r>
      <w:r w:rsidR="000A1213" w:rsidRPr="00E04E16">
        <w:t xml:space="preserve"> however</w:t>
      </w:r>
      <w:r w:rsidR="00A612A6" w:rsidRPr="00E04E16">
        <w:t>,</w:t>
      </w:r>
      <w:r w:rsidR="000A1213" w:rsidRPr="00E04E16">
        <w:t xml:space="preserve"> the PBAC considered this criterion was not appropriate given the overlapping </w:t>
      </w:r>
      <w:r w:rsidR="00A612A6" w:rsidRPr="00E04E16">
        <w:t xml:space="preserve">clinical </w:t>
      </w:r>
      <w:r w:rsidR="000A1213" w:rsidRPr="00E04E16">
        <w:t xml:space="preserve">places </w:t>
      </w:r>
      <w:r w:rsidR="00A612A6" w:rsidRPr="00E04E16">
        <w:t xml:space="preserve">of these therapies. </w:t>
      </w:r>
    </w:p>
    <w:p w:rsidR="00225816" w:rsidRPr="00E04E16" w:rsidRDefault="00225816" w:rsidP="00225816">
      <w:pPr>
        <w:pStyle w:val="ExecSumBodyText"/>
        <w:numPr>
          <w:ilvl w:val="0"/>
          <w:numId w:val="0"/>
        </w:numPr>
        <w:ind w:left="720"/>
        <w:rPr>
          <w:i/>
          <w:snapToGrid/>
          <w:color w:val="0066FF"/>
        </w:rPr>
      </w:pPr>
      <w:r w:rsidRPr="00E04E16">
        <w:rPr>
          <w:i/>
        </w:rPr>
        <w:t>For more detail on PBAC’s view, see section 7 PBAC outcome.</w:t>
      </w:r>
    </w:p>
    <w:p w:rsidR="00223D5A" w:rsidRPr="00E04E16" w:rsidRDefault="00223D5A" w:rsidP="00223D5A">
      <w:pPr>
        <w:pStyle w:val="2-SectionHeading"/>
        <w:numPr>
          <w:ilvl w:val="0"/>
          <w:numId w:val="1"/>
        </w:numPr>
      </w:pPr>
      <w:bookmarkStart w:id="9" w:name="_Toc51063873"/>
      <w:bookmarkStart w:id="10" w:name="_Toc22897640"/>
      <w:r w:rsidRPr="00E04E16">
        <w:lastRenderedPageBreak/>
        <w:t>Consideration of the evidence</w:t>
      </w:r>
      <w:bookmarkEnd w:id="9"/>
    </w:p>
    <w:p w:rsidR="00C57DA2" w:rsidRPr="00E04E16" w:rsidRDefault="00C57DA2" w:rsidP="002E4F02">
      <w:pPr>
        <w:pStyle w:val="3-SubsectionHeading"/>
      </w:pPr>
      <w:bookmarkStart w:id="11" w:name="_Toc51063874"/>
      <w:r w:rsidRPr="00E04E16">
        <w:t xml:space="preserve">Sponsor hearing </w:t>
      </w:r>
    </w:p>
    <w:p w:rsidR="00C57DA2" w:rsidRPr="00E04E16" w:rsidRDefault="00394955" w:rsidP="00394955">
      <w:pPr>
        <w:pStyle w:val="ExecSumBodyText"/>
      </w:pPr>
      <w:r w:rsidRPr="00E04E16">
        <w:t xml:space="preserve">The sponsor requested a hearing for this item. The clinician outlined the </w:t>
      </w:r>
      <w:r w:rsidR="00D90EC8" w:rsidRPr="00E04E16">
        <w:t xml:space="preserve">benefits of RAASi therapy in terms of cardiovascular and renal outcomes, the </w:t>
      </w:r>
      <w:r w:rsidRPr="00E04E16">
        <w:t>management of hyp</w:t>
      </w:r>
      <w:r w:rsidR="00D90EC8" w:rsidRPr="00E04E16">
        <w:t>erkalaemia and</w:t>
      </w:r>
      <w:r w:rsidRPr="00E04E16">
        <w:t xml:space="preserve"> </w:t>
      </w:r>
      <w:r w:rsidR="00D90EC8" w:rsidRPr="00E04E16">
        <w:t>the clinical evidence for patiromer. The clinician discussed that SPS resins are the only alternative therapy but outlined that this is poorly tolerated with low patient compliance.</w:t>
      </w:r>
      <w:r w:rsidR="007F5D97" w:rsidRPr="00E04E16">
        <w:t xml:space="preserve"> </w:t>
      </w:r>
    </w:p>
    <w:p w:rsidR="00C57DA2" w:rsidRPr="00E04E16" w:rsidRDefault="00C57DA2" w:rsidP="00394955">
      <w:pPr>
        <w:pStyle w:val="3-SubsectionHeading"/>
        <w:keepNext w:val="0"/>
      </w:pPr>
      <w:r w:rsidRPr="00E04E16">
        <w:t>Consumer comments</w:t>
      </w:r>
    </w:p>
    <w:p w:rsidR="00C57DA2" w:rsidRPr="00E04E16" w:rsidRDefault="00B01205" w:rsidP="00C57DA2">
      <w:pPr>
        <w:pStyle w:val="ExecSumBodyText"/>
      </w:pPr>
      <w:r w:rsidRPr="00E04E16">
        <w:t xml:space="preserve">The PBAC noted and welcomed the input from individuals (1) and health professionals (3) via the Consumer Comments facility on the PBS website. The comments described a range of benefits </w:t>
      </w:r>
      <w:r w:rsidR="009A68A9" w:rsidRPr="00E04E16">
        <w:t>of treatment with patiromer including improved clinical outcomes</w:t>
      </w:r>
      <w:r w:rsidR="00F70942" w:rsidRPr="00E04E16">
        <w:t xml:space="preserve"> </w:t>
      </w:r>
      <w:r w:rsidR="00FF228D" w:rsidRPr="00E04E16">
        <w:t>such as</w:t>
      </w:r>
      <w:r w:rsidR="00F70942" w:rsidRPr="00E04E16">
        <w:t xml:space="preserve"> lowering potassium levels and allowing patients to maintain RAASi medicines at optimal doses. The comments also described the</w:t>
      </w:r>
      <w:r w:rsidR="009A68A9" w:rsidRPr="00E04E16">
        <w:t xml:space="preserve"> improved palatability and ease of use, and </w:t>
      </w:r>
      <w:r w:rsidR="00DC1DB5" w:rsidRPr="00E04E16">
        <w:t>improved long-term safety and efficacy data</w:t>
      </w:r>
      <w:r w:rsidR="00F70942" w:rsidRPr="00E04E16">
        <w:t xml:space="preserve"> compared to existing treatment options</w:t>
      </w:r>
      <w:r w:rsidR="00DC1DB5" w:rsidRPr="00E04E16">
        <w:t xml:space="preserve">. </w:t>
      </w:r>
    </w:p>
    <w:p w:rsidR="00B60939" w:rsidRPr="00E04E16" w:rsidRDefault="00B60939" w:rsidP="002E4F02">
      <w:pPr>
        <w:pStyle w:val="3-SubsectionHeading"/>
      </w:pPr>
      <w:r w:rsidRPr="00E04E16">
        <w:t xml:space="preserve">Clinical </w:t>
      </w:r>
      <w:r w:rsidR="00D5243B" w:rsidRPr="00E04E16">
        <w:t>studies</w:t>
      </w:r>
      <w:bookmarkEnd w:id="10"/>
      <w:bookmarkEnd w:id="11"/>
    </w:p>
    <w:p w:rsidR="002F06CA" w:rsidRPr="00E04E16" w:rsidRDefault="002F06CA" w:rsidP="002F06CA">
      <w:pPr>
        <w:pStyle w:val="ListParagraph"/>
        <w:numPr>
          <w:ilvl w:val="1"/>
          <w:numId w:val="1"/>
        </w:numPr>
        <w:contextualSpacing w:val="0"/>
      </w:pPr>
      <w:r w:rsidRPr="00E04E16">
        <w:t>The resubmission was based on the OPAL-HK phase III study, with supportive long-term evidence from the AMETHYST-DN study</w:t>
      </w:r>
      <w:r w:rsidR="002072E1" w:rsidRPr="00E04E16">
        <w:t>. Both studies were</w:t>
      </w:r>
      <w:r w:rsidRPr="00E04E16">
        <w:t xml:space="preserve"> previously considered in the November 2019 submission. </w:t>
      </w:r>
    </w:p>
    <w:p w:rsidR="002F06CA" w:rsidRPr="00E04E16" w:rsidRDefault="002F06CA" w:rsidP="00BA6281">
      <w:pPr>
        <w:pStyle w:val="ListParagraph"/>
        <w:numPr>
          <w:ilvl w:val="0"/>
          <w:numId w:val="9"/>
        </w:numPr>
        <w:ind w:left="1237" w:hanging="386"/>
        <w:contextualSpacing w:val="0"/>
      </w:pPr>
      <w:r w:rsidRPr="00E04E16">
        <w:t xml:space="preserve">OPAL-HK: a </w:t>
      </w:r>
      <w:r w:rsidR="00403D12" w:rsidRPr="00E04E16">
        <w:t>two-part</w:t>
      </w:r>
      <w:r w:rsidRPr="00E04E16">
        <w:t xml:space="preserve"> phase III dosing/withdrawal study of adult patients with CKD related hyperkalaemia, receiving RAASi medications and treated with patiromer. </w:t>
      </w:r>
    </w:p>
    <w:p w:rsidR="002F06CA" w:rsidRPr="00E04E16" w:rsidRDefault="002F06CA" w:rsidP="00BA6281">
      <w:pPr>
        <w:pStyle w:val="ListParagraph"/>
        <w:numPr>
          <w:ilvl w:val="0"/>
          <w:numId w:val="9"/>
        </w:numPr>
        <w:spacing w:after="120"/>
        <w:ind w:left="1237" w:hanging="386"/>
        <w:contextualSpacing w:val="0"/>
      </w:pPr>
      <w:r w:rsidRPr="00E04E16">
        <w:t>AMETHYST-DN: a long term randomised open label phase II dose ranging study of patients with type 2 diabetes mellitus and CKD Stage 3 or Stage 4, receiving a RAASi.</w:t>
      </w:r>
    </w:p>
    <w:p w:rsidR="002F06CA" w:rsidRPr="00E04E16" w:rsidRDefault="002F06CA" w:rsidP="002F06CA">
      <w:pPr>
        <w:pStyle w:val="ExecSumBodyText"/>
        <w:numPr>
          <w:ilvl w:val="1"/>
          <w:numId w:val="1"/>
        </w:numPr>
      </w:pPr>
      <w:r w:rsidRPr="00E04E16">
        <w:t>No new clinical studies were presented in the resubmission, but the results of new post-hoc subgroup analyses of individual patient data for patients with OPAL-HK Part A baseline serum potassium concentrations ≥ 6.0 mmol/L (n=26) were used to inform the economic evaluation. The results of the post-hoc analysis are presented in the commentary but there w</w:t>
      </w:r>
      <w:r w:rsidR="002072E1" w:rsidRPr="00E04E16">
        <w:t>ere</w:t>
      </w:r>
      <w:r w:rsidRPr="00E04E16">
        <w:t xml:space="preserve"> insufficient data provided for meaningful evaluation.</w:t>
      </w:r>
    </w:p>
    <w:p w:rsidR="002F06CA" w:rsidRPr="00E04E16" w:rsidRDefault="002F06CA" w:rsidP="002F06CA">
      <w:pPr>
        <w:pStyle w:val="ExecSumBodyText"/>
        <w:numPr>
          <w:ilvl w:val="1"/>
          <w:numId w:val="1"/>
        </w:numPr>
        <w:rPr>
          <w:color w:val="0066FF"/>
        </w:rPr>
      </w:pPr>
      <w:r w:rsidRPr="00E04E16">
        <w:t>The PEARL-HF study considered in the November 2019 submission was excluded</w:t>
      </w:r>
      <w:r w:rsidR="00403499" w:rsidRPr="00E04E16">
        <w:t xml:space="preserve"> from the resubmission</w:t>
      </w:r>
      <w:r w:rsidRPr="00E04E16">
        <w:t xml:space="preserve"> on the basis of </w:t>
      </w:r>
      <w:r w:rsidR="00403499" w:rsidRPr="00E04E16">
        <w:t xml:space="preserve">the </w:t>
      </w:r>
      <w:r w:rsidRPr="00E04E16">
        <w:t xml:space="preserve">wrong population and patiromer dose. </w:t>
      </w:r>
      <w:r w:rsidR="00763362" w:rsidRPr="00E04E16">
        <w:t xml:space="preserve">This was appropriate. </w:t>
      </w:r>
      <w:r w:rsidRPr="00E04E16">
        <w:t xml:space="preserve">The AMBER study </w:t>
      </w:r>
      <w:r w:rsidR="009D7A31" w:rsidRPr="00E04E16">
        <w:t xml:space="preserve">was </w:t>
      </w:r>
      <w:r w:rsidRPr="00E04E16">
        <w:t xml:space="preserve">ongoing at the time </w:t>
      </w:r>
      <w:r w:rsidR="00BC4369" w:rsidRPr="00E04E16">
        <w:t xml:space="preserve">of </w:t>
      </w:r>
      <w:r w:rsidRPr="00E04E16">
        <w:t xml:space="preserve">the November 2019 evaluation, </w:t>
      </w:r>
      <w:r w:rsidR="009D7A31" w:rsidRPr="00E04E16">
        <w:t xml:space="preserve">and </w:t>
      </w:r>
      <w:r w:rsidRPr="00E04E16">
        <w:t xml:space="preserve">was also excluded </w:t>
      </w:r>
      <w:r w:rsidR="009D7A31" w:rsidRPr="00E04E16">
        <w:t xml:space="preserve">from the resubmission </w:t>
      </w:r>
      <w:r w:rsidRPr="00E04E16">
        <w:t xml:space="preserve">on the basis of wrong population and comparison. This was </w:t>
      </w:r>
      <w:r w:rsidR="00763362" w:rsidRPr="00E04E16">
        <w:t xml:space="preserve">also </w:t>
      </w:r>
      <w:r w:rsidRPr="00E04E16">
        <w:t>appropriate.</w:t>
      </w:r>
    </w:p>
    <w:p w:rsidR="002F06CA" w:rsidRPr="00E04E16" w:rsidRDefault="002F06CA" w:rsidP="002F06CA">
      <w:pPr>
        <w:pStyle w:val="ExecSumBodyText"/>
        <w:numPr>
          <w:ilvl w:val="1"/>
          <w:numId w:val="1"/>
        </w:numPr>
      </w:pPr>
      <w:r w:rsidRPr="00E04E16">
        <w:rPr>
          <w:snapToGrid/>
        </w:rPr>
        <w:t xml:space="preserve">Details of the studies presented in the submission are provided in the table below. </w:t>
      </w:r>
    </w:p>
    <w:p w:rsidR="002F06CA" w:rsidRPr="00E04E16" w:rsidRDefault="002F06CA" w:rsidP="00FF228D">
      <w:pPr>
        <w:pStyle w:val="TableFigureCaption"/>
        <w:keepLines/>
      </w:pPr>
      <w:r w:rsidRPr="00E04E16">
        <w:lastRenderedPageBreak/>
        <w:t>Table 3: Studies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272"/>
        <w:gridCol w:w="5244"/>
        <w:gridCol w:w="2501"/>
      </w:tblGrid>
      <w:tr w:rsidR="002F06CA" w:rsidRPr="00E04E16" w:rsidTr="00083528">
        <w:trPr>
          <w:tblHeader/>
        </w:trPr>
        <w:tc>
          <w:tcPr>
            <w:tcW w:w="705" w:type="pct"/>
            <w:vAlign w:val="center"/>
          </w:tcPr>
          <w:p w:rsidR="002F06CA" w:rsidRPr="00E04E16" w:rsidRDefault="002F06CA" w:rsidP="00FF228D">
            <w:pPr>
              <w:pStyle w:val="Tabletext0"/>
              <w:keepLines/>
              <w:spacing w:before="0" w:after="0"/>
              <w:rPr>
                <w:b/>
              </w:rPr>
            </w:pPr>
            <w:r w:rsidRPr="00E04E16">
              <w:rPr>
                <w:b/>
              </w:rPr>
              <w:t>Trial ID</w:t>
            </w:r>
          </w:p>
        </w:tc>
        <w:tc>
          <w:tcPr>
            <w:tcW w:w="2908" w:type="pct"/>
            <w:vAlign w:val="center"/>
          </w:tcPr>
          <w:p w:rsidR="002F06CA" w:rsidRPr="00E04E16" w:rsidRDefault="002F06CA" w:rsidP="00FF228D">
            <w:pPr>
              <w:pStyle w:val="Tabletext0"/>
              <w:keepLines/>
              <w:spacing w:before="0" w:after="0"/>
              <w:jc w:val="center"/>
              <w:rPr>
                <w:b/>
              </w:rPr>
            </w:pPr>
            <w:r w:rsidRPr="00E04E16">
              <w:rPr>
                <w:b/>
              </w:rPr>
              <w:t>Protocol title/ Publication title</w:t>
            </w:r>
          </w:p>
        </w:tc>
        <w:tc>
          <w:tcPr>
            <w:tcW w:w="1387" w:type="pct"/>
            <w:vAlign w:val="center"/>
          </w:tcPr>
          <w:p w:rsidR="002F06CA" w:rsidRPr="00E04E16" w:rsidRDefault="002F06CA" w:rsidP="00FF228D">
            <w:pPr>
              <w:pStyle w:val="Tabletext0"/>
              <w:keepLines/>
              <w:spacing w:before="0" w:after="0"/>
              <w:jc w:val="center"/>
              <w:rPr>
                <w:b/>
              </w:rPr>
            </w:pPr>
            <w:r w:rsidRPr="00E04E16">
              <w:rPr>
                <w:b/>
              </w:rPr>
              <w:t>Publication citation</w:t>
            </w:r>
          </w:p>
        </w:tc>
      </w:tr>
      <w:tr w:rsidR="002F06CA" w:rsidRPr="00E04E16" w:rsidTr="00083528">
        <w:tc>
          <w:tcPr>
            <w:tcW w:w="5000" w:type="pct"/>
            <w:gridSpan w:val="3"/>
            <w:tcBorders>
              <w:bottom w:val="nil"/>
            </w:tcBorders>
          </w:tcPr>
          <w:p w:rsidR="002F06CA" w:rsidRPr="00E04E16" w:rsidRDefault="002F06CA" w:rsidP="00FF228D">
            <w:pPr>
              <w:pStyle w:val="Tabletext0"/>
              <w:keepLines/>
              <w:spacing w:before="0" w:after="0"/>
              <w:rPr>
                <w:b/>
              </w:rPr>
            </w:pPr>
            <w:r w:rsidRPr="00E04E16">
              <w:rPr>
                <w:b/>
              </w:rPr>
              <w:t>Clinical studies</w:t>
            </w:r>
          </w:p>
        </w:tc>
      </w:tr>
      <w:tr w:rsidR="002F06CA" w:rsidRPr="00E04E16" w:rsidTr="00083528">
        <w:tc>
          <w:tcPr>
            <w:tcW w:w="705" w:type="pct"/>
            <w:tcBorders>
              <w:bottom w:val="nil"/>
            </w:tcBorders>
          </w:tcPr>
          <w:p w:rsidR="002F06CA" w:rsidRPr="00E04E16" w:rsidRDefault="002F06CA" w:rsidP="00FF228D">
            <w:pPr>
              <w:pStyle w:val="Tabletext0"/>
              <w:keepLines/>
              <w:spacing w:before="0" w:after="0"/>
            </w:pPr>
            <w:r w:rsidRPr="00E04E16">
              <w:t>OPAL-HK</w:t>
            </w:r>
          </w:p>
          <w:p w:rsidR="002F06CA" w:rsidRPr="00E04E16" w:rsidRDefault="002F06CA" w:rsidP="00FF228D">
            <w:pPr>
              <w:pStyle w:val="Tabletext0"/>
              <w:keepLines/>
              <w:spacing w:before="0" w:after="0"/>
            </w:pPr>
            <w:r w:rsidRPr="00E04E16">
              <w:t>(NCT01810939)</w:t>
            </w:r>
          </w:p>
        </w:tc>
        <w:tc>
          <w:tcPr>
            <w:tcW w:w="2908" w:type="pct"/>
            <w:tcBorders>
              <w:bottom w:val="nil"/>
            </w:tcBorders>
          </w:tcPr>
          <w:p w:rsidR="002F06CA" w:rsidRPr="00E04E16" w:rsidRDefault="002F06CA" w:rsidP="00FF228D">
            <w:pPr>
              <w:pStyle w:val="Tabletext0"/>
              <w:keepLines/>
              <w:spacing w:before="0" w:after="0"/>
              <w:rPr>
                <w:szCs w:val="18"/>
              </w:rPr>
            </w:pPr>
            <w:r w:rsidRPr="00E04E16">
              <w:rPr>
                <w:szCs w:val="18"/>
              </w:rPr>
              <w:t>A two-part, single-blind, phase 3 study evaluating the efficacy and safety of patiromer for the treatment of hyperkalemia.</w:t>
            </w:r>
          </w:p>
        </w:tc>
        <w:tc>
          <w:tcPr>
            <w:tcW w:w="1387" w:type="pct"/>
            <w:tcBorders>
              <w:bottom w:val="nil"/>
            </w:tcBorders>
          </w:tcPr>
          <w:p w:rsidR="002F06CA" w:rsidRPr="00E04E16" w:rsidRDefault="002F06CA" w:rsidP="00FF228D">
            <w:pPr>
              <w:pStyle w:val="Tabletext0"/>
              <w:keepLines/>
              <w:spacing w:before="0" w:after="0"/>
              <w:rPr>
                <w:rFonts w:ascii="Times" w:hAnsi="Times"/>
              </w:rPr>
            </w:pPr>
            <w:r w:rsidRPr="00E04E16">
              <w:t>18 September 2014.</w:t>
            </w:r>
          </w:p>
        </w:tc>
      </w:tr>
      <w:tr w:rsidR="002F06CA" w:rsidRPr="00E04E16" w:rsidTr="00083528">
        <w:tc>
          <w:tcPr>
            <w:tcW w:w="705" w:type="pct"/>
            <w:tcBorders>
              <w:top w:val="nil"/>
              <w:bottom w:val="nil"/>
            </w:tcBorders>
          </w:tcPr>
          <w:p w:rsidR="002F06CA" w:rsidRPr="00E04E16" w:rsidRDefault="002F06CA" w:rsidP="00FF228D">
            <w:pPr>
              <w:pStyle w:val="Tabletext0"/>
              <w:keepLines/>
              <w:spacing w:before="0" w:after="0"/>
            </w:pPr>
          </w:p>
        </w:tc>
        <w:tc>
          <w:tcPr>
            <w:tcW w:w="2908" w:type="pct"/>
            <w:tcBorders>
              <w:top w:val="nil"/>
              <w:bottom w:val="nil"/>
            </w:tcBorders>
          </w:tcPr>
          <w:p w:rsidR="002F06CA" w:rsidRPr="00E04E16" w:rsidRDefault="002F06CA" w:rsidP="00FF228D">
            <w:pPr>
              <w:pStyle w:val="Tabletext0"/>
              <w:keepLines/>
              <w:spacing w:before="0" w:after="0"/>
              <w:rPr>
                <w:szCs w:val="18"/>
                <w:lang w:eastAsia="en-AU"/>
              </w:rPr>
            </w:pPr>
            <w:r w:rsidRPr="00E04E16">
              <w:rPr>
                <w:szCs w:val="18"/>
                <w:lang w:eastAsia="en-AU"/>
              </w:rPr>
              <w:t>Pitt B., Barkis G.L., Bushinsky D.A. et al. Effect of patiromer on reducing serum potassium and preventing recurrent hyperkalaemia in patients with heart failure and chronic kidney disease on RAAS inhibitors.</w:t>
            </w:r>
          </w:p>
        </w:tc>
        <w:tc>
          <w:tcPr>
            <w:tcW w:w="1387" w:type="pct"/>
            <w:tcBorders>
              <w:top w:val="nil"/>
              <w:bottom w:val="nil"/>
            </w:tcBorders>
          </w:tcPr>
          <w:p w:rsidR="002F06CA" w:rsidRPr="00E04E16" w:rsidRDefault="002F06CA" w:rsidP="00FF228D">
            <w:pPr>
              <w:pStyle w:val="Tabletext0"/>
              <w:keepLines/>
              <w:spacing w:before="0" w:after="0"/>
              <w:rPr>
                <w:i/>
                <w:szCs w:val="18"/>
                <w:lang w:eastAsia="en-AU"/>
              </w:rPr>
            </w:pPr>
            <w:r w:rsidRPr="00E04E16">
              <w:rPr>
                <w:szCs w:val="18"/>
                <w:lang w:eastAsia="en-AU"/>
              </w:rPr>
              <w:t>European Journal of Heart Failure 2015; 17(10): 1057-1065.</w:t>
            </w:r>
          </w:p>
        </w:tc>
      </w:tr>
      <w:tr w:rsidR="002F06CA" w:rsidRPr="00E04E16" w:rsidTr="00083528">
        <w:tc>
          <w:tcPr>
            <w:tcW w:w="705" w:type="pct"/>
            <w:tcBorders>
              <w:top w:val="nil"/>
              <w:bottom w:val="nil"/>
            </w:tcBorders>
          </w:tcPr>
          <w:p w:rsidR="002F06CA" w:rsidRPr="00E04E16" w:rsidRDefault="002F06CA" w:rsidP="00FF228D">
            <w:pPr>
              <w:pStyle w:val="Tabletext0"/>
              <w:keepLines/>
              <w:spacing w:before="0" w:after="0"/>
            </w:pPr>
          </w:p>
        </w:tc>
        <w:tc>
          <w:tcPr>
            <w:tcW w:w="2908" w:type="pct"/>
            <w:tcBorders>
              <w:top w:val="nil"/>
              <w:bottom w:val="nil"/>
            </w:tcBorders>
          </w:tcPr>
          <w:p w:rsidR="002F06CA" w:rsidRPr="00E04E16" w:rsidRDefault="002F06CA" w:rsidP="00FF228D">
            <w:pPr>
              <w:pStyle w:val="Tabletext0"/>
              <w:keepLines/>
              <w:spacing w:before="0" w:after="0"/>
              <w:rPr>
                <w:szCs w:val="18"/>
                <w:lang w:eastAsia="en-AU"/>
              </w:rPr>
            </w:pPr>
            <w:r w:rsidRPr="00E04E16">
              <w:rPr>
                <w:szCs w:val="18"/>
                <w:lang w:eastAsia="en-AU"/>
              </w:rPr>
              <w:t>Pitt B. et al., Patiromer lowers serum potassium and prevents recurrent hyperkalemia in patients with heart failure and CKD when treated with RAAS inhibitors: Results from OPAL-HK.</w:t>
            </w:r>
          </w:p>
        </w:tc>
        <w:tc>
          <w:tcPr>
            <w:tcW w:w="1387" w:type="pct"/>
            <w:tcBorders>
              <w:top w:val="nil"/>
              <w:bottom w:val="nil"/>
            </w:tcBorders>
          </w:tcPr>
          <w:p w:rsidR="002F06CA" w:rsidRPr="00E04E16" w:rsidRDefault="002F06CA" w:rsidP="00FF228D">
            <w:pPr>
              <w:pStyle w:val="Tabletext0"/>
              <w:keepLines/>
              <w:spacing w:before="0" w:after="0"/>
              <w:rPr>
                <w:i/>
                <w:szCs w:val="18"/>
                <w:lang w:eastAsia="en-AU"/>
              </w:rPr>
            </w:pPr>
            <w:r w:rsidRPr="00E04E16">
              <w:rPr>
                <w:szCs w:val="18"/>
                <w:lang w:eastAsia="en-AU"/>
              </w:rPr>
              <w:t>European Journal of Heart Failure 2015; 17(SUPPL.1):90.</w:t>
            </w:r>
          </w:p>
        </w:tc>
      </w:tr>
      <w:tr w:rsidR="002F06CA" w:rsidRPr="00E04E16" w:rsidTr="00083528">
        <w:tc>
          <w:tcPr>
            <w:tcW w:w="705" w:type="pct"/>
            <w:tcBorders>
              <w:top w:val="nil"/>
              <w:bottom w:val="nil"/>
            </w:tcBorders>
          </w:tcPr>
          <w:p w:rsidR="002F06CA" w:rsidRPr="00E04E16" w:rsidRDefault="002F06CA" w:rsidP="00FF228D">
            <w:pPr>
              <w:pStyle w:val="Tabletext0"/>
              <w:keepLines/>
              <w:spacing w:before="0" w:after="0"/>
            </w:pPr>
          </w:p>
        </w:tc>
        <w:tc>
          <w:tcPr>
            <w:tcW w:w="2908" w:type="pct"/>
            <w:tcBorders>
              <w:top w:val="nil"/>
              <w:bottom w:val="nil"/>
            </w:tcBorders>
          </w:tcPr>
          <w:p w:rsidR="002F06CA" w:rsidRPr="00E04E16" w:rsidRDefault="002F06CA" w:rsidP="00FF228D">
            <w:pPr>
              <w:pStyle w:val="Tabletext0"/>
              <w:keepLines/>
              <w:spacing w:before="0" w:after="0"/>
              <w:rPr>
                <w:szCs w:val="18"/>
                <w:lang w:eastAsia="en-AU"/>
              </w:rPr>
            </w:pPr>
            <w:r w:rsidRPr="00E04E16">
              <w:rPr>
                <w:szCs w:val="18"/>
                <w:lang w:eastAsia="en-AU"/>
              </w:rPr>
              <w:t xml:space="preserve">Weir M.R. et al., Treatment with patiromer decreases aldosterone in patients with chronic kidney disease and hyperkalemia on renin-angiotensin system inhibitors. </w:t>
            </w:r>
          </w:p>
        </w:tc>
        <w:tc>
          <w:tcPr>
            <w:tcW w:w="1387" w:type="pct"/>
            <w:tcBorders>
              <w:top w:val="nil"/>
              <w:bottom w:val="nil"/>
            </w:tcBorders>
          </w:tcPr>
          <w:p w:rsidR="002F06CA" w:rsidRPr="00E04E16" w:rsidRDefault="002F06CA" w:rsidP="00FF228D">
            <w:pPr>
              <w:pStyle w:val="Tabletext0"/>
              <w:keepLines/>
              <w:spacing w:before="0" w:after="0"/>
              <w:rPr>
                <w:szCs w:val="18"/>
                <w:lang w:eastAsia="en-AU"/>
              </w:rPr>
            </w:pPr>
            <w:r w:rsidRPr="00E04E16">
              <w:rPr>
                <w:szCs w:val="18"/>
                <w:lang w:eastAsia="en-AU"/>
              </w:rPr>
              <w:t>Kidney International 2016; 90(3):696-704.</w:t>
            </w:r>
          </w:p>
        </w:tc>
      </w:tr>
      <w:tr w:rsidR="002F06CA" w:rsidRPr="00E04E16" w:rsidTr="00083528">
        <w:tc>
          <w:tcPr>
            <w:tcW w:w="705" w:type="pct"/>
            <w:tcBorders>
              <w:top w:val="nil"/>
              <w:bottom w:val="nil"/>
            </w:tcBorders>
          </w:tcPr>
          <w:p w:rsidR="002F06CA" w:rsidRPr="00E04E16" w:rsidRDefault="002F06CA" w:rsidP="00FF228D">
            <w:pPr>
              <w:pStyle w:val="Tabletext0"/>
              <w:keepLines/>
              <w:spacing w:before="0" w:after="0"/>
            </w:pPr>
          </w:p>
        </w:tc>
        <w:tc>
          <w:tcPr>
            <w:tcW w:w="2908" w:type="pct"/>
            <w:tcBorders>
              <w:top w:val="nil"/>
              <w:bottom w:val="nil"/>
            </w:tcBorders>
          </w:tcPr>
          <w:p w:rsidR="002F06CA" w:rsidRPr="00E04E16" w:rsidRDefault="002F06CA" w:rsidP="00FF228D">
            <w:pPr>
              <w:pStyle w:val="Tabletext0"/>
              <w:keepLines/>
              <w:spacing w:before="0" w:after="0"/>
              <w:rPr>
                <w:szCs w:val="18"/>
                <w:lang w:eastAsia="en-AU"/>
              </w:rPr>
            </w:pPr>
            <w:r w:rsidRPr="00E04E16">
              <w:rPr>
                <w:szCs w:val="18"/>
                <w:lang w:eastAsia="en-AU"/>
              </w:rPr>
              <w:t>Weir M.R. et al. Patiromer in patients with kidney disease and hyperkalaemia receiving RAAS inhibitors.</w:t>
            </w:r>
          </w:p>
        </w:tc>
        <w:tc>
          <w:tcPr>
            <w:tcW w:w="1387" w:type="pct"/>
            <w:tcBorders>
              <w:top w:val="nil"/>
              <w:bottom w:val="nil"/>
            </w:tcBorders>
          </w:tcPr>
          <w:p w:rsidR="002F06CA" w:rsidRPr="00E04E16" w:rsidRDefault="002F06CA" w:rsidP="00FF228D">
            <w:pPr>
              <w:pStyle w:val="Tabletext0"/>
              <w:keepLines/>
              <w:spacing w:before="0" w:after="0"/>
              <w:rPr>
                <w:i/>
                <w:szCs w:val="18"/>
                <w:lang w:eastAsia="en-AU"/>
              </w:rPr>
            </w:pPr>
            <w:r w:rsidRPr="00E04E16">
              <w:rPr>
                <w:szCs w:val="18"/>
                <w:lang w:eastAsia="en-AU"/>
              </w:rPr>
              <w:t>New England Journal of Medicine 2015; 372(3): 211-221.</w:t>
            </w:r>
          </w:p>
        </w:tc>
      </w:tr>
      <w:tr w:rsidR="002F06CA" w:rsidRPr="00E04E16" w:rsidTr="00083528">
        <w:tc>
          <w:tcPr>
            <w:tcW w:w="705" w:type="pct"/>
            <w:tcBorders>
              <w:top w:val="nil"/>
              <w:bottom w:val="nil"/>
            </w:tcBorders>
          </w:tcPr>
          <w:p w:rsidR="002F06CA" w:rsidRPr="00E04E16" w:rsidRDefault="002F06CA" w:rsidP="00FF228D">
            <w:pPr>
              <w:pStyle w:val="Tabletext0"/>
              <w:keepLines/>
              <w:spacing w:before="0" w:after="0"/>
            </w:pPr>
          </w:p>
        </w:tc>
        <w:tc>
          <w:tcPr>
            <w:tcW w:w="2908" w:type="pct"/>
            <w:tcBorders>
              <w:top w:val="nil"/>
              <w:bottom w:val="nil"/>
            </w:tcBorders>
          </w:tcPr>
          <w:p w:rsidR="002F06CA" w:rsidRPr="00E04E16" w:rsidRDefault="002F06CA" w:rsidP="00FF228D">
            <w:pPr>
              <w:pStyle w:val="Tabletext0"/>
              <w:keepLines/>
              <w:spacing w:before="0" w:after="0"/>
              <w:rPr>
                <w:szCs w:val="18"/>
                <w:lang w:eastAsia="en-AU"/>
              </w:rPr>
            </w:pPr>
            <w:r w:rsidRPr="00E04E16">
              <w:rPr>
                <w:szCs w:val="18"/>
                <w:lang w:eastAsia="en-AU"/>
              </w:rPr>
              <w:t xml:space="preserve">Weir M.R. et al., Effect of Patiromer on Hyperkalemia Recurrence in Older Chronic Kidney Disease Patients Taking RAAS Inhibitors. </w:t>
            </w:r>
          </w:p>
        </w:tc>
        <w:tc>
          <w:tcPr>
            <w:tcW w:w="1387" w:type="pct"/>
            <w:tcBorders>
              <w:top w:val="nil"/>
              <w:bottom w:val="nil"/>
            </w:tcBorders>
          </w:tcPr>
          <w:p w:rsidR="002F06CA" w:rsidRPr="00E04E16" w:rsidRDefault="002F06CA" w:rsidP="00FF228D">
            <w:pPr>
              <w:pStyle w:val="Tabletext0"/>
              <w:keepLines/>
              <w:spacing w:before="0" w:after="0"/>
              <w:rPr>
                <w:i/>
                <w:szCs w:val="18"/>
                <w:lang w:eastAsia="en-AU"/>
              </w:rPr>
            </w:pPr>
            <w:r w:rsidRPr="00E04E16">
              <w:rPr>
                <w:szCs w:val="18"/>
                <w:lang w:eastAsia="en-AU"/>
              </w:rPr>
              <w:t>American Journal of Medicine 2018; 131(5):555-564, e3.</w:t>
            </w:r>
          </w:p>
        </w:tc>
      </w:tr>
      <w:tr w:rsidR="002F06CA" w:rsidRPr="00E04E16" w:rsidTr="00083528">
        <w:tc>
          <w:tcPr>
            <w:tcW w:w="705" w:type="pct"/>
            <w:tcBorders>
              <w:top w:val="nil"/>
              <w:bottom w:val="nil"/>
            </w:tcBorders>
          </w:tcPr>
          <w:p w:rsidR="002F06CA" w:rsidRPr="00E04E16" w:rsidRDefault="002F06CA" w:rsidP="00FF228D">
            <w:pPr>
              <w:pStyle w:val="Tabletext0"/>
              <w:keepLines/>
              <w:spacing w:before="0" w:after="0"/>
            </w:pPr>
          </w:p>
        </w:tc>
        <w:tc>
          <w:tcPr>
            <w:tcW w:w="2908" w:type="pct"/>
            <w:tcBorders>
              <w:top w:val="nil"/>
              <w:bottom w:val="nil"/>
            </w:tcBorders>
          </w:tcPr>
          <w:p w:rsidR="002F06CA" w:rsidRPr="00E04E16" w:rsidRDefault="002F06CA" w:rsidP="00FF228D">
            <w:pPr>
              <w:pStyle w:val="Tabletext0"/>
              <w:keepLines/>
              <w:spacing w:before="0" w:after="0"/>
              <w:rPr>
                <w:szCs w:val="18"/>
                <w:lang w:eastAsia="en-AU"/>
              </w:rPr>
            </w:pPr>
            <w:r w:rsidRPr="00E04E16">
              <w:rPr>
                <w:szCs w:val="18"/>
                <w:lang w:eastAsia="en-AU"/>
              </w:rPr>
              <w:t>Weir M.R. et al., Effectiveness of patiromer in the treatment of hyperkalemia in chronic kidney disease patients with hypertension on diuretics.</w:t>
            </w:r>
          </w:p>
        </w:tc>
        <w:tc>
          <w:tcPr>
            <w:tcW w:w="1387" w:type="pct"/>
            <w:tcBorders>
              <w:top w:val="nil"/>
              <w:bottom w:val="nil"/>
            </w:tcBorders>
          </w:tcPr>
          <w:p w:rsidR="002F06CA" w:rsidRPr="00E04E16" w:rsidRDefault="002F06CA" w:rsidP="00FF228D">
            <w:pPr>
              <w:pStyle w:val="Tabletext0"/>
              <w:keepLines/>
              <w:spacing w:before="0" w:after="0"/>
              <w:rPr>
                <w:i/>
                <w:szCs w:val="18"/>
                <w:lang w:eastAsia="en-AU"/>
              </w:rPr>
            </w:pPr>
            <w:r w:rsidRPr="00E04E16">
              <w:rPr>
                <w:szCs w:val="18"/>
                <w:lang w:eastAsia="en-AU"/>
              </w:rPr>
              <w:t>Journal of Hypertension 2017; 35(Suppl.1):S57-S63.</w:t>
            </w:r>
          </w:p>
        </w:tc>
      </w:tr>
      <w:tr w:rsidR="002F06CA" w:rsidRPr="00E04E16" w:rsidTr="00083528">
        <w:tc>
          <w:tcPr>
            <w:tcW w:w="705" w:type="pct"/>
            <w:tcBorders>
              <w:top w:val="nil"/>
              <w:bottom w:val="nil"/>
            </w:tcBorders>
          </w:tcPr>
          <w:p w:rsidR="002F06CA" w:rsidRPr="00E04E16" w:rsidRDefault="002F06CA" w:rsidP="00FF228D">
            <w:pPr>
              <w:pStyle w:val="Tabletext0"/>
              <w:keepLines/>
              <w:spacing w:before="0" w:after="0"/>
            </w:pPr>
          </w:p>
        </w:tc>
        <w:tc>
          <w:tcPr>
            <w:tcW w:w="2908" w:type="pct"/>
            <w:tcBorders>
              <w:top w:val="nil"/>
              <w:bottom w:val="nil"/>
            </w:tcBorders>
          </w:tcPr>
          <w:p w:rsidR="002F06CA" w:rsidRPr="00E04E16" w:rsidRDefault="002F06CA" w:rsidP="00FF228D">
            <w:pPr>
              <w:pStyle w:val="Tabletext0"/>
              <w:keepLines/>
              <w:spacing w:before="0" w:after="0"/>
              <w:rPr>
                <w:szCs w:val="18"/>
                <w:lang w:eastAsia="en-AU"/>
              </w:rPr>
            </w:pPr>
            <w:r w:rsidRPr="00E04E16">
              <w:rPr>
                <w:szCs w:val="18"/>
                <w:lang w:eastAsia="en-AU"/>
              </w:rPr>
              <w:t>Weir M.R. et al., Patiromer reduced recurrent hyperkalemia in advanced CKD patients on RAASI.</w:t>
            </w:r>
          </w:p>
        </w:tc>
        <w:tc>
          <w:tcPr>
            <w:tcW w:w="1387" w:type="pct"/>
            <w:tcBorders>
              <w:top w:val="nil"/>
              <w:bottom w:val="nil"/>
            </w:tcBorders>
          </w:tcPr>
          <w:p w:rsidR="002F06CA" w:rsidRPr="00E04E16" w:rsidRDefault="002F06CA" w:rsidP="00FF228D">
            <w:pPr>
              <w:pStyle w:val="Tabletext0"/>
              <w:keepLines/>
              <w:spacing w:before="0" w:after="0"/>
              <w:rPr>
                <w:i/>
                <w:szCs w:val="18"/>
                <w:lang w:eastAsia="en-AU"/>
              </w:rPr>
            </w:pPr>
            <w:r w:rsidRPr="00E04E16">
              <w:rPr>
                <w:szCs w:val="18"/>
                <w:lang w:eastAsia="en-AU"/>
              </w:rPr>
              <w:t>American Journal of Kidney Diseases 2015; 65(4):A90.</w:t>
            </w:r>
          </w:p>
        </w:tc>
      </w:tr>
      <w:tr w:rsidR="002F06CA" w:rsidRPr="00E04E16" w:rsidTr="00083528">
        <w:tc>
          <w:tcPr>
            <w:tcW w:w="705" w:type="pct"/>
            <w:tcBorders>
              <w:top w:val="nil"/>
              <w:bottom w:val="nil"/>
            </w:tcBorders>
          </w:tcPr>
          <w:p w:rsidR="002F06CA" w:rsidRPr="00E04E16" w:rsidRDefault="002F06CA" w:rsidP="00FF228D">
            <w:pPr>
              <w:pStyle w:val="Tabletext0"/>
              <w:keepLines/>
              <w:spacing w:before="0" w:after="0"/>
            </w:pPr>
          </w:p>
        </w:tc>
        <w:tc>
          <w:tcPr>
            <w:tcW w:w="2908" w:type="pct"/>
            <w:tcBorders>
              <w:top w:val="nil"/>
              <w:bottom w:val="nil"/>
            </w:tcBorders>
          </w:tcPr>
          <w:p w:rsidR="002F06CA" w:rsidRPr="00E04E16" w:rsidRDefault="002F06CA" w:rsidP="00FF228D">
            <w:pPr>
              <w:pStyle w:val="Tabletext0"/>
              <w:keepLines/>
              <w:spacing w:before="0" w:after="0"/>
              <w:rPr>
                <w:szCs w:val="18"/>
                <w:lang w:eastAsia="en-AU"/>
              </w:rPr>
            </w:pPr>
            <w:r w:rsidRPr="00E04E16">
              <w:rPr>
                <w:szCs w:val="18"/>
                <w:lang w:eastAsia="en-AU"/>
              </w:rPr>
              <w:t>Weir M.R et al., Patiromer decreased aldosterone, urine albumin/creatinine ratio, and blood pressure in patients with chronic kidney disease and hyperkalemia on RAAS inhibitors: Results from OPAL-HK.</w:t>
            </w:r>
          </w:p>
        </w:tc>
        <w:tc>
          <w:tcPr>
            <w:tcW w:w="1387" w:type="pct"/>
            <w:tcBorders>
              <w:top w:val="nil"/>
              <w:bottom w:val="nil"/>
            </w:tcBorders>
          </w:tcPr>
          <w:p w:rsidR="002F06CA" w:rsidRPr="00E04E16" w:rsidRDefault="002F06CA" w:rsidP="00FF228D">
            <w:pPr>
              <w:pStyle w:val="Tabletext0"/>
              <w:keepLines/>
              <w:spacing w:before="0" w:after="0"/>
              <w:rPr>
                <w:i/>
                <w:szCs w:val="18"/>
                <w:lang w:eastAsia="en-AU"/>
              </w:rPr>
            </w:pPr>
            <w:r w:rsidRPr="00E04E16">
              <w:rPr>
                <w:szCs w:val="18"/>
                <w:lang w:eastAsia="en-AU"/>
              </w:rPr>
              <w:t>Hypertension 2015; 66(SUPPL.1).</w:t>
            </w:r>
          </w:p>
        </w:tc>
      </w:tr>
      <w:tr w:rsidR="002F06CA" w:rsidRPr="00E04E16" w:rsidTr="00083528">
        <w:tc>
          <w:tcPr>
            <w:tcW w:w="705" w:type="pct"/>
            <w:tcBorders>
              <w:top w:val="nil"/>
              <w:bottom w:val="nil"/>
            </w:tcBorders>
          </w:tcPr>
          <w:p w:rsidR="002F06CA" w:rsidRPr="00E04E16" w:rsidRDefault="002F06CA" w:rsidP="00FF228D">
            <w:pPr>
              <w:pStyle w:val="Tabletext0"/>
              <w:keepLines/>
              <w:spacing w:before="0" w:after="0"/>
            </w:pPr>
          </w:p>
        </w:tc>
        <w:tc>
          <w:tcPr>
            <w:tcW w:w="2908" w:type="pct"/>
            <w:tcBorders>
              <w:top w:val="nil"/>
              <w:bottom w:val="nil"/>
            </w:tcBorders>
          </w:tcPr>
          <w:p w:rsidR="002F06CA" w:rsidRPr="00E04E16" w:rsidRDefault="002F06CA" w:rsidP="00FF228D">
            <w:pPr>
              <w:pStyle w:val="Tabletext0"/>
              <w:keepLines/>
              <w:spacing w:before="0" w:after="0"/>
              <w:rPr>
                <w:szCs w:val="18"/>
                <w:lang w:eastAsia="en-AU"/>
              </w:rPr>
            </w:pPr>
            <w:r w:rsidRPr="00E04E16">
              <w:rPr>
                <w:szCs w:val="18"/>
                <w:lang w:eastAsia="en-AU"/>
              </w:rPr>
              <w:t xml:space="preserve">Weir M.R. et al., Patiromer increased time to RAAS inhibitor discontinuation compared with placebo in advanced CKD patients with hyperkalemia. </w:t>
            </w:r>
          </w:p>
        </w:tc>
        <w:tc>
          <w:tcPr>
            <w:tcW w:w="1387" w:type="pct"/>
            <w:tcBorders>
              <w:top w:val="nil"/>
              <w:bottom w:val="nil"/>
            </w:tcBorders>
          </w:tcPr>
          <w:p w:rsidR="002F06CA" w:rsidRPr="00E04E16" w:rsidRDefault="002F06CA" w:rsidP="00FF228D">
            <w:pPr>
              <w:pStyle w:val="Tabletext0"/>
              <w:keepLines/>
              <w:spacing w:before="0" w:after="0"/>
              <w:rPr>
                <w:szCs w:val="18"/>
                <w:lang w:eastAsia="en-AU"/>
              </w:rPr>
            </w:pPr>
            <w:r w:rsidRPr="00E04E16">
              <w:rPr>
                <w:szCs w:val="18"/>
                <w:lang w:eastAsia="en-AU"/>
              </w:rPr>
              <w:t>Journal of the American Society of Hypertension 2015; 9(4 SUPPL.1):e57-e58.</w:t>
            </w:r>
          </w:p>
        </w:tc>
      </w:tr>
      <w:tr w:rsidR="002F06CA" w:rsidRPr="00E04E16" w:rsidTr="00083528">
        <w:tc>
          <w:tcPr>
            <w:tcW w:w="705" w:type="pct"/>
            <w:tcBorders>
              <w:bottom w:val="nil"/>
            </w:tcBorders>
          </w:tcPr>
          <w:p w:rsidR="002F06CA" w:rsidRPr="00E04E16" w:rsidRDefault="002F06CA" w:rsidP="00FF228D">
            <w:pPr>
              <w:pStyle w:val="Tabletext0"/>
              <w:keepLines/>
              <w:spacing w:before="0" w:after="0"/>
            </w:pPr>
            <w:r w:rsidRPr="00E04E16">
              <w:t>AMETHYST-DN</w:t>
            </w:r>
          </w:p>
          <w:p w:rsidR="002F06CA" w:rsidRPr="00E04E16" w:rsidRDefault="002F06CA" w:rsidP="00FF228D">
            <w:pPr>
              <w:pStyle w:val="Tabletext0"/>
              <w:keepLines/>
              <w:spacing w:before="0" w:after="0"/>
            </w:pPr>
            <w:r w:rsidRPr="00E04E16">
              <w:t>(NCT01371747)</w:t>
            </w:r>
          </w:p>
        </w:tc>
        <w:tc>
          <w:tcPr>
            <w:tcW w:w="2908" w:type="pct"/>
            <w:tcBorders>
              <w:bottom w:val="nil"/>
            </w:tcBorders>
          </w:tcPr>
          <w:p w:rsidR="002F06CA" w:rsidRPr="00E04E16" w:rsidRDefault="002F06CA" w:rsidP="00FF228D">
            <w:pPr>
              <w:pStyle w:val="Tabletext0"/>
              <w:keepLines/>
              <w:spacing w:before="0" w:after="0"/>
              <w:rPr>
                <w:szCs w:val="18"/>
              </w:rPr>
            </w:pPr>
            <w:r w:rsidRPr="00E04E16">
              <w:rPr>
                <w:szCs w:val="18"/>
              </w:rPr>
              <w:t>A Multicenter, Randomized, Open-label, Dose Ranging Study to Evaluate the Efficacy and Safety of RLY5016 (Patiromer) in the Treatment of Hyperkalemia in Patients with Hypertension and Diabetic Nephropathy Receiving ACEI and/or ARB Drugs, with or without Spironolactone (AMETHYST-DN).</w:t>
            </w:r>
          </w:p>
        </w:tc>
        <w:tc>
          <w:tcPr>
            <w:tcW w:w="1387" w:type="pct"/>
            <w:tcBorders>
              <w:bottom w:val="nil"/>
            </w:tcBorders>
          </w:tcPr>
          <w:p w:rsidR="002F06CA" w:rsidRPr="00E04E16" w:rsidRDefault="002F06CA" w:rsidP="00FF228D">
            <w:pPr>
              <w:pStyle w:val="Tabletext0"/>
              <w:keepLines/>
              <w:spacing w:before="0" w:after="0"/>
              <w:rPr>
                <w:rFonts w:ascii="Times" w:hAnsi="Times"/>
              </w:rPr>
            </w:pPr>
            <w:r w:rsidRPr="00E04E16">
              <w:t>24 September 2014.</w:t>
            </w:r>
          </w:p>
        </w:tc>
      </w:tr>
      <w:tr w:rsidR="002F06CA" w:rsidRPr="00E04E16" w:rsidTr="00083528">
        <w:tc>
          <w:tcPr>
            <w:tcW w:w="705" w:type="pct"/>
            <w:tcBorders>
              <w:top w:val="nil"/>
              <w:bottom w:val="single" w:sz="4" w:space="0" w:color="auto"/>
            </w:tcBorders>
          </w:tcPr>
          <w:p w:rsidR="002F06CA" w:rsidRPr="00E04E16" w:rsidRDefault="002F06CA" w:rsidP="00FF228D">
            <w:pPr>
              <w:pStyle w:val="Tabletext0"/>
              <w:keepLines/>
              <w:spacing w:before="0" w:after="0"/>
            </w:pPr>
          </w:p>
        </w:tc>
        <w:tc>
          <w:tcPr>
            <w:tcW w:w="2908" w:type="pct"/>
            <w:tcBorders>
              <w:top w:val="nil"/>
              <w:bottom w:val="single" w:sz="4" w:space="0" w:color="auto"/>
            </w:tcBorders>
          </w:tcPr>
          <w:p w:rsidR="002F06CA" w:rsidRPr="00E04E16" w:rsidRDefault="002F06CA" w:rsidP="00FF228D">
            <w:pPr>
              <w:pStyle w:val="Tabletext0"/>
              <w:keepLines/>
              <w:spacing w:before="0" w:after="0"/>
              <w:rPr>
                <w:szCs w:val="18"/>
              </w:rPr>
            </w:pPr>
            <w:r w:rsidRPr="00E04E16">
              <w:rPr>
                <w:szCs w:val="18"/>
              </w:rPr>
              <w:t>Bakris G.L., Pitt B., Weir M.R. et al. Effect of patiromer on serum potassium level in patients with hyperkalemia and diabetic kidney disease: the AMETHYST-DN randomized clinical trial.</w:t>
            </w:r>
          </w:p>
        </w:tc>
        <w:tc>
          <w:tcPr>
            <w:tcW w:w="1387" w:type="pct"/>
            <w:tcBorders>
              <w:top w:val="nil"/>
              <w:bottom w:val="single" w:sz="4" w:space="0" w:color="auto"/>
            </w:tcBorders>
          </w:tcPr>
          <w:p w:rsidR="002F06CA" w:rsidRPr="00E04E16" w:rsidRDefault="002F06CA" w:rsidP="00FF228D">
            <w:pPr>
              <w:pStyle w:val="Tabletext0"/>
              <w:keepLines/>
              <w:spacing w:before="0" w:after="0"/>
            </w:pPr>
            <w:r w:rsidRPr="00E04E16">
              <w:rPr>
                <w:szCs w:val="18"/>
              </w:rPr>
              <w:t>JAMA 2015; 314 (2):151</w:t>
            </w:r>
            <w:r w:rsidRPr="00E04E16">
              <w:rPr>
                <w:rFonts w:ascii="Cambria Math" w:hAnsi="Cambria Math" w:cs="Cambria Math"/>
                <w:szCs w:val="18"/>
              </w:rPr>
              <w:t>‐</w:t>
            </w:r>
            <w:r w:rsidRPr="00E04E16">
              <w:rPr>
                <w:szCs w:val="18"/>
              </w:rPr>
              <w:t>161.</w:t>
            </w:r>
          </w:p>
        </w:tc>
      </w:tr>
    </w:tbl>
    <w:p w:rsidR="002F06CA" w:rsidRPr="00E04E16" w:rsidRDefault="002F06CA" w:rsidP="00157B8D">
      <w:pPr>
        <w:pStyle w:val="TableFooter"/>
        <w:spacing w:after="120"/>
        <w:rPr>
          <w:sz w:val="20"/>
        </w:rPr>
      </w:pPr>
      <w:r w:rsidRPr="00E04E16">
        <w:t>Source: Table 2.2.1, p.43 of the resubmission.</w:t>
      </w:r>
    </w:p>
    <w:p w:rsidR="002F06CA" w:rsidRPr="00E04E16" w:rsidRDefault="002F06CA" w:rsidP="002F06CA">
      <w:pPr>
        <w:pStyle w:val="ExecSumBodyText"/>
        <w:numPr>
          <w:ilvl w:val="1"/>
          <w:numId w:val="1"/>
        </w:numPr>
        <w:rPr>
          <w:color w:val="0066FF"/>
        </w:rPr>
      </w:pPr>
      <w:r w:rsidRPr="00E04E16">
        <w:t xml:space="preserve">The key features of the studies are summarised in the table below. </w:t>
      </w:r>
    </w:p>
    <w:p w:rsidR="002F06CA" w:rsidRPr="00E04E16" w:rsidRDefault="002F06CA" w:rsidP="002F06CA">
      <w:pPr>
        <w:pStyle w:val="TableFigureCaption"/>
      </w:pPr>
      <w:r w:rsidRPr="00E04E16">
        <w:lastRenderedPageBreak/>
        <w:t>Table 4: 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270"/>
        <w:gridCol w:w="399"/>
        <w:gridCol w:w="1262"/>
        <w:gridCol w:w="694"/>
        <w:gridCol w:w="2254"/>
        <w:gridCol w:w="1969"/>
        <w:gridCol w:w="1169"/>
      </w:tblGrid>
      <w:tr w:rsidR="002F06CA" w:rsidRPr="00E04E16" w:rsidTr="002F06CA">
        <w:trPr>
          <w:tblHeader/>
        </w:trPr>
        <w:tc>
          <w:tcPr>
            <w:tcW w:w="704" w:type="pct"/>
            <w:shd w:val="clear" w:color="auto" w:fill="auto"/>
            <w:vAlign w:val="center"/>
          </w:tcPr>
          <w:p w:rsidR="002F06CA" w:rsidRPr="00E04E16" w:rsidRDefault="002F06CA" w:rsidP="00083528">
            <w:pPr>
              <w:pStyle w:val="Tabletext0"/>
              <w:keepLines/>
              <w:spacing w:before="0" w:after="0"/>
              <w:rPr>
                <w:b/>
              </w:rPr>
            </w:pPr>
            <w:r w:rsidRPr="00E04E16">
              <w:rPr>
                <w:b/>
              </w:rPr>
              <w:t>Trial</w:t>
            </w:r>
          </w:p>
        </w:tc>
        <w:tc>
          <w:tcPr>
            <w:tcW w:w="221" w:type="pct"/>
            <w:shd w:val="clear" w:color="auto" w:fill="auto"/>
            <w:vAlign w:val="center"/>
          </w:tcPr>
          <w:p w:rsidR="002F06CA" w:rsidRPr="00E04E16" w:rsidRDefault="002F06CA" w:rsidP="00083528">
            <w:pPr>
              <w:pStyle w:val="Tabletext0"/>
              <w:keepLines/>
              <w:spacing w:before="0" w:after="0"/>
              <w:jc w:val="center"/>
              <w:rPr>
                <w:b/>
              </w:rPr>
            </w:pPr>
            <w:r w:rsidRPr="00E04E16">
              <w:rPr>
                <w:b/>
              </w:rPr>
              <w:t>N</w:t>
            </w:r>
          </w:p>
        </w:tc>
        <w:tc>
          <w:tcPr>
            <w:tcW w:w="700" w:type="pct"/>
            <w:shd w:val="clear" w:color="auto" w:fill="auto"/>
            <w:vAlign w:val="center"/>
          </w:tcPr>
          <w:p w:rsidR="002F06CA" w:rsidRPr="00E04E16" w:rsidRDefault="002F06CA" w:rsidP="00083528">
            <w:pPr>
              <w:pStyle w:val="Tabletext0"/>
              <w:keepLines/>
              <w:spacing w:before="0" w:after="0"/>
              <w:jc w:val="center"/>
              <w:rPr>
                <w:b/>
              </w:rPr>
            </w:pPr>
            <w:r w:rsidRPr="00E04E16">
              <w:rPr>
                <w:b/>
              </w:rPr>
              <w:t>Design/ duration</w:t>
            </w:r>
          </w:p>
        </w:tc>
        <w:tc>
          <w:tcPr>
            <w:tcW w:w="385" w:type="pct"/>
            <w:shd w:val="clear" w:color="auto" w:fill="auto"/>
            <w:vAlign w:val="center"/>
          </w:tcPr>
          <w:p w:rsidR="002F06CA" w:rsidRPr="00E04E16" w:rsidRDefault="002F06CA" w:rsidP="00083528">
            <w:pPr>
              <w:pStyle w:val="Tabletext0"/>
              <w:keepLines/>
              <w:spacing w:before="0" w:after="0"/>
              <w:jc w:val="center"/>
              <w:rPr>
                <w:b/>
              </w:rPr>
            </w:pPr>
            <w:r w:rsidRPr="00E04E16">
              <w:rPr>
                <w:b/>
              </w:rPr>
              <w:t>Risk of bias</w:t>
            </w:r>
          </w:p>
        </w:tc>
        <w:tc>
          <w:tcPr>
            <w:tcW w:w="1250" w:type="pct"/>
            <w:shd w:val="clear" w:color="auto" w:fill="auto"/>
            <w:vAlign w:val="center"/>
          </w:tcPr>
          <w:p w:rsidR="002F06CA" w:rsidRPr="00E04E16" w:rsidRDefault="002F06CA" w:rsidP="00083528">
            <w:pPr>
              <w:pStyle w:val="Tabletext0"/>
              <w:keepLines/>
              <w:spacing w:before="0" w:after="0"/>
              <w:jc w:val="center"/>
              <w:rPr>
                <w:b/>
                <w:vertAlign w:val="superscript"/>
              </w:rPr>
            </w:pPr>
            <w:r w:rsidRPr="00E04E16">
              <w:rPr>
                <w:b/>
              </w:rPr>
              <w:t>Patient population</w:t>
            </w:r>
          </w:p>
        </w:tc>
        <w:tc>
          <w:tcPr>
            <w:tcW w:w="1092" w:type="pct"/>
            <w:shd w:val="clear" w:color="auto" w:fill="auto"/>
            <w:vAlign w:val="center"/>
          </w:tcPr>
          <w:p w:rsidR="002F06CA" w:rsidRPr="00E04E16" w:rsidRDefault="002F06CA" w:rsidP="00083528">
            <w:pPr>
              <w:pStyle w:val="Tabletext0"/>
              <w:keepLines/>
              <w:spacing w:before="0" w:after="0"/>
              <w:jc w:val="center"/>
              <w:rPr>
                <w:b/>
              </w:rPr>
            </w:pPr>
            <w:r w:rsidRPr="00E04E16">
              <w:rPr>
                <w:b/>
              </w:rPr>
              <w:t>Outcomes</w:t>
            </w:r>
          </w:p>
        </w:tc>
        <w:tc>
          <w:tcPr>
            <w:tcW w:w="649" w:type="pct"/>
            <w:shd w:val="clear" w:color="auto" w:fill="auto"/>
            <w:vAlign w:val="center"/>
          </w:tcPr>
          <w:p w:rsidR="002F06CA" w:rsidRPr="00E04E16" w:rsidRDefault="002F06CA" w:rsidP="00083528">
            <w:pPr>
              <w:pStyle w:val="Tabletext0"/>
              <w:keepLines/>
              <w:spacing w:before="0" w:after="0"/>
              <w:jc w:val="center"/>
              <w:rPr>
                <w:b/>
              </w:rPr>
            </w:pPr>
            <w:r w:rsidRPr="00E04E16">
              <w:rPr>
                <w:b/>
              </w:rPr>
              <w:t>Use in model</w:t>
            </w:r>
          </w:p>
        </w:tc>
      </w:tr>
      <w:tr w:rsidR="002F06CA" w:rsidRPr="00E04E16" w:rsidTr="00083528">
        <w:tc>
          <w:tcPr>
            <w:tcW w:w="5000" w:type="pct"/>
            <w:gridSpan w:val="7"/>
            <w:tcBorders>
              <w:bottom w:val="single" w:sz="4" w:space="0" w:color="auto"/>
            </w:tcBorders>
            <w:shd w:val="clear" w:color="auto" w:fill="auto"/>
            <w:vAlign w:val="center"/>
          </w:tcPr>
          <w:p w:rsidR="002F06CA" w:rsidRPr="00E04E16" w:rsidRDefault="002F06CA" w:rsidP="00083528">
            <w:pPr>
              <w:pStyle w:val="Tabletext0"/>
              <w:keepLines/>
              <w:spacing w:before="0" w:after="0"/>
              <w:rPr>
                <w:b/>
              </w:rPr>
            </w:pPr>
            <w:r w:rsidRPr="00E04E16">
              <w:rPr>
                <w:b/>
              </w:rPr>
              <w:t xml:space="preserve">Patiromer versus placebo </w:t>
            </w:r>
          </w:p>
        </w:tc>
      </w:tr>
      <w:tr w:rsidR="002F06CA" w:rsidRPr="00E04E16" w:rsidTr="002F06CA">
        <w:trPr>
          <w:trHeight w:val="395"/>
        </w:trPr>
        <w:tc>
          <w:tcPr>
            <w:tcW w:w="704" w:type="pct"/>
            <w:tcBorders>
              <w:bottom w:val="single" w:sz="4" w:space="0" w:color="auto"/>
            </w:tcBorders>
            <w:shd w:val="clear" w:color="auto" w:fill="auto"/>
            <w:vAlign w:val="center"/>
          </w:tcPr>
          <w:p w:rsidR="002F06CA" w:rsidRPr="00E04E16" w:rsidRDefault="002F06CA" w:rsidP="00083528">
            <w:pPr>
              <w:pStyle w:val="Tabletext0"/>
              <w:keepLines/>
              <w:spacing w:before="0" w:after="0"/>
            </w:pPr>
            <w:r w:rsidRPr="00E04E16">
              <w:t xml:space="preserve">OPAL-HK </w:t>
            </w:r>
          </w:p>
          <w:p w:rsidR="002F06CA" w:rsidRPr="00E04E16" w:rsidRDefault="002F06CA" w:rsidP="00083528">
            <w:pPr>
              <w:pStyle w:val="Tabletext0"/>
              <w:keepLines/>
              <w:spacing w:before="0" w:after="0"/>
            </w:pPr>
            <w:r w:rsidRPr="00E04E16">
              <w:t>Part A</w:t>
            </w:r>
          </w:p>
        </w:tc>
        <w:tc>
          <w:tcPr>
            <w:tcW w:w="221" w:type="pct"/>
            <w:tcBorders>
              <w:bottom w:val="single" w:sz="4" w:space="0" w:color="auto"/>
            </w:tcBorders>
            <w:shd w:val="clear" w:color="auto" w:fill="auto"/>
            <w:vAlign w:val="center"/>
          </w:tcPr>
          <w:p w:rsidR="002F06CA" w:rsidRPr="00E04E16" w:rsidRDefault="002F06CA" w:rsidP="00083528">
            <w:pPr>
              <w:pStyle w:val="Tabletext0"/>
              <w:keepLines/>
              <w:spacing w:before="0" w:after="0"/>
              <w:jc w:val="center"/>
            </w:pPr>
            <w:r w:rsidRPr="00E04E16">
              <w:t>243</w:t>
            </w:r>
          </w:p>
        </w:tc>
        <w:tc>
          <w:tcPr>
            <w:tcW w:w="700" w:type="pct"/>
            <w:tcBorders>
              <w:bottom w:val="single" w:sz="4" w:space="0" w:color="auto"/>
            </w:tcBorders>
            <w:shd w:val="clear" w:color="auto" w:fill="auto"/>
            <w:vAlign w:val="center"/>
          </w:tcPr>
          <w:p w:rsidR="002F06CA" w:rsidRPr="00E04E16" w:rsidRDefault="002F06CA" w:rsidP="00083528">
            <w:pPr>
              <w:pStyle w:val="Tabletext0"/>
              <w:keepLines/>
              <w:spacing w:before="0" w:after="0"/>
              <w:jc w:val="center"/>
            </w:pPr>
            <w:r w:rsidRPr="00E04E16">
              <w:t xml:space="preserve">SA, SB, MC, </w:t>
            </w:r>
          </w:p>
          <w:p w:rsidR="002F06CA" w:rsidRPr="00E04E16" w:rsidRDefault="002F06CA" w:rsidP="00083528">
            <w:pPr>
              <w:pStyle w:val="Tabletext0"/>
              <w:keepLines/>
              <w:spacing w:before="0" w:after="0"/>
              <w:jc w:val="center"/>
            </w:pPr>
            <w:r w:rsidRPr="00E04E16">
              <w:t>4 week dosing study</w:t>
            </w:r>
          </w:p>
        </w:tc>
        <w:tc>
          <w:tcPr>
            <w:tcW w:w="385" w:type="pct"/>
            <w:tcBorders>
              <w:bottom w:val="single" w:sz="4" w:space="0" w:color="auto"/>
            </w:tcBorders>
            <w:shd w:val="clear" w:color="auto" w:fill="auto"/>
            <w:vAlign w:val="center"/>
          </w:tcPr>
          <w:p w:rsidR="002F06CA" w:rsidRPr="00E04E16" w:rsidRDefault="002F06CA" w:rsidP="00083528">
            <w:pPr>
              <w:pStyle w:val="Tabletext0"/>
              <w:keepLines/>
              <w:spacing w:before="0" w:after="0"/>
              <w:jc w:val="center"/>
            </w:pPr>
            <w:r w:rsidRPr="00E04E16">
              <w:t>High</w:t>
            </w:r>
          </w:p>
        </w:tc>
        <w:tc>
          <w:tcPr>
            <w:tcW w:w="1250" w:type="pct"/>
            <w:tcBorders>
              <w:bottom w:val="single" w:sz="4" w:space="0" w:color="auto"/>
            </w:tcBorders>
            <w:shd w:val="clear" w:color="auto" w:fill="auto"/>
            <w:vAlign w:val="center"/>
          </w:tcPr>
          <w:p w:rsidR="002F06CA" w:rsidRPr="00E04E16" w:rsidRDefault="002F06CA" w:rsidP="00083528">
            <w:pPr>
              <w:pStyle w:val="Tabletext0"/>
              <w:keepLines/>
              <w:spacing w:before="0" w:after="0"/>
              <w:jc w:val="center"/>
            </w:pPr>
            <w:r w:rsidRPr="00E04E16">
              <w:t>Adults 18-80 years,</w:t>
            </w:r>
          </w:p>
          <w:p w:rsidR="002F06CA" w:rsidRPr="00E04E16" w:rsidRDefault="002F06CA" w:rsidP="00083528">
            <w:pPr>
              <w:pStyle w:val="Tabletext0"/>
              <w:keepLines/>
              <w:spacing w:before="0" w:after="0"/>
              <w:jc w:val="center"/>
            </w:pPr>
            <w:r w:rsidRPr="00E04E16">
              <w:t>CKD Stage 3-4,</w:t>
            </w:r>
          </w:p>
          <w:p w:rsidR="002F06CA" w:rsidRPr="00E04E16" w:rsidRDefault="002F06CA" w:rsidP="00083528">
            <w:pPr>
              <w:pStyle w:val="Tabletext0"/>
              <w:keepLines/>
              <w:spacing w:before="0" w:after="0"/>
              <w:jc w:val="center"/>
            </w:pPr>
            <w:r w:rsidRPr="00E04E16">
              <w:t>K+ 5.1 to &lt; 6.5 mmol/L,</w:t>
            </w:r>
          </w:p>
          <w:p w:rsidR="002F06CA" w:rsidRPr="00E04E16" w:rsidRDefault="002F06CA" w:rsidP="00083528">
            <w:pPr>
              <w:pStyle w:val="Tabletext0"/>
              <w:keepLines/>
              <w:spacing w:before="0" w:after="0"/>
              <w:jc w:val="center"/>
            </w:pPr>
            <w:r w:rsidRPr="00E04E16">
              <w:t>≥ 1 RAASi therapy</w:t>
            </w:r>
          </w:p>
        </w:tc>
        <w:tc>
          <w:tcPr>
            <w:tcW w:w="1092" w:type="pct"/>
            <w:tcBorders>
              <w:bottom w:val="single" w:sz="4" w:space="0" w:color="auto"/>
            </w:tcBorders>
            <w:shd w:val="clear" w:color="auto" w:fill="auto"/>
            <w:vAlign w:val="center"/>
          </w:tcPr>
          <w:p w:rsidR="002F06CA" w:rsidRPr="00E04E16" w:rsidRDefault="002F06CA" w:rsidP="00083528">
            <w:pPr>
              <w:pStyle w:val="Tabletext0"/>
              <w:keepLines/>
              <w:spacing w:before="0" w:after="0"/>
              <w:jc w:val="center"/>
            </w:pPr>
            <w:r w:rsidRPr="00E04E16">
              <w:t>Mean change in K+ from baseline to week 4,</w:t>
            </w:r>
          </w:p>
          <w:p w:rsidR="002F06CA" w:rsidRPr="00E04E16" w:rsidRDefault="002F06CA" w:rsidP="00083528">
            <w:pPr>
              <w:pStyle w:val="Tabletext0"/>
              <w:keepLines/>
              <w:spacing w:before="0" w:after="0"/>
              <w:jc w:val="center"/>
            </w:pPr>
            <w:r w:rsidRPr="00E04E16">
              <w:t>Proportions of patients achieving K+ thresholds,</w:t>
            </w:r>
          </w:p>
          <w:p w:rsidR="002F06CA" w:rsidRPr="00E04E16" w:rsidRDefault="002F06CA" w:rsidP="00083528">
            <w:pPr>
              <w:pStyle w:val="Tabletext0"/>
              <w:keepLines/>
              <w:spacing w:before="0" w:after="0"/>
              <w:jc w:val="center"/>
            </w:pPr>
            <w:r w:rsidRPr="00E04E16">
              <w:t>Safety</w:t>
            </w:r>
          </w:p>
        </w:tc>
        <w:tc>
          <w:tcPr>
            <w:tcW w:w="649" w:type="pct"/>
            <w:tcBorders>
              <w:bottom w:val="single" w:sz="4" w:space="0" w:color="auto"/>
            </w:tcBorders>
            <w:shd w:val="clear" w:color="auto" w:fill="auto"/>
            <w:vAlign w:val="center"/>
          </w:tcPr>
          <w:p w:rsidR="002F06CA" w:rsidRPr="00E04E16" w:rsidRDefault="002F06CA" w:rsidP="005625EB">
            <w:pPr>
              <w:pStyle w:val="Tabletext0"/>
              <w:keepLines/>
              <w:spacing w:before="0" w:after="0"/>
              <w:jc w:val="center"/>
            </w:pPr>
            <w:r w:rsidRPr="00E04E16">
              <w:t>Post</w:t>
            </w:r>
            <w:r w:rsidR="005625EB" w:rsidRPr="00E04E16">
              <w:t>-</w:t>
            </w:r>
            <w:r w:rsidRPr="00E04E16">
              <w:t>hoc subgroup used to inform initial cycle transitions</w:t>
            </w:r>
          </w:p>
        </w:tc>
      </w:tr>
      <w:tr w:rsidR="002F06CA" w:rsidRPr="00E04E16" w:rsidTr="002F06CA">
        <w:tc>
          <w:tcPr>
            <w:tcW w:w="704" w:type="pct"/>
            <w:tcBorders>
              <w:top w:val="single" w:sz="4" w:space="0" w:color="auto"/>
            </w:tcBorders>
            <w:shd w:val="clear" w:color="auto" w:fill="auto"/>
            <w:vAlign w:val="center"/>
          </w:tcPr>
          <w:p w:rsidR="002F06CA" w:rsidRPr="00E04E16" w:rsidRDefault="002F06CA" w:rsidP="002F06CA">
            <w:pPr>
              <w:pStyle w:val="Tabletext0"/>
              <w:keepLines/>
              <w:spacing w:before="0" w:after="0"/>
            </w:pPr>
            <w:r w:rsidRPr="00E04E16">
              <w:t xml:space="preserve">OPAL-HK </w:t>
            </w:r>
          </w:p>
          <w:p w:rsidR="002F06CA" w:rsidRPr="00E04E16" w:rsidRDefault="002F06CA" w:rsidP="002F06CA">
            <w:pPr>
              <w:pStyle w:val="Tabletext0"/>
              <w:keepLines/>
              <w:spacing w:before="0" w:after="0"/>
            </w:pPr>
            <w:r w:rsidRPr="00E04E16">
              <w:t>Part B</w:t>
            </w:r>
          </w:p>
        </w:tc>
        <w:tc>
          <w:tcPr>
            <w:tcW w:w="221" w:type="pct"/>
            <w:tcBorders>
              <w:top w:val="nil"/>
            </w:tcBorders>
            <w:shd w:val="clear" w:color="auto" w:fill="auto"/>
            <w:vAlign w:val="center"/>
          </w:tcPr>
          <w:p w:rsidR="002F06CA" w:rsidRPr="00E04E16" w:rsidRDefault="002F06CA" w:rsidP="000162AC">
            <w:pPr>
              <w:pStyle w:val="Tabletext0"/>
              <w:keepLines/>
              <w:spacing w:before="0" w:after="0"/>
              <w:jc w:val="center"/>
            </w:pPr>
            <w:r w:rsidRPr="00E04E16">
              <w:t>10</w:t>
            </w:r>
            <w:r w:rsidR="000162AC">
              <w:t>7</w:t>
            </w:r>
          </w:p>
        </w:tc>
        <w:tc>
          <w:tcPr>
            <w:tcW w:w="700" w:type="pct"/>
            <w:tcBorders>
              <w:top w:val="nil"/>
            </w:tcBorders>
            <w:shd w:val="clear" w:color="auto" w:fill="auto"/>
            <w:vAlign w:val="center"/>
          </w:tcPr>
          <w:p w:rsidR="002F06CA" w:rsidRPr="00E04E16" w:rsidRDefault="002F06CA" w:rsidP="002F06CA">
            <w:pPr>
              <w:pStyle w:val="Tabletext0"/>
              <w:keepLines/>
              <w:spacing w:before="0" w:after="0"/>
              <w:jc w:val="center"/>
            </w:pPr>
            <w:r w:rsidRPr="00E04E16">
              <w:t xml:space="preserve">R, PC, SB, MC, </w:t>
            </w:r>
          </w:p>
          <w:p w:rsidR="002F06CA" w:rsidRPr="00E04E16" w:rsidRDefault="002F06CA" w:rsidP="002F06CA">
            <w:pPr>
              <w:pStyle w:val="Tabletext0"/>
              <w:keepLines/>
              <w:spacing w:before="0" w:after="0"/>
              <w:jc w:val="center"/>
            </w:pPr>
            <w:r w:rsidRPr="00E04E16">
              <w:t>8 week withdrawal study</w:t>
            </w:r>
          </w:p>
        </w:tc>
        <w:tc>
          <w:tcPr>
            <w:tcW w:w="385" w:type="pct"/>
            <w:tcBorders>
              <w:top w:val="nil"/>
            </w:tcBorders>
            <w:shd w:val="clear" w:color="auto" w:fill="auto"/>
            <w:vAlign w:val="center"/>
          </w:tcPr>
          <w:p w:rsidR="002F06CA" w:rsidRPr="00E04E16" w:rsidRDefault="002F06CA" w:rsidP="002F06CA">
            <w:pPr>
              <w:pStyle w:val="Tabletext0"/>
              <w:keepLines/>
              <w:spacing w:before="0" w:after="0"/>
              <w:jc w:val="center"/>
            </w:pPr>
            <w:r w:rsidRPr="00E04E16">
              <w:t>High</w:t>
            </w:r>
          </w:p>
        </w:tc>
        <w:tc>
          <w:tcPr>
            <w:tcW w:w="1250" w:type="pct"/>
            <w:tcBorders>
              <w:top w:val="nil"/>
            </w:tcBorders>
            <w:shd w:val="clear" w:color="auto" w:fill="auto"/>
            <w:vAlign w:val="center"/>
          </w:tcPr>
          <w:p w:rsidR="002F06CA" w:rsidRPr="00E04E16" w:rsidRDefault="002F06CA" w:rsidP="002F06CA">
            <w:pPr>
              <w:pStyle w:val="Tabletext0"/>
              <w:keepLines/>
              <w:spacing w:before="0" w:after="0"/>
              <w:jc w:val="center"/>
            </w:pPr>
            <w:r w:rsidRPr="00E04E16">
              <w:t>Completed Part A</w:t>
            </w:r>
          </w:p>
          <w:p w:rsidR="002F06CA" w:rsidRPr="00E04E16" w:rsidRDefault="002F06CA" w:rsidP="002F06CA">
            <w:pPr>
              <w:pStyle w:val="Tabletext0"/>
              <w:keepLines/>
              <w:spacing w:before="0" w:after="0"/>
              <w:jc w:val="center"/>
            </w:pPr>
            <w:r w:rsidRPr="00E04E16">
              <w:t>with K+ 3.8 to &lt; 5.1 mmol/L,</w:t>
            </w:r>
          </w:p>
          <w:p w:rsidR="002F06CA" w:rsidRPr="00E04E16" w:rsidRDefault="002F06CA" w:rsidP="002F06CA">
            <w:pPr>
              <w:pStyle w:val="Tabletext0"/>
              <w:keepLines/>
              <w:spacing w:before="0" w:after="0"/>
              <w:jc w:val="center"/>
            </w:pPr>
            <w:r w:rsidRPr="00E04E16">
              <w:t xml:space="preserve">Part A baseline </w:t>
            </w:r>
          </w:p>
          <w:p w:rsidR="002F06CA" w:rsidRPr="00E04E16" w:rsidRDefault="002F06CA" w:rsidP="002F06CA">
            <w:pPr>
              <w:pStyle w:val="Tabletext0"/>
              <w:keepLines/>
              <w:spacing w:before="0" w:after="0"/>
              <w:jc w:val="center"/>
            </w:pPr>
            <w:r w:rsidRPr="00E04E16">
              <w:t>K+ ≥ 5.5 mmol/L,</w:t>
            </w:r>
          </w:p>
          <w:p w:rsidR="002F06CA" w:rsidRPr="00E04E16" w:rsidRDefault="002F06CA" w:rsidP="002F06CA">
            <w:pPr>
              <w:pStyle w:val="Tabletext0"/>
              <w:keepLines/>
              <w:spacing w:before="0" w:after="0"/>
              <w:jc w:val="center"/>
            </w:pPr>
            <w:r w:rsidRPr="00E04E16">
              <w:t>≥ 1 RAASi at Part A week 4</w:t>
            </w:r>
          </w:p>
        </w:tc>
        <w:tc>
          <w:tcPr>
            <w:tcW w:w="1092" w:type="pct"/>
            <w:tcBorders>
              <w:top w:val="nil"/>
            </w:tcBorders>
            <w:shd w:val="clear" w:color="auto" w:fill="auto"/>
            <w:vAlign w:val="center"/>
          </w:tcPr>
          <w:p w:rsidR="002F06CA" w:rsidRPr="00E04E16" w:rsidRDefault="002F06CA" w:rsidP="002F06CA">
            <w:pPr>
              <w:pStyle w:val="Tabletext0"/>
              <w:keepLines/>
              <w:spacing w:before="0" w:after="0"/>
              <w:jc w:val="center"/>
            </w:pPr>
            <w:r w:rsidRPr="00E04E16">
              <w:t>Mean change in K+ from baseline to week 8,</w:t>
            </w:r>
          </w:p>
          <w:p w:rsidR="002F06CA" w:rsidRPr="00E04E16" w:rsidRDefault="002F06CA" w:rsidP="002F06CA">
            <w:pPr>
              <w:pStyle w:val="Tabletext0"/>
              <w:keepLines/>
              <w:spacing w:before="0" w:after="0"/>
              <w:jc w:val="center"/>
            </w:pPr>
            <w:r w:rsidRPr="00E04E16">
              <w:t>Proportions of patients with  K+ ≥ 5.5 mmol/L,</w:t>
            </w:r>
          </w:p>
          <w:p w:rsidR="002F06CA" w:rsidRPr="00E04E16" w:rsidRDefault="002F06CA" w:rsidP="002F06CA">
            <w:pPr>
              <w:pStyle w:val="Tabletext0"/>
              <w:keepLines/>
              <w:spacing w:before="0" w:after="0"/>
              <w:jc w:val="center"/>
            </w:pPr>
            <w:r w:rsidRPr="00E04E16">
              <w:t>Proportions of patients changing RAASi dose,</w:t>
            </w:r>
          </w:p>
          <w:p w:rsidR="002F06CA" w:rsidRPr="00E04E16" w:rsidRDefault="002F06CA" w:rsidP="002F06CA">
            <w:pPr>
              <w:pStyle w:val="Tabletext0"/>
              <w:keepLines/>
              <w:spacing w:before="0" w:after="0"/>
              <w:jc w:val="center"/>
            </w:pPr>
            <w:r w:rsidRPr="00E04E16">
              <w:t>Safety</w:t>
            </w:r>
          </w:p>
        </w:tc>
        <w:tc>
          <w:tcPr>
            <w:tcW w:w="649" w:type="pct"/>
            <w:tcBorders>
              <w:top w:val="nil"/>
            </w:tcBorders>
            <w:shd w:val="clear" w:color="auto" w:fill="auto"/>
            <w:vAlign w:val="center"/>
          </w:tcPr>
          <w:p w:rsidR="002F06CA" w:rsidRPr="00E04E16" w:rsidRDefault="002F06CA" w:rsidP="005625EB">
            <w:pPr>
              <w:pStyle w:val="Tabletext0"/>
              <w:keepLines/>
              <w:spacing w:before="0" w:after="0"/>
              <w:jc w:val="center"/>
            </w:pPr>
            <w:r w:rsidRPr="00E04E16">
              <w:t>Post</w:t>
            </w:r>
            <w:r w:rsidR="005625EB" w:rsidRPr="00E04E16">
              <w:t>-</w:t>
            </w:r>
            <w:r w:rsidRPr="00E04E16">
              <w:t>hoc subgroup used to inform subsequent cycle transitions</w:t>
            </w:r>
          </w:p>
        </w:tc>
      </w:tr>
      <w:tr w:rsidR="002F06CA" w:rsidRPr="00E04E16" w:rsidTr="002F06CA">
        <w:tc>
          <w:tcPr>
            <w:tcW w:w="704" w:type="pct"/>
            <w:shd w:val="clear" w:color="auto" w:fill="auto"/>
            <w:vAlign w:val="center"/>
          </w:tcPr>
          <w:p w:rsidR="002F06CA" w:rsidRPr="00E04E16" w:rsidRDefault="002F06CA" w:rsidP="00083528">
            <w:pPr>
              <w:pStyle w:val="Tabletext0"/>
              <w:keepLines/>
              <w:spacing w:before="0" w:after="0"/>
            </w:pPr>
            <w:r w:rsidRPr="00E04E16">
              <w:t>AMETHYST-DN</w:t>
            </w:r>
          </w:p>
        </w:tc>
        <w:tc>
          <w:tcPr>
            <w:tcW w:w="221" w:type="pct"/>
            <w:shd w:val="clear" w:color="auto" w:fill="auto"/>
            <w:vAlign w:val="center"/>
          </w:tcPr>
          <w:p w:rsidR="002F06CA" w:rsidRPr="00E04E16" w:rsidRDefault="002F06CA" w:rsidP="00083528">
            <w:pPr>
              <w:pStyle w:val="Tabletext0"/>
              <w:keepLines/>
              <w:spacing w:before="0" w:after="0"/>
              <w:jc w:val="center"/>
            </w:pPr>
            <w:r w:rsidRPr="00E04E16">
              <w:t>306</w:t>
            </w:r>
          </w:p>
        </w:tc>
        <w:tc>
          <w:tcPr>
            <w:tcW w:w="700" w:type="pct"/>
            <w:shd w:val="clear" w:color="auto" w:fill="auto"/>
            <w:vAlign w:val="center"/>
          </w:tcPr>
          <w:p w:rsidR="002F06CA" w:rsidRPr="00E04E16" w:rsidRDefault="002F06CA" w:rsidP="00083528">
            <w:pPr>
              <w:pStyle w:val="Tabletext0"/>
              <w:keepLines/>
              <w:spacing w:before="0" w:after="0"/>
              <w:jc w:val="center"/>
            </w:pPr>
            <w:r w:rsidRPr="00E04E16">
              <w:t xml:space="preserve">OL, MC, </w:t>
            </w:r>
          </w:p>
          <w:p w:rsidR="002F06CA" w:rsidRPr="00E04E16" w:rsidRDefault="002F06CA" w:rsidP="00083528">
            <w:pPr>
              <w:pStyle w:val="Tabletext0"/>
              <w:keepLines/>
              <w:spacing w:before="0" w:after="0"/>
              <w:jc w:val="center"/>
            </w:pPr>
            <w:r w:rsidRPr="00E04E16">
              <w:t>52 week</w:t>
            </w:r>
          </w:p>
        </w:tc>
        <w:tc>
          <w:tcPr>
            <w:tcW w:w="385" w:type="pct"/>
            <w:shd w:val="clear" w:color="auto" w:fill="auto"/>
            <w:vAlign w:val="center"/>
          </w:tcPr>
          <w:p w:rsidR="002F06CA" w:rsidRPr="00E04E16" w:rsidRDefault="002F06CA" w:rsidP="00083528">
            <w:pPr>
              <w:pStyle w:val="Tabletext0"/>
              <w:keepLines/>
              <w:spacing w:before="0" w:after="0"/>
              <w:jc w:val="center"/>
            </w:pPr>
            <w:r w:rsidRPr="00E04E16">
              <w:t>High</w:t>
            </w:r>
          </w:p>
        </w:tc>
        <w:tc>
          <w:tcPr>
            <w:tcW w:w="1250" w:type="pct"/>
            <w:shd w:val="clear" w:color="auto" w:fill="auto"/>
            <w:vAlign w:val="center"/>
          </w:tcPr>
          <w:p w:rsidR="002F06CA" w:rsidRPr="00E04E16" w:rsidRDefault="002F06CA" w:rsidP="00083528">
            <w:pPr>
              <w:pStyle w:val="Tabletext0"/>
              <w:keepLines/>
              <w:spacing w:before="0" w:after="0"/>
              <w:jc w:val="center"/>
            </w:pPr>
            <w:r w:rsidRPr="00E04E16">
              <w:t>Adults 30-80 years,</w:t>
            </w:r>
          </w:p>
          <w:p w:rsidR="002F06CA" w:rsidRPr="00E04E16" w:rsidRDefault="002F06CA" w:rsidP="00083528">
            <w:pPr>
              <w:pStyle w:val="Tabletext0"/>
              <w:keepLines/>
              <w:spacing w:before="0" w:after="0"/>
              <w:jc w:val="center"/>
            </w:pPr>
            <w:r w:rsidRPr="00E04E16">
              <w:t>CKD Stage 3-4,</w:t>
            </w:r>
          </w:p>
          <w:p w:rsidR="002F06CA" w:rsidRPr="00E04E16" w:rsidRDefault="002F06CA" w:rsidP="00083528">
            <w:pPr>
              <w:pStyle w:val="Tabletext0"/>
              <w:keepLines/>
              <w:spacing w:before="0" w:after="0"/>
              <w:jc w:val="center"/>
            </w:pPr>
            <w:r w:rsidRPr="00E04E16">
              <w:t>K+ 5.0 to &lt; 6.0 mmol/L,</w:t>
            </w:r>
          </w:p>
          <w:p w:rsidR="002F06CA" w:rsidRPr="00E04E16" w:rsidRDefault="002F06CA" w:rsidP="00083528">
            <w:pPr>
              <w:pStyle w:val="Tabletext0"/>
              <w:keepLines/>
              <w:spacing w:before="0" w:after="0"/>
              <w:jc w:val="center"/>
            </w:pPr>
            <w:r w:rsidRPr="00E04E16">
              <w:t>T2DM diagnosed at 30+ years on pharmacological intervention, hypertension,</w:t>
            </w:r>
          </w:p>
          <w:p w:rsidR="002F06CA" w:rsidRPr="00E04E16" w:rsidRDefault="002F06CA" w:rsidP="00083528">
            <w:pPr>
              <w:pStyle w:val="Tabletext0"/>
              <w:keepLines/>
              <w:spacing w:before="0" w:after="0"/>
              <w:jc w:val="center"/>
            </w:pPr>
            <w:r w:rsidRPr="00E04E16">
              <w:t>≥ 1 RAASi</w:t>
            </w:r>
          </w:p>
        </w:tc>
        <w:tc>
          <w:tcPr>
            <w:tcW w:w="1092" w:type="pct"/>
            <w:shd w:val="clear" w:color="auto" w:fill="auto"/>
            <w:vAlign w:val="center"/>
          </w:tcPr>
          <w:p w:rsidR="002F06CA" w:rsidRPr="00E04E16" w:rsidRDefault="002F06CA" w:rsidP="00083528">
            <w:pPr>
              <w:pStyle w:val="Tabletext0"/>
              <w:keepLines/>
              <w:spacing w:before="0" w:after="0"/>
              <w:jc w:val="center"/>
            </w:pPr>
            <w:r w:rsidRPr="00E04E16">
              <w:t>Mean change in K+ baseline to weeks 4 &amp; 8, or dose titration</w:t>
            </w:r>
          </w:p>
          <w:p w:rsidR="002F06CA" w:rsidRPr="00E04E16" w:rsidRDefault="002F06CA" w:rsidP="00083528">
            <w:pPr>
              <w:pStyle w:val="Tabletext0"/>
              <w:keepLines/>
              <w:spacing w:before="0" w:after="0"/>
              <w:jc w:val="center"/>
            </w:pPr>
            <w:r w:rsidRPr="00E04E16">
              <w:t>Proportions of patient achieving K+ thresholds, Safety</w:t>
            </w:r>
          </w:p>
        </w:tc>
        <w:tc>
          <w:tcPr>
            <w:tcW w:w="649" w:type="pct"/>
            <w:shd w:val="clear" w:color="auto" w:fill="auto"/>
            <w:vAlign w:val="center"/>
          </w:tcPr>
          <w:p w:rsidR="002F06CA" w:rsidRPr="00E04E16" w:rsidRDefault="002F06CA" w:rsidP="00083528">
            <w:pPr>
              <w:pStyle w:val="Tabletext0"/>
              <w:keepLines/>
              <w:spacing w:before="0" w:after="0"/>
              <w:jc w:val="center"/>
            </w:pPr>
            <w:r w:rsidRPr="00E04E16">
              <w:t xml:space="preserve">Not used </w:t>
            </w:r>
          </w:p>
        </w:tc>
      </w:tr>
    </w:tbl>
    <w:p w:rsidR="002F06CA" w:rsidRPr="00E04E16" w:rsidRDefault="002F06CA" w:rsidP="00157B8D">
      <w:pPr>
        <w:pStyle w:val="TableFooter"/>
        <w:keepNext/>
        <w:keepLines/>
        <w:spacing w:after="120"/>
        <w:contextualSpacing/>
        <w:rPr>
          <w:szCs w:val="18"/>
        </w:rPr>
      </w:pPr>
      <w:r w:rsidRPr="00E04E16">
        <w:rPr>
          <w:szCs w:val="18"/>
        </w:rPr>
        <w:t>Source: Section 2.3.1, pp.39-43 of the resubmission.</w:t>
      </w:r>
    </w:p>
    <w:p w:rsidR="002F06CA" w:rsidRPr="00E04E16" w:rsidRDefault="002F06CA" w:rsidP="00157B8D">
      <w:pPr>
        <w:pStyle w:val="TableFooter"/>
        <w:keepNext/>
        <w:keepLines/>
        <w:spacing w:after="120"/>
        <w:contextualSpacing/>
        <w:rPr>
          <w:szCs w:val="18"/>
        </w:rPr>
      </w:pPr>
      <w:r w:rsidRPr="00E04E16">
        <w:rPr>
          <w:szCs w:val="18"/>
        </w:rPr>
        <w:t>Abbreviations: CHF, chronic heart failure; CKD, chronic kidney disease; DB, double blind; K+, serum potassium concentration; MC, multi-centre; PC, placebo controlled; OL, open label; OS, overall survival; R, randomised; RAASi, renin angiotensin aldosterone system inhibitor; SA, single arm; SB, single blind; T2DM, type 2 diabetes mellitus</w:t>
      </w:r>
    </w:p>
    <w:p w:rsidR="002F06CA" w:rsidRPr="00E04E16" w:rsidRDefault="00166BCB" w:rsidP="002F06CA">
      <w:pPr>
        <w:pStyle w:val="ExecSumBodyText"/>
        <w:numPr>
          <w:ilvl w:val="1"/>
          <w:numId w:val="1"/>
        </w:numPr>
      </w:pPr>
      <w:r w:rsidRPr="00E04E16">
        <w:t>The ESC considered that t</w:t>
      </w:r>
      <w:r w:rsidR="002F06CA" w:rsidRPr="00E04E16">
        <w:t>here was a high risk of bias in the OPAL-HK stud</w:t>
      </w:r>
      <w:r w:rsidR="00F7148B" w:rsidRPr="00E04E16">
        <w:t>ies</w:t>
      </w:r>
      <w:r w:rsidR="002F06CA" w:rsidRPr="00E04E16">
        <w:t xml:space="preserve"> due to</w:t>
      </w:r>
      <w:r w:rsidR="001A6521" w:rsidRPr="00E04E16">
        <w:t xml:space="preserve"> </w:t>
      </w:r>
      <w:r w:rsidR="00293837" w:rsidRPr="00E04E16">
        <w:t>the</w:t>
      </w:r>
      <w:r w:rsidR="002F06CA" w:rsidRPr="00E04E16">
        <w:t xml:space="preserve"> lack of a control arm</w:t>
      </w:r>
      <w:r w:rsidR="00F7148B" w:rsidRPr="00E04E16">
        <w:t xml:space="preserve"> (OPAL-HK Part A)</w:t>
      </w:r>
      <w:r w:rsidR="002F06CA" w:rsidRPr="00E04E16">
        <w:t xml:space="preserve">, potential unblinding of treatment allocation to patients and investigators </w:t>
      </w:r>
      <w:r w:rsidR="00D91E35" w:rsidRPr="00E04E16">
        <w:t>due to the</w:t>
      </w:r>
      <w:r w:rsidR="002F06CA" w:rsidRPr="00E04E16">
        <w:t xml:space="preserve"> discernible differences between the reconstituted patiromer and matched placebo oral suspensions (OPAL-HK Part B) </w:t>
      </w:r>
      <w:r w:rsidR="00600BFF" w:rsidRPr="00E04E16">
        <w:t xml:space="preserve">and </w:t>
      </w:r>
      <w:r w:rsidR="002F06CA" w:rsidRPr="00E04E16">
        <w:t xml:space="preserve">unblinding of investigators for dose titration (OPAL-HK Part B). </w:t>
      </w:r>
    </w:p>
    <w:p w:rsidR="002F06CA" w:rsidRPr="00E04E16" w:rsidRDefault="002F06CA" w:rsidP="002F06CA">
      <w:pPr>
        <w:pStyle w:val="ExecSumBodyText"/>
        <w:numPr>
          <w:ilvl w:val="1"/>
          <w:numId w:val="1"/>
        </w:numPr>
      </w:pPr>
      <w:r w:rsidRPr="00E04E16">
        <w:t>The patient populations in the OPAL-HK study mostly resided in Europe, were generally younger</w:t>
      </w:r>
      <w:r w:rsidR="00F14889" w:rsidRPr="00E04E16">
        <w:t>,</w:t>
      </w:r>
      <w:r w:rsidRPr="00E04E16">
        <w:t xml:space="preserve"> and had more severe CKD at baseline compared to the eligible Australian population.</w:t>
      </w:r>
    </w:p>
    <w:p w:rsidR="002F06CA" w:rsidRPr="00E04E16" w:rsidRDefault="002F06CA" w:rsidP="002F06CA">
      <w:pPr>
        <w:pStyle w:val="ExecSumBodyText"/>
        <w:numPr>
          <w:ilvl w:val="1"/>
          <w:numId w:val="1"/>
        </w:numPr>
      </w:pPr>
      <w:r w:rsidRPr="00E04E16">
        <w:t xml:space="preserve">In OPAL-HK Part A patients were assigned to patiromer starting dose groups by baseline serum potassium concentration (dose group 1 - &lt; 5.5 mmol/L, to receive patiromer 8.4 g/day; dose group 2 - </w:t>
      </w:r>
      <w:r w:rsidRPr="00E04E16">
        <w:rPr>
          <w:rFonts w:cs="Calibri"/>
        </w:rPr>
        <w:t>≥</w:t>
      </w:r>
      <w:r w:rsidRPr="00E04E16">
        <w:t xml:space="preserve"> 5.5 mmol/L, to receive 16.8 g/day), with doses then titrated by serum potassium concentration. The OPAL-HK Part B (withdrawal study) only included patients with Part A baseline serum potassium concentrations </w:t>
      </w:r>
      <w:r w:rsidRPr="00E04E16">
        <w:rPr>
          <w:rFonts w:cs="Calibri"/>
        </w:rPr>
        <w:t>≥</w:t>
      </w:r>
      <w:r w:rsidR="00293837" w:rsidRPr="00E04E16">
        <w:rPr>
          <w:rFonts w:cs="Calibri"/>
        </w:rPr>
        <w:t> </w:t>
      </w:r>
      <w:r w:rsidRPr="00E04E16">
        <w:rPr>
          <w:rFonts w:cs="Calibri"/>
        </w:rPr>
        <w:t>5.5 mmol/L and Part A Week 4 normal serum potassium concentrations (3.8 – 5.1 mmol/L; N=107)</w:t>
      </w:r>
      <w:r w:rsidR="00293837" w:rsidRPr="00E04E16">
        <w:rPr>
          <w:rFonts w:cs="Calibri"/>
        </w:rPr>
        <w:t>. In Part B</w:t>
      </w:r>
      <w:r w:rsidR="00BC4369" w:rsidRPr="00E04E16">
        <w:rPr>
          <w:rFonts w:cs="Calibri"/>
        </w:rPr>
        <w:t>,</w:t>
      </w:r>
      <w:r w:rsidR="00293837" w:rsidRPr="00E04E16">
        <w:rPr>
          <w:rFonts w:cs="Calibri"/>
        </w:rPr>
        <w:t xml:space="preserve"> patients were</w:t>
      </w:r>
      <w:r w:rsidRPr="00E04E16">
        <w:rPr>
          <w:rFonts w:cs="Calibri"/>
        </w:rPr>
        <w:t xml:space="preserve"> </w:t>
      </w:r>
      <w:r w:rsidRPr="00E04E16">
        <w:t xml:space="preserve">randomised to </w:t>
      </w:r>
      <w:r w:rsidR="002B4EC3" w:rsidRPr="00E04E16">
        <w:t xml:space="preserve">either </w:t>
      </w:r>
      <w:r w:rsidRPr="00E04E16">
        <w:t>continue patiromer or switch to placebo (withdrawal)</w:t>
      </w:r>
      <w:r w:rsidRPr="00E04E16">
        <w:rPr>
          <w:rFonts w:cs="Calibri"/>
        </w:rPr>
        <w:t>. The inclusion criteria for Part B of the OPAL-HK study restricted entry to patiromer responders with baseline serum potassium concentrations ≥ 5.5 mmol/L</w:t>
      </w:r>
      <w:r w:rsidR="00293837" w:rsidRPr="00E04E16">
        <w:rPr>
          <w:rFonts w:cs="Calibri"/>
        </w:rPr>
        <w:t>.</w:t>
      </w:r>
      <w:r w:rsidRPr="00E04E16">
        <w:rPr>
          <w:rFonts w:cs="Calibri"/>
        </w:rPr>
        <w:t xml:space="preserve"> </w:t>
      </w:r>
      <w:r w:rsidR="00926A80" w:rsidRPr="00E04E16">
        <w:rPr>
          <w:rFonts w:cs="Calibri"/>
        </w:rPr>
        <w:t xml:space="preserve">As </w:t>
      </w:r>
      <w:r w:rsidR="00293837" w:rsidRPr="00E04E16">
        <w:rPr>
          <w:rFonts w:cs="Calibri"/>
        </w:rPr>
        <w:t xml:space="preserve">this was </w:t>
      </w:r>
      <w:r w:rsidRPr="00E04E16">
        <w:rPr>
          <w:rFonts w:cs="Calibri"/>
        </w:rPr>
        <w:t xml:space="preserve">an enriched population appropriate for a treatment switching withdrawal study, </w:t>
      </w:r>
      <w:r w:rsidR="00293837" w:rsidRPr="00E04E16">
        <w:rPr>
          <w:rFonts w:cs="Calibri"/>
        </w:rPr>
        <w:t xml:space="preserve">it was </w:t>
      </w:r>
      <w:r w:rsidRPr="00E04E16">
        <w:rPr>
          <w:rFonts w:cs="Calibri"/>
        </w:rPr>
        <w:t xml:space="preserve">unlikely to provide reliable measures of efficacy for patiromer across </w:t>
      </w:r>
      <w:r w:rsidR="00763362" w:rsidRPr="00E04E16">
        <w:rPr>
          <w:rFonts w:cs="Calibri"/>
        </w:rPr>
        <w:t xml:space="preserve">a </w:t>
      </w:r>
      <w:r w:rsidRPr="00E04E16">
        <w:rPr>
          <w:rFonts w:cs="Calibri"/>
        </w:rPr>
        <w:t xml:space="preserve">broader eligible </w:t>
      </w:r>
      <w:r w:rsidR="00763362" w:rsidRPr="00E04E16">
        <w:rPr>
          <w:rFonts w:cs="Calibri"/>
        </w:rPr>
        <w:t xml:space="preserve">PBS </w:t>
      </w:r>
      <w:r w:rsidRPr="00E04E16">
        <w:rPr>
          <w:rFonts w:cs="Calibri"/>
        </w:rPr>
        <w:t>population.</w:t>
      </w:r>
    </w:p>
    <w:p w:rsidR="002F06CA" w:rsidRPr="00E04E16" w:rsidRDefault="002F06CA" w:rsidP="002F06CA">
      <w:pPr>
        <w:pStyle w:val="ExecSumBodyText"/>
        <w:numPr>
          <w:ilvl w:val="1"/>
          <w:numId w:val="1"/>
        </w:numPr>
      </w:pPr>
      <w:r w:rsidRPr="00E04E16">
        <w:lastRenderedPageBreak/>
        <w:t xml:space="preserve">The OPAL-HK study protocols included complex patiromer and RAASi therapy titration algorithms based on serum potassium concentrations and response to therapy. The algorithms required intensive patient monitoring at weekly to monthly intervals or more frequently in patients with unstable serum potassium concentrations (i.e. daily to third daily). </w:t>
      </w:r>
      <w:r w:rsidR="008B5B18" w:rsidRPr="00E04E16">
        <w:t>The ESC noted that intensive monitoring and strict titration was unlikely to occur</w:t>
      </w:r>
      <w:r w:rsidR="00763362" w:rsidRPr="00E04E16">
        <w:t xml:space="preserve"> widely</w:t>
      </w:r>
      <w:r w:rsidR="008B5B18" w:rsidRPr="00E04E16">
        <w:t xml:space="preserve"> in practice. </w:t>
      </w:r>
      <w:r w:rsidRPr="00E04E16">
        <w:t>Patients with repeated mild (&gt; 5.1 or 5.5 mmol/L) or high (&gt; 6.0 mmol/L) serum potassium concentrations were selected for early study termination if not responding to maximum patiromer doses (up to 50</w:t>
      </w:r>
      <w:r w:rsidR="00397C83" w:rsidRPr="00E04E16">
        <w:t>.4</w:t>
      </w:r>
      <w:r w:rsidRPr="00E04E16">
        <w:t xml:space="preserve"> g/day). In the OPAL-HK Part B algorithm, titration of RAASi therapies differed between treatment arms; i.e. patients receiving patiromer could only reduce RAASi doses after attempting the maximum patiromer dose of 50</w:t>
      </w:r>
      <w:r w:rsidR="00397C83" w:rsidRPr="00E04E16">
        <w:t>.4</w:t>
      </w:r>
      <w:r w:rsidRPr="00E04E16">
        <w:t xml:space="preserve"> g/day (a condition not reached in the Part B study), while patients receiving placebo reduced RAASi therapies at a much lower threshold.</w:t>
      </w:r>
    </w:p>
    <w:p w:rsidR="002F06CA" w:rsidRPr="00E04E16" w:rsidRDefault="002F06CA" w:rsidP="008B0BAB">
      <w:pPr>
        <w:pStyle w:val="ExecSumBodyText"/>
      </w:pPr>
      <w:r w:rsidRPr="00E04E16">
        <w:t xml:space="preserve">The titration algorithms used in the OPAL-HK study most likely impacted study outcomes, particularly the incidence of achieved serum potassium concentrations and RAASi dose reduction/cessation, and may have biased results in favour of patiromer. Patiromer starting doses in the OPAL-HK study were mostly within the dose range recommended in the patiromer Product Information, but were generally higher than the recommended starting dose of 8.4 g/day. </w:t>
      </w:r>
      <w:r w:rsidR="008B5B18" w:rsidRPr="00E04E16">
        <w:t>The ESC noted that m</w:t>
      </w:r>
      <w:r w:rsidRPr="00E04E16">
        <w:t>aximum doses of patiromer used in the OPAL-HK and AMETHYST-DN studies (up to 50</w:t>
      </w:r>
      <w:r w:rsidR="00397C83" w:rsidRPr="00E04E16">
        <w:t>.4</w:t>
      </w:r>
      <w:r w:rsidRPr="00E04E16">
        <w:t xml:space="preserve"> g/day) </w:t>
      </w:r>
      <w:r w:rsidR="00803C5C" w:rsidRPr="00E04E16">
        <w:t xml:space="preserve">considerably </w:t>
      </w:r>
      <w:r w:rsidRPr="00E04E16">
        <w:t>exceeded the maximum dose recommended in the Product Information (25.2 g/day).</w:t>
      </w:r>
      <w:r w:rsidR="00150949" w:rsidRPr="00E04E16">
        <w:t xml:space="preserve"> </w:t>
      </w:r>
    </w:p>
    <w:p w:rsidR="00620C25" w:rsidRPr="00E04E16" w:rsidRDefault="002F06CA" w:rsidP="00083528">
      <w:pPr>
        <w:pStyle w:val="ExecSumBodyText"/>
        <w:numPr>
          <w:ilvl w:val="1"/>
          <w:numId w:val="1"/>
        </w:numPr>
        <w:rPr>
          <w:szCs w:val="18"/>
        </w:rPr>
      </w:pPr>
      <w:r w:rsidRPr="00E04E16">
        <w:t>A minimum detectable difference (MDD) of 0.70 mmol/L was used in the submission as a clinically meaningful reduction in serum potassium in the OPAL-HK Part A study</w:t>
      </w:r>
      <w:r w:rsidR="00E04E16">
        <w:t xml:space="preserve">. </w:t>
      </w:r>
      <w:r w:rsidRPr="00E04E16">
        <w:t>This was unchanged from the previous submission. At the November 2019 meeting</w:t>
      </w:r>
      <w:r w:rsidR="006A578D" w:rsidRPr="00E04E16">
        <w:t>,</w:t>
      </w:r>
      <w:r w:rsidRPr="00E04E16">
        <w:t xml:space="preserve"> the PBAC considered that the minimum detectable difference (MDD) of 0.70 mmol/L may provide a useful measure of test accuracy, but demonstrated no plausible link to clinical outcomes, adverse events or patient experience</w:t>
      </w:r>
      <w:r w:rsidR="00293837" w:rsidRPr="00E04E16">
        <w:t>s</w:t>
      </w:r>
      <w:r w:rsidRPr="00E04E16">
        <w:t xml:space="preserve"> of hyperkalaemia</w:t>
      </w:r>
      <w:r w:rsidR="006A578D" w:rsidRPr="00E04E16">
        <w:t>.</w:t>
      </w:r>
      <w:r w:rsidRPr="00E04E16">
        <w:t xml:space="preserve"> </w:t>
      </w:r>
      <w:r w:rsidR="006A578D" w:rsidRPr="00E04E16">
        <w:t xml:space="preserve">In November 2019, the PBAC considered that, although patiromer appeared to lower serum potassium levels, the clinical relevance of the observed changes was unknown </w:t>
      </w:r>
      <w:r w:rsidRPr="00E04E16">
        <w:t>(para 7.8, Patiromer Public Summary Document, November 2019 PBAC meeting)</w:t>
      </w:r>
      <w:r w:rsidR="00E04E16">
        <w:t xml:space="preserve">. </w:t>
      </w:r>
    </w:p>
    <w:p w:rsidR="006E1557" w:rsidRPr="00E04E16" w:rsidRDefault="006E1557" w:rsidP="00952DB9">
      <w:pPr>
        <w:pStyle w:val="ExecSumBodyText"/>
        <w:rPr>
          <w:szCs w:val="18"/>
        </w:rPr>
      </w:pPr>
      <w:r w:rsidRPr="00E04E16">
        <w:t xml:space="preserve">There were differences between the overall OPAL-HK study population </w:t>
      </w:r>
      <w:r w:rsidR="005B5A2C" w:rsidRPr="00E04E16">
        <w:t xml:space="preserve">(Part A at baseline) </w:t>
      </w:r>
      <w:r w:rsidRPr="00E04E16">
        <w:t xml:space="preserve">and Australian patients (Jun 2019) in terms of mean age (64 vs 77 years), gender (female: 42% vs 55%), and the proportion of patients with baseline CKD Stage 3 to 4 (85% vs 98%) and heart failure (42% vs 27%). </w:t>
      </w:r>
      <w:r w:rsidR="005B5A2C" w:rsidRPr="00E04E16">
        <w:t>Given these differences between the populations, and the enriched population included in OPAL-HK Part B, t</w:t>
      </w:r>
      <w:r w:rsidRPr="00E04E16">
        <w:t xml:space="preserve">he evaluation considered that it was unclear whether the results for the </w:t>
      </w:r>
      <w:r w:rsidR="00B670F3" w:rsidRPr="00E04E16">
        <w:t xml:space="preserve">overall </w:t>
      </w:r>
      <w:r w:rsidRPr="00E04E16">
        <w:t>OPAL-HK study are applicable to the</w:t>
      </w:r>
      <w:r w:rsidR="005B5A2C" w:rsidRPr="00E04E16">
        <w:t xml:space="preserve"> eligible Australian population</w:t>
      </w:r>
      <w:r w:rsidRPr="00E04E16">
        <w:t>.</w:t>
      </w:r>
      <w:r w:rsidR="005B5A2C" w:rsidRPr="00E04E16">
        <w:t xml:space="preserve"> The evaluation also considered that there were substantial differences between the characteristics of patients included in the subgroup from OPAL HK Part A with baseline K+ </w:t>
      </w:r>
      <w:r w:rsidR="005B5A2C" w:rsidRPr="00E04E16">
        <w:rPr>
          <w:rFonts w:cstheme="minorHAnsi"/>
        </w:rPr>
        <w:t>≥</w:t>
      </w:r>
      <w:r w:rsidR="005B5A2C" w:rsidRPr="00E04E16">
        <w:t xml:space="preserve"> 6 mmol/L and the eligible Australian </w:t>
      </w:r>
      <w:r w:rsidR="00763362" w:rsidRPr="00E04E16">
        <w:t xml:space="preserve">PBS </w:t>
      </w:r>
      <w:r w:rsidR="005B5A2C" w:rsidRPr="00E04E16">
        <w:t xml:space="preserve">population. </w:t>
      </w:r>
      <w:r w:rsidR="00B670F3" w:rsidRPr="00E04E16">
        <w:t xml:space="preserve">The </w:t>
      </w:r>
      <w:r w:rsidR="005B5A2C" w:rsidRPr="00E04E16">
        <w:t>PSCR argued that</w:t>
      </w:r>
      <w:r w:rsidR="00B670F3" w:rsidRPr="00E04E16">
        <w:t>, compared to the eligible Australian population (Jun 2019), patients in th</w:t>
      </w:r>
      <w:r w:rsidR="00843D24" w:rsidRPr="00E04E16">
        <w:t>e study</w:t>
      </w:r>
      <w:r w:rsidR="00B670F3" w:rsidRPr="00E04E16">
        <w:t xml:space="preserve"> subgroup were </w:t>
      </w:r>
      <w:r w:rsidR="00B670F3" w:rsidRPr="00E04E16">
        <w:lastRenderedPageBreak/>
        <w:t xml:space="preserve">younger, </w:t>
      </w:r>
      <w:r w:rsidR="00A031A2" w:rsidRPr="00E04E16">
        <w:t xml:space="preserve">and had </w:t>
      </w:r>
      <w:r w:rsidR="00B670F3" w:rsidRPr="00E04E16">
        <w:t xml:space="preserve">higher rates of diabetes and HF, and higher serum K+ at baseline. The PSCR </w:t>
      </w:r>
      <w:r w:rsidR="00952DB9" w:rsidRPr="00E04E16">
        <w:t>argued that none of these characteristics were shown to have a statistically significant interaction with the relative efficacy of patiromer. However, the ESC noted these were based on post-hoc subgroup analyses with relatively small patient numbers. The ESC considered that, as the OPAL-HK study design selected an enriched population of patiromer responders for continuation into the placebo controlled Part B withdrawal study, study outcomes (particularly exploratory outcomes) may overestimate the efficacy of patiromer likely to be experienced in clinical practice and it</w:t>
      </w:r>
      <w:r w:rsidR="00843D24" w:rsidRPr="00E04E16">
        <w:t xml:space="preserve"> i</w:t>
      </w:r>
      <w:r w:rsidR="00952DB9" w:rsidRPr="00E04E16">
        <w:t xml:space="preserve">s unclear if the results can be extrapolated to the eligible population. </w:t>
      </w:r>
    </w:p>
    <w:p w:rsidR="00B60939" w:rsidRPr="00E04E16" w:rsidRDefault="00B60939" w:rsidP="00EC5836">
      <w:pPr>
        <w:pStyle w:val="3-SubsectionHeading"/>
      </w:pPr>
      <w:bookmarkStart w:id="12" w:name="_Toc22897641"/>
      <w:bookmarkStart w:id="13" w:name="_Toc51063875"/>
      <w:r w:rsidRPr="00E04E16">
        <w:t>Comparative effectiveness</w:t>
      </w:r>
      <w:bookmarkEnd w:id="12"/>
      <w:bookmarkEnd w:id="13"/>
    </w:p>
    <w:p w:rsidR="002F06CA" w:rsidRPr="00E04E16" w:rsidRDefault="002F06CA" w:rsidP="002F06CA">
      <w:pPr>
        <w:pStyle w:val="ExecSumBodyText"/>
      </w:pPr>
      <w:r w:rsidRPr="00E04E16">
        <w:t xml:space="preserve">The results of the OPAL-HK and AMETHYST-DN studies are unchanged from the previous submission. Only the key outcomes of the OPAL-HK study and the results of the post-hoc subgroup analyses of individual patient data for patients with OPAL-HK Part A baseline serum potassium concentration of </w:t>
      </w:r>
      <w:r w:rsidRPr="00E04E16">
        <w:rPr>
          <w:rFonts w:cstheme="minorHAnsi"/>
        </w:rPr>
        <w:t xml:space="preserve">≥ 6.0 mmol/L </w:t>
      </w:r>
      <w:r w:rsidRPr="00E04E16">
        <w:t xml:space="preserve">are presented here. </w:t>
      </w:r>
    </w:p>
    <w:p w:rsidR="002F06CA" w:rsidRPr="00E04E16" w:rsidRDefault="002F06CA" w:rsidP="002F06CA">
      <w:pPr>
        <w:pStyle w:val="ExecSumBodyText"/>
        <w:rPr>
          <w:color w:val="0066FF"/>
        </w:rPr>
      </w:pPr>
      <w:r w:rsidRPr="00E04E16">
        <w:t>Table 5 summarises the results of the primary outcome of the OPAL-HK study (change in serum potassium).</w:t>
      </w:r>
    </w:p>
    <w:p w:rsidR="002F06CA" w:rsidRPr="00E04E16" w:rsidRDefault="002F06CA" w:rsidP="002F06CA">
      <w:pPr>
        <w:pStyle w:val="TableFigureCaption"/>
      </w:pPr>
      <w:r w:rsidRPr="00E04E16">
        <w:t>Table 5: Change in serum potassium concentration from baseline to week 4 in OPAL-HK Part A (mITT) and from baseline to week 8 in Part B (ITT; safety)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2810"/>
        <w:gridCol w:w="2810"/>
      </w:tblGrid>
      <w:tr w:rsidR="002F06CA" w:rsidRPr="00E04E16" w:rsidTr="00083528">
        <w:tc>
          <w:tcPr>
            <w:tcW w:w="1884" w:type="pct"/>
            <w:vAlign w:val="center"/>
          </w:tcPr>
          <w:p w:rsidR="002F06CA" w:rsidRPr="00E04E16" w:rsidRDefault="002F06CA" w:rsidP="00083528">
            <w:pPr>
              <w:pStyle w:val="Tabletext0"/>
              <w:keepLines/>
              <w:spacing w:before="0" w:after="0"/>
              <w:ind w:right="-88"/>
              <w:rPr>
                <w:b/>
              </w:rPr>
            </w:pPr>
            <w:r w:rsidRPr="00E04E16">
              <w:rPr>
                <w:b/>
              </w:rPr>
              <w:t>OPAL-HK Part A (mITT)</w:t>
            </w:r>
          </w:p>
        </w:tc>
        <w:tc>
          <w:tcPr>
            <w:tcW w:w="1558" w:type="pct"/>
            <w:vAlign w:val="center"/>
          </w:tcPr>
          <w:p w:rsidR="002F06CA" w:rsidRPr="00E04E16" w:rsidRDefault="002F06CA" w:rsidP="00083528">
            <w:pPr>
              <w:pStyle w:val="Tabletext0"/>
              <w:keepLines/>
              <w:spacing w:before="0" w:after="0"/>
              <w:ind w:left="-93" w:right="-110"/>
              <w:jc w:val="center"/>
              <w:rPr>
                <w:b/>
              </w:rPr>
            </w:pPr>
            <w:r w:rsidRPr="00E04E16">
              <w:rPr>
                <w:b/>
              </w:rPr>
              <w:t>Patiromer dose group 1, (8.4 g/day)</w:t>
            </w:r>
          </w:p>
          <w:p w:rsidR="002F06CA" w:rsidRPr="00E04E16" w:rsidRDefault="002F06CA" w:rsidP="00083528">
            <w:pPr>
              <w:pStyle w:val="Tabletext0"/>
              <w:keepLines/>
              <w:spacing w:before="0" w:after="0"/>
              <w:ind w:left="-93" w:right="-110"/>
              <w:jc w:val="center"/>
              <w:rPr>
                <w:b/>
              </w:rPr>
            </w:pPr>
            <w:r w:rsidRPr="00E04E16">
              <w:rPr>
                <w:b/>
              </w:rPr>
              <w:t>(N=90)</w:t>
            </w:r>
          </w:p>
        </w:tc>
        <w:tc>
          <w:tcPr>
            <w:tcW w:w="1558" w:type="pct"/>
            <w:vAlign w:val="center"/>
          </w:tcPr>
          <w:p w:rsidR="002F06CA" w:rsidRPr="00E04E16" w:rsidRDefault="002F06CA" w:rsidP="00083528">
            <w:pPr>
              <w:pStyle w:val="Tabletext0"/>
              <w:keepLines/>
              <w:spacing w:before="0" w:after="0"/>
              <w:ind w:left="-93" w:right="-110"/>
              <w:jc w:val="center"/>
              <w:rPr>
                <w:b/>
              </w:rPr>
            </w:pPr>
            <w:r w:rsidRPr="00E04E16">
              <w:rPr>
                <w:b/>
              </w:rPr>
              <w:t xml:space="preserve">Patiromer group 2, (16.8 g/day) </w:t>
            </w:r>
          </w:p>
          <w:p w:rsidR="002F06CA" w:rsidRPr="00E04E16" w:rsidRDefault="002F06CA" w:rsidP="00083528">
            <w:pPr>
              <w:pStyle w:val="Tabletext0"/>
              <w:keepLines/>
              <w:spacing w:before="0" w:after="0"/>
              <w:ind w:left="-93" w:right="-110"/>
              <w:jc w:val="center"/>
              <w:rPr>
                <w:b/>
              </w:rPr>
            </w:pPr>
            <w:r w:rsidRPr="00E04E16">
              <w:rPr>
                <w:b/>
              </w:rPr>
              <w:t>(N=147)</w:t>
            </w:r>
          </w:p>
        </w:tc>
      </w:tr>
      <w:tr w:rsidR="002F06CA" w:rsidRPr="00E04E16" w:rsidTr="00083528">
        <w:tc>
          <w:tcPr>
            <w:tcW w:w="1884" w:type="pct"/>
            <w:vAlign w:val="center"/>
          </w:tcPr>
          <w:p w:rsidR="002F06CA" w:rsidRPr="00E04E16" w:rsidRDefault="002F06CA" w:rsidP="00083528">
            <w:pPr>
              <w:pStyle w:val="Tabletext0"/>
              <w:keepLines/>
              <w:spacing w:before="0" w:after="0"/>
              <w:ind w:right="-88"/>
            </w:pPr>
            <w:r w:rsidRPr="00E04E16">
              <w:t>Baseline mean serum K+ mmol/L (SD)</w:t>
            </w:r>
          </w:p>
        </w:tc>
        <w:tc>
          <w:tcPr>
            <w:tcW w:w="1558" w:type="pct"/>
            <w:vAlign w:val="center"/>
          </w:tcPr>
          <w:p w:rsidR="002F06CA" w:rsidRPr="00E04E16" w:rsidRDefault="002F06CA" w:rsidP="00083528">
            <w:pPr>
              <w:pStyle w:val="Tabletext0"/>
              <w:keepLines/>
              <w:spacing w:before="0" w:after="0"/>
              <w:ind w:left="-93" w:right="-110"/>
              <w:jc w:val="center"/>
            </w:pPr>
            <w:r w:rsidRPr="00E04E16">
              <w:t>5.32 (0.06)</w:t>
            </w:r>
          </w:p>
        </w:tc>
        <w:tc>
          <w:tcPr>
            <w:tcW w:w="1558" w:type="pct"/>
            <w:vAlign w:val="center"/>
          </w:tcPr>
          <w:p w:rsidR="002F06CA" w:rsidRPr="00E04E16" w:rsidRDefault="002F06CA" w:rsidP="00083528">
            <w:pPr>
              <w:pStyle w:val="Tabletext0"/>
              <w:keepLines/>
              <w:spacing w:before="0" w:after="0"/>
              <w:jc w:val="center"/>
            </w:pPr>
            <w:r w:rsidRPr="00E04E16">
              <w:t>5.74 (0.03)</w:t>
            </w:r>
          </w:p>
        </w:tc>
      </w:tr>
      <w:tr w:rsidR="002F06CA" w:rsidRPr="00E04E16" w:rsidTr="00083528">
        <w:tc>
          <w:tcPr>
            <w:tcW w:w="1884" w:type="pct"/>
            <w:vAlign w:val="center"/>
          </w:tcPr>
          <w:p w:rsidR="002F06CA" w:rsidRPr="00E04E16" w:rsidRDefault="002F06CA" w:rsidP="00083528">
            <w:pPr>
              <w:pStyle w:val="Tabletext0"/>
              <w:spacing w:before="0" w:after="0"/>
              <w:ind w:right="-88"/>
            </w:pPr>
            <w:r w:rsidRPr="00E04E16">
              <w:t>Week 4 mean serum K+ mmol/L (SD)</w:t>
            </w:r>
          </w:p>
        </w:tc>
        <w:tc>
          <w:tcPr>
            <w:tcW w:w="1558" w:type="pct"/>
            <w:vAlign w:val="center"/>
          </w:tcPr>
          <w:p w:rsidR="002F06CA" w:rsidRPr="00E04E16" w:rsidRDefault="002F06CA" w:rsidP="00083528">
            <w:pPr>
              <w:pStyle w:val="Tabletext0"/>
              <w:spacing w:before="0" w:after="0"/>
              <w:ind w:left="-93" w:right="-110"/>
              <w:jc w:val="center"/>
            </w:pPr>
            <w:r w:rsidRPr="00E04E16">
              <w:t>4.66 (0.05)</w:t>
            </w:r>
          </w:p>
        </w:tc>
        <w:tc>
          <w:tcPr>
            <w:tcW w:w="1558" w:type="pct"/>
            <w:vAlign w:val="center"/>
          </w:tcPr>
          <w:p w:rsidR="002F06CA" w:rsidRPr="00E04E16" w:rsidRDefault="002F06CA" w:rsidP="00083528">
            <w:pPr>
              <w:pStyle w:val="Tabletext0"/>
              <w:spacing w:before="0" w:after="0"/>
              <w:jc w:val="center"/>
            </w:pPr>
            <w:r w:rsidRPr="00E04E16">
              <w:t>4.51 (0.04)</w:t>
            </w:r>
          </w:p>
        </w:tc>
      </w:tr>
      <w:tr w:rsidR="002F06CA" w:rsidRPr="00E04E16" w:rsidTr="00083528">
        <w:tc>
          <w:tcPr>
            <w:tcW w:w="1884" w:type="pct"/>
            <w:vAlign w:val="center"/>
          </w:tcPr>
          <w:p w:rsidR="002F06CA" w:rsidRPr="00E04E16" w:rsidRDefault="002F06CA" w:rsidP="00083528">
            <w:pPr>
              <w:pStyle w:val="Tabletext0"/>
              <w:spacing w:before="0" w:after="0"/>
              <w:ind w:right="-88"/>
            </w:pPr>
            <w:r w:rsidRPr="00E04E16">
              <w:t>Mean change in serum K+ from baseline to Week 4 mmol/L (95% CI)</w:t>
            </w:r>
          </w:p>
        </w:tc>
        <w:tc>
          <w:tcPr>
            <w:tcW w:w="1558" w:type="pct"/>
            <w:vAlign w:val="center"/>
          </w:tcPr>
          <w:p w:rsidR="002F06CA" w:rsidRPr="00E04E16" w:rsidRDefault="002F06CA" w:rsidP="00083528">
            <w:pPr>
              <w:pStyle w:val="Tabletext0"/>
              <w:spacing w:before="0" w:after="0"/>
              <w:ind w:left="-93" w:right="-110"/>
              <w:jc w:val="center"/>
            </w:pPr>
            <w:r w:rsidRPr="00E04E16">
              <w:t>-0.65 (-0.74, -0.55)</w:t>
            </w:r>
          </w:p>
        </w:tc>
        <w:tc>
          <w:tcPr>
            <w:tcW w:w="1558" w:type="pct"/>
            <w:vAlign w:val="center"/>
          </w:tcPr>
          <w:p w:rsidR="002F06CA" w:rsidRPr="00E04E16" w:rsidRDefault="002F06CA" w:rsidP="00083528">
            <w:pPr>
              <w:pStyle w:val="Tabletext0"/>
              <w:spacing w:before="0" w:after="0"/>
              <w:jc w:val="center"/>
            </w:pPr>
            <w:r w:rsidRPr="00E04E16">
              <w:t>-1.23 (-1.31, -1.16)</w:t>
            </w:r>
          </w:p>
        </w:tc>
      </w:tr>
      <w:tr w:rsidR="002F06CA" w:rsidRPr="00E04E16" w:rsidTr="00083528">
        <w:tc>
          <w:tcPr>
            <w:tcW w:w="1884" w:type="pct"/>
            <w:tcBorders>
              <w:top w:val="single" w:sz="4" w:space="0" w:color="auto"/>
              <w:left w:val="single" w:sz="4" w:space="0" w:color="auto"/>
              <w:bottom w:val="single" w:sz="4" w:space="0" w:color="auto"/>
              <w:right w:val="single" w:sz="4" w:space="0" w:color="auto"/>
            </w:tcBorders>
            <w:vAlign w:val="center"/>
          </w:tcPr>
          <w:p w:rsidR="002F06CA" w:rsidRPr="00E04E16" w:rsidRDefault="002F06CA" w:rsidP="00083528">
            <w:pPr>
              <w:pStyle w:val="Tabletext0"/>
              <w:spacing w:before="0" w:after="0"/>
              <w:ind w:right="-88"/>
              <w:rPr>
                <w:b/>
              </w:rPr>
            </w:pPr>
            <w:r w:rsidRPr="00E04E16">
              <w:rPr>
                <w:b/>
              </w:rPr>
              <w:t>OPAL-HK Part B (ITT)</w:t>
            </w:r>
          </w:p>
        </w:tc>
        <w:tc>
          <w:tcPr>
            <w:tcW w:w="1558" w:type="pct"/>
            <w:tcBorders>
              <w:top w:val="single" w:sz="4" w:space="0" w:color="auto"/>
              <w:left w:val="single" w:sz="4" w:space="0" w:color="auto"/>
              <w:bottom w:val="single" w:sz="4" w:space="0" w:color="auto"/>
              <w:right w:val="single" w:sz="4" w:space="0" w:color="auto"/>
            </w:tcBorders>
            <w:vAlign w:val="center"/>
          </w:tcPr>
          <w:p w:rsidR="002F06CA" w:rsidRPr="00E04E16" w:rsidRDefault="002F06CA" w:rsidP="00083528">
            <w:pPr>
              <w:pStyle w:val="Tabletext0"/>
              <w:keepLines/>
              <w:spacing w:before="0" w:after="0"/>
              <w:jc w:val="center"/>
              <w:rPr>
                <w:b/>
              </w:rPr>
            </w:pPr>
            <w:r w:rsidRPr="00E04E16">
              <w:rPr>
                <w:b/>
              </w:rPr>
              <w:t>Patiromer</w:t>
            </w:r>
          </w:p>
          <w:p w:rsidR="002F06CA" w:rsidRPr="00E04E16" w:rsidRDefault="002F06CA" w:rsidP="00083528">
            <w:pPr>
              <w:pStyle w:val="Tabletext0"/>
              <w:spacing w:before="0" w:after="0"/>
              <w:ind w:left="-93" w:right="-110"/>
              <w:jc w:val="center"/>
              <w:rPr>
                <w:b/>
              </w:rPr>
            </w:pPr>
            <w:r w:rsidRPr="00E04E16">
              <w:rPr>
                <w:b/>
              </w:rPr>
              <w:t>(N=55)</w:t>
            </w:r>
          </w:p>
        </w:tc>
        <w:tc>
          <w:tcPr>
            <w:tcW w:w="1558" w:type="pct"/>
            <w:tcBorders>
              <w:top w:val="single" w:sz="4" w:space="0" w:color="auto"/>
              <w:left w:val="single" w:sz="4" w:space="0" w:color="auto"/>
              <w:bottom w:val="single" w:sz="4" w:space="0" w:color="auto"/>
              <w:right w:val="single" w:sz="4" w:space="0" w:color="auto"/>
            </w:tcBorders>
            <w:vAlign w:val="center"/>
          </w:tcPr>
          <w:p w:rsidR="002F06CA" w:rsidRPr="00E04E16" w:rsidRDefault="002F06CA" w:rsidP="00083528">
            <w:pPr>
              <w:pStyle w:val="Tabletext0"/>
              <w:keepLines/>
              <w:spacing w:before="0" w:after="0"/>
              <w:jc w:val="center"/>
              <w:rPr>
                <w:b/>
              </w:rPr>
            </w:pPr>
            <w:r w:rsidRPr="00E04E16">
              <w:rPr>
                <w:b/>
              </w:rPr>
              <w:t>Placebo</w:t>
            </w:r>
          </w:p>
          <w:p w:rsidR="002F06CA" w:rsidRPr="00E04E16" w:rsidRDefault="002F06CA" w:rsidP="00083528">
            <w:pPr>
              <w:pStyle w:val="Tabletext0"/>
              <w:spacing w:before="0" w:after="0"/>
              <w:jc w:val="center"/>
              <w:rPr>
                <w:b/>
              </w:rPr>
            </w:pPr>
            <w:r w:rsidRPr="00E04E16">
              <w:rPr>
                <w:b/>
              </w:rPr>
              <w:t>(N=52)</w:t>
            </w:r>
          </w:p>
        </w:tc>
      </w:tr>
      <w:tr w:rsidR="002F06CA" w:rsidRPr="00E04E16" w:rsidTr="00083528">
        <w:tc>
          <w:tcPr>
            <w:tcW w:w="1884" w:type="pct"/>
            <w:tcBorders>
              <w:top w:val="single" w:sz="4" w:space="0" w:color="auto"/>
              <w:left w:val="single" w:sz="4" w:space="0" w:color="auto"/>
              <w:bottom w:val="single" w:sz="4" w:space="0" w:color="auto"/>
              <w:right w:val="single" w:sz="4" w:space="0" w:color="auto"/>
            </w:tcBorders>
            <w:vAlign w:val="center"/>
          </w:tcPr>
          <w:p w:rsidR="002F06CA" w:rsidRPr="00E04E16" w:rsidRDefault="002F06CA" w:rsidP="00083528">
            <w:pPr>
              <w:pStyle w:val="Tabletext0"/>
              <w:spacing w:before="0" w:after="0"/>
              <w:ind w:right="-88"/>
            </w:pPr>
            <w:r w:rsidRPr="00E04E16">
              <w:t>Baseline mean serum K+ mmol/L (SD)</w:t>
            </w:r>
          </w:p>
        </w:tc>
        <w:tc>
          <w:tcPr>
            <w:tcW w:w="1558" w:type="pct"/>
            <w:tcBorders>
              <w:top w:val="single" w:sz="4" w:space="0" w:color="auto"/>
              <w:left w:val="single" w:sz="4" w:space="0" w:color="auto"/>
              <w:bottom w:val="single" w:sz="4" w:space="0" w:color="auto"/>
              <w:right w:val="single" w:sz="4" w:space="0" w:color="auto"/>
            </w:tcBorders>
            <w:vAlign w:val="center"/>
          </w:tcPr>
          <w:p w:rsidR="002F06CA" w:rsidRPr="00E04E16" w:rsidRDefault="002F06CA" w:rsidP="00083528">
            <w:pPr>
              <w:pStyle w:val="Tabletext0"/>
              <w:spacing w:before="0" w:after="0"/>
              <w:ind w:left="-93" w:right="-110"/>
              <w:jc w:val="center"/>
            </w:pPr>
            <w:r w:rsidRPr="00E04E16">
              <w:t>4.49 (0.43)</w:t>
            </w:r>
          </w:p>
        </w:tc>
        <w:tc>
          <w:tcPr>
            <w:tcW w:w="1558" w:type="pct"/>
            <w:tcBorders>
              <w:top w:val="single" w:sz="4" w:space="0" w:color="auto"/>
              <w:left w:val="single" w:sz="4" w:space="0" w:color="auto"/>
              <w:bottom w:val="single" w:sz="4" w:space="0" w:color="auto"/>
              <w:right w:val="single" w:sz="4" w:space="0" w:color="auto"/>
            </w:tcBorders>
          </w:tcPr>
          <w:p w:rsidR="002F06CA" w:rsidRPr="00E04E16" w:rsidRDefault="002F06CA" w:rsidP="00083528">
            <w:pPr>
              <w:pStyle w:val="Tabletext0"/>
              <w:spacing w:before="0" w:after="0"/>
              <w:jc w:val="center"/>
            </w:pPr>
            <w:r w:rsidRPr="00E04E16">
              <w:t>4.45 (0.34)</w:t>
            </w:r>
          </w:p>
        </w:tc>
      </w:tr>
      <w:tr w:rsidR="002F06CA" w:rsidRPr="00E04E16" w:rsidTr="00083528">
        <w:tc>
          <w:tcPr>
            <w:tcW w:w="1884" w:type="pct"/>
            <w:tcBorders>
              <w:top w:val="single" w:sz="4" w:space="0" w:color="auto"/>
              <w:left w:val="single" w:sz="4" w:space="0" w:color="auto"/>
              <w:bottom w:val="single" w:sz="4" w:space="0" w:color="auto"/>
              <w:right w:val="single" w:sz="4" w:space="0" w:color="auto"/>
            </w:tcBorders>
            <w:vAlign w:val="center"/>
          </w:tcPr>
          <w:p w:rsidR="002F06CA" w:rsidRPr="00E04E16" w:rsidRDefault="002F06CA" w:rsidP="00083528">
            <w:pPr>
              <w:pStyle w:val="Tabletext0"/>
              <w:spacing w:before="0" w:after="0"/>
              <w:ind w:right="-88"/>
            </w:pPr>
            <w:r w:rsidRPr="00E04E16">
              <w:t>Week 8 mean serum K+ mmol/L (SD)</w:t>
            </w:r>
          </w:p>
        </w:tc>
        <w:tc>
          <w:tcPr>
            <w:tcW w:w="1558" w:type="pct"/>
            <w:tcBorders>
              <w:top w:val="single" w:sz="4" w:space="0" w:color="auto"/>
              <w:left w:val="single" w:sz="4" w:space="0" w:color="auto"/>
              <w:bottom w:val="single" w:sz="4" w:space="0" w:color="auto"/>
              <w:right w:val="single" w:sz="4" w:space="0" w:color="auto"/>
            </w:tcBorders>
            <w:vAlign w:val="center"/>
          </w:tcPr>
          <w:p w:rsidR="002F06CA" w:rsidRPr="00E04E16" w:rsidRDefault="002F06CA" w:rsidP="00083528">
            <w:pPr>
              <w:pStyle w:val="Tabletext0"/>
              <w:spacing w:before="0" w:after="0"/>
              <w:ind w:left="-93" w:right="-110"/>
              <w:jc w:val="center"/>
            </w:pPr>
            <w:r w:rsidRPr="00E04E16">
              <w:t>4.52 (0.40)</w:t>
            </w:r>
          </w:p>
        </w:tc>
        <w:tc>
          <w:tcPr>
            <w:tcW w:w="1558" w:type="pct"/>
            <w:tcBorders>
              <w:top w:val="single" w:sz="4" w:space="0" w:color="auto"/>
              <w:left w:val="single" w:sz="4" w:space="0" w:color="auto"/>
              <w:bottom w:val="single" w:sz="4" w:space="0" w:color="auto"/>
              <w:right w:val="single" w:sz="4" w:space="0" w:color="auto"/>
            </w:tcBorders>
          </w:tcPr>
          <w:p w:rsidR="002F06CA" w:rsidRPr="00E04E16" w:rsidRDefault="002F06CA" w:rsidP="00083528">
            <w:pPr>
              <w:pStyle w:val="Tabletext0"/>
              <w:spacing w:before="0" w:after="0"/>
              <w:jc w:val="center"/>
            </w:pPr>
            <w:r w:rsidRPr="00E04E16">
              <w:t>4.85 (0.45)</w:t>
            </w:r>
          </w:p>
        </w:tc>
      </w:tr>
      <w:tr w:rsidR="002F06CA" w:rsidRPr="00E04E16" w:rsidTr="00083528">
        <w:tc>
          <w:tcPr>
            <w:tcW w:w="1884" w:type="pct"/>
            <w:tcBorders>
              <w:top w:val="single" w:sz="4" w:space="0" w:color="auto"/>
              <w:left w:val="single" w:sz="4" w:space="0" w:color="auto"/>
              <w:bottom w:val="single" w:sz="4" w:space="0" w:color="auto"/>
              <w:right w:val="single" w:sz="4" w:space="0" w:color="auto"/>
            </w:tcBorders>
            <w:vAlign w:val="center"/>
          </w:tcPr>
          <w:p w:rsidR="002F06CA" w:rsidRPr="00E04E16" w:rsidRDefault="002F06CA" w:rsidP="00083528">
            <w:pPr>
              <w:pStyle w:val="Tabletext0"/>
              <w:spacing w:before="0" w:after="0"/>
              <w:ind w:right="-88"/>
            </w:pPr>
            <w:r w:rsidRPr="00E04E16">
              <w:t>Estimated mean change in serum K+ from Part B baseline to Week 8, mmol/L (95% CI)</w:t>
            </w:r>
          </w:p>
        </w:tc>
        <w:tc>
          <w:tcPr>
            <w:tcW w:w="1558" w:type="pct"/>
            <w:tcBorders>
              <w:top w:val="single" w:sz="4" w:space="0" w:color="auto"/>
              <w:left w:val="single" w:sz="4" w:space="0" w:color="auto"/>
              <w:bottom w:val="single" w:sz="4" w:space="0" w:color="auto"/>
              <w:right w:val="single" w:sz="4" w:space="0" w:color="auto"/>
            </w:tcBorders>
            <w:vAlign w:val="center"/>
          </w:tcPr>
          <w:p w:rsidR="002F06CA" w:rsidRPr="00E04E16" w:rsidRDefault="002F06CA" w:rsidP="00083528">
            <w:pPr>
              <w:pStyle w:val="Tabletext0"/>
              <w:spacing w:before="0" w:after="0"/>
              <w:ind w:left="-93" w:right="-110"/>
              <w:jc w:val="center"/>
            </w:pPr>
            <w:r w:rsidRPr="00E04E16">
              <w:t>0.00 (-0.30, 0.30)</w:t>
            </w:r>
            <w:r w:rsidRPr="00E04E16">
              <w:rPr>
                <w:vertAlign w:val="superscript"/>
              </w:rPr>
              <w:t>a</w:t>
            </w:r>
          </w:p>
        </w:tc>
        <w:tc>
          <w:tcPr>
            <w:tcW w:w="1558" w:type="pct"/>
            <w:tcBorders>
              <w:top w:val="single" w:sz="4" w:space="0" w:color="auto"/>
              <w:left w:val="single" w:sz="4" w:space="0" w:color="auto"/>
              <w:bottom w:val="single" w:sz="4" w:space="0" w:color="auto"/>
              <w:right w:val="single" w:sz="4" w:space="0" w:color="auto"/>
            </w:tcBorders>
            <w:vAlign w:val="center"/>
          </w:tcPr>
          <w:p w:rsidR="002F06CA" w:rsidRPr="00E04E16" w:rsidRDefault="002F06CA" w:rsidP="00083528">
            <w:pPr>
              <w:pStyle w:val="Tabletext0"/>
              <w:spacing w:before="0" w:after="0"/>
              <w:jc w:val="center"/>
            </w:pPr>
            <w:r w:rsidRPr="00E04E16">
              <w:t>0.72 (0.22, 1.22)</w:t>
            </w:r>
            <w:r w:rsidRPr="00E04E16">
              <w:rPr>
                <w:vertAlign w:val="superscript"/>
              </w:rPr>
              <w:t>a</w:t>
            </w:r>
          </w:p>
        </w:tc>
      </w:tr>
      <w:tr w:rsidR="002F06CA" w:rsidRPr="00E04E16" w:rsidTr="00083528">
        <w:tc>
          <w:tcPr>
            <w:tcW w:w="1884" w:type="pct"/>
            <w:tcBorders>
              <w:top w:val="single" w:sz="4" w:space="0" w:color="auto"/>
              <w:left w:val="single" w:sz="4" w:space="0" w:color="auto"/>
              <w:bottom w:val="single" w:sz="4" w:space="0" w:color="auto"/>
              <w:right w:val="single" w:sz="4" w:space="0" w:color="auto"/>
            </w:tcBorders>
            <w:vAlign w:val="center"/>
          </w:tcPr>
          <w:p w:rsidR="002F06CA" w:rsidRPr="00E04E16" w:rsidRDefault="002F06CA" w:rsidP="00083528">
            <w:pPr>
              <w:pStyle w:val="Tabletext0"/>
              <w:spacing w:before="0" w:after="0"/>
              <w:ind w:right="-88"/>
            </w:pPr>
            <w:r w:rsidRPr="00E04E16">
              <w:t>Observed mean change in serum K+ from Part B baseline to Week 8, mmol/L (SD)</w:t>
            </w:r>
          </w:p>
        </w:tc>
        <w:tc>
          <w:tcPr>
            <w:tcW w:w="1558" w:type="pct"/>
            <w:tcBorders>
              <w:top w:val="single" w:sz="4" w:space="0" w:color="auto"/>
              <w:left w:val="single" w:sz="4" w:space="0" w:color="auto"/>
              <w:bottom w:val="single" w:sz="4" w:space="0" w:color="auto"/>
              <w:right w:val="single" w:sz="4" w:space="0" w:color="auto"/>
            </w:tcBorders>
            <w:vAlign w:val="center"/>
          </w:tcPr>
          <w:p w:rsidR="002F06CA" w:rsidRPr="00E04E16" w:rsidRDefault="002F06CA" w:rsidP="00083528">
            <w:pPr>
              <w:pStyle w:val="Tabletext0"/>
              <w:spacing w:before="0" w:after="0"/>
              <w:ind w:left="-93" w:right="-110"/>
              <w:jc w:val="center"/>
            </w:pPr>
            <w:r w:rsidRPr="00E04E16">
              <w:t>0.00 (0.56)</w:t>
            </w:r>
          </w:p>
        </w:tc>
        <w:tc>
          <w:tcPr>
            <w:tcW w:w="1558" w:type="pct"/>
            <w:tcBorders>
              <w:top w:val="single" w:sz="4" w:space="0" w:color="auto"/>
              <w:left w:val="single" w:sz="4" w:space="0" w:color="auto"/>
              <w:bottom w:val="single" w:sz="4" w:space="0" w:color="auto"/>
              <w:right w:val="single" w:sz="4" w:space="0" w:color="auto"/>
            </w:tcBorders>
            <w:vAlign w:val="center"/>
          </w:tcPr>
          <w:p w:rsidR="002F06CA" w:rsidRPr="00E04E16" w:rsidRDefault="002F06CA" w:rsidP="00083528">
            <w:pPr>
              <w:pStyle w:val="Tabletext0"/>
              <w:spacing w:before="0" w:after="0"/>
              <w:jc w:val="center"/>
            </w:pPr>
            <w:r w:rsidRPr="00E04E16">
              <w:t>0.45 (0.45)</w:t>
            </w:r>
          </w:p>
        </w:tc>
      </w:tr>
    </w:tbl>
    <w:p w:rsidR="002F06CA" w:rsidRPr="00E04E16" w:rsidRDefault="002F06CA" w:rsidP="005E0297">
      <w:pPr>
        <w:pStyle w:val="TableFooter"/>
        <w:spacing w:after="120"/>
        <w:contextualSpacing/>
      </w:pPr>
      <w:r w:rsidRPr="00E04E16">
        <w:t>Source: Table 2.5.1, p.66 and Table 2.5.3, p.68 of the resubmission; Table 37, p.167 OPAL-HK CSR.</w:t>
      </w:r>
    </w:p>
    <w:p w:rsidR="002F06CA" w:rsidRPr="00E04E16" w:rsidRDefault="002F06CA" w:rsidP="005E0297">
      <w:pPr>
        <w:pStyle w:val="TableFooter"/>
        <w:spacing w:after="120"/>
        <w:contextualSpacing/>
        <w:rPr>
          <w:rFonts w:eastAsia="Calibri"/>
        </w:rPr>
      </w:pPr>
      <w:r w:rsidRPr="00E04E16">
        <w:t xml:space="preserve">Abbreviations: </w:t>
      </w:r>
      <w:r w:rsidRPr="00E04E16">
        <w:rPr>
          <w:rFonts w:eastAsia="Calibri"/>
        </w:rPr>
        <w:t>CI, confidence interval, K+, potassium; ITT, intention-to-treat; K+, potassium; mITT, modified intention-to-treat; SD, standard deviation.</w:t>
      </w:r>
    </w:p>
    <w:p w:rsidR="00157B8D" w:rsidRPr="00E04E16" w:rsidRDefault="0064628F" w:rsidP="005E0297">
      <w:pPr>
        <w:pStyle w:val="TableFooter"/>
        <w:spacing w:after="120"/>
        <w:contextualSpacing/>
        <w:rPr>
          <w:rFonts w:eastAsia="Calibri"/>
        </w:rPr>
      </w:pPr>
      <w:r w:rsidRPr="00E04E16">
        <w:rPr>
          <w:rFonts w:eastAsia="Calibri"/>
          <w:vertAlign w:val="superscript"/>
        </w:rPr>
        <w:t>a</w:t>
      </w:r>
      <w:r w:rsidRPr="00E04E16">
        <w:rPr>
          <w:rFonts w:eastAsia="Calibri"/>
        </w:rPr>
        <w:t xml:space="preserve"> Estimated mean change in serum potassium including imputed endpoints for missing data.</w:t>
      </w:r>
    </w:p>
    <w:p w:rsidR="002F06CA" w:rsidRPr="00E04E16" w:rsidRDefault="002F06CA" w:rsidP="002F06CA">
      <w:pPr>
        <w:pStyle w:val="ExecSumBodyText"/>
      </w:pPr>
      <w:r w:rsidRPr="00E04E16">
        <w:t xml:space="preserve">In OPAL-HK Part A there were statistically significant decreases in serum potassium concentrations from baseline to Week 4 in both patiromer dose groups, but decreases in serum potassium concentrations were smaller for Dose group 1. It is unclear whether the reduction in serum potassium </w:t>
      </w:r>
      <w:r w:rsidR="00457E21" w:rsidRPr="00E04E16">
        <w:t xml:space="preserve">was clinically meaningful, particularly for </w:t>
      </w:r>
      <w:r w:rsidRPr="00E04E16">
        <w:t>Dose group 1.</w:t>
      </w:r>
    </w:p>
    <w:p w:rsidR="002F06CA" w:rsidRPr="00E04E16" w:rsidRDefault="002F06CA" w:rsidP="002F06CA">
      <w:pPr>
        <w:pStyle w:val="ExecSumBodyText"/>
      </w:pPr>
      <w:r w:rsidRPr="00E04E16">
        <w:t xml:space="preserve">In OPAL Part B patients continuing treatment with patiromer showed no change in mean serum potassium concentration from the Part B baseline to Week 8, while patients switching to placebo showed statistically significant increases in estimated </w:t>
      </w:r>
      <w:r w:rsidRPr="00E04E16">
        <w:lastRenderedPageBreak/>
        <w:t>mean serum potassium concentrations. Mean serum potassium concentrations remained &lt; 5.1 mmol/L for both treatment arms</w:t>
      </w:r>
      <w:r w:rsidRPr="00E04E16">
        <w:rPr>
          <w:rFonts w:cs="Calibri"/>
          <w:snapToGrid/>
        </w:rPr>
        <w:t>.</w:t>
      </w:r>
    </w:p>
    <w:p w:rsidR="002F06CA" w:rsidRPr="00E04E16" w:rsidRDefault="002F06CA" w:rsidP="00A4017B">
      <w:pPr>
        <w:pStyle w:val="ExecSumBodyText"/>
      </w:pPr>
      <w:r w:rsidRPr="00E04E16">
        <w:t>For the key secondary outcome in OPAL Part A (proportions of patients achieving target serum potassium concentrations of 3.8 to &lt; 5.1 mmol/L)</w:t>
      </w:r>
      <w:r w:rsidR="00F17F9B" w:rsidRPr="00E04E16">
        <w:t>,</w:t>
      </w:r>
      <w:r w:rsidRPr="00E04E16">
        <w:t xml:space="preserve"> 76% (95% CI 70, 81) of patients </w:t>
      </w:r>
      <w:r w:rsidR="0058308C" w:rsidRPr="00E04E16">
        <w:t xml:space="preserve">across both dose groups </w:t>
      </w:r>
      <w:r w:rsidRPr="00E04E16">
        <w:t>achieved serum potassium concentrations in the target range</w:t>
      </w:r>
      <w:r w:rsidR="00A4017B" w:rsidRPr="00E04E16">
        <w:t>, comprising 74% of patients in Dose Group 1 (mean dose 12.8 g/day</w:t>
      </w:r>
      <w:r w:rsidR="00926A80" w:rsidRPr="00E04E16">
        <w:t>, range 8 - 36 g/day</w:t>
      </w:r>
      <w:r w:rsidR="00A4017B" w:rsidRPr="00E04E16">
        <w:t>) and 77% in Dose Group 2 (mean dose 21.4 g/day</w:t>
      </w:r>
      <w:r w:rsidR="00926A80" w:rsidRPr="00E04E16">
        <w:t>, range 11 – 37 g/day</w:t>
      </w:r>
      <w:r w:rsidR="00A4017B" w:rsidRPr="00E04E16">
        <w:t>)</w:t>
      </w:r>
      <w:r w:rsidR="000E0333" w:rsidRPr="00E04E16">
        <w:t>.</w:t>
      </w:r>
    </w:p>
    <w:p w:rsidR="00157B8D" w:rsidRPr="00E04E16" w:rsidRDefault="002F06CA" w:rsidP="00157B8D">
      <w:pPr>
        <w:pStyle w:val="ExecSumBodyText"/>
        <w:rPr>
          <w:color w:val="0066FF"/>
        </w:rPr>
      </w:pPr>
      <w:r w:rsidRPr="00E04E16">
        <w:t>Table 6 shows the stratified percentages of patients in OPAL-HK Part B with serum potassium concentrations &gt; 5.5 mmol/L or &gt; 5.1 mmol/L at any time during the eight week treatment phase of the withdrawal study.</w:t>
      </w:r>
    </w:p>
    <w:p w:rsidR="002F06CA" w:rsidRPr="00E04E16" w:rsidRDefault="002F06CA" w:rsidP="00BB546F">
      <w:pPr>
        <w:pStyle w:val="TableFigureCaption"/>
        <w:keepLines/>
      </w:pPr>
      <w:r w:rsidRPr="00E04E16">
        <w:t>Table 6: Proportions of patients with elevated serum potassium concentrations at any time post baseline in the OPAL-HK Part B withdrawal study (8 weeks; ITT)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5"/>
        <w:gridCol w:w="1690"/>
        <w:gridCol w:w="1690"/>
        <w:gridCol w:w="1692"/>
      </w:tblGrid>
      <w:tr w:rsidR="002F06CA" w:rsidRPr="00E04E16" w:rsidTr="00083528">
        <w:trPr>
          <w:trHeight w:val="469"/>
          <w:tblHeader/>
        </w:trPr>
        <w:tc>
          <w:tcPr>
            <w:tcW w:w="2188" w:type="pct"/>
            <w:vAlign w:val="center"/>
          </w:tcPr>
          <w:p w:rsidR="002F06CA" w:rsidRPr="00E04E16" w:rsidRDefault="002F06CA" w:rsidP="00BB546F">
            <w:pPr>
              <w:pStyle w:val="Tabletext0"/>
              <w:keepLines/>
              <w:spacing w:before="0" w:after="0"/>
              <w:rPr>
                <w:b/>
              </w:rPr>
            </w:pPr>
          </w:p>
        </w:tc>
        <w:tc>
          <w:tcPr>
            <w:tcW w:w="937" w:type="pct"/>
            <w:vAlign w:val="center"/>
          </w:tcPr>
          <w:p w:rsidR="002F06CA" w:rsidRPr="00E04E16" w:rsidRDefault="002F06CA" w:rsidP="00BB546F">
            <w:pPr>
              <w:pStyle w:val="Tabletext0"/>
              <w:keepLines/>
              <w:spacing w:before="0" w:after="0"/>
              <w:jc w:val="center"/>
              <w:rPr>
                <w:b/>
              </w:rPr>
            </w:pPr>
            <w:r w:rsidRPr="00E04E16">
              <w:rPr>
                <w:b/>
              </w:rPr>
              <w:t>Patiromer</w:t>
            </w:r>
          </w:p>
          <w:p w:rsidR="002F06CA" w:rsidRPr="00E04E16" w:rsidRDefault="002F06CA" w:rsidP="00BB546F">
            <w:pPr>
              <w:pStyle w:val="Tabletext0"/>
              <w:keepLines/>
              <w:spacing w:before="0" w:after="0"/>
              <w:jc w:val="center"/>
              <w:rPr>
                <w:b/>
              </w:rPr>
            </w:pPr>
            <w:r w:rsidRPr="00E04E16">
              <w:rPr>
                <w:b/>
              </w:rPr>
              <w:t>(N=55)</w:t>
            </w:r>
          </w:p>
        </w:tc>
        <w:tc>
          <w:tcPr>
            <w:tcW w:w="937" w:type="pct"/>
            <w:vAlign w:val="center"/>
          </w:tcPr>
          <w:p w:rsidR="002F06CA" w:rsidRPr="00E04E16" w:rsidRDefault="002F06CA" w:rsidP="00BB546F">
            <w:pPr>
              <w:pStyle w:val="Tabletext0"/>
              <w:keepLines/>
              <w:spacing w:before="0" w:after="0"/>
              <w:jc w:val="center"/>
              <w:rPr>
                <w:b/>
              </w:rPr>
            </w:pPr>
            <w:r w:rsidRPr="00E04E16">
              <w:rPr>
                <w:b/>
              </w:rPr>
              <w:t>Placebo</w:t>
            </w:r>
          </w:p>
          <w:p w:rsidR="002F06CA" w:rsidRPr="00E04E16" w:rsidRDefault="002F06CA" w:rsidP="00BB546F">
            <w:pPr>
              <w:pStyle w:val="Tabletext0"/>
              <w:keepLines/>
              <w:spacing w:before="0" w:after="0"/>
              <w:jc w:val="center"/>
              <w:rPr>
                <w:b/>
              </w:rPr>
            </w:pPr>
            <w:r w:rsidRPr="00E04E16">
              <w:rPr>
                <w:b/>
              </w:rPr>
              <w:t>(N=52)</w:t>
            </w:r>
          </w:p>
        </w:tc>
        <w:tc>
          <w:tcPr>
            <w:tcW w:w="938" w:type="pct"/>
            <w:vAlign w:val="center"/>
          </w:tcPr>
          <w:p w:rsidR="002F06CA" w:rsidRPr="00E04E16" w:rsidRDefault="002F06CA" w:rsidP="00BB546F">
            <w:pPr>
              <w:pStyle w:val="Tabletext0"/>
              <w:keepLines/>
              <w:spacing w:before="0" w:after="0"/>
              <w:jc w:val="center"/>
              <w:rPr>
                <w:b/>
              </w:rPr>
            </w:pPr>
            <w:r w:rsidRPr="00E04E16">
              <w:rPr>
                <w:b/>
              </w:rPr>
              <w:t xml:space="preserve">Difference </w:t>
            </w:r>
          </w:p>
          <w:p w:rsidR="002F06CA" w:rsidRPr="00E04E16" w:rsidRDefault="002F06CA" w:rsidP="00BB546F">
            <w:pPr>
              <w:pStyle w:val="Tabletext0"/>
              <w:keepLines/>
              <w:spacing w:before="0" w:after="0"/>
              <w:jc w:val="center"/>
              <w:rPr>
                <w:b/>
              </w:rPr>
            </w:pPr>
            <w:r w:rsidRPr="00E04E16">
              <w:rPr>
                <w:b/>
              </w:rPr>
              <w:t>% (95% CI)</w:t>
            </w:r>
          </w:p>
        </w:tc>
      </w:tr>
      <w:tr w:rsidR="002F06CA" w:rsidRPr="00E04E16" w:rsidTr="00083528">
        <w:tc>
          <w:tcPr>
            <w:tcW w:w="2188" w:type="pct"/>
            <w:vAlign w:val="center"/>
          </w:tcPr>
          <w:p w:rsidR="002F06CA" w:rsidRPr="00E04E16" w:rsidRDefault="002F06CA" w:rsidP="00BB546F">
            <w:pPr>
              <w:pStyle w:val="Tabletext0"/>
              <w:keepLines/>
              <w:spacing w:before="0" w:after="0"/>
              <w:rPr>
                <w:vertAlign w:val="superscript"/>
              </w:rPr>
            </w:pPr>
            <w:r w:rsidRPr="00E04E16">
              <w:t>Proportion with serum K+ &gt; 5.5 mmol/L (95% CI)</w:t>
            </w:r>
            <w:r w:rsidRPr="00E04E16">
              <w:rPr>
                <w:vertAlign w:val="superscript"/>
              </w:rPr>
              <w:t>a</w:t>
            </w:r>
          </w:p>
        </w:tc>
        <w:tc>
          <w:tcPr>
            <w:tcW w:w="937" w:type="pct"/>
          </w:tcPr>
          <w:p w:rsidR="002F06CA" w:rsidRPr="00E04E16" w:rsidRDefault="002F06CA" w:rsidP="00BB546F">
            <w:pPr>
              <w:pStyle w:val="Tabletext0"/>
              <w:keepLines/>
              <w:spacing w:before="0" w:after="0"/>
              <w:jc w:val="center"/>
            </w:pPr>
            <w:r w:rsidRPr="00E04E16">
              <w:t>15% ( 6, 24)</w:t>
            </w:r>
          </w:p>
        </w:tc>
        <w:tc>
          <w:tcPr>
            <w:tcW w:w="937" w:type="pct"/>
          </w:tcPr>
          <w:p w:rsidR="002F06CA" w:rsidRPr="00E04E16" w:rsidRDefault="002F06CA" w:rsidP="00BB546F">
            <w:pPr>
              <w:pStyle w:val="Tabletext0"/>
              <w:keepLines/>
              <w:spacing w:before="0" w:after="0"/>
              <w:jc w:val="center"/>
            </w:pPr>
            <w:r w:rsidRPr="00E04E16">
              <w:t>60% (47, 74)</w:t>
            </w:r>
          </w:p>
        </w:tc>
        <w:tc>
          <w:tcPr>
            <w:tcW w:w="938" w:type="pct"/>
          </w:tcPr>
          <w:p w:rsidR="002F06CA" w:rsidRPr="00E04E16" w:rsidRDefault="002F06CA" w:rsidP="00BB546F">
            <w:pPr>
              <w:pStyle w:val="Tabletext0"/>
              <w:keepLines/>
              <w:spacing w:before="0" w:after="0"/>
              <w:jc w:val="center"/>
            </w:pPr>
            <w:r w:rsidRPr="00E04E16">
              <w:t>45% (29, 61)</w:t>
            </w:r>
          </w:p>
        </w:tc>
      </w:tr>
      <w:tr w:rsidR="002F06CA" w:rsidRPr="00E04E16" w:rsidTr="00083528">
        <w:tc>
          <w:tcPr>
            <w:tcW w:w="2188" w:type="pct"/>
            <w:vAlign w:val="center"/>
          </w:tcPr>
          <w:p w:rsidR="002F06CA" w:rsidRPr="00E04E16" w:rsidRDefault="002F06CA" w:rsidP="00BB546F">
            <w:pPr>
              <w:pStyle w:val="Tabletext0"/>
              <w:keepLines/>
              <w:spacing w:before="0" w:after="0"/>
              <w:rPr>
                <w:vertAlign w:val="superscript"/>
              </w:rPr>
            </w:pPr>
            <w:r w:rsidRPr="00E04E16">
              <w:t>Proportion with serum K+ &gt; 5.1 mmol/L (95% CI)</w:t>
            </w:r>
            <w:r w:rsidRPr="00E04E16">
              <w:rPr>
                <w:vertAlign w:val="superscript"/>
              </w:rPr>
              <w:t>a</w:t>
            </w:r>
          </w:p>
        </w:tc>
        <w:tc>
          <w:tcPr>
            <w:tcW w:w="937" w:type="pct"/>
          </w:tcPr>
          <w:p w:rsidR="002F06CA" w:rsidRPr="00E04E16" w:rsidRDefault="002F06CA" w:rsidP="00BB546F">
            <w:pPr>
              <w:pStyle w:val="Tabletext0"/>
              <w:keepLines/>
              <w:spacing w:before="0" w:after="0"/>
              <w:jc w:val="center"/>
            </w:pPr>
            <w:r w:rsidRPr="00E04E16">
              <w:t>43% (30, 56)</w:t>
            </w:r>
          </w:p>
        </w:tc>
        <w:tc>
          <w:tcPr>
            <w:tcW w:w="937" w:type="pct"/>
          </w:tcPr>
          <w:p w:rsidR="002F06CA" w:rsidRPr="00E04E16" w:rsidRDefault="002F06CA" w:rsidP="00BB546F">
            <w:pPr>
              <w:pStyle w:val="Tabletext0"/>
              <w:keepLines/>
              <w:spacing w:before="0" w:after="0"/>
              <w:jc w:val="center"/>
            </w:pPr>
            <w:r w:rsidRPr="00E04E16">
              <w:t>91% (83, 99)</w:t>
            </w:r>
          </w:p>
        </w:tc>
        <w:tc>
          <w:tcPr>
            <w:tcW w:w="938" w:type="pct"/>
          </w:tcPr>
          <w:p w:rsidR="002F06CA" w:rsidRPr="00E04E16" w:rsidRDefault="002F06CA" w:rsidP="00BB546F">
            <w:pPr>
              <w:pStyle w:val="Tabletext0"/>
              <w:keepLines/>
              <w:spacing w:before="0" w:after="0"/>
              <w:jc w:val="center"/>
            </w:pPr>
            <w:r w:rsidRPr="00E04E16">
              <w:t>48% (33, 63)</w:t>
            </w:r>
          </w:p>
        </w:tc>
      </w:tr>
    </w:tbl>
    <w:p w:rsidR="002F06CA" w:rsidRPr="00E04E16" w:rsidRDefault="002F06CA" w:rsidP="00BB546F">
      <w:pPr>
        <w:pStyle w:val="TableFooter"/>
        <w:keepNext/>
        <w:keepLines/>
        <w:spacing w:after="120"/>
        <w:contextualSpacing/>
      </w:pPr>
      <w:r w:rsidRPr="00E04E16">
        <w:t>Source: Table 2.5.4, p.68 of the resubmission.</w:t>
      </w:r>
    </w:p>
    <w:p w:rsidR="002F06CA" w:rsidRPr="00E04E16" w:rsidRDefault="002F06CA" w:rsidP="00BB546F">
      <w:pPr>
        <w:pStyle w:val="TableFooter"/>
        <w:keepNext/>
        <w:keepLines/>
        <w:spacing w:after="120"/>
        <w:contextualSpacing/>
        <w:rPr>
          <w:rFonts w:eastAsia="Calibri"/>
        </w:rPr>
      </w:pPr>
      <w:r w:rsidRPr="00E04E16">
        <w:t xml:space="preserve">Abbreviations: </w:t>
      </w:r>
      <w:r w:rsidRPr="00E04E16">
        <w:rPr>
          <w:rFonts w:eastAsia="Calibri"/>
        </w:rPr>
        <w:t>CI, confidence interval, K+, potassium.</w:t>
      </w:r>
    </w:p>
    <w:p w:rsidR="00157B8D" w:rsidRPr="00E04E16" w:rsidRDefault="002F06CA" w:rsidP="00BB546F">
      <w:pPr>
        <w:pStyle w:val="TableFooter"/>
        <w:keepNext/>
        <w:keepLines/>
        <w:spacing w:after="240"/>
        <w:rPr>
          <w:rFonts w:eastAsia="Calibri"/>
        </w:rPr>
      </w:pPr>
      <w:r w:rsidRPr="00E04E16">
        <w:rPr>
          <w:rFonts w:eastAsia="Calibri"/>
          <w:vertAlign w:val="superscript"/>
        </w:rPr>
        <w:t>a</w:t>
      </w:r>
      <w:r w:rsidRPr="00E04E16">
        <w:rPr>
          <w:rFonts w:eastAsia="Calibri"/>
        </w:rPr>
        <w:t xml:space="preserve"> Estimated percentages stratified by T2DM and Part A baseline central lab serum potassium assay (&lt; 5.8 or ≥ 5.8 mmol/L).</w:t>
      </w:r>
    </w:p>
    <w:p w:rsidR="002F06CA" w:rsidRPr="00E04E16" w:rsidRDefault="002F06CA" w:rsidP="002F06CA">
      <w:pPr>
        <w:pStyle w:val="ExecSumBodyText"/>
        <w:rPr>
          <w:color w:val="0066FF"/>
        </w:rPr>
      </w:pPr>
      <w:r w:rsidRPr="00E04E16">
        <w:t>Larger proportions of patients receiving placebo reported a serum potassium concentration of &gt; 5.5 or &gt; 5.1 mmol/L compared to patients treated with patiromer. However, mean serum potassium concentrations in both treatment arms remained within the target range of 3.5 - &lt; 5.1 mmol/L over the eight week withdrawal study (Table 14.4.6.2.1, p.379 of the OPAL-HK Appendix tables).</w:t>
      </w:r>
    </w:p>
    <w:p w:rsidR="002F06CA" w:rsidRPr="00E04E16" w:rsidRDefault="002F06CA" w:rsidP="002F06CA">
      <w:pPr>
        <w:pStyle w:val="ExecSumBodyText"/>
        <w:rPr>
          <w:color w:val="0066FF"/>
        </w:rPr>
      </w:pPr>
      <w:r w:rsidRPr="00E04E16">
        <w:t xml:space="preserve">Table 7 </w:t>
      </w:r>
      <w:r w:rsidR="004772D0" w:rsidRPr="00E04E16">
        <w:t xml:space="preserve">shows the </w:t>
      </w:r>
      <w:r w:rsidRPr="00E04E16">
        <w:t>exploratory outcomes of patiromer and RAASi use in the OPAL-HK study.</w:t>
      </w:r>
    </w:p>
    <w:p w:rsidR="002F06CA" w:rsidRPr="00E04E16" w:rsidRDefault="002F06CA" w:rsidP="00BB546F">
      <w:pPr>
        <w:pStyle w:val="TableFigureCaption"/>
        <w:keepLines/>
      </w:pPr>
      <w:r w:rsidRPr="00E04E16">
        <w:lastRenderedPageBreak/>
        <w:t xml:space="preserve">Table 7: Patiromer and RAASi dose adjustment at 8 weeks in OPAL-HK Part B withdrawal study (ITT; exploratory outcomes)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7"/>
        <w:gridCol w:w="1630"/>
        <w:gridCol w:w="1630"/>
        <w:gridCol w:w="940"/>
      </w:tblGrid>
      <w:tr w:rsidR="002F06CA" w:rsidRPr="00E04E16" w:rsidTr="00083528">
        <w:trPr>
          <w:trHeight w:val="469"/>
          <w:tblHeader/>
        </w:trPr>
        <w:tc>
          <w:tcPr>
            <w:tcW w:w="2671" w:type="pct"/>
            <w:vAlign w:val="center"/>
          </w:tcPr>
          <w:p w:rsidR="002F06CA" w:rsidRPr="00E04E16" w:rsidRDefault="002F06CA" w:rsidP="00BB546F">
            <w:pPr>
              <w:pStyle w:val="Tabletext0"/>
              <w:keepLines/>
              <w:spacing w:before="0" w:after="0"/>
              <w:ind w:right="-40"/>
              <w:jc w:val="center"/>
              <w:rPr>
                <w:b/>
              </w:rPr>
            </w:pPr>
          </w:p>
        </w:tc>
        <w:tc>
          <w:tcPr>
            <w:tcW w:w="904" w:type="pct"/>
          </w:tcPr>
          <w:p w:rsidR="002F06CA" w:rsidRPr="00E04E16" w:rsidRDefault="002F06CA" w:rsidP="00BB546F">
            <w:pPr>
              <w:pStyle w:val="Tabletext0"/>
              <w:keepLines/>
              <w:spacing w:before="0" w:after="0"/>
              <w:jc w:val="center"/>
              <w:rPr>
                <w:b/>
              </w:rPr>
            </w:pPr>
            <w:r w:rsidRPr="00E04E16">
              <w:rPr>
                <w:b/>
              </w:rPr>
              <w:t>Patiromer</w:t>
            </w:r>
          </w:p>
          <w:p w:rsidR="002F06CA" w:rsidRPr="00E04E16" w:rsidRDefault="002F06CA" w:rsidP="00BB546F">
            <w:pPr>
              <w:pStyle w:val="Tabletext0"/>
              <w:keepLines/>
              <w:spacing w:before="0" w:after="0"/>
              <w:jc w:val="center"/>
              <w:rPr>
                <w:b/>
              </w:rPr>
            </w:pPr>
            <w:r w:rsidRPr="00E04E16">
              <w:rPr>
                <w:b/>
              </w:rPr>
              <w:t>(N=55)</w:t>
            </w:r>
          </w:p>
        </w:tc>
        <w:tc>
          <w:tcPr>
            <w:tcW w:w="904" w:type="pct"/>
            <w:vAlign w:val="center"/>
          </w:tcPr>
          <w:p w:rsidR="002F06CA" w:rsidRPr="00E04E16" w:rsidRDefault="002F06CA" w:rsidP="00BB546F">
            <w:pPr>
              <w:pStyle w:val="Tabletext0"/>
              <w:keepLines/>
              <w:spacing w:before="0" w:after="0"/>
              <w:jc w:val="center"/>
              <w:rPr>
                <w:b/>
              </w:rPr>
            </w:pPr>
            <w:r w:rsidRPr="00E04E16">
              <w:rPr>
                <w:b/>
              </w:rPr>
              <w:t>Placebo</w:t>
            </w:r>
          </w:p>
          <w:p w:rsidR="002F06CA" w:rsidRPr="00E04E16" w:rsidRDefault="002F06CA" w:rsidP="00BB546F">
            <w:pPr>
              <w:pStyle w:val="Tabletext0"/>
              <w:keepLines/>
              <w:spacing w:before="0" w:after="0"/>
              <w:jc w:val="center"/>
              <w:rPr>
                <w:b/>
              </w:rPr>
            </w:pPr>
            <w:r w:rsidRPr="00E04E16">
              <w:rPr>
                <w:b/>
              </w:rPr>
              <w:t>(N=52)</w:t>
            </w:r>
          </w:p>
        </w:tc>
        <w:tc>
          <w:tcPr>
            <w:tcW w:w="522" w:type="pct"/>
            <w:vAlign w:val="center"/>
          </w:tcPr>
          <w:p w:rsidR="002F06CA" w:rsidRPr="00E04E16" w:rsidRDefault="002F06CA" w:rsidP="00BB546F">
            <w:pPr>
              <w:pStyle w:val="Tabletext0"/>
              <w:keepLines/>
              <w:spacing w:before="0" w:after="0"/>
              <w:jc w:val="center"/>
              <w:rPr>
                <w:b/>
                <w:vertAlign w:val="superscript"/>
              </w:rPr>
            </w:pPr>
            <w:r w:rsidRPr="00E04E16">
              <w:rPr>
                <w:b/>
              </w:rPr>
              <w:t>p-values</w:t>
            </w:r>
            <w:r w:rsidRPr="00E04E16">
              <w:rPr>
                <w:b/>
                <w:vertAlign w:val="superscript"/>
              </w:rPr>
              <w:t>a</w:t>
            </w:r>
          </w:p>
        </w:tc>
      </w:tr>
      <w:tr w:rsidR="002F06CA" w:rsidRPr="00E04E16" w:rsidTr="00083528">
        <w:tc>
          <w:tcPr>
            <w:tcW w:w="5000" w:type="pct"/>
            <w:gridSpan w:val="4"/>
            <w:vAlign w:val="center"/>
          </w:tcPr>
          <w:p w:rsidR="002F06CA" w:rsidRPr="00E04E16" w:rsidRDefault="002F06CA" w:rsidP="00BB546F">
            <w:pPr>
              <w:pStyle w:val="Tabletext0"/>
              <w:keepLines/>
              <w:spacing w:before="0" w:after="0"/>
              <w:ind w:right="-40"/>
              <w:rPr>
                <w:b/>
              </w:rPr>
            </w:pPr>
            <w:r w:rsidRPr="00E04E16">
              <w:rPr>
                <w:b/>
              </w:rPr>
              <w:t>Management of recurrent hyperkalaemia at Week 8</w:t>
            </w:r>
          </w:p>
        </w:tc>
      </w:tr>
      <w:tr w:rsidR="002F06CA" w:rsidRPr="00E04E16" w:rsidTr="00083528">
        <w:tc>
          <w:tcPr>
            <w:tcW w:w="2671" w:type="pct"/>
            <w:vAlign w:val="center"/>
          </w:tcPr>
          <w:p w:rsidR="002F06CA" w:rsidRPr="00E04E16" w:rsidRDefault="002F06CA" w:rsidP="00BB546F">
            <w:pPr>
              <w:pStyle w:val="Tabletext0"/>
              <w:keepLines/>
              <w:spacing w:before="0" w:after="0"/>
              <w:ind w:right="-40"/>
            </w:pPr>
            <w:r w:rsidRPr="00E04E16">
              <w:t>Patiromer dose increased, n (%)</w:t>
            </w:r>
          </w:p>
        </w:tc>
        <w:tc>
          <w:tcPr>
            <w:tcW w:w="904" w:type="pct"/>
          </w:tcPr>
          <w:p w:rsidR="002F06CA" w:rsidRPr="00E04E16" w:rsidRDefault="002F06CA" w:rsidP="00BB546F">
            <w:pPr>
              <w:pStyle w:val="Tabletext0"/>
              <w:keepLines/>
              <w:spacing w:before="0" w:after="0"/>
              <w:ind w:right="-68"/>
              <w:jc w:val="center"/>
            </w:pPr>
            <w:r w:rsidRPr="00E04E16">
              <w:t>6 (11%)</w:t>
            </w:r>
          </w:p>
        </w:tc>
        <w:tc>
          <w:tcPr>
            <w:tcW w:w="904" w:type="pct"/>
          </w:tcPr>
          <w:p w:rsidR="002F06CA" w:rsidRPr="00E04E16" w:rsidRDefault="002F06CA" w:rsidP="00BB546F">
            <w:pPr>
              <w:pStyle w:val="Tabletext0"/>
              <w:keepLines/>
              <w:spacing w:before="0" w:after="0"/>
              <w:ind w:right="-68"/>
              <w:jc w:val="center"/>
            </w:pPr>
            <w:r w:rsidRPr="00E04E16">
              <w:t>NA</w:t>
            </w:r>
          </w:p>
        </w:tc>
        <w:tc>
          <w:tcPr>
            <w:tcW w:w="522" w:type="pct"/>
          </w:tcPr>
          <w:p w:rsidR="002F06CA" w:rsidRPr="00E04E16" w:rsidRDefault="002F06CA" w:rsidP="00BB546F">
            <w:pPr>
              <w:pStyle w:val="Tabletext0"/>
              <w:keepLines/>
              <w:spacing w:before="0" w:after="0"/>
              <w:ind w:right="-68"/>
              <w:jc w:val="center"/>
            </w:pPr>
            <w:r w:rsidRPr="00E04E16">
              <w:t>-</w:t>
            </w:r>
          </w:p>
        </w:tc>
      </w:tr>
      <w:tr w:rsidR="002F06CA" w:rsidRPr="00E04E16" w:rsidTr="00083528">
        <w:tc>
          <w:tcPr>
            <w:tcW w:w="2671" w:type="pct"/>
            <w:vAlign w:val="center"/>
          </w:tcPr>
          <w:p w:rsidR="002F06CA" w:rsidRPr="00E04E16" w:rsidRDefault="002F06CA" w:rsidP="00BB546F">
            <w:pPr>
              <w:pStyle w:val="Tabletext0"/>
              <w:keepLines/>
              <w:spacing w:before="0" w:after="0"/>
              <w:ind w:right="-40"/>
            </w:pPr>
            <w:r w:rsidRPr="00E04E16">
              <w:t>RAASi dose reduced by 50%, n (%)</w:t>
            </w:r>
          </w:p>
        </w:tc>
        <w:tc>
          <w:tcPr>
            <w:tcW w:w="904" w:type="pct"/>
          </w:tcPr>
          <w:p w:rsidR="002F06CA" w:rsidRPr="00E04E16" w:rsidRDefault="002F06CA" w:rsidP="00BB546F">
            <w:pPr>
              <w:pStyle w:val="Tabletext0"/>
              <w:keepLines/>
              <w:spacing w:before="0" w:after="0"/>
              <w:ind w:right="-68"/>
              <w:jc w:val="center"/>
            </w:pPr>
            <w:r w:rsidRPr="00E04E16">
              <w:t>0</w:t>
            </w:r>
          </w:p>
        </w:tc>
        <w:tc>
          <w:tcPr>
            <w:tcW w:w="904" w:type="pct"/>
          </w:tcPr>
          <w:p w:rsidR="002F06CA" w:rsidRPr="00E04E16" w:rsidRDefault="002F06CA" w:rsidP="00BB546F">
            <w:pPr>
              <w:pStyle w:val="Tabletext0"/>
              <w:keepLines/>
              <w:spacing w:before="0" w:after="0"/>
              <w:ind w:right="-68"/>
              <w:jc w:val="center"/>
            </w:pPr>
            <w:r w:rsidRPr="00E04E16">
              <w:t>5 (10%)</w:t>
            </w:r>
          </w:p>
        </w:tc>
        <w:tc>
          <w:tcPr>
            <w:tcW w:w="522" w:type="pct"/>
          </w:tcPr>
          <w:p w:rsidR="002F06CA" w:rsidRPr="00E04E16" w:rsidRDefault="002F06CA" w:rsidP="00BB546F">
            <w:pPr>
              <w:pStyle w:val="Tabletext0"/>
              <w:keepLines/>
              <w:spacing w:before="0" w:after="0"/>
              <w:ind w:right="-68"/>
              <w:jc w:val="center"/>
            </w:pPr>
            <w:r w:rsidRPr="00E04E16">
              <w:t>-</w:t>
            </w:r>
          </w:p>
        </w:tc>
      </w:tr>
      <w:tr w:rsidR="002F06CA" w:rsidRPr="00E04E16" w:rsidTr="00083528">
        <w:tc>
          <w:tcPr>
            <w:tcW w:w="2671" w:type="pct"/>
            <w:vAlign w:val="center"/>
          </w:tcPr>
          <w:p w:rsidR="002F06CA" w:rsidRPr="00E04E16" w:rsidRDefault="002F06CA" w:rsidP="00BB546F">
            <w:pPr>
              <w:pStyle w:val="Tabletext0"/>
              <w:keepLines/>
              <w:spacing w:before="0" w:after="0"/>
              <w:ind w:right="-40"/>
            </w:pPr>
            <w:r w:rsidRPr="00E04E16">
              <w:t>RAASi discontinued, n (%)</w:t>
            </w:r>
          </w:p>
        </w:tc>
        <w:tc>
          <w:tcPr>
            <w:tcW w:w="904" w:type="pct"/>
          </w:tcPr>
          <w:p w:rsidR="002F06CA" w:rsidRPr="00E04E16" w:rsidRDefault="002F06CA" w:rsidP="00BB546F">
            <w:pPr>
              <w:pStyle w:val="Tabletext0"/>
              <w:keepLines/>
              <w:spacing w:before="0" w:after="0"/>
              <w:ind w:right="-68"/>
              <w:jc w:val="center"/>
            </w:pPr>
            <w:r w:rsidRPr="00E04E16">
              <w:t>3 (5%)</w:t>
            </w:r>
          </w:p>
        </w:tc>
        <w:tc>
          <w:tcPr>
            <w:tcW w:w="904" w:type="pct"/>
          </w:tcPr>
          <w:p w:rsidR="002F06CA" w:rsidRPr="00E04E16" w:rsidRDefault="002F06CA" w:rsidP="00BB546F">
            <w:pPr>
              <w:pStyle w:val="Tabletext0"/>
              <w:keepLines/>
              <w:spacing w:before="0" w:after="0"/>
              <w:ind w:right="-68"/>
              <w:jc w:val="center"/>
            </w:pPr>
            <w:r w:rsidRPr="00E04E16">
              <w:t>27 (52%)</w:t>
            </w:r>
          </w:p>
        </w:tc>
        <w:tc>
          <w:tcPr>
            <w:tcW w:w="522" w:type="pct"/>
          </w:tcPr>
          <w:p w:rsidR="002F06CA" w:rsidRPr="00E04E16" w:rsidRDefault="002F06CA" w:rsidP="00BB546F">
            <w:pPr>
              <w:pStyle w:val="Tabletext0"/>
              <w:keepLines/>
              <w:spacing w:before="0" w:after="0"/>
              <w:ind w:right="-68"/>
              <w:jc w:val="center"/>
            </w:pPr>
            <w:r w:rsidRPr="00E04E16">
              <w:t>-</w:t>
            </w:r>
          </w:p>
        </w:tc>
      </w:tr>
      <w:tr w:rsidR="002F06CA" w:rsidRPr="00E04E16" w:rsidTr="00083528">
        <w:tc>
          <w:tcPr>
            <w:tcW w:w="2671" w:type="pct"/>
            <w:vAlign w:val="center"/>
          </w:tcPr>
          <w:p w:rsidR="002F06CA" w:rsidRPr="00E04E16" w:rsidRDefault="002F06CA" w:rsidP="00BB546F">
            <w:pPr>
              <w:pStyle w:val="Tabletext0"/>
              <w:keepLines/>
              <w:spacing w:before="0" w:after="0"/>
              <w:ind w:right="-40"/>
            </w:pPr>
            <w:r w:rsidRPr="00E04E16">
              <w:t>No patiromer dose increase or RAASi discontinuation, completed study, n (%)</w:t>
            </w:r>
          </w:p>
        </w:tc>
        <w:tc>
          <w:tcPr>
            <w:tcW w:w="904" w:type="pct"/>
          </w:tcPr>
          <w:p w:rsidR="002F06CA" w:rsidRPr="00E04E16" w:rsidRDefault="002F06CA" w:rsidP="00BB546F">
            <w:pPr>
              <w:pStyle w:val="Tabletext0"/>
              <w:keepLines/>
              <w:spacing w:before="0" w:after="0"/>
              <w:ind w:right="-68"/>
              <w:jc w:val="center"/>
            </w:pPr>
            <w:r w:rsidRPr="00E04E16">
              <w:t>40 (73%)</w:t>
            </w:r>
          </w:p>
        </w:tc>
        <w:tc>
          <w:tcPr>
            <w:tcW w:w="904" w:type="pct"/>
          </w:tcPr>
          <w:p w:rsidR="002F06CA" w:rsidRPr="00E04E16" w:rsidRDefault="002F06CA" w:rsidP="00BB546F">
            <w:pPr>
              <w:pStyle w:val="Tabletext0"/>
              <w:keepLines/>
              <w:spacing w:before="0" w:after="0"/>
              <w:ind w:right="-68"/>
              <w:jc w:val="center"/>
            </w:pPr>
            <w:r w:rsidRPr="00E04E16">
              <w:t>NA</w:t>
            </w:r>
          </w:p>
        </w:tc>
        <w:tc>
          <w:tcPr>
            <w:tcW w:w="522" w:type="pct"/>
          </w:tcPr>
          <w:p w:rsidR="002F06CA" w:rsidRPr="00E04E16" w:rsidRDefault="002F06CA" w:rsidP="00BB546F">
            <w:pPr>
              <w:pStyle w:val="Tabletext0"/>
              <w:keepLines/>
              <w:spacing w:before="0" w:after="0"/>
              <w:ind w:right="-68"/>
              <w:jc w:val="center"/>
            </w:pPr>
            <w:r w:rsidRPr="00E04E16">
              <w:t>-</w:t>
            </w:r>
          </w:p>
        </w:tc>
      </w:tr>
      <w:tr w:rsidR="002F06CA" w:rsidRPr="00E04E16" w:rsidTr="00083528">
        <w:tc>
          <w:tcPr>
            <w:tcW w:w="2671" w:type="pct"/>
            <w:vAlign w:val="center"/>
          </w:tcPr>
          <w:p w:rsidR="002F06CA" w:rsidRPr="00E04E16" w:rsidRDefault="002F06CA" w:rsidP="00BB546F">
            <w:pPr>
              <w:pStyle w:val="Tabletext0"/>
              <w:keepLines/>
              <w:spacing w:before="0" w:after="0"/>
              <w:ind w:right="-40"/>
            </w:pPr>
            <w:r w:rsidRPr="00E04E16">
              <w:t>No patiromer dose increase or RAASi discontinuation, discontinued study, n (%)</w:t>
            </w:r>
          </w:p>
        </w:tc>
        <w:tc>
          <w:tcPr>
            <w:tcW w:w="904" w:type="pct"/>
          </w:tcPr>
          <w:p w:rsidR="002F06CA" w:rsidRPr="00E04E16" w:rsidRDefault="002F06CA" w:rsidP="00BB546F">
            <w:pPr>
              <w:pStyle w:val="Tabletext0"/>
              <w:keepLines/>
              <w:spacing w:before="0" w:after="0"/>
              <w:ind w:right="-68"/>
              <w:jc w:val="center"/>
            </w:pPr>
            <w:r w:rsidRPr="00E04E16">
              <w:t>6 (11%)</w:t>
            </w:r>
          </w:p>
        </w:tc>
        <w:tc>
          <w:tcPr>
            <w:tcW w:w="904" w:type="pct"/>
          </w:tcPr>
          <w:p w:rsidR="002F06CA" w:rsidRPr="00E04E16" w:rsidRDefault="002F06CA" w:rsidP="00BB546F">
            <w:pPr>
              <w:pStyle w:val="Tabletext0"/>
              <w:keepLines/>
              <w:spacing w:before="0" w:after="0"/>
              <w:ind w:right="-68"/>
              <w:jc w:val="center"/>
            </w:pPr>
            <w:r w:rsidRPr="00E04E16">
              <w:t>NA</w:t>
            </w:r>
          </w:p>
        </w:tc>
        <w:tc>
          <w:tcPr>
            <w:tcW w:w="522" w:type="pct"/>
          </w:tcPr>
          <w:p w:rsidR="002F06CA" w:rsidRPr="00E04E16" w:rsidRDefault="002F06CA" w:rsidP="00BB546F">
            <w:pPr>
              <w:pStyle w:val="Tabletext0"/>
              <w:keepLines/>
              <w:spacing w:before="0" w:after="0"/>
              <w:ind w:right="-68"/>
              <w:jc w:val="center"/>
            </w:pPr>
            <w:r w:rsidRPr="00E04E16">
              <w:t>-</w:t>
            </w:r>
          </w:p>
        </w:tc>
      </w:tr>
      <w:tr w:rsidR="002F06CA" w:rsidRPr="00E04E16" w:rsidTr="00083528">
        <w:tc>
          <w:tcPr>
            <w:tcW w:w="2671" w:type="pct"/>
            <w:vAlign w:val="center"/>
          </w:tcPr>
          <w:p w:rsidR="002F06CA" w:rsidRPr="00E04E16" w:rsidRDefault="002F06CA" w:rsidP="00BB546F">
            <w:pPr>
              <w:pStyle w:val="Tabletext0"/>
              <w:keepLines/>
              <w:spacing w:before="0" w:after="0"/>
              <w:ind w:right="-40"/>
            </w:pPr>
            <w:r w:rsidRPr="00E04E16">
              <w:t xml:space="preserve">No RAASi dose reduction or discontinuation, completed study, </w:t>
            </w:r>
            <w:r w:rsidRPr="00E04E16">
              <w:br/>
              <w:t>n (%)</w:t>
            </w:r>
          </w:p>
        </w:tc>
        <w:tc>
          <w:tcPr>
            <w:tcW w:w="904" w:type="pct"/>
          </w:tcPr>
          <w:p w:rsidR="002F06CA" w:rsidRPr="00E04E16" w:rsidRDefault="002F06CA" w:rsidP="00BB546F">
            <w:pPr>
              <w:pStyle w:val="Tabletext0"/>
              <w:keepLines/>
              <w:spacing w:before="0" w:after="0"/>
              <w:ind w:right="-68"/>
              <w:jc w:val="center"/>
            </w:pPr>
            <w:r w:rsidRPr="00E04E16">
              <w:t>NA</w:t>
            </w:r>
          </w:p>
        </w:tc>
        <w:tc>
          <w:tcPr>
            <w:tcW w:w="904" w:type="pct"/>
          </w:tcPr>
          <w:p w:rsidR="002F06CA" w:rsidRPr="00E04E16" w:rsidRDefault="002F06CA" w:rsidP="00BB546F">
            <w:pPr>
              <w:pStyle w:val="Tabletext0"/>
              <w:keepLines/>
              <w:spacing w:before="0" w:after="0"/>
              <w:ind w:right="-68"/>
              <w:jc w:val="center"/>
            </w:pPr>
            <w:r w:rsidRPr="00E04E16">
              <w:t>17 (33%)</w:t>
            </w:r>
          </w:p>
        </w:tc>
        <w:tc>
          <w:tcPr>
            <w:tcW w:w="522" w:type="pct"/>
          </w:tcPr>
          <w:p w:rsidR="002F06CA" w:rsidRPr="00E04E16" w:rsidRDefault="002F06CA" w:rsidP="00BB546F">
            <w:pPr>
              <w:pStyle w:val="Tabletext0"/>
              <w:keepLines/>
              <w:spacing w:before="0" w:after="0"/>
              <w:ind w:right="-68"/>
              <w:jc w:val="center"/>
            </w:pPr>
            <w:r w:rsidRPr="00E04E16">
              <w:t>-</w:t>
            </w:r>
          </w:p>
        </w:tc>
      </w:tr>
      <w:tr w:rsidR="002F06CA" w:rsidRPr="00E04E16" w:rsidTr="00083528">
        <w:tc>
          <w:tcPr>
            <w:tcW w:w="2671" w:type="pct"/>
            <w:vAlign w:val="center"/>
          </w:tcPr>
          <w:p w:rsidR="002F06CA" w:rsidRPr="00E04E16" w:rsidRDefault="002F06CA" w:rsidP="00BB546F">
            <w:pPr>
              <w:pStyle w:val="Tabletext0"/>
              <w:keepLines/>
              <w:spacing w:before="0" w:after="0"/>
              <w:ind w:right="-40"/>
            </w:pPr>
            <w:r w:rsidRPr="00E04E16">
              <w:t>No RAASi dose reduction or discontinuation, discontinued study, n (%)</w:t>
            </w:r>
          </w:p>
        </w:tc>
        <w:tc>
          <w:tcPr>
            <w:tcW w:w="904" w:type="pct"/>
          </w:tcPr>
          <w:p w:rsidR="002F06CA" w:rsidRPr="00E04E16" w:rsidRDefault="002F06CA" w:rsidP="00BB546F">
            <w:pPr>
              <w:pStyle w:val="Tabletext0"/>
              <w:keepLines/>
              <w:spacing w:before="0" w:after="0"/>
              <w:ind w:right="-68"/>
              <w:jc w:val="center"/>
            </w:pPr>
            <w:r w:rsidRPr="00E04E16">
              <w:t>NA</w:t>
            </w:r>
          </w:p>
        </w:tc>
        <w:tc>
          <w:tcPr>
            <w:tcW w:w="904" w:type="pct"/>
          </w:tcPr>
          <w:p w:rsidR="002F06CA" w:rsidRPr="00E04E16" w:rsidRDefault="002F06CA" w:rsidP="00BB546F">
            <w:pPr>
              <w:pStyle w:val="Tabletext0"/>
              <w:keepLines/>
              <w:spacing w:before="0" w:after="0"/>
              <w:ind w:right="-68"/>
              <w:jc w:val="center"/>
            </w:pPr>
            <w:r w:rsidRPr="00E04E16">
              <w:t>3 (6%)</w:t>
            </w:r>
          </w:p>
        </w:tc>
        <w:tc>
          <w:tcPr>
            <w:tcW w:w="522" w:type="pct"/>
          </w:tcPr>
          <w:p w:rsidR="002F06CA" w:rsidRPr="00E04E16" w:rsidRDefault="002F06CA" w:rsidP="00BB546F">
            <w:pPr>
              <w:pStyle w:val="Tabletext0"/>
              <w:keepLines/>
              <w:spacing w:before="0" w:after="0"/>
              <w:ind w:right="-68"/>
              <w:jc w:val="center"/>
            </w:pPr>
            <w:r w:rsidRPr="00E04E16">
              <w:t>-</w:t>
            </w:r>
          </w:p>
        </w:tc>
      </w:tr>
      <w:tr w:rsidR="002F06CA" w:rsidRPr="00E04E16" w:rsidTr="00083528">
        <w:tc>
          <w:tcPr>
            <w:tcW w:w="5000" w:type="pct"/>
            <w:gridSpan w:val="4"/>
            <w:vAlign w:val="center"/>
          </w:tcPr>
          <w:p w:rsidR="002F06CA" w:rsidRPr="00E04E16" w:rsidRDefault="002F06CA" w:rsidP="00BB546F">
            <w:pPr>
              <w:pStyle w:val="Tabletext0"/>
              <w:keepLines/>
              <w:spacing w:before="0" w:after="0"/>
              <w:ind w:right="-40"/>
              <w:rPr>
                <w:b/>
              </w:rPr>
            </w:pPr>
            <w:r w:rsidRPr="00E04E16">
              <w:rPr>
                <w:b/>
              </w:rPr>
              <w:t xml:space="preserve">Patients taking any or maximum RAASi dose at Week 8 </w:t>
            </w:r>
          </w:p>
        </w:tc>
      </w:tr>
      <w:tr w:rsidR="002F06CA" w:rsidRPr="00E04E16" w:rsidTr="00083528">
        <w:tc>
          <w:tcPr>
            <w:tcW w:w="2671" w:type="pct"/>
          </w:tcPr>
          <w:p w:rsidR="002F06CA" w:rsidRPr="00E04E16" w:rsidRDefault="002F06CA" w:rsidP="00BB546F">
            <w:pPr>
              <w:pStyle w:val="Tabletext0"/>
              <w:keepLines/>
              <w:spacing w:before="0" w:after="0"/>
              <w:ind w:right="-40"/>
            </w:pPr>
            <w:r w:rsidRPr="00E04E16">
              <w:t>Taking any RAASi dose, n (%)</w:t>
            </w:r>
          </w:p>
        </w:tc>
        <w:tc>
          <w:tcPr>
            <w:tcW w:w="904" w:type="pct"/>
          </w:tcPr>
          <w:p w:rsidR="002F06CA" w:rsidRPr="00E04E16" w:rsidRDefault="002F06CA" w:rsidP="00BB546F">
            <w:pPr>
              <w:pStyle w:val="Tabletext0"/>
              <w:keepLines/>
              <w:spacing w:before="0" w:after="0"/>
              <w:ind w:right="-68"/>
              <w:jc w:val="center"/>
            </w:pPr>
            <w:r w:rsidRPr="00E04E16">
              <w:t>43 (78%)</w:t>
            </w:r>
          </w:p>
        </w:tc>
        <w:tc>
          <w:tcPr>
            <w:tcW w:w="904" w:type="pct"/>
          </w:tcPr>
          <w:p w:rsidR="002F06CA" w:rsidRPr="00E04E16" w:rsidRDefault="002F06CA" w:rsidP="00BB546F">
            <w:pPr>
              <w:pStyle w:val="Tabletext0"/>
              <w:keepLines/>
              <w:spacing w:before="0" w:after="0"/>
              <w:ind w:right="-68"/>
              <w:jc w:val="center"/>
            </w:pPr>
            <w:r w:rsidRPr="00E04E16">
              <w:t>19 (37%)</w:t>
            </w:r>
          </w:p>
        </w:tc>
        <w:tc>
          <w:tcPr>
            <w:tcW w:w="522" w:type="pct"/>
          </w:tcPr>
          <w:p w:rsidR="002F06CA" w:rsidRPr="00E04E16" w:rsidRDefault="002F06CA" w:rsidP="00BB546F">
            <w:pPr>
              <w:pStyle w:val="Tabletext0"/>
              <w:keepLines/>
              <w:spacing w:before="0" w:after="0"/>
              <w:ind w:right="-68"/>
              <w:jc w:val="center"/>
            </w:pPr>
            <w:r w:rsidRPr="00E04E16">
              <w:t>&lt;0.0001</w:t>
            </w:r>
          </w:p>
        </w:tc>
      </w:tr>
      <w:tr w:rsidR="002F06CA" w:rsidRPr="00E04E16" w:rsidTr="00083528">
        <w:tc>
          <w:tcPr>
            <w:tcW w:w="2671" w:type="pct"/>
          </w:tcPr>
          <w:p w:rsidR="002F06CA" w:rsidRPr="00E04E16" w:rsidRDefault="002F06CA" w:rsidP="00BB546F">
            <w:pPr>
              <w:pStyle w:val="Tabletext0"/>
              <w:keepLines/>
              <w:spacing w:before="0" w:after="0"/>
              <w:ind w:right="-40"/>
            </w:pPr>
            <w:r w:rsidRPr="00E04E16">
              <w:t>Taking maximum RAASi dose, n (%)</w:t>
            </w:r>
          </w:p>
        </w:tc>
        <w:tc>
          <w:tcPr>
            <w:tcW w:w="904" w:type="pct"/>
          </w:tcPr>
          <w:p w:rsidR="002F06CA" w:rsidRPr="00E04E16" w:rsidRDefault="002F06CA" w:rsidP="00BB546F">
            <w:pPr>
              <w:pStyle w:val="Tabletext0"/>
              <w:keepLines/>
              <w:spacing w:before="0" w:after="0"/>
              <w:ind w:right="-68"/>
              <w:jc w:val="center"/>
            </w:pPr>
            <w:r w:rsidRPr="00E04E16">
              <w:t>14 (25%)</w:t>
            </w:r>
          </w:p>
        </w:tc>
        <w:tc>
          <w:tcPr>
            <w:tcW w:w="904" w:type="pct"/>
          </w:tcPr>
          <w:p w:rsidR="002F06CA" w:rsidRPr="00E04E16" w:rsidRDefault="002F06CA" w:rsidP="00BB546F">
            <w:pPr>
              <w:pStyle w:val="Tabletext0"/>
              <w:keepLines/>
              <w:spacing w:before="0" w:after="0"/>
              <w:ind w:right="-68"/>
              <w:jc w:val="center"/>
            </w:pPr>
            <w:r w:rsidRPr="00E04E16">
              <w:t>6 (12%)</w:t>
            </w:r>
          </w:p>
        </w:tc>
        <w:tc>
          <w:tcPr>
            <w:tcW w:w="522" w:type="pct"/>
          </w:tcPr>
          <w:p w:rsidR="002F06CA" w:rsidRPr="00E04E16" w:rsidRDefault="002F06CA" w:rsidP="00BB546F">
            <w:pPr>
              <w:pStyle w:val="Tabletext0"/>
              <w:keepLines/>
              <w:spacing w:before="0" w:after="0"/>
              <w:ind w:right="-68"/>
              <w:jc w:val="center"/>
            </w:pPr>
            <w:r w:rsidRPr="00E04E16">
              <w:t>0.07</w:t>
            </w:r>
          </w:p>
        </w:tc>
      </w:tr>
      <w:tr w:rsidR="002F06CA" w:rsidRPr="00E04E16" w:rsidTr="00083528">
        <w:tc>
          <w:tcPr>
            <w:tcW w:w="5000" w:type="pct"/>
            <w:gridSpan w:val="4"/>
            <w:vAlign w:val="center"/>
          </w:tcPr>
          <w:p w:rsidR="002F06CA" w:rsidRPr="00E04E16" w:rsidRDefault="002F06CA" w:rsidP="00BB546F">
            <w:pPr>
              <w:pStyle w:val="Tabletext0"/>
              <w:keepLines/>
              <w:spacing w:before="0" w:after="0"/>
              <w:ind w:right="-40"/>
              <w:rPr>
                <w:b/>
              </w:rPr>
            </w:pPr>
            <w:r w:rsidRPr="00E04E16">
              <w:rPr>
                <w:b/>
              </w:rPr>
              <w:t xml:space="preserve">Estimated proportions of patients with exploratory outcomes at Week 8 </w:t>
            </w:r>
          </w:p>
        </w:tc>
      </w:tr>
      <w:tr w:rsidR="002F06CA" w:rsidRPr="00E04E16" w:rsidTr="00083528">
        <w:tc>
          <w:tcPr>
            <w:tcW w:w="2671" w:type="pct"/>
          </w:tcPr>
          <w:p w:rsidR="002F06CA" w:rsidRPr="00E04E16" w:rsidRDefault="002F06CA" w:rsidP="00BB546F">
            <w:pPr>
              <w:pStyle w:val="Tabletext0"/>
              <w:keepLines/>
              <w:spacing w:before="0" w:after="0"/>
              <w:ind w:right="-40"/>
            </w:pPr>
            <w:r w:rsidRPr="00E04E16">
              <w:t>RAASi reduced due to hyperkalaemia, n, % (95% CI)</w:t>
            </w:r>
          </w:p>
        </w:tc>
        <w:tc>
          <w:tcPr>
            <w:tcW w:w="904" w:type="pct"/>
          </w:tcPr>
          <w:p w:rsidR="002F06CA" w:rsidRPr="00E04E16" w:rsidRDefault="002F06CA" w:rsidP="00BB546F">
            <w:pPr>
              <w:pStyle w:val="Tabletext0"/>
              <w:keepLines/>
              <w:spacing w:before="0" w:after="0"/>
              <w:ind w:right="-68"/>
              <w:jc w:val="center"/>
            </w:pPr>
            <w:r w:rsidRPr="00E04E16">
              <w:t>3, 6% (2, 18)</w:t>
            </w:r>
          </w:p>
        </w:tc>
        <w:tc>
          <w:tcPr>
            <w:tcW w:w="904" w:type="pct"/>
          </w:tcPr>
          <w:p w:rsidR="002F06CA" w:rsidRPr="00E04E16" w:rsidRDefault="002F06CA" w:rsidP="00BB546F">
            <w:pPr>
              <w:pStyle w:val="Tabletext0"/>
              <w:keepLines/>
              <w:spacing w:before="0" w:after="0"/>
              <w:ind w:right="-68"/>
              <w:jc w:val="center"/>
            </w:pPr>
            <w:r w:rsidRPr="00E04E16">
              <w:t>34, 66% (52, 79)</w:t>
            </w:r>
          </w:p>
        </w:tc>
        <w:tc>
          <w:tcPr>
            <w:tcW w:w="522" w:type="pct"/>
          </w:tcPr>
          <w:p w:rsidR="002F06CA" w:rsidRPr="00E04E16" w:rsidRDefault="002F06CA" w:rsidP="00BB546F">
            <w:pPr>
              <w:pStyle w:val="Tabletext0"/>
              <w:keepLines/>
              <w:spacing w:before="0" w:after="0"/>
              <w:ind w:right="-68"/>
              <w:jc w:val="center"/>
            </w:pPr>
            <w:r w:rsidRPr="00E04E16">
              <w:t>&lt;0.0001</w:t>
            </w:r>
          </w:p>
        </w:tc>
      </w:tr>
      <w:tr w:rsidR="002F06CA" w:rsidRPr="00E04E16" w:rsidTr="00083528">
        <w:tc>
          <w:tcPr>
            <w:tcW w:w="2671" w:type="pct"/>
          </w:tcPr>
          <w:p w:rsidR="002F06CA" w:rsidRPr="00E04E16" w:rsidRDefault="002F06CA" w:rsidP="00BB546F">
            <w:pPr>
              <w:pStyle w:val="Tabletext0"/>
              <w:keepLines/>
              <w:spacing w:before="0" w:after="0"/>
              <w:ind w:right="-40"/>
            </w:pPr>
            <w:r w:rsidRPr="00E04E16">
              <w:t>RAASi discontinued due to hyperkalaemia, n, % (95% CI)</w:t>
            </w:r>
          </w:p>
        </w:tc>
        <w:tc>
          <w:tcPr>
            <w:tcW w:w="904" w:type="pct"/>
          </w:tcPr>
          <w:p w:rsidR="002F06CA" w:rsidRPr="00E04E16" w:rsidRDefault="002F06CA" w:rsidP="00BB546F">
            <w:pPr>
              <w:pStyle w:val="Tabletext0"/>
              <w:keepLines/>
              <w:spacing w:before="0" w:after="0"/>
              <w:ind w:right="-68"/>
              <w:jc w:val="center"/>
            </w:pPr>
            <w:r w:rsidRPr="00E04E16">
              <w:t>3, 6% (2, 18)</w:t>
            </w:r>
          </w:p>
        </w:tc>
        <w:tc>
          <w:tcPr>
            <w:tcW w:w="904" w:type="pct"/>
          </w:tcPr>
          <w:p w:rsidR="002F06CA" w:rsidRPr="00E04E16" w:rsidRDefault="002F06CA" w:rsidP="00BB546F">
            <w:pPr>
              <w:pStyle w:val="Tabletext0"/>
              <w:keepLines/>
              <w:spacing w:before="0" w:after="0"/>
              <w:ind w:right="-68"/>
              <w:jc w:val="center"/>
            </w:pPr>
            <w:r w:rsidRPr="00E04E16">
              <w:t>29, 56% (42, 71)</w:t>
            </w:r>
          </w:p>
        </w:tc>
        <w:tc>
          <w:tcPr>
            <w:tcW w:w="522" w:type="pct"/>
          </w:tcPr>
          <w:p w:rsidR="002F06CA" w:rsidRPr="00E04E16" w:rsidRDefault="002F06CA" w:rsidP="00BB546F">
            <w:pPr>
              <w:pStyle w:val="Tabletext0"/>
              <w:keepLines/>
              <w:spacing w:before="0" w:after="0"/>
              <w:ind w:right="-68"/>
              <w:jc w:val="center"/>
            </w:pPr>
            <w:r w:rsidRPr="00E04E16">
              <w:t>&lt;0.0001</w:t>
            </w:r>
          </w:p>
        </w:tc>
      </w:tr>
    </w:tbl>
    <w:p w:rsidR="002F06CA" w:rsidRPr="00E04E16" w:rsidRDefault="002F06CA" w:rsidP="00BB546F">
      <w:pPr>
        <w:pStyle w:val="TableFooter"/>
        <w:keepNext/>
        <w:keepLines/>
        <w:contextualSpacing/>
        <w:rPr>
          <w:szCs w:val="18"/>
        </w:rPr>
      </w:pPr>
      <w:r w:rsidRPr="00E04E16">
        <w:rPr>
          <w:szCs w:val="18"/>
        </w:rPr>
        <w:t>Source: Tables 2.5.4 of the resubmission; Table 48, OPAL-HK CSR, p.201.</w:t>
      </w:r>
    </w:p>
    <w:p w:rsidR="002F06CA" w:rsidRPr="00E04E16" w:rsidRDefault="002F06CA" w:rsidP="00BB546F">
      <w:pPr>
        <w:keepNext/>
        <w:keepLines/>
        <w:spacing w:after="120"/>
        <w:contextualSpacing/>
        <w:rPr>
          <w:rFonts w:ascii="Arial Narrow" w:hAnsi="Arial Narrow"/>
          <w:sz w:val="18"/>
          <w:szCs w:val="18"/>
        </w:rPr>
      </w:pPr>
      <w:r w:rsidRPr="00E04E16">
        <w:rPr>
          <w:rFonts w:ascii="Arial Narrow" w:hAnsi="Arial Narrow"/>
          <w:sz w:val="18"/>
          <w:szCs w:val="18"/>
        </w:rPr>
        <w:t xml:space="preserve">Abbreviations: </w:t>
      </w:r>
      <w:r w:rsidRPr="00E04E16">
        <w:rPr>
          <w:rFonts w:ascii="Arial Narrow" w:eastAsia="Calibri" w:hAnsi="Arial Narrow"/>
          <w:sz w:val="18"/>
          <w:szCs w:val="18"/>
        </w:rPr>
        <w:t xml:space="preserve">CI, confidence interval, K+, potassium; NA, not applicable; </w:t>
      </w:r>
      <w:r w:rsidRPr="00E04E16">
        <w:rPr>
          <w:rFonts w:ascii="Arial Narrow" w:hAnsi="Arial Narrow"/>
          <w:sz w:val="18"/>
          <w:szCs w:val="18"/>
        </w:rPr>
        <w:t>RAASi, renin angiotensin aldosterone system inhibitor.</w:t>
      </w:r>
    </w:p>
    <w:p w:rsidR="002F06CA" w:rsidRPr="00E04E16" w:rsidRDefault="002F06CA" w:rsidP="00BB546F">
      <w:pPr>
        <w:keepNext/>
        <w:keepLines/>
        <w:widowControl w:val="0"/>
        <w:spacing w:after="240"/>
        <w:rPr>
          <w:rFonts w:ascii="Arial Narrow" w:hAnsi="Arial Narrow"/>
          <w:sz w:val="18"/>
          <w:szCs w:val="18"/>
        </w:rPr>
      </w:pPr>
      <w:r w:rsidRPr="00E04E16">
        <w:rPr>
          <w:rFonts w:ascii="Arial Narrow" w:hAnsi="Arial Narrow"/>
          <w:sz w:val="18"/>
          <w:szCs w:val="18"/>
          <w:vertAlign w:val="superscript"/>
        </w:rPr>
        <w:t>a</w:t>
      </w:r>
      <w:r w:rsidRPr="00E04E16">
        <w:rPr>
          <w:rFonts w:ascii="Arial Narrow" w:hAnsi="Arial Narrow"/>
          <w:sz w:val="18"/>
          <w:szCs w:val="18"/>
        </w:rPr>
        <w:t xml:space="preserve"> n and p-value calculated for the resubmission based on figures presented in the OPAL-HK CSR</w:t>
      </w:r>
      <w:r w:rsidR="005E0297" w:rsidRPr="00E04E16">
        <w:rPr>
          <w:rFonts w:ascii="Arial Narrow" w:hAnsi="Arial Narrow"/>
          <w:sz w:val="18"/>
          <w:szCs w:val="18"/>
        </w:rPr>
        <w:t xml:space="preserve"> (p-value calculated in RevMan)</w:t>
      </w:r>
    </w:p>
    <w:p w:rsidR="002F06CA" w:rsidRPr="00E04E16" w:rsidRDefault="002F06CA" w:rsidP="002F06CA">
      <w:pPr>
        <w:pStyle w:val="ExecSumBodyText"/>
      </w:pPr>
      <w:r w:rsidRPr="00E04E16">
        <w:t>Larger proportions of patients receiving placebo discontinued RAASi therapies compared to patiromer treated patients</w:t>
      </w:r>
      <w:r w:rsidR="00080349" w:rsidRPr="00E04E16">
        <w:t>,</w:t>
      </w:r>
      <w:r w:rsidRPr="00E04E16">
        <w:t xml:space="preserve"> and 10% of placebo patients reduced their RAASi dose by 50%. RAASi dose reductions were not permitted for patients receiving patiromer &lt; 50</w:t>
      </w:r>
      <w:r w:rsidR="00397C83" w:rsidRPr="00E04E16">
        <w:t>.4</w:t>
      </w:r>
      <w:r w:rsidRPr="00E04E16">
        <w:t xml:space="preserve"> g/day in the OPAL-HK study protocol.</w:t>
      </w:r>
    </w:p>
    <w:p w:rsidR="002F06CA" w:rsidRPr="00E04E16" w:rsidRDefault="002F06CA" w:rsidP="002F06CA">
      <w:pPr>
        <w:pStyle w:val="ExecSumBodyText"/>
      </w:pPr>
      <w:r w:rsidRPr="00E04E16">
        <w:t>Larger proportions of patients treated with patiromer were receiving a RAASi therapy or receiving maximum RAASi doses at Part B Week 8 compared to placebo. The proportions of patients remaining on maximum RAASi doses were small in both treatment arms (patiromer 25% vs placebo 12%) and not statistically significantly different (p=0.07).</w:t>
      </w:r>
    </w:p>
    <w:p w:rsidR="002F06CA" w:rsidRPr="00E04E16" w:rsidRDefault="002F06CA" w:rsidP="002F06CA">
      <w:pPr>
        <w:pStyle w:val="ExecSumBodyText"/>
        <w:rPr>
          <w:color w:val="0066FF"/>
        </w:rPr>
      </w:pPr>
      <w:r w:rsidRPr="00E04E16">
        <w:t>The results of the OPAL-HK Part B study for</w:t>
      </w:r>
      <w:r w:rsidR="00293837" w:rsidRPr="00E04E16">
        <w:t xml:space="preserve"> the outcomes of</w:t>
      </w:r>
      <w:r w:rsidRPr="00E04E16">
        <w:t xml:space="preserve"> patients experiencing elevated serum potassium concentrations or discontinuation/reduction in RAASi doses were directly impacted by intensive patient monitoring and strict titration protocols that may have biased results in favour of patiromer.</w:t>
      </w:r>
    </w:p>
    <w:p w:rsidR="002F06CA" w:rsidRPr="00E04E16" w:rsidRDefault="002F06CA" w:rsidP="002F06CA">
      <w:pPr>
        <w:pStyle w:val="ExecSumBodyText"/>
        <w:rPr>
          <w:color w:val="0066FF"/>
        </w:rPr>
      </w:pPr>
      <w:r w:rsidRPr="00E04E16">
        <w:t xml:space="preserve">Table 8 shows the results of the post-hoc subgroup analysis of individual patient data for patients with Part A baseline serum potassium concentrations </w:t>
      </w:r>
      <w:r w:rsidRPr="00E04E16">
        <w:rPr>
          <w:rFonts w:cs="Calibri"/>
        </w:rPr>
        <w:t>≥</w:t>
      </w:r>
      <w:r w:rsidRPr="00E04E16">
        <w:t xml:space="preserve"> 6.0 mmol/L.</w:t>
      </w:r>
    </w:p>
    <w:p w:rsidR="002F06CA" w:rsidRPr="00E04E16" w:rsidRDefault="002F06CA" w:rsidP="00BB546F">
      <w:pPr>
        <w:pStyle w:val="TableFigureCaption"/>
        <w:keepLines/>
      </w:pPr>
      <w:r w:rsidRPr="00E04E16">
        <w:lastRenderedPageBreak/>
        <w:t>Table 8: Serum potassium concentration achieved in OPAL-HK Part A, baseline to week 4 (post-hoc subgroup Part</w:t>
      </w:r>
      <w:r w:rsidR="00BB546F" w:rsidRPr="00E04E16">
        <w:t> </w:t>
      </w:r>
      <w:r w:rsidRPr="00E04E16">
        <w:t xml:space="preserve">A baseline K+ ≥ 6.0 mmol/L)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1688"/>
        <w:gridCol w:w="1690"/>
        <w:gridCol w:w="1688"/>
        <w:gridCol w:w="1688"/>
      </w:tblGrid>
      <w:tr w:rsidR="002F06CA" w:rsidRPr="00E04E16" w:rsidTr="00083528">
        <w:trPr>
          <w:trHeight w:val="70"/>
        </w:trPr>
        <w:tc>
          <w:tcPr>
            <w:tcW w:w="1255" w:type="pct"/>
            <w:vMerge w:val="restart"/>
            <w:shd w:val="clear" w:color="auto" w:fill="auto"/>
            <w:noWrap/>
            <w:vAlign w:val="center"/>
          </w:tcPr>
          <w:p w:rsidR="002F06CA" w:rsidRPr="00E04E16" w:rsidRDefault="002F06CA" w:rsidP="00BB546F">
            <w:pPr>
              <w:keepNext/>
              <w:keepLines/>
              <w:jc w:val="left"/>
              <w:rPr>
                <w:rFonts w:ascii="Arial Narrow" w:hAnsi="Arial Narrow"/>
                <w:b/>
                <w:sz w:val="20"/>
                <w:szCs w:val="20"/>
              </w:rPr>
            </w:pPr>
            <w:r w:rsidRPr="00E04E16">
              <w:rPr>
                <w:rFonts w:ascii="Arial Narrow" w:hAnsi="Arial Narrow"/>
                <w:b/>
                <w:sz w:val="20"/>
                <w:szCs w:val="20"/>
              </w:rPr>
              <w:t>Starting serum potassium concentration</w:t>
            </w:r>
          </w:p>
        </w:tc>
        <w:tc>
          <w:tcPr>
            <w:tcW w:w="3745" w:type="pct"/>
            <w:gridSpan w:val="4"/>
            <w:shd w:val="clear" w:color="auto" w:fill="auto"/>
            <w:noWrap/>
            <w:vAlign w:val="center"/>
          </w:tcPr>
          <w:p w:rsidR="002F06CA" w:rsidRPr="00E04E16" w:rsidRDefault="002F06CA" w:rsidP="00BB546F">
            <w:pPr>
              <w:keepNext/>
              <w:keepLines/>
              <w:jc w:val="center"/>
              <w:rPr>
                <w:rFonts w:ascii="Arial Narrow" w:hAnsi="Arial Narrow"/>
                <w:b/>
                <w:sz w:val="20"/>
                <w:szCs w:val="20"/>
              </w:rPr>
            </w:pPr>
            <w:r w:rsidRPr="00E04E16">
              <w:rPr>
                <w:rFonts w:ascii="Arial Narrow" w:hAnsi="Arial Narrow"/>
                <w:b/>
                <w:sz w:val="20"/>
                <w:szCs w:val="20"/>
              </w:rPr>
              <w:t>Serum potassium concentration at 4 weeks (end of Part A)</w:t>
            </w:r>
          </w:p>
        </w:tc>
      </w:tr>
      <w:tr w:rsidR="002F06CA" w:rsidRPr="00E04E16" w:rsidTr="00083528">
        <w:trPr>
          <w:trHeight w:val="70"/>
        </w:trPr>
        <w:tc>
          <w:tcPr>
            <w:tcW w:w="1255" w:type="pct"/>
            <w:vMerge/>
            <w:shd w:val="clear" w:color="auto" w:fill="auto"/>
            <w:noWrap/>
            <w:vAlign w:val="center"/>
          </w:tcPr>
          <w:p w:rsidR="002F06CA" w:rsidRPr="00E04E16" w:rsidRDefault="002F06CA" w:rsidP="00BB546F">
            <w:pPr>
              <w:keepNext/>
              <w:keepLines/>
              <w:rPr>
                <w:rFonts w:ascii="Arial Narrow" w:hAnsi="Arial Narrow"/>
                <w:sz w:val="20"/>
                <w:szCs w:val="20"/>
              </w:rPr>
            </w:pPr>
          </w:p>
        </w:tc>
        <w:tc>
          <w:tcPr>
            <w:tcW w:w="936" w:type="pct"/>
            <w:shd w:val="clear" w:color="auto" w:fill="auto"/>
            <w:noWrap/>
            <w:vAlign w:val="center"/>
          </w:tcPr>
          <w:p w:rsidR="002F06CA" w:rsidRPr="00E04E16" w:rsidRDefault="002F06CA" w:rsidP="00BB546F">
            <w:pPr>
              <w:keepNext/>
              <w:keepLines/>
              <w:jc w:val="center"/>
              <w:rPr>
                <w:rFonts w:ascii="Arial Narrow" w:hAnsi="Arial Narrow"/>
                <w:b/>
                <w:sz w:val="20"/>
                <w:szCs w:val="20"/>
              </w:rPr>
            </w:pPr>
            <w:r w:rsidRPr="00E04E16">
              <w:rPr>
                <w:rFonts w:ascii="Arial Narrow" w:hAnsi="Arial Narrow"/>
                <w:b/>
                <w:sz w:val="20"/>
                <w:szCs w:val="20"/>
              </w:rPr>
              <w:t>K+ &lt; 5.5 mmol/L</w:t>
            </w:r>
          </w:p>
        </w:tc>
        <w:tc>
          <w:tcPr>
            <w:tcW w:w="937" w:type="pct"/>
            <w:shd w:val="clear" w:color="auto" w:fill="auto"/>
            <w:vAlign w:val="center"/>
          </w:tcPr>
          <w:p w:rsidR="002F06CA" w:rsidRPr="00E04E16" w:rsidRDefault="002F06CA" w:rsidP="00BB546F">
            <w:pPr>
              <w:keepNext/>
              <w:keepLines/>
              <w:jc w:val="center"/>
              <w:rPr>
                <w:rFonts w:ascii="Arial Narrow" w:hAnsi="Arial Narrow"/>
                <w:b/>
                <w:sz w:val="20"/>
                <w:szCs w:val="20"/>
              </w:rPr>
            </w:pPr>
            <w:r w:rsidRPr="00E04E16">
              <w:rPr>
                <w:rFonts w:ascii="Arial Narrow" w:hAnsi="Arial Narrow"/>
                <w:b/>
                <w:sz w:val="20"/>
                <w:szCs w:val="20"/>
              </w:rPr>
              <w:t>K+ 5.5-6.0 mmol/L</w:t>
            </w:r>
          </w:p>
        </w:tc>
        <w:tc>
          <w:tcPr>
            <w:tcW w:w="936" w:type="pct"/>
            <w:shd w:val="clear" w:color="auto" w:fill="auto"/>
            <w:vAlign w:val="center"/>
          </w:tcPr>
          <w:p w:rsidR="002F06CA" w:rsidRPr="00E04E16" w:rsidRDefault="002F06CA" w:rsidP="00BB546F">
            <w:pPr>
              <w:keepNext/>
              <w:keepLines/>
              <w:jc w:val="center"/>
              <w:rPr>
                <w:rFonts w:ascii="Arial Narrow" w:hAnsi="Arial Narrow"/>
                <w:b/>
                <w:sz w:val="20"/>
                <w:szCs w:val="20"/>
              </w:rPr>
            </w:pPr>
            <w:r w:rsidRPr="00E04E16">
              <w:rPr>
                <w:rFonts w:ascii="Arial Narrow" w:hAnsi="Arial Narrow"/>
                <w:b/>
                <w:sz w:val="20"/>
                <w:szCs w:val="20"/>
              </w:rPr>
              <w:t>K+ &gt; 6.0 mmol/L</w:t>
            </w:r>
          </w:p>
        </w:tc>
        <w:tc>
          <w:tcPr>
            <w:tcW w:w="937" w:type="pct"/>
            <w:shd w:val="clear" w:color="auto" w:fill="auto"/>
            <w:vAlign w:val="center"/>
          </w:tcPr>
          <w:p w:rsidR="002F06CA" w:rsidRPr="00E04E16" w:rsidRDefault="002F06CA" w:rsidP="00BB546F">
            <w:pPr>
              <w:keepNext/>
              <w:keepLines/>
              <w:jc w:val="center"/>
              <w:rPr>
                <w:rFonts w:ascii="Arial Narrow" w:hAnsi="Arial Narrow"/>
                <w:b/>
                <w:sz w:val="20"/>
                <w:szCs w:val="20"/>
              </w:rPr>
            </w:pPr>
            <w:r w:rsidRPr="00E04E16">
              <w:rPr>
                <w:rFonts w:ascii="Arial Narrow" w:hAnsi="Arial Narrow"/>
                <w:b/>
                <w:sz w:val="20"/>
                <w:szCs w:val="20"/>
              </w:rPr>
              <w:t>Total</w:t>
            </w:r>
          </w:p>
        </w:tc>
      </w:tr>
      <w:tr w:rsidR="002F06CA" w:rsidRPr="00E04E16" w:rsidTr="00083528">
        <w:trPr>
          <w:trHeight w:val="198"/>
        </w:trPr>
        <w:tc>
          <w:tcPr>
            <w:tcW w:w="1255" w:type="pct"/>
            <w:shd w:val="clear" w:color="auto" w:fill="auto"/>
          </w:tcPr>
          <w:p w:rsidR="002F06CA" w:rsidRPr="00E04E16" w:rsidRDefault="002F06CA" w:rsidP="00BB546F">
            <w:pPr>
              <w:keepNext/>
              <w:keepLines/>
              <w:rPr>
                <w:rFonts w:ascii="Arial Narrow" w:hAnsi="Arial Narrow"/>
                <w:sz w:val="20"/>
                <w:szCs w:val="20"/>
              </w:rPr>
            </w:pPr>
            <w:r w:rsidRPr="00E04E16">
              <w:rPr>
                <w:rFonts w:ascii="Arial Narrow" w:hAnsi="Arial Narrow"/>
                <w:sz w:val="20"/>
                <w:szCs w:val="20"/>
              </w:rPr>
              <w:t>CKD 3, K+ &gt; 6.0</w:t>
            </w:r>
          </w:p>
        </w:tc>
        <w:tc>
          <w:tcPr>
            <w:tcW w:w="936" w:type="pct"/>
            <w:shd w:val="clear" w:color="auto" w:fill="auto"/>
          </w:tcPr>
          <w:p w:rsidR="002F06CA" w:rsidRPr="00382677" w:rsidRDefault="004E288B" w:rsidP="00BB546F">
            <w:pPr>
              <w:keepNext/>
              <w:keepLines/>
              <w:jc w:val="center"/>
              <w:rPr>
                <w:rFonts w:ascii="Arial Narrow" w:hAnsi="Arial Narrow"/>
                <w:sz w:val="20"/>
                <w:szCs w:val="20"/>
              </w:rPr>
            </w:pPr>
            <w:r>
              <w:rPr>
                <w:rFonts w:ascii="Arial Narrow" w:hAnsi="Arial Narrow"/>
                <w:noProof/>
                <w:color w:val="000000"/>
                <w:sz w:val="20"/>
                <w:szCs w:val="20"/>
                <w:highlight w:val="black"/>
              </w:rPr>
              <w:t>''''''</w:t>
            </w:r>
            <w:r w:rsidR="002F06CA" w:rsidRPr="00382677">
              <w:rPr>
                <w:rFonts w:ascii="Arial Narrow" w:hAnsi="Arial Narrow"/>
                <w:sz w:val="20"/>
                <w:szCs w:val="20"/>
              </w:rPr>
              <w:t xml:space="preserve"> (100%)</w:t>
            </w:r>
          </w:p>
        </w:tc>
        <w:tc>
          <w:tcPr>
            <w:tcW w:w="937" w:type="pct"/>
            <w:shd w:val="clear" w:color="auto" w:fill="auto"/>
          </w:tcPr>
          <w:p w:rsidR="002F06CA" w:rsidRPr="00382677" w:rsidRDefault="002F06CA" w:rsidP="00BB546F">
            <w:pPr>
              <w:keepNext/>
              <w:keepLines/>
              <w:jc w:val="center"/>
              <w:rPr>
                <w:rFonts w:ascii="Arial Narrow" w:hAnsi="Arial Narrow"/>
                <w:sz w:val="20"/>
                <w:szCs w:val="20"/>
              </w:rPr>
            </w:pPr>
            <w:r w:rsidRPr="00382677">
              <w:rPr>
                <w:rFonts w:ascii="Arial Narrow" w:hAnsi="Arial Narrow"/>
                <w:sz w:val="20"/>
                <w:szCs w:val="20"/>
              </w:rPr>
              <w:t>0</w:t>
            </w:r>
          </w:p>
        </w:tc>
        <w:tc>
          <w:tcPr>
            <w:tcW w:w="936" w:type="pct"/>
            <w:shd w:val="clear" w:color="auto" w:fill="auto"/>
          </w:tcPr>
          <w:p w:rsidR="002F06CA" w:rsidRPr="00382677" w:rsidRDefault="002F06CA" w:rsidP="00BB546F">
            <w:pPr>
              <w:keepNext/>
              <w:keepLines/>
              <w:jc w:val="center"/>
              <w:rPr>
                <w:rFonts w:ascii="Arial Narrow" w:hAnsi="Arial Narrow"/>
                <w:sz w:val="20"/>
                <w:szCs w:val="20"/>
              </w:rPr>
            </w:pPr>
            <w:r w:rsidRPr="00382677">
              <w:rPr>
                <w:rFonts w:ascii="Arial Narrow" w:hAnsi="Arial Narrow"/>
                <w:sz w:val="20"/>
                <w:szCs w:val="20"/>
              </w:rPr>
              <w:t>0</w:t>
            </w:r>
          </w:p>
        </w:tc>
        <w:tc>
          <w:tcPr>
            <w:tcW w:w="937" w:type="pct"/>
            <w:shd w:val="clear" w:color="auto" w:fill="auto"/>
          </w:tcPr>
          <w:p w:rsidR="002F06CA" w:rsidRPr="00382677" w:rsidRDefault="004E288B" w:rsidP="00BB546F">
            <w:pPr>
              <w:keepNext/>
              <w:keepLines/>
              <w:jc w:val="center"/>
              <w:rPr>
                <w:rFonts w:ascii="Arial Narrow" w:hAnsi="Arial Narrow"/>
                <w:sz w:val="20"/>
                <w:szCs w:val="20"/>
              </w:rPr>
            </w:pPr>
            <w:r>
              <w:rPr>
                <w:rFonts w:ascii="Arial Narrow" w:hAnsi="Arial Narrow"/>
                <w:noProof/>
                <w:color w:val="000000"/>
                <w:sz w:val="20"/>
                <w:szCs w:val="20"/>
                <w:highlight w:val="black"/>
              </w:rPr>
              <w:t>''''''</w:t>
            </w:r>
            <w:r w:rsidR="002F06CA" w:rsidRPr="00382677">
              <w:rPr>
                <w:rFonts w:ascii="Arial Narrow" w:hAnsi="Arial Narrow"/>
                <w:sz w:val="20"/>
                <w:szCs w:val="20"/>
              </w:rPr>
              <w:t xml:space="preserve"> (100%)</w:t>
            </w:r>
          </w:p>
        </w:tc>
      </w:tr>
      <w:tr w:rsidR="002F06CA" w:rsidRPr="00E04E16" w:rsidTr="00083528">
        <w:trPr>
          <w:trHeight w:val="198"/>
        </w:trPr>
        <w:tc>
          <w:tcPr>
            <w:tcW w:w="1255" w:type="pct"/>
            <w:shd w:val="clear" w:color="auto" w:fill="auto"/>
          </w:tcPr>
          <w:p w:rsidR="002F06CA" w:rsidRPr="00E04E16" w:rsidRDefault="002F06CA" w:rsidP="00BB546F">
            <w:pPr>
              <w:keepNext/>
              <w:keepLines/>
              <w:rPr>
                <w:rFonts w:ascii="Arial Narrow" w:hAnsi="Arial Narrow"/>
                <w:sz w:val="20"/>
                <w:szCs w:val="20"/>
              </w:rPr>
            </w:pPr>
            <w:r w:rsidRPr="00E04E16">
              <w:rPr>
                <w:rFonts w:ascii="Arial Narrow" w:hAnsi="Arial Narrow"/>
                <w:sz w:val="20"/>
                <w:szCs w:val="20"/>
              </w:rPr>
              <w:t>CKD 4, K+ &gt; 6.0</w:t>
            </w:r>
          </w:p>
        </w:tc>
        <w:tc>
          <w:tcPr>
            <w:tcW w:w="936" w:type="pct"/>
            <w:shd w:val="clear" w:color="auto" w:fill="auto"/>
          </w:tcPr>
          <w:p w:rsidR="002F06CA" w:rsidRPr="00382677" w:rsidRDefault="004E288B" w:rsidP="00BB546F">
            <w:pPr>
              <w:keepNext/>
              <w:keepLines/>
              <w:jc w:val="center"/>
              <w:rPr>
                <w:rFonts w:ascii="Arial Narrow" w:hAnsi="Arial Narrow"/>
                <w:sz w:val="20"/>
                <w:szCs w:val="20"/>
              </w:rPr>
            </w:pPr>
            <w:r>
              <w:rPr>
                <w:rFonts w:ascii="Arial Narrow" w:hAnsi="Arial Narrow"/>
                <w:noProof/>
                <w:color w:val="000000"/>
                <w:sz w:val="20"/>
                <w:szCs w:val="20"/>
                <w:highlight w:val="black"/>
              </w:rPr>
              <w:t>'''</w:t>
            </w:r>
            <w:r w:rsidR="002F06CA" w:rsidRPr="00382677">
              <w:rPr>
                <w:rFonts w:ascii="Arial Narrow" w:hAnsi="Arial Narrow"/>
                <w:sz w:val="20"/>
                <w:szCs w:val="20"/>
              </w:rPr>
              <w:t xml:space="preserve"> (100%)</w:t>
            </w:r>
          </w:p>
        </w:tc>
        <w:tc>
          <w:tcPr>
            <w:tcW w:w="937" w:type="pct"/>
            <w:shd w:val="clear" w:color="auto" w:fill="auto"/>
          </w:tcPr>
          <w:p w:rsidR="002F06CA" w:rsidRPr="00382677" w:rsidRDefault="002F06CA" w:rsidP="00BB546F">
            <w:pPr>
              <w:keepNext/>
              <w:keepLines/>
              <w:jc w:val="center"/>
              <w:rPr>
                <w:rFonts w:ascii="Arial Narrow" w:hAnsi="Arial Narrow"/>
                <w:sz w:val="20"/>
                <w:szCs w:val="20"/>
              </w:rPr>
            </w:pPr>
            <w:r w:rsidRPr="00382677">
              <w:rPr>
                <w:rFonts w:ascii="Arial Narrow" w:hAnsi="Arial Narrow"/>
                <w:sz w:val="20"/>
                <w:szCs w:val="20"/>
              </w:rPr>
              <w:t>0</w:t>
            </w:r>
          </w:p>
        </w:tc>
        <w:tc>
          <w:tcPr>
            <w:tcW w:w="936" w:type="pct"/>
            <w:shd w:val="clear" w:color="auto" w:fill="auto"/>
          </w:tcPr>
          <w:p w:rsidR="002F06CA" w:rsidRPr="00382677" w:rsidRDefault="002F06CA" w:rsidP="00BB546F">
            <w:pPr>
              <w:keepNext/>
              <w:keepLines/>
              <w:jc w:val="center"/>
              <w:rPr>
                <w:rFonts w:ascii="Arial Narrow" w:hAnsi="Arial Narrow"/>
                <w:sz w:val="20"/>
                <w:szCs w:val="20"/>
              </w:rPr>
            </w:pPr>
            <w:r w:rsidRPr="00382677">
              <w:rPr>
                <w:rFonts w:ascii="Arial Narrow" w:hAnsi="Arial Narrow"/>
                <w:sz w:val="20"/>
                <w:szCs w:val="20"/>
              </w:rPr>
              <w:t>0</w:t>
            </w:r>
          </w:p>
        </w:tc>
        <w:tc>
          <w:tcPr>
            <w:tcW w:w="937" w:type="pct"/>
            <w:shd w:val="clear" w:color="auto" w:fill="auto"/>
          </w:tcPr>
          <w:p w:rsidR="002F06CA" w:rsidRPr="00382677" w:rsidRDefault="004E288B" w:rsidP="00BB546F">
            <w:pPr>
              <w:keepNext/>
              <w:keepLines/>
              <w:jc w:val="center"/>
              <w:rPr>
                <w:rFonts w:ascii="Arial Narrow" w:hAnsi="Arial Narrow"/>
                <w:sz w:val="20"/>
                <w:szCs w:val="20"/>
              </w:rPr>
            </w:pPr>
            <w:r>
              <w:rPr>
                <w:rFonts w:ascii="Arial Narrow" w:hAnsi="Arial Narrow"/>
                <w:noProof/>
                <w:color w:val="000000"/>
                <w:sz w:val="20"/>
                <w:szCs w:val="20"/>
                <w:highlight w:val="black"/>
              </w:rPr>
              <w:t>'''</w:t>
            </w:r>
            <w:r w:rsidR="002F06CA" w:rsidRPr="00382677">
              <w:rPr>
                <w:rFonts w:ascii="Arial Narrow" w:hAnsi="Arial Narrow"/>
                <w:sz w:val="20"/>
                <w:szCs w:val="20"/>
              </w:rPr>
              <w:t xml:space="preserve"> (100%)</w:t>
            </w:r>
          </w:p>
        </w:tc>
      </w:tr>
    </w:tbl>
    <w:p w:rsidR="002F06CA" w:rsidRPr="00E04E16" w:rsidRDefault="002F06CA" w:rsidP="00BB546F">
      <w:pPr>
        <w:keepNext/>
        <w:keepLines/>
        <w:spacing w:after="120"/>
        <w:contextualSpacing/>
        <w:rPr>
          <w:rFonts w:ascii="Arial Narrow" w:hAnsi="Arial Narrow"/>
          <w:sz w:val="18"/>
          <w:szCs w:val="18"/>
        </w:rPr>
      </w:pPr>
      <w:r w:rsidRPr="00E04E16">
        <w:rPr>
          <w:rFonts w:ascii="Arial Narrow" w:hAnsi="Arial Narrow"/>
          <w:sz w:val="18"/>
          <w:szCs w:val="18"/>
        </w:rPr>
        <w:t>Source: Table 3.4.2, p.105 of the resubmission.</w:t>
      </w:r>
    </w:p>
    <w:p w:rsidR="002F06CA" w:rsidRPr="00E04E16" w:rsidRDefault="002F06CA" w:rsidP="00BB546F">
      <w:pPr>
        <w:keepNext/>
        <w:keepLines/>
        <w:spacing w:after="240"/>
        <w:contextualSpacing/>
        <w:rPr>
          <w:rFonts w:ascii="Arial Narrow" w:hAnsi="Arial Narrow"/>
          <w:sz w:val="18"/>
          <w:szCs w:val="18"/>
        </w:rPr>
      </w:pPr>
      <w:r w:rsidRPr="00E04E16">
        <w:rPr>
          <w:rFonts w:ascii="Arial Narrow" w:hAnsi="Arial Narrow"/>
          <w:sz w:val="18"/>
          <w:szCs w:val="18"/>
        </w:rPr>
        <w:t>Abbreviations: CKD, chronic kidney disease; K+, serum potassium</w:t>
      </w:r>
      <w:r w:rsidR="005E0297" w:rsidRPr="00E04E16">
        <w:rPr>
          <w:rFonts w:ascii="Arial Narrow" w:hAnsi="Arial Narrow"/>
          <w:sz w:val="18"/>
          <w:szCs w:val="18"/>
        </w:rPr>
        <w:t>.</w:t>
      </w:r>
    </w:p>
    <w:p w:rsidR="002F06CA" w:rsidRPr="00E04E16" w:rsidRDefault="002F06CA" w:rsidP="002F06CA">
      <w:pPr>
        <w:pStyle w:val="ExecSumBodyText"/>
      </w:pPr>
      <w:r w:rsidRPr="00E04E16">
        <w:t>All patients in Part A of OPAL-HK with CKD stage 3-4 disease and a baseline serum potassium of ≥ 6.0 mmol/L achieved a serum potassium concentration of &lt; 5.5 mmol/L at week 4 of the study.</w:t>
      </w:r>
    </w:p>
    <w:p w:rsidR="002F06CA" w:rsidRPr="00E04E16" w:rsidRDefault="002F06CA" w:rsidP="002F06CA">
      <w:pPr>
        <w:pStyle w:val="ExecSumBodyText"/>
        <w:rPr>
          <w:color w:val="0066FF"/>
        </w:rPr>
      </w:pPr>
      <w:r w:rsidRPr="00E04E16">
        <w:t xml:space="preserve">Figure 1 shows the results of the subgroup analysis </w:t>
      </w:r>
      <w:r w:rsidR="008A41AC" w:rsidRPr="00E04E16">
        <w:t>(Part A baseline serum potassium ≥ 6.0 mmol/</w:t>
      </w:r>
      <w:r w:rsidR="00403D12" w:rsidRPr="00E04E16">
        <w:t>L)</w:t>
      </w:r>
      <w:r w:rsidR="008A41AC" w:rsidRPr="00E04E16">
        <w:t xml:space="preserve"> </w:t>
      </w:r>
      <w:r w:rsidRPr="00E04E16">
        <w:t>for time to first serum potassium ≥ 5.5 mmol/L during OPAL-HK Part B.</w:t>
      </w:r>
    </w:p>
    <w:p w:rsidR="002F06CA" w:rsidRPr="00E04E16" w:rsidRDefault="002F06CA" w:rsidP="00BB546F">
      <w:pPr>
        <w:keepNext/>
        <w:spacing w:before="240"/>
        <w:rPr>
          <w:rFonts w:ascii="Arial Narrow" w:hAnsi="Arial Narrow"/>
          <w:b/>
          <w:sz w:val="20"/>
          <w:szCs w:val="20"/>
        </w:rPr>
      </w:pPr>
      <w:r w:rsidRPr="00E04E16">
        <w:rPr>
          <w:rFonts w:ascii="Arial Narrow" w:hAnsi="Arial Narrow"/>
          <w:b/>
          <w:sz w:val="20"/>
          <w:szCs w:val="20"/>
        </w:rPr>
        <w:t xml:space="preserve">Figure 1: Time to first serum potassium </w:t>
      </w:r>
      <w:r w:rsidRPr="00E04E16">
        <w:rPr>
          <w:rFonts w:ascii="Arial Narrow" w:hAnsi="Arial Narrow" w:cs="Calibri"/>
          <w:b/>
          <w:sz w:val="20"/>
          <w:szCs w:val="20"/>
        </w:rPr>
        <w:t>≥</w:t>
      </w:r>
      <w:r w:rsidRPr="00E04E16">
        <w:rPr>
          <w:rFonts w:ascii="Arial Narrow" w:hAnsi="Arial Narrow"/>
          <w:b/>
          <w:sz w:val="20"/>
          <w:szCs w:val="20"/>
        </w:rPr>
        <w:t xml:space="preserve"> 5.5 mmol/L</w:t>
      </w:r>
    </w:p>
    <w:p w:rsidR="002F06CA" w:rsidRPr="00E04E16" w:rsidRDefault="002F06CA" w:rsidP="002F06CA">
      <w:pPr>
        <w:keepNext/>
      </w:pPr>
      <w:r w:rsidRPr="00E04E16">
        <w:rPr>
          <w:noProof/>
        </w:rPr>
        <w:drawing>
          <wp:inline distT="0" distB="0" distL="0" distR="0" wp14:anchorId="392BA0E8" wp14:editId="59C8A83D">
            <wp:extent cx="5340626" cy="4180778"/>
            <wp:effectExtent l="0" t="0" r="0" b="0"/>
            <wp:docPr id="20" name="Picture 20" title="Figure 1: Time to first serum potassium ≥ 5.5 mmol/L">
              <a:extLst xmlns:a="http://schemas.openxmlformats.org/drawingml/2006/main">
                <a:ext uri="{FF2B5EF4-FFF2-40B4-BE49-F238E27FC236}">
                  <a16:creationId xmlns:a16="http://schemas.microsoft.com/office/drawing/2014/main" id="{CA7F5C8E-3F64-402B-BD74-603FAAD8BBB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CA7F5C8E-3F64-402B-BD74-603FAAD8BBBB}"/>
                        </a:ext>
                      </a:extLst>
                    </pic:cNvPr>
                    <pic:cNvPicPr>
                      <a:picLocks noChangeAspect="1"/>
                    </pic:cNvPicPr>
                  </pic:nvPicPr>
                  <pic:blipFill rotWithShape="1">
                    <a:blip r:embed="rId8"/>
                    <a:srcRect t="-2095"/>
                    <a:stretch/>
                  </pic:blipFill>
                  <pic:spPr bwMode="auto">
                    <a:xfrm>
                      <a:off x="0" y="0"/>
                      <a:ext cx="5423833" cy="4245915"/>
                    </a:xfrm>
                    <a:prstGeom prst="rect">
                      <a:avLst/>
                    </a:prstGeom>
                    <a:ln>
                      <a:noFill/>
                    </a:ln>
                    <a:extLst>
                      <a:ext uri="{53640926-AAD7-44D8-BBD7-CCE9431645EC}">
                        <a14:shadowObscured xmlns:a14="http://schemas.microsoft.com/office/drawing/2010/main"/>
                      </a:ext>
                    </a:extLst>
                  </pic:spPr>
                </pic:pic>
              </a:graphicData>
            </a:graphic>
          </wp:inline>
        </w:drawing>
      </w:r>
    </w:p>
    <w:p w:rsidR="008A41AC" w:rsidRPr="00E04E16" w:rsidRDefault="002F06CA" w:rsidP="005E0297">
      <w:pPr>
        <w:spacing w:after="120"/>
        <w:contextualSpacing/>
        <w:rPr>
          <w:rFonts w:ascii="Arial Narrow" w:hAnsi="Arial Narrow"/>
          <w:sz w:val="18"/>
          <w:szCs w:val="18"/>
        </w:rPr>
      </w:pPr>
      <w:r w:rsidRPr="00E04E16">
        <w:rPr>
          <w:rFonts w:ascii="Arial Narrow" w:hAnsi="Arial Narrow"/>
          <w:sz w:val="18"/>
          <w:szCs w:val="18"/>
        </w:rPr>
        <w:t>Source: ‘HR calculation’, Cost Effectiveness Model.xlsm, Attachment 7 of the resubmission.</w:t>
      </w:r>
    </w:p>
    <w:p w:rsidR="002F06CA" w:rsidRPr="00E04E16" w:rsidRDefault="002F06CA" w:rsidP="005E0297">
      <w:pPr>
        <w:spacing w:after="120"/>
        <w:contextualSpacing/>
        <w:rPr>
          <w:rFonts w:ascii="Arial Narrow" w:hAnsi="Arial Narrow"/>
          <w:sz w:val="18"/>
          <w:szCs w:val="18"/>
        </w:rPr>
      </w:pPr>
      <w:r w:rsidRPr="00E04E16">
        <w:rPr>
          <w:rFonts w:ascii="Arial Narrow" w:hAnsi="Arial Narrow"/>
          <w:sz w:val="18"/>
          <w:szCs w:val="18"/>
        </w:rPr>
        <w:t>Abbreviations: CKD, chronic kidney disease; K, serum potassium.</w:t>
      </w:r>
    </w:p>
    <w:p w:rsidR="002F06CA" w:rsidRPr="00E04E16" w:rsidRDefault="005167A3" w:rsidP="00BB546F">
      <w:pPr>
        <w:keepNext/>
        <w:keepLines/>
        <w:spacing w:after="240"/>
        <w:contextualSpacing/>
        <w:rPr>
          <w:rFonts w:ascii="Arial Narrow" w:hAnsi="Arial Narrow"/>
          <w:sz w:val="18"/>
          <w:szCs w:val="18"/>
        </w:rPr>
      </w:pPr>
      <w:r w:rsidRPr="00E04E16">
        <w:rPr>
          <w:rFonts w:ascii="Arial Narrow" w:hAnsi="Arial Narrow"/>
          <w:sz w:val="18"/>
          <w:szCs w:val="18"/>
        </w:rPr>
        <w:t xml:space="preserve">Note: </w:t>
      </w:r>
      <w:r w:rsidR="008A41AC" w:rsidRPr="00E04E16">
        <w:rPr>
          <w:rFonts w:ascii="Arial Narrow" w:hAnsi="Arial Narrow"/>
          <w:sz w:val="18"/>
          <w:szCs w:val="18"/>
        </w:rPr>
        <w:t>Shaded areas represent 95% CI</w:t>
      </w:r>
    </w:p>
    <w:p w:rsidR="002F06CA" w:rsidRPr="00E04E16" w:rsidRDefault="002F06CA" w:rsidP="002F06CA">
      <w:pPr>
        <w:pStyle w:val="ExecSumBodyText"/>
      </w:pPr>
      <w:r w:rsidRPr="00E04E16">
        <w:t>A hazard ratio of 0.1809 (</w:t>
      </w:r>
      <w:r w:rsidR="00C76BFF" w:rsidRPr="00E04E16">
        <w:t>n</w:t>
      </w:r>
      <w:r w:rsidRPr="00E04E16">
        <w:t>=</w:t>
      </w:r>
      <w:r w:rsidR="004E288B">
        <w:rPr>
          <w:noProof/>
          <w:color w:val="000000"/>
          <w:highlight w:val="black"/>
        </w:rPr>
        <w:t>'''''</w:t>
      </w:r>
      <w:r w:rsidRPr="00E04E16">
        <w:t xml:space="preserve">, number of events = </w:t>
      </w:r>
      <w:r w:rsidR="004E288B">
        <w:rPr>
          <w:noProof/>
          <w:color w:val="000000"/>
          <w:highlight w:val="black"/>
        </w:rPr>
        <w:t>'''''</w:t>
      </w:r>
      <w:r w:rsidRPr="00E04E16">
        <w:t>, 95% CI: 0.0393, 0.831) was calculated for the post-hoc subgroup analysis, unadjusted for covariates due to the small sample size.</w:t>
      </w:r>
    </w:p>
    <w:p w:rsidR="002F06CA" w:rsidRPr="00E04E16" w:rsidRDefault="002F06CA" w:rsidP="002F06CA">
      <w:pPr>
        <w:pStyle w:val="ExecSumBodyText"/>
      </w:pPr>
      <w:r w:rsidRPr="00E04E16">
        <w:lastRenderedPageBreak/>
        <w:t xml:space="preserve">The </w:t>
      </w:r>
      <w:r w:rsidR="00BB546F" w:rsidRPr="00E04E16">
        <w:t xml:space="preserve">analysis of </w:t>
      </w:r>
      <w:r w:rsidRPr="00E04E16">
        <w:t xml:space="preserve">time to first serum potassium ≥ 5.5 mmol/L excluded one patient included in the Part A analysis. Insufficient </w:t>
      </w:r>
      <w:r w:rsidR="00C76BFF" w:rsidRPr="00E04E16">
        <w:t>information about</w:t>
      </w:r>
      <w:r w:rsidRPr="00E04E16">
        <w:t xml:space="preserve"> the post-hoc subgroup analysis w</w:t>
      </w:r>
      <w:r w:rsidR="00C76BFF" w:rsidRPr="00E04E16">
        <w:t>as</w:t>
      </w:r>
      <w:r w:rsidRPr="00E04E16">
        <w:t xml:space="preserve"> provided to explain the exclusion, or for meaningful evaluation. Given the lack of explanation of the analysis</w:t>
      </w:r>
      <w:r w:rsidR="00A031A2" w:rsidRPr="00E04E16">
        <w:t xml:space="preserve"> and</w:t>
      </w:r>
      <w:r w:rsidRPr="00E04E16">
        <w:t xml:space="preserve"> the small sample size of the post-hoc subgroup, the results of the analysis should be interpreted with caution.</w:t>
      </w:r>
    </w:p>
    <w:p w:rsidR="00C85E73" w:rsidRPr="00E04E16" w:rsidRDefault="00927067" w:rsidP="00293567">
      <w:pPr>
        <w:pStyle w:val="ExecSumBodyText"/>
      </w:pPr>
      <w:r w:rsidRPr="00E04E16">
        <w:t>Data from the post</w:t>
      </w:r>
      <w:r w:rsidR="005625EB" w:rsidRPr="00E04E16">
        <w:t>-</w:t>
      </w:r>
      <w:r w:rsidRPr="00E04E16">
        <w:t xml:space="preserve">hoc subgroup analyses of patients from OPAL-HK with Part A baseline serum potassium ≥6.0 mmol/L (Table 8 and Figure 1 above) were </w:t>
      </w:r>
      <w:r w:rsidR="00D144B9" w:rsidRPr="00E04E16">
        <w:t>the basis of the treatment effect of patiromer in the economic model, with data from a</w:t>
      </w:r>
      <w:r w:rsidR="006E19C5" w:rsidRPr="00E04E16">
        <w:t xml:space="preserve"> retrospective</w:t>
      </w:r>
      <w:r w:rsidR="00D144B9" w:rsidRPr="00E04E16">
        <w:t xml:space="preserve"> analysis of</w:t>
      </w:r>
      <w:r w:rsidR="006E19C5" w:rsidRPr="00E04E16">
        <w:t xml:space="preserve"> UK medical records from </w:t>
      </w:r>
      <w:r w:rsidR="00D144B9" w:rsidRPr="00E04E16">
        <w:t xml:space="preserve">the </w:t>
      </w:r>
      <w:r w:rsidR="006E19C5" w:rsidRPr="00E04E16">
        <w:t>C</w:t>
      </w:r>
      <w:r w:rsidR="00D144B9" w:rsidRPr="00E04E16">
        <w:t>linical Practice Research Datalink (CPRD) used for the treatment effect of</w:t>
      </w:r>
      <w:r w:rsidRPr="00E04E16">
        <w:t xml:space="preserve"> standard care</w:t>
      </w:r>
      <w:r w:rsidR="00D144B9" w:rsidRPr="00E04E16">
        <w:t>, given the lack of a control arm in OPAL-HK. The CPRD analysis</w:t>
      </w:r>
      <w:r w:rsidR="00293567" w:rsidRPr="00E04E16">
        <w:t xml:space="preserve"> </w:t>
      </w:r>
      <w:r w:rsidR="00D144B9" w:rsidRPr="00E04E16">
        <w:t xml:space="preserve">reported average monthly serum potassium category transitions in 9,751 English patients with a diagnosis of CKD stage 3 or 4 between 1 January 2012 and 31 December 2016, and at least one RAASi prescription after their CKD diagnosis. Table 9 summarises the average monthly transitions over five years from RAASi initiation from each serum potassium category (&lt;5.5, 5.5-6.0, &gt;6.0 </w:t>
      </w:r>
      <w:r w:rsidR="00403D12" w:rsidRPr="00E04E16">
        <w:t>mmol</w:t>
      </w:r>
      <w:r w:rsidR="00D144B9" w:rsidRPr="00E04E16">
        <w:t>/L) for patients with CKD 3 and CKD 4 based on the CPRD analysis.</w:t>
      </w:r>
      <w:r w:rsidR="00293567" w:rsidRPr="00E04E16">
        <w:t xml:space="preserve"> </w:t>
      </w:r>
    </w:p>
    <w:p w:rsidR="00293567" w:rsidRPr="00E04E16" w:rsidRDefault="00293567" w:rsidP="00293567">
      <w:pPr>
        <w:rPr>
          <w:rFonts w:ascii="Arial Narrow" w:hAnsi="Arial Narrow"/>
          <w:b/>
          <w:sz w:val="20"/>
          <w:szCs w:val="20"/>
        </w:rPr>
      </w:pPr>
      <w:r w:rsidRPr="00E04E16">
        <w:rPr>
          <w:rFonts w:ascii="Arial Narrow" w:hAnsi="Arial Narrow"/>
          <w:b/>
          <w:sz w:val="20"/>
          <w:szCs w:val="20"/>
        </w:rPr>
        <w:t>Table 9: Average monthly transitions between serum potassium levels for patients with CKD 3 and 4</w:t>
      </w:r>
    </w:p>
    <w:tbl>
      <w:tblPr>
        <w:tblStyle w:val="TableGrid"/>
        <w:tblW w:w="0" w:type="auto"/>
        <w:tblLook w:val="04A0" w:firstRow="1" w:lastRow="0" w:firstColumn="1" w:lastColumn="0" w:noHBand="0" w:noVBand="1"/>
        <w:tblCaption w:val="Table 9: Average monthly transitions between serum potassium levels for patients with CKD 3 and 4"/>
      </w:tblPr>
      <w:tblGrid>
        <w:gridCol w:w="2254"/>
        <w:gridCol w:w="2254"/>
        <w:gridCol w:w="2254"/>
        <w:gridCol w:w="2255"/>
      </w:tblGrid>
      <w:tr w:rsidR="00293567" w:rsidRPr="00E04E16" w:rsidTr="002920A6">
        <w:tc>
          <w:tcPr>
            <w:tcW w:w="2254" w:type="dxa"/>
            <w:vMerge w:val="restart"/>
          </w:tcPr>
          <w:p w:rsidR="00293567" w:rsidRPr="00E04E16" w:rsidRDefault="00293567" w:rsidP="002920A6">
            <w:pPr>
              <w:rPr>
                <w:rFonts w:ascii="Arial Narrow" w:hAnsi="Arial Narrow"/>
                <w:b/>
                <w:sz w:val="20"/>
              </w:rPr>
            </w:pPr>
            <w:r w:rsidRPr="00E04E16">
              <w:rPr>
                <w:rFonts w:ascii="Arial Narrow" w:hAnsi="Arial Narrow"/>
                <w:b/>
                <w:sz w:val="20"/>
              </w:rPr>
              <w:t>Starting serum potassium category</w:t>
            </w:r>
          </w:p>
        </w:tc>
        <w:tc>
          <w:tcPr>
            <w:tcW w:w="6763" w:type="dxa"/>
            <w:gridSpan w:val="3"/>
            <w:vAlign w:val="center"/>
          </w:tcPr>
          <w:p w:rsidR="00293567" w:rsidRPr="00E04E16" w:rsidRDefault="00293567" w:rsidP="002920A6">
            <w:pPr>
              <w:jc w:val="center"/>
              <w:rPr>
                <w:rFonts w:ascii="Arial Narrow" w:hAnsi="Arial Narrow"/>
                <w:b/>
                <w:sz w:val="20"/>
              </w:rPr>
            </w:pPr>
            <w:r w:rsidRPr="00E04E16">
              <w:rPr>
                <w:rFonts w:ascii="Arial Narrow" w:hAnsi="Arial Narrow"/>
                <w:b/>
                <w:sz w:val="20"/>
              </w:rPr>
              <w:t>Probability of transitioning to serum potassium category, % (SD)</w:t>
            </w:r>
          </w:p>
        </w:tc>
      </w:tr>
      <w:tr w:rsidR="00293567" w:rsidRPr="00E04E16" w:rsidTr="002920A6">
        <w:tc>
          <w:tcPr>
            <w:tcW w:w="2254" w:type="dxa"/>
            <w:vMerge/>
          </w:tcPr>
          <w:p w:rsidR="00293567" w:rsidRPr="00E04E16" w:rsidRDefault="00293567" w:rsidP="002920A6">
            <w:pPr>
              <w:rPr>
                <w:rFonts w:ascii="Arial Narrow" w:hAnsi="Arial Narrow"/>
                <w:b/>
                <w:sz w:val="20"/>
              </w:rPr>
            </w:pPr>
          </w:p>
        </w:tc>
        <w:tc>
          <w:tcPr>
            <w:tcW w:w="2254" w:type="dxa"/>
            <w:vAlign w:val="center"/>
          </w:tcPr>
          <w:p w:rsidR="00293567" w:rsidRPr="00E04E16" w:rsidRDefault="00293567" w:rsidP="002920A6">
            <w:pPr>
              <w:jc w:val="center"/>
              <w:rPr>
                <w:rFonts w:ascii="Arial Narrow" w:hAnsi="Arial Narrow"/>
                <w:b/>
                <w:sz w:val="20"/>
              </w:rPr>
            </w:pPr>
            <w:r w:rsidRPr="00E04E16">
              <w:rPr>
                <w:rFonts w:ascii="Arial Narrow" w:hAnsi="Arial Narrow"/>
                <w:b/>
                <w:sz w:val="20"/>
              </w:rPr>
              <w:t>&lt;5.5 mmol/L</w:t>
            </w:r>
          </w:p>
        </w:tc>
        <w:tc>
          <w:tcPr>
            <w:tcW w:w="2254" w:type="dxa"/>
            <w:vAlign w:val="center"/>
          </w:tcPr>
          <w:p w:rsidR="00293567" w:rsidRPr="00E04E16" w:rsidRDefault="00293567" w:rsidP="002920A6">
            <w:pPr>
              <w:jc w:val="center"/>
              <w:rPr>
                <w:rFonts w:ascii="Arial Narrow" w:hAnsi="Arial Narrow"/>
                <w:b/>
                <w:sz w:val="20"/>
              </w:rPr>
            </w:pPr>
            <w:r w:rsidRPr="00E04E16">
              <w:rPr>
                <w:rFonts w:ascii="Arial Narrow" w:hAnsi="Arial Narrow"/>
                <w:b/>
                <w:sz w:val="20"/>
              </w:rPr>
              <w:t>5.5-6.0 mmol/L</w:t>
            </w:r>
          </w:p>
        </w:tc>
        <w:tc>
          <w:tcPr>
            <w:tcW w:w="2255" w:type="dxa"/>
            <w:vAlign w:val="center"/>
          </w:tcPr>
          <w:p w:rsidR="00293567" w:rsidRPr="00E04E16" w:rsidRDefault="00293567" w:rsidP="002920A6">
            <w:pPr>
              <w:jc w:val="center"/>
              <w:rPr>
                <w:rFonts w:ascii="Arial Narrow" w:hAnsi="Arial Narrow"/>
                <w:b/>
                <w:sz w:val="20"/>
              </w:rPr>
            </w:pPr>
            <w:r w:rsidRPr="00E04E16">
              <w:rPr>
                <w:rFonts w:ascii="Arial Narrow" w:hAnsi="Arial Narrow"/>
                <w:b/>
                <w:sz w:val="20"/>
              </w:rPr>
              <w:t>&gt;6.0 mmol/L</w:t>
            </w:r>
          </w:p>
        </w:tc>
      </w:tr>
      <w:tr w:rsidR="00293567" w:rsidRPr="00E04E16" w:rsidTr="002920A6">
        <w:tc>
          <w:tcPr>
            <w:tcW w:w="9017" w:type="dxa"/>
            <w:gridSpan w:val="4"/>
          </w:tcPr>
          <w:p w:rsidR="00293567" w:rsidRPr="00E04E16" w:rsidRDefault="00293567" w:rsidP="002920A6">
            <w:pPr>
              <w:jc w:val="left"/>
              <w:rPr>
                <w:rFonts w:ascii="Arial Narrow" w:hAnsi="Arial Narrow"/>
                <w:b/>
                <w:sz w:val="20"/>
              </w:rPr>
            </w:pPr>
            <w:r w:rsidRPr="00E04E16">
              <w:rPr>
                <w:rFonts w:ascii="Arial Narrow" w:hAnsi="Arial Narrow"/>
                <w:b/>
                <w:sz w:val="20"/>
              </w:rPr>
              <w:t>CKD 3</w:t>
            </w:r>
          </w:p>
        </w:tc>
      </w:tr>
      <w:tr w:rsidR="00293567" w:rsidRPr="00E04E16" w:rsidTr="002920A6">
        <w:tc>
          <w:tcPr>
            <w:tcW w:w="2254" w:type="dxa"/>
          </w:tcPr>
          <w:p w:rsidR="00293567" w:rsidRPr="00E04E16" w:rsidRDefault="00293567" w:rsidP="002920A6">
            <w:pPr>
              <w:rPr>
                <w:rFonts w:ascii="Arial Narrow" w:hAnsi="Arial Narrow"/>
                <w:sz w:val="20"/>
              </w:rPr>
            </w:pPr>
            <w:r w:rsidRPr="00E04E16">
              <w:rPr>
                <w:rFonts w:ascii="Arial Narrow" w:hAnsi="Arial Narrow"/>
                <w:sz w:val="20"/>
              </w:rPr>
              <w:t>&lt;5.5 mmol/L</w:t>
            </w:r>
          </w:p>
        </w:tc>
        <w:tc>
          <w:tcPr>
            <w:tcW w:w="2254" w:type="dxa"/>
            <w:vAlign w:val="center"/>
          </w:tcPr>
          <w:p w:rsidR="00293567" w:rsidRPr="00E04E16" w:rsidRDefault="00293567" w:rsidP="002920A6">
            <w:pPr>
              <w:jc w:val="center"/>
              <w:rPr>
                <w:rFonts w:ascii="Arial Narrow" w:hAnsi="Arial Narrow"/>
                <w:sz w:val="20"/>
              </w:rPr>
            </w:pPr>
            <w:r w:rsidRPr="00E04E16">
              <w:rPr>
                <w:rFonts w:ascii="Arial Narrow" w:hAnsi="Arial Narrow"/>
                <w:sz w:val="20"/>
              </w:rPr>
              <w:t>99.65%</w:t>
            </w:r>
          </w:p>
        </w:tc>
        <w:tc>
          <w:tcPr>
            <w:tcW w:w="2254" w:type="dxa"/>
            <w:vAlign w:val="center"/>
          </w:tcPr>
          <w:p w:rsidR="00293567" w:rsidRPr="00E04E16" w:rsidRDefault="00293567" w:rsidP="002920A6">
            <w:pPr>
              <w:jc w:val="center"/>
              <w:rPr>
                <w:rFonts w:ascii="Arial Narrow" w:hAnsi="Arial Narrow"/>
                <w:sz w:val="20"/>
              </w:rPr>
            </w:pPr>
            <w:r w:rsidRPr="00E04E16">
              <w:rPr>
                <w:rFonts w:ascii="Arial Narrow" w:hAnsi="Arial Narrow"/>
                <w:sz w:val="20"/>
              </w:rPr>
              <w:t>0.31% (0.11)</w:t>
            </w:r>
          </w:p>
        </w:tc>
        <w:tc>
          <w:tcPr>
            <w:tcW w:w="2255" w:type="dxa"/>
            <w:vAlign w:val="center"/>
          </w:tcPr>
          <w:p w:rsidR="00293567" w:rsidRPr="00E04E16" w:rsidRDefault="00293567" w:rsidP="002920A6">
            <w:pPr>
              <w:jc w:val="center"/>
              <w:rPr>
                <w:rFonts w:ascii="Arial Narrow" w:hAnsi="Arial Narrow"/>
                <w:sz w:val="20"/>
              </w:rPr>
            </w:pPr>
            <w:r w:rsidRPr="00E04E16">
              <w:rPr>
                <w:rFonts w:ascii="Arial Narrow" w:hAnsi="Arial Narrow"/>
                <w:sz w:val="20"/>
              </w:rPr>
              <w:t>0.04% (0.03)</w:t>
            </w:r>
          </w:p>
        </w:tc>
      </w:tr>
      <w:tr w:rsidR="00293567" w:rsidRPr="00E04E16" w:rsidTr="002920A6">
        <w:tc>
          <w:tcPr>
            <w:tcW w:w="2254" w:type="dxa"/>
          </w:tcPr>
          <w:p w:rsidR="00293567" w:rsidRPr="00E04E16" w:rsidRDefault="00293567" w:rsidP="002920A6">
            <w:pPr>
              <w:rPr>
                <w:rFonts w:ascii="Arial Narrow" w:hAnsi="Arial Narrow"/>
                <w:sz w:val="20"/>
              </w:rPr>
            </w:pPr>
            <w:r w:rsidRPr="00E04E16">
              <w:rPr>
                <w:rFonts w:ascii="Arial Narrow" w:hAnsi="Arial Narrow"/>
                <w:sz w:val="20"/>
              </w:rPr>
              <w:t>5.5-6.0 mmol/L</w:t>
            </w:r>
          </w:p>
        </w:tc>
        <w:tc>
          <w:tcPr>
            <w:tcW w:w="2254" w:type="dxa"/>
            <w:vAlign w:val="center"/>
          </w:tcPr>
          <w:p w:rsidR="00293567" w:rsidRPr="00E04E16" w:rsidRDefault="00293567" w:rsidP="002920A6">
            <w:pPr>
              <w:jc w:val="center"/>
              <w:rPr>
                <w:rFonts w:ascii="Arial Narrow" w:hAnsi="Arial Narrow"/>
                <w:sz w:val="20"/>
              </w:rPr>
            </w:pPr>
            <w:r w:rsidRPr="00E04E16">
              <w:rPr>
                <w:rFonts w:ascii="Arial Narrow" w:hAnsi="Arial Narrow"/>
                <w:sz w:val="20"/>
              </w:rPr>
              <w:t>12.15% (5.55)</w:t>
            </w:r>
          </w:p>
        </w:tc>
        <w:tc>
          <w:tcPr>
            <w:tcW w:w="2254" w:type="dxa"/>
            <w:vAlign w:val="center"/>
          </w:tcPr>
          <w:p w:rsidR="00293567" w:rsidRPr="00E04E16" w:rsidRDefault="00293567" w:rsidP="002920A6">
            <w:pPr>
              <w:jc w:val="center"/>
              <w:rPr>
                <w:rFonts w:ascii="Arial Narrow" w:hAnsi="Arial Narrow"/>
                <w:sz w:val="20"/>
              </w:rPr>
            </w:pPr>
            <w:r w:rsidRPr="00E04E16">
              <w:rPr>
                <w:rFonts w:ascii="Arial Narrow" w:hAnsi="Arial Narrow"/>
                <w:sz w:val="20"/>
              </w:rPr>
              <w:t>87.48%</w:t>
            </w:r>
          </w:p>
        </w:tc>
        <w:tc>
          <w:tcPr>
            <w:tcW w:w="2255" w:type="dxa"/>
            <w:vAlign w:val="center"/>
          </w:tcPr>
          <w:p w:rsidR="00293567" w:rsidRPr="00E04E16" w:rsidRDefault="00293567" w:rsidP="002920A6">
            <w:pPr>
              <w:jc w:val="center"/>
              <w:rPr>
                <w:rFonts w:ascii="Arial Narrow" w:hAnsi="Arial Narrow"/>
                <w:sz w:val="20"/>
              </w:rPr>
            </w:pPr>
            <w:r w:rsidRPr="00E04E16">
              <w:rPr>
                <w:rFonts w:ascii="Arial Narrow" w:hAnsi="Arial Narrow"/>
                <w:sz w:val="20"/>
              </w:rPr>
              <w:t>0.38% (0.60)</w:t>
            </w:r>
          </w:p>
        </w:tc>
      </w:tr>
      <w:tr w:rsidR="00293567" w:rsidRPr="00E04E16" w:rsidTr="002920A6">
        <w:tc>
          <w:tcPr>
            <w:tcW w:w="2254" w:type="dxa"/>
          </w:tcPr>
          <w:p w:rsidR="00293567" w:rsidRPr="00E04E16" w:rsidRDefault="00293567" w:rsidP="002920A6">
            <w:pPr>
              <w:rPr>
                <w:rFonts w:ascii="Arial Narrow" w:hAnsi="Arial Narrow"/>
                <w:sz w:val="20"/>
              </w:rPr>
            </w:pPr>
            <w:r w:rsidRPr="00E04E16">
              <w:rPr>
                <w:rFonts w:ascii="Arial Narrow" w:hAnsi="Arial Narrow"/>
                <w:sz w:val="20"/>
              </w:rPr>
              <w:t>&gt;6.0 mmol/L</w:t>
            </w:r>
          </w:p>
        </w:tc>
        <w:tc>
          <w:tcPr>
            <w:tcW w:w="2254" w:type="dxa"/>
            <w:vAlign w:val="center"/>
          </w:tcPr>
          <w:p w:rsidR="00293567" w:rsidRPr="00E04E16" w:rsidRDefault="00293567" w:rsidP="002920A6">
            <w:pPr>
              <w:jc w:val="center"/>
              <w:rPr>
                <w:rFonts w:ascii="Arial Narrow" w:hAnsi="Arial Narrow"/>
                <w:sz w:val="20"/>
              </w:rPr>
            </w:pPr>
            <w:r w:rsidRPr="00E04E16">
              <w:rPr>
                <w:rFonts w:ascii="Arial Narrow" w:hAnsi="Arial Narrow"/>
                <w:sz w:val="20"/>
              </w:rPr>
              <w:t>11.71% (9.04)</w:t>
            </w:r>
          </w:p>
        </w:tc>
        <w:tc>
          <w:tcPr>
            <w:tcW w:w="2254" w:type="dxa"/>
            <w:vAlign w:val="center"/>
          </w:tcPr>
          <w:p w:rsidR="00293567" w:rsidRPr="00E04E16" w:rsidRDefault="00293567" w:rsidP="002920A6">
            <w:pPr>
              <w:jc w:val="center"/>
              <w:rPr>
                <w:rFonts w:ascii="Arial Narrow" w:hAnsi="Arial Narrow"/>
                <w:sz w:val="20"/>
              </w:rPr>
            </w:pPr>
            <w:r w:rsidRPr="00E04E16">
              <w:rPr>
                <w:rFonts w:ascii="Arial Narrow" w:hAnsi="Arial Narrow"/>
                <w:sz w:val="20"/>
              </w:rPr>
              <w:t>2.37% (4.05)</w:t>
            </w:r>
          </w:p>
        </w:tc>
        <w:tc>
          <w:tcPr>
            <w:tcW w:w="2255" w:type="dxa"/>
            <w:vAlign w:val="center"/>
          </w:tcPr>
          <w:p w:rsidR="00293567" w:rsidRPr="00E04E16" w:rsidRDefault="00293567" w:rsidP="002920A6">
            <w:pPr>
              <w:jc w:val="center"/>
              <w:rPr>
                <w:rFonts w:ascii="Arial Narrow" w:hAnsi="Arial Narrow"/>
                <w:sz w:val="20"/>
              </w:rPr>
            </w:pPr>
            <w:r w:rsidRPr="00E04E16">
              <w:rPr>
                <w:rFonts w:ascii="Arial Narrow" w:hAnsi="Arial Narrow"/>
                <w:sz w:val="20"/>
              </w:rPr>
              <w:t>85.92%</w:t>
            </w:r>
          </w:p>
        </w:tc>
      </w:tr>
      <w:tr w:rsidR="00293567" w:rsidRPr="00E04E16" w:rsidTr="002920A6">
        <w:tc>
          <w:tcPr>
            <w:tcW w:w="9017" w:type="dxa"/>
            <w:gridSpan w:val="4"/>
          </w:tcPr>
          <w:p w:rsidR="00293567" w:rsidRPr="00E04E16" w:rsidRDefault="00293567" w:rsidP="002920A6">
            <w:pPr>
              <w:jc w:val="left"/>
              <w:rPr>
                <w:rFonts w:ascii="Arial Narrow" w:hAnsi="Arial Narrow"/>
                <w:b/>
                <w:sz w:val="20"/>
              </w:rPr>
            </w:pPr>
            <w:r w:rsidRPr="00E04E16">
              <w:rPr>
                <w:rFonts w:ascii="Arial Narrow" w:hAnsi="Arial Narrow"/>
                <w:b/>
                <w:sz w:val="20"/>
              </w:rPr>
              <w:t>CKD 4</w:t>
            </w:r>
          </w:p>
        </w:tc>
      </w:tr>
      <w:tr w:rsidR="00293567" w:rsidRPr="00E04E16" w:rsidTr="002920A6">
        <w:tc>
          <w:tcPr>
            <w:tcW w:w="2254" w:type="dxa"/>
          </w:tcPr>
          <w:p w:rsidR="00293567" w:rsidRPr="00E04E16" w:rsidRDefault="00293567" w:rsidP="002920A6">
            <w:pPr>
              <w:rPr>
                <w:rFonts w:ascii="Arial Narrow" w:hAnsi="Arial Narrow"/>
                <w:sz w:val="20"/>
              </w:rPr>
            </w:pPr>
            <w:r w:rsidRPr="00E04E16">
              <w:rPr>
                <w:rFonts w:ascii="Arial Narrow" w:hAnsi="Arial Narrow"/>
                <w:sz w:val="20"/>
              </w:rPr>
              <w:t>&lt;5.5 mmol/L</w:t>
            </w:r>
          </w:p>
        </w:tc>
        <w:tc>
          <w:tcPr>
            <w:tcW w:w="2254" w:type="dxa"/>
            <w:vAlign w:val="center"/>
          </w:tcPr>
          <w:p w:rsidR="00293567" w:rsidRPr="00E04E16" w:rsidRDefault="00293567" w:rsidP="002920A6">
            <w:pPr>
              <w:jc w:val="center"/>
              <w:rPr>
                <w:rFonts w:ascii="Arial Narrow" w:hAnsi="Arial Narrow"/>
                <w:sz w:val="20"/>
              </w:rPr>
            </w:pPr>
            <w:r w:rsidRPr="00E04E16">
              <w:rPr>
                <w:rFonts w:ascii="Arial Narrow" w:hAnsi="Arial Narrow"/>
                <w:sz w:val="20"/>
              </w:rPr>
              <w:t>99.98%</w:t>
            </w:r>
          </w:p>
        </w:tc>
        <w:tc>
          <w:tcPr>
            <w:tcW w:w="2254" w:type="dxa"/>
            <w:vAlign w:val="center"/>
          </w:tcPr>
          <w:p w:rsidR="00293567" w:rsidRPr="00E04E16" w:rsidRDefault="00293567" w:rsidP="002920A6">
            <w:pPr>
              <w:jc w:val="center"/>
              <w:rPr>
                <w:rFonts w:ascii="Arial Narrow" w:hAnsi="Arial Narrow"/>
                <w:sz w:val="20"/>
              </w:rPr>
            </w:pPr>
            <w:r w:rsidRPr="00E04E16">
              <w:rPr>
                <w:rFonts w:ascii="Arial Narrow" w:hAnsi="Arial Narrow"/>
                <w:sz w:val="20"/>
              </w:rPr>
              <w:t>0.92% (0.63)</w:t>
            </w:r>
          </w:p>
        </w:tc>
        <w:tc>
          <w:tcPr>
            <w:tcW w:w="2255" w:type="dxa"/>
            <w:vAlign w:val="center"/>
          </w:tcPr>
          <w:p w:rsidR="00293567" w:rsidRPr="00E04E16" w:rsidRDefault="00293567" w:rsidP="002920A6">
            <w:pPr>
              <w:jc w:val="center"/>
              <w:rPr>
                <w:rFonts w:ascii="Arial Narrow" w:hAnsi="Arial Narrow"/>
                <w:sz w:val="20"/>
              </w:rPr>
            </w:pPr>
            <w:r w:rsidRPr="00E04E16">
              <w:rPr>
                <w:rFonts w:ascii="Arial Narrow" w:hAnsi="Arial Narrow"/>
                <w:sz w:val="20"/>
              </w:rPr>
              <w:t>0.10% (0.18)</w:t>
            </w:r>
          </w:p>
        </w:tc>
      </w:tr>
      <w:tr w:rsidR="00293567" w:rsidRPr="00E04E16" w:rsidTr="002920A6">
        <w:tc>
          <w:tcPr>
            <w:tcW w:w="2254" w:type="dxa"/>
          </w:tcPr>
          <w:p w:rsidR="00293567" w:rsidRPr="00E04E16" w:rsidRDefault="00293567" w:rsidP="002920A6">
            <w:pPr>
              <w:rPr>
                <w:rFonts w:ascii="Arial Narrow" w:hAnsi="Arial Narrow"/>
                <w:sz w:val="20"/>
              </w:rPr>
            </w:pPr>
            <w:r w:rsidRPr="00E04E16">
              <w:rPr>
                <w:rFonts w:ascii="Arial Narrow" w:hAnsi="Arial Narrow"/>
                <w:sz w:val="20"/>
              </w:rPr>
              <w:t>5.5-6.0 mmol/L</w:t>
            </w:r>
          </w:p>
        </w:tc>
        <w:tc>
          <w:tcPr>
            <w:tcW w:w="2254" w:type="dxa"/>
            <w:vAlign w:val="center"/>
          </w:tcPr>
          <w:p w:rsidR="00293567" w:rsidRPr="00E04E16" w:rsidRDefault="00293567" w:rsidP="002920A6">
            <w:pPr>
              <w:jc w:val="center"/>
              <w:rPr>
                <w:rFonts w:ascii="Arial Narrow" w:hAnsi="Arial Narrow"/>
                <w:sz w:val="20"/>
              </w:rPr>
            </w:pPr>
            <w:r w:rsidRPr="00E04E16">
              <w:rPr>
                <w:rFonts w:ascii="Arial Narrow" w:hAnsi="Arial Narrow"/>
                <w:sz w:val="20"/>
              </w:rPr>
              <w:t>9.90% (9.45)</w:t>
            </w:r>
          </w:p>
        </w:tc>
        <w:tc>
          <w:tcPr>
            <w:tcW w:w="2254" w:type="dxa"/>
            <w:vAlign w:val="center"/>
          </w:tcPr>
          <w:p w:rsidR="00293567" w:rsidRPr="00E04E16" w:rsidRDefault="00293567" w:rsidP="002920A6">
            <w:pPr>
              <w:jc w:val="center"/>
              <w:rPr>
                <w:rFonts w:ascii="Arial Narrow" w:hAnsi="Arial Narrow"/>
                <w:sz w:val="20"/>
              </w:rPr>
            </w:pPr>
            <w:r w:rsidRPr="00E04E16">
              <w:rPr>
                <w:rFonts w:ascii="Arial Narrow" w:hAnsi="Arial Narrow"/>
                <w:sz w:val="20"/>
              </w:rPr>
              <w:t>89.07%</w:t>
            </w:r>
          </w:p>
        </w:tc>
        <w:tc>
          <w:tcPr>
            <w:tcW w:w="2255" w:type="dxa"/>
            <w:vAlign w:val="center"/>
          </w:tcPr>
          <w:p w:rsidR="00293567" w:rsidRPr="00E04E16" w:rsidRDefault="00293567" w:rsidP="002920A6">
            <w:pPr>
              <w:jc w:val="center"/>
              <w:rPr>
                <w:rFonts w:ascii="Arial Narrow" w:hAnsi="Arial Narrow"/>
                <w:sz w:val="20"/>
              </w:rPr>
            </w:pPr>
            <w:r w:rsidRPr="00E04E16">
              <w:rPr>
                <w:rFonts w:ascii="Arial Narrow" w:hAnsi="Arial Narrow"/>
                <w:sz w:val="20"/>
              </w:rPr>
              <w:t>1.03% (2.66)</w:t>
            </w:r>
          </w:p>
        </w:tc>
      </w:tr>
      <w:tr w:rsidR="00293567" w:rsidRPr="00E04E16" w:rsidTr="002920A6">
        <w:tc>
          <w:tcPr>
            <w:tcW w:w="2254" w:type="dxa"/>
          </w:tcPr>
          <w:p w:rsidR="00293567" w:rsidRPr="00E04E16" w:rsidRDefault="00293567" w:rsidP="002920A6">
            <w:pPr>
              <w:rPr>
                <w:rFonts w:ascii="Arial Narrow" w:hAnsi="Arial Narrow"/>
                <w:sz w:val="20"/>
              </w:rPr>
            </w:pPr>
            <w:r w:rsidRPr="00E04E16">
              <w:rPr>
                <w:rFonts w:ascii="Arial Narrow" w:hAnsi="Arial Narrow"/>
                <w:sz w:val="20"/>
              </w:rPr>
              <w:t>&gt;6.0 mmol/L</w:t>
            </w:r>
          </w:p>
        </w:tc>
        <w:tc>
          <w:tcPr>
            <w:tcW w:w="2254" w:type="dxa"/>
            <w:vAlign w:val="center"/>
          </w:tcPr>
          <w:p w:rsidR="00293567" w:rsidRPr="00E04E16" w:rsidRDefault="00293567" w:rsidP="002920A6">
            <w:pPr>
              <w:jc w:val="center"/>
              <w:rPr>
                <w:rFonts w:ascii="Arial Narrow" w:hAnsi="Arial Narrow"/>
                <w:sz w:val="20"/>
              </w:rPr>
            </w:pPr>
            <w:r w:rsidRPr="00E04E16">
              <w:rPr>
                <w:rFonts w:ascii="Arial Narrow" w:hAnsi="Arial Narrow"/>
                <w:sz w:val="20"/>
              </w:rPr>
              <w:t>7.70% (14.61)</w:t>
            </w:r>
          </w:p>
        </w:tc>
        <w:tc>
          <w:tcPr>
            <w:tcW w:w="2254" w:type="dxa"/>
            <w:vAlign w:val="center"/>
          </w:tcPr>
          <w:p w:rsidR="00293567" w:rsidRPr="00E04E16" w:rsidRDefault="00293567" w:rsidP="002920A6">
            <w:pPr>
              <w:jc w:val="center"/>
              <w:rPr>
                <w:rFonts w:ascii="Arial Narrow" w:hAnsi="Arial Narrow"/>
                <w:sz w:val="20"/>
              </w:rPr>
            </w:pPr>
            <w:r w:rsidRPr="00E04E16">
              <w:rPr>
                <w:rFonts w:ascii="Arial Narrow" w:hAnsi="Arial Narrow"/>
                <w:sz w:val="20"/>
              </w:rPr>
              <w:t>4.23% (11.12)</w:t>
            </w:r>
          </w:p>
        </w:tc>
        <w:tc>
          <w:tcPr>
            <w:tcW w:w="2255" w:type="dxa"/>
            <w:vAlign w:val="center"/>
          </w:tcPr>
          <w:p w:rsidR="00293567" w:rsidRPr="00E04E16" w:rsidRDefault="00293567" w:rsidP="002920A6">
            <w:pPr>
              <w:jc w:val="center"/>
              <w:rPr>
                <w:rFonts w:ascii="Arial Narrow" w:hAnsi="Arial Narrow"/>
                <w:sz w:val="20"/>
              </w:rPr>
            </w:pPr>
            <w:r w:rsidRPr="00E04E16">
              <w:rPr>
                <w:rFonts w:ascii="Arial Narrow" w:hAnsi="Arial Narrow"/>
                <w:sz w:val="20"/>
              </w:rPr>
              <w:t>88.07%</w:t>
            </w:r>
          </w:p>
        </w:tc>
      </w:tr>
    </w:tbl>
    <w:p w:rsidR="00293567" w:rsidRPr="00E04E16" w:rsidRDefault="00293567" w:rsidP="00157B8D">
      <w:pPr>
        <w:spacing w:after="120"/>
        <w:contextualSpacing/>
        <w:rPr>
          <w:rFonts w:ascii="Arial Narrow" w:hAnsi="Arial Narrow"/>
          <w:sz w:val="18"/>
        </w:rPr>
      </w:pPr>
      <w:r w:rsidRPr="00E04E16">
        <w:rPr>
          <w:rFonts w:ascii="Arial Narrow" w:hAnsi="Arial Narrow"/>
          <w:sz w:val="18"/>
        </w:rPr>
        <w:t>Source: ATTACHMENT 7 - Cost Effectiveness Model Excel spreadsheet provided with the resubmission</w:t>
      </w:r>
    </w:p>
    <w:p w:rsidR="00293567" w:rsidRPr="00E04E16" w:rsidRDefault="00293567" w:rsidP="00BB546F">
      <w:pPr>
        <w:keepNext/>
        <w:keepLines/>
        <w:spacing w:after="240"/>
        <w:contextualSpacing/>
      </w:pPr>
      <w:r w:rsidRPr="00E04E16">
        <w:rPr>
          <w:rFonts w:ascii="Arial Narrow" w:hAnsi="Arial Narrow"/>
          <w:sz w:val="18"/>
        </w:rPr>
        <w:t>Abbreviations: CKD, chronic kidney disease; SD, standard deviation</w:t>
      </w:r>
    </w:p>
    <w:p w:rsidR="007210C6" w:rsidRPr="00E04E16" w:rsidRDefault="007210C6" w:rsidP="007210C6">
      <w:pPr>
        <w:pStyle w:val="ExecSumBodyText"/>
      </w:pPr>
      <w:r w:rsidRPr="00E04E16">
        <w:t>The results of the CPRD analysis were not considered reliable as there was a lack of documentation on the methods of analysis; the analysis resulted in implausibly high proportions of patients (&gt;85%) remaining in the &gt;6.0 mmol/L serum potassium category; no details were provided on the frequency of testing in the population, or the extent of missing data; and it is unclear how the results over time were averaged to a single monthly probability.</w:t>
      </w:r>
    </w:p>
    <w:p w:rsidR="00B60939" w:rsidRPr="00E04E16" w:rsidRDefault="00B60939" w:rsidP="00D86231">
      <w:pPr>
        <w:pStyle w:val="3-SubsectionHeading"/>
      </w:pPr>
      <w:bookmarkStart w:id="14" w:name="_Toc22897642"/>
      <w:bookmarkStart w:id="15" w:name="_Toc51063876"/>
      <w:r w:rsidRPr="00E04E16">
        <w:t>Comparative harms</w:t>
      </w:r>
      <w:bookmarkEnd w:id="14"/>
      <w:bookmarkEnd w:id="15"/>
    </w:p>
    <w:p w:rsidR="002F06CA" w:rsidRPr="00E04E16" w:rsidRDefault="002F06CA" w:rsidP="002F06CA">
      <w:pPr>
        <w:pStyle w:val="ExecSumBodyText"/>
      </w:pPr>
      <w:r w:rsidRPr="00E04E16">
        <w:t xml:space="preserve">The comparative harms associated with patiromer are unchanged from the previous submission. Tables </w:t>
      </w:r>
      <w:r w:rsidR="00293567" w:rsidRPr="00E04E16">
        <w:t>10</w:t>
      </w:r>
      <w:r w:rsidRPr="00E04E16">
        <w:t xml:space="preserve"> and </w:t>
      </w:r>
      <w:r w:rsidR="00293567" w:rsidRPr="00E04E16">
        <w:t xml:space="preserve">11 </w:t>
      </w:r>
      <w:r w:rsidRPr="00E04E16">
        <w:t>summarise the most common treatment emergent adverse events reported in the OPAL-HK and AMETHYST-DN studies.</w:t>
      </w:r>
    </w:p>
    <w:p w:rsidR="002F06CA" w:rsidRPr="00E04E16" w:rsidRDefault="002F06CA" w:rsidP="002F06CA">
      <w:pPr>
        <w:pStyle w:val="TableFigureCaption"/>
      </w:pPr>
      <w:r w:rsidRPr="00E04E16">
        <w:lastRenderedPageBreak/>
        <w:t xml:space="preserve">Table </w:t>
      </w:r>
      <w:r w:rsidR="00293567" w:rsidRPr="00E04E16">
        <w:t>10</w:t>
      </w:r>
      <w:r w:rsidRPr="00E04E16">
        <w:t>: Summary of adverse events most commonly reported in OPAL-HK (safety population)</w:t>
      </w:r>
    </w:p>
    <w:tbl>
      <w:tblPr>
        <w:tblStyle w:val="TableGrid"/>
        <w:tblW w:w="0" w:type="auto"/>
        <w:tblLook w:val="04A0" w:firstRow="1" w:lastRow="0" w:firstColumn="1" w:lastColumn="0" w:noHBand="0" w:noVBand="1"/>
        <w:tblCaption w:val="Table 10: Summary of adverse events most commonly reported in OPAL-HK (safety population)"/>
      </w:tblPr>
      <w:tblGrid>
        <w:gridCol w:w="2672"/>
        <w:gridCol w:w="1265"/>
        <w:gridCol w:w="1265"/>
        <w:gridCol w:w="1272"/>
        <w:gridCol w:w="1265"/>
        <w:gridCol w:w="1277"/>
      </w:tblGrid>
      <w:tr w:rsidR="002F06CA" w:rsidRPr="00E04E16" w:rsidTr="00F90902">
        <w:trPr>
          <w:tblHeader/>
        </w:trPr>
        <w:tc>
          <w:tcPr>
            <w:tcW w:w="2672" w:type="dxa"/>
            <w:vMerge w:val="restart"/>
            <w:shd w:val="clear" w:color="auto" w:fill="auto"/>
            <w:vAlign w:val="center"/>
          </w:tcPr>
          <w:p w:rsidR="002F06CA" w:rsidRPr="00E04E16" w:rsidRDefault="002F06CA" w:rsidP="00083528">
            <w:pPr>
              <w:pStyle w:val="Table"/>
              <w:keepNext/>
              <w:keepLines/>
              <w:rPr>
                <w:rFonts w:ascii="Arial Narrow" w:hAnsi="Arial Narrow"/>
                <w:b/>
                <w:szCs w:val="20"/>
              </w:rPr>
            </w:pPr>
            <w:r w:rsidRPr="00E04E16">
              <w:rPr>
                <w:rFonts w:ascii="Arial Narrow" w:hAnsi="Arial Narrow"/>
                <w:b/>
                <w:szCs w:val="20"/>
              </w:rPr>
              <w:t>OPAL-HK</w:t>
            </w:r>
          </w:p>
        </w:tc>
        <w:tc>
          <w:tcPr>
            <w:tcW w:w="3802" w:type="dxa"/>
            <w:gridSpan w:val="3"/>
            <w:tcBorders>
              <w:bottom w:val="single" w:sz="4" w:space="0" w:color="auto"/>
            </w:tcBorders>
            <w:shd w:val="clear" w:color="auto" w:fill="auto"/>
          </w:tcPr>
          <w:p w:rsidR="002F06CA" w:rsidRPr="00E04E16" w:rsidRDefault="002F06CA" w:rsidP="00083528">
            <w:pPr>
              <w:pStyle w:val="TableCentre"/>
              <w:keepNext/>
              <w:keepLines/>
              <w:rPr>
                <w:rFonts w:ascii="Arial Narrow" w:hAnsi="Arial Narrow"/>
                <w:b/>
                <w:szCs w:val="20"/>
              </w:rPr>
            </w:pPr>
            <w:r w:rsidRPr="00E04E16">
              <w:rPr>
                <w:rFonts w:ascii="Arial Narrow" w:hAnsi="Arial Narrow"/>
                <w:b/>
                <w:szCs w:val="20"/>
              </w:rPr>
              <w:t>Part A (starting doses)</w:t>
            </w:r>
          </w:p>
        </w:tc>
        <w:tc>
          <w:tcPr>
            <w:tcW w:w="2542" w:type="dxa"/>
            <w:gridSpan w:val="2"/>
            <w:tcBorders>
              <w:bottom w:val="single" w:sz="4" w:space="0" w:color="auto"/>
            </w:tcBorders>
            <w:shd w:val="clear" w:color="auto" w:fill="auto"/>
          </w:tcPr>
          <w:p w:rsidR="002F06CA" w:rsidRPr="00E04E16" w:rsidRDefault="002F06CA" w:rsidP="00083528">
            <w:pPr>
              <w:pStyle w:val="TableCentre"/>
              <w:keepNext/>
              <w:keepLines/>
              <w:rPr>
                <w:rFonts w:ascii="Arial Narrow" w:hAnsi="Arial Narrow"/>
                <w:b/>
                <w:szCs w:val="20"/>
              </w:rPr>
            </w:pPr>
            <w:r w:rsidRPr="00E04E16">
              <w:rPr>
                <w:rFonts w:ascii="Arial Narrow" w:hAnsi="Arial Narrow"/>
                <w:b/>
                <w:szCs w:val="20"/>
              </w:rPr>
              <w:t>Part B</w:t>
            </w:r>
          </w:p>
        </w:tc>
      </w:tr>
      <w:tr w:rsidR="002F06CA" w:rsidRPr="00E04E16" w:rsidTr="00F90902">
        <w:trPr>
          <w:tblHeader/>
        </w:trPr>
        <w:tc>
          <w:tcPr>
            <w:tcW w:w="2672" w:type="dxa"/>
            <w:vMerge/>
            <w:shd w:val="clear" w:color="auto" w:fill="auto"/>
          </w:tcPr>
          <w:p w:rsidR="002F06CA" w:rsidRPr="00E04E16" w:rsidRDefault="002F06CA" w:rsidP="00083528">
            <w:pPr>
              <w:pStyle w:val="Table"/>
              <w:keepNext/>
              <w:keepLines/>
              <w:rPr>
                <w:rFonts w:ascii="Arial Narrow" w:hAnsi="Arial Narrow"/>
                <w:szCs w:val="20"/>
              </w:rPr>
            </w:pPr>
          </w:p>
        </w:tc>
        <w:tc>
          <w:tcPr>
            <w:tcW w:w="1265" w:type="dxa"/>
            <w:tcBorders>
              <w:bottom w:val="nil"/>
            </w:tcBorders>
            <w:shd w:val="clear" w:color="auto" w:fill="auto"/>
          </w:tcPr>
          <w:p w:rsidR="002F06CA" w:rsidRPr="00E04E16" w:rsidRDefault="002F06CA" w:rsidP="00083528">
            <w:pPr>
              <w:pStyle w:val="TableCentre"/>
              <w:keepNext/>
              <w:keepLines/>
              <w:rPr>
                <w:rFonts w:ascii="Arial Narrow" w:hAnsi="Arial Narrow"/>
                <w:b/>
                <w:szCs w:val="20"/>
              </w:rPr>
            </w:pPr>
            <w:r w:rsidRPr="00E04E16">
              <w:rPr>
                <w:rFonts w:ascii="Arial Narrow" w:hAnsi="Arial Narrow"/>
                <w:b/>
                <w:szCs w:val="20"/>
              </w:rPr>
              <w:t>8.4 g/day</w:t>
            </w:r>
          </w:p>
        </w:tc>
        <w:tc>
          <w:tcPr>
            <w:tcW w:w="1265" w:type="dxa"/>
            <w:tcBorders>
              <w:bottom w:val="nil"/>
            </w:tcBorders>
            <w:shd w:val="clear" w:color="auto" w:fill="auto"/>
          </w:tcPr>
          <w:p w:rsidR="002F06CA" w:rsidRPr="00E04E16" w:rsidRDefault="002F06CA" w:rsidP="00083528">
            <w:pPr>
              <w:pStyle w:val="TableCentre"/>
              <w:keepNext/>
              <w:keepLines/>
              <w:rPr>
                <w:rFonts w:ascii="Arial Narrow" w:hAnsi="Arial Narrow"/>
                <w:b/>
                <w:szCs w:val="20"/>
              </w:rPr>
            </w:pPr>
            <w:r w:rsidRPr="00E04E16">
              <w:rPr>
                <w:rFonts w:ascii="Arial Narrow" w:hAnsi="Arial Narrow"/>
                <w:b/>
                <w:szCs w:val="20"/>
              </w:rPr>
              <w:t>16.8 g/day</w:t>
            </w:r>
          </w:p>
        </w:tc>
        <w:tc>
          <w:tcPr>
            <w:tcW w:w="1272" w:type="dxa"/>
            <w:tcBorders>
              <w:bottom w:val="nil"/>
            </w:tcBorders>
            <w:shd w:val="clear" w:color="auto" w:fill="auto"/>
          </w:tcPr>
          <w:p w:rsidR="002F06CA" w:rsidRPr="00E04E16" w:rsidRDefault="002F06CA" w:rsidP="00083528">
            <w:pPr>
              <w:pStyle w:val="TableCentre"/>
              <w:keepNext/>
              <w:keepLines/>
              <w:rPr>
                <w:rFonts w:ascii="Arial Narrow" w:hAnsi="Arial Narrow"/>
                <w:b/>
                <w:szCs w:val="20"/>
              </w:rPr>
            </w:pPr>
            <w:r w:rsidRPr="00E04E16">
              <w:rPr>
                <w:rFonts w:ascii="Arial Narrow" w:hAnsi="Arial Narrow"/>
                <w:b/>
                <w:szCs w:val="20"/>
              </w:rPr>
              <w:t>Overall</w:t>
            </w:r>
          </w:p>
        </w:tc>
        <w:tc>
          <w:tcPr>
            <w:tcW w:w="1265" w:type="dxa"/>
            <w:tcBorders>
              <w:bottom w:val="nil"/>
            </w:tcBorders>
            <w:shd w:val="clear" w:color="auto" w:fill="auto"/>
          </w:tcPr>
          <w:p w:rsidR="002F06CA" w:rsidRPr="00E04E16" w:rsidRDefault="002F06CA" w:rsidP="00083528">
            <w:pPr>
              <w:pStyle w:val="TableCentre"/>
              <w:keepNext/>
              <w:keepLines/>
              <w:rPr>
                <w:rFonts w:ascii="Arial Narrow" w:hAnsi="Arial Narrow"/>
                <w:b/>
                <w:szCs w:val="20"/>
              </w:rPr>
            </w:pPr>
            <w:r w:rsidRPr="00E04E16">
              <w:rPr>
                <w:rFonts w:ascii="Arial Narrow" w:hAnsi="Arial Narrow"/>
                <w:b/>
                <w:szCs w:val="20"/>
              </w:rPr>
              <w:t>Patiromer</w:t>
            </w:r>
          </w:p>
        </w:tc>
        <w:tc>
          <w:tcPr>
            <w:tcW w:w="1277" w:type="dxa"/>
            <w:tcBorders>
              <w:bottom w:val="nil"/>
            </w:tcBorders>
            <w:shd w:val="clear" w:color="auto" w:fill="auto"/>
          </w:tcPr>
          <w:p w:rsidR="002F06CA" w:rsidRPr="00E04E16" w:rsidRDefault="002F06CA" w:rsidP="00083528">
            <w:pPr>
              <w:pStyle w:val="TableCentre"/>
              <w:keepNext/>
              <w:keepLines/>
              <w:rPr>
                <w:rFonts w:ascii="Arial Narrow" w:hAnsi="Arial Narrow"/>
                <w:b/>
                <w:szCs w:val="20"/>
              </w:rPr>
            </w:pPr>
            <w:r w:rsidRPr="00E04E16">
              <w:rPr>
                <w:rFonts w:ascii="Arial Narrow" w:hAnsi="Arial Narrow"/>
                <w:b/>
                <w:szCs w:val="20"/>
              </w:rPr>
              <w:t>Placebo</w:t>
            </w:r>
          </w:p>
        </w:tc>
      </w:tr>
      <w:tr w:rsidR="002F06CA" w:rsidRPr="00E04E16" w:rsidTr="00F90902">
        <w:trPr>
          <w:tblHeader/>
        </w:trPr>
        <w:tc>
          <w:tcPr>
            <w:tcW w:w="2672" w:type="dxa"/>
            <w:vMerge/>
            <w:shd w:val="clear" w:color="auto" w:fill="auto"/>
          </w:tcPr>
          <w:p w:rsidR="002F06CA" w:rsidRPr="00E04E16" w:rsidRDefault="002F06CA" w:rsidP="00083528">
            <w:pPr>
              <w:pStyle w:val="Table"/>
              <w:keepNext/>
              <w:keepLines/>
              <w:rPr>
                <w:rFonts w:ascii="Arial Narrow" w:hAnsi="Arial Narrow"/>
                <w:szCs w:val="20"/>
              </w:rPr>
            </w:pPr>
          </w:p>
        </w:tc>
        <w:tc>
          <w:tcPr>
            <w:tcW w:w="1265" w:type="dxa"/>
            <w:tcBorders>
              <w:top w:val="nil"/>
            </w:tcBorders>
            <w:shd w:val="clear" w:color="auto" w:fill="auto"/>
          </w:tcPr>
          <w:p w:rsidR="002F06CA" w:rsidRPr="00E04E16" w:rsidRDefault="002F06CA" w:rsidP="00083528">
            <w:pPr>
              <w:pStyle w:val="TableCentre"/>
              <w:keepNext/>
              <w:keepLines/>
              <w:rPr>
                <w:rFonts w:ascii="Arial Narrow" w:hAnsi="Arial Narrow"/>
                <w:b/>
                <w:szCs w:val="20"/>
              </w:rPr>
            </w:pPr>
            <w:r w:rsidRPr="00E04E16">
              <w:rPr>
                <w:rFonts w:ascii="Arial Narrow" w:hAnsi="Arial Narrow"/>
                <w:b/>
                <w:szCs w:val="20"/>
              </w:rPr>
              <w:t>(N=92)</w:t>
            </w:r>
          </w:p>
        </w:tc>
        <w:tc>
          <w:tcPr>
            <w:tcW w:w="1265" w:type="dxa"/>
            <w:tcBorders>
              <w:top w:val="nil"/>
            </w:tcBorders>
            <w:shd w:val="clear" w:color="auto" w:fill="auto"/>
          </w:tcPr>
          <w:p w:rsidR="002F06CA" w:rsidRPr="00E04E16" w:rsidRDefault="002F06CA" w:rsidP="00083528">
            <w:pPr>
              <w:pStyle w:val="TableCentre"/>
              <w:keepNext/>
              <w:keepLines/>
              <w:rPr>
                <w:rFonts w:ascii="Arial Narrow" w:hAnsi="Arial Narrow"/>
                <w:b/>
                <w:szCs w:val="20"/>
              </w:rPr>
            </w:pPr>
            <w:r w:rsidRPr="00E04E16">
              <w:rPr>
                <w:rFonts w:ascii="Arial Narrow" w:hAnsi="Arial Narrow"/>
                <w:b/>
                <w:szCs w:val="20"/>
              </w:rPr>
              <w:t>(N=151)</w:t>
            </w:r>
          </w:p>
        </w:tc>
        <w:tc>
          <w:tcPr>
            <w:tcW w:w="1272" w:type="dxa"/>
            <w:tcBorders>
              <w:top w:val="nil"/>
            </w:tcBorders>
            <w:shd w:val="clear" w:color="auto" w:fill="auto"/>
          </w:tcPr>
          <w:p w:rsidR="002F06CA" w:rsidRPr="00E04E16" w:rsidRDefault="002F06CA" w:rsidP="00083528">
            <w:pPr>
              <w:pStyle w:val="TableCentre"/>
              <w:keepNext/>
              <w:keepLines/>
              <w:rPr>
                <w:rFonts w:ascii="Arial Narrow" w:hAnsi="Arial Narrow"/>
                <w:b/>
                <w:szCs w:val="20"/>
              </w:rPr>
            </w:pPr>
            <w:r w:rsidRPr="00E04E16">
              <w:rPr>
                <w:rFonts w:ascii="Arial Narrow" w:hAnsi="Arial Narrow"/>
                <w:b/>
                <w:szCs w:val="20"/>
              </w:rPr>
              <w:t>(N=243)</w:t>
            </w:r>
          </w:p>
        </w:tc>
        <w:tc>
          <w:tcPr>
            <w:tcW w:w="1265" w:type="dxa"/>
            <w:tcBorders>
              <w:top w:val="nil"/>
            </w:tcBorders>
            <w:shd w:val="clear" w:color="auto" w:fill="auto"/>
          </w:tcPr>
          <w:p w:rsidR="002F06CA" w:rsidRPr="00E04E16" w:rsidRDefault="002F06CA" w:rsidP="00083528">
            <w:pPr>
              <w:pStyle w:val="TableCentre"/>
              <w:keepNext/>
              <w:keepLines/>
              <w:rPr>
                <w:rFonts w:ascii="Arial Narrow" w:hAnsi="Arial Narrow"/>
                <w:b/>
                <w:szCs w:val="20"/>
              </w:rPr>
            </w:pPr>
            <w:r w:rsidRPr="00E04E16">
              <w:rPr>
                <w:rFonts w:ascii="Arial Narrow" w:hAnsi="Arial Narrow"/>
                <w:b/>
                <w:szCs w:val="20"/>
              </w:rPr>
              <w:t>(N=55)</w:t>
            </w:r>
          </w:p>
        </w:tc>
        <w:tc>
          <w:tcPr>
            <w:tcW w:w="1277" w:type="dxa"/>
            <w:tcBorders>
              <w:top w:val="nil"/>
            </w:tcBorders>
            <w:shd w:val="clear" w:color="auto" w:fill="auto"/>
          </w:tcPr>
          <w:p w:rsidR="002F06CA" w:rsidRPr="00E04E16" w:rsidRDefault="002F06CA" w:rsidP="00083528">
            <w:pPr>
              <w:pStyle w:val="TableCentre"/>
              <w:keepNext/>
              <w:keepLines/>
              <w:rPr>
                <w:rFonts w:ascii="Arial Narrow" w:hAnsi="Arial Narrow"/>
                <w:b/>
                <w:szCs w:val="20"/>
              </w:rPr>
            </w:pPr>
            <w:r w:rsidRPr="00E04E16">
              <w:rPr>
                <w:rFonts w:ascii="Arial Narrow" w:hAnsi="Arial Narrow"/>
                <w:b/>
                <w:szCs w:val="20"/>
              </w:rPr>
              <w:t>(N=52)</w:t>
            </w:r>
          </w:p>
        </w:tc>
      </w:tr>
      <w:tr w:rsidR="002F06CA" w:rsidRPr="00E04E16" w:rsidTr="00F90902">
        <w:tc>
          <w:tcPr>
            <w:tcW w:w="2672" w:type="dxa"/>
            <w:shd w:val="clear" w:color="auto" w:fill="auto"/>
          </w:tcPr>
          <w:p w:rsidR="002F06CA" w:rsidRPr="00E04E16" w:rsidRDefault="002F06CA" w:rsidP="00083528">
            <w:pPr>
              <w:pStyle w:val="Table"/>
              <w:keepNext/>
              <w:keepLines/>
              <w:rPr>
                <w:rFonts w:ascii="Arial Narrow" w:hAnsi="Arial Narrow"/>
                <w:szCs w:val="20"/>
              </w:rPr>
            </w:pPr>
            <w:r w:rsidRPr="00E04E16">
              <w:rPr>
                <w:rFonts w:ascii="Arial Narrow" w:hAnsi="Arial Narrow"/>
                <w:szCs w:val="20"/>
              </w:rPr>
              <w:t>≥ 1 treatment emergent AE</w:t>
            </w:r>
          </w:p>
        </w:tc>
        <w:tc>
          <w:tcPr>
            <w:tcW w:w="1265" w:type="dxa"/>
            <w:shd w:val="clear" w:color="auto" w:fill="auto"/>
          </w:tcPr>
          <w:p w:rsidR="002F06CA" w:rsidRPr="00E04E16" w:rsidRDefault="002F06CA" w:rsidP="00083528">
            <w:pPr>
              <w:pStyle w:val="TableCentre"/>
              <w:keepNext/>
              <w:keepLines/>
              <w:rPr>
                <w:rFonts w:ascii="Arial Narrow" w:hAnsi="Arial Narrow"/>
                <w:szCs w:val="20"/>
              </w:rPr>
            </w:pPr>
            <w:r w:rsidRPr="00E04E16">
              <w:rPr>
                <w:rFonts w:ascii="Arial Narrow" w:hAnsi="Arial Narrow"/>
                <w:szCs w:val="20"/>
              </w:rPr>
              <w:t>46 (46%)</w:t>
            </w:r>
          </w:p>
        </w:tc>
        <w:tc>
          <w:tcPr>
            <w:tcW w:w="1265" w:type="dxa"/>
            <w:shd w:val="clear" w:color="auto" w:fill="auto"/>
          </w:tcPr>
          <w:p w:rsidR="002F06CA" w:rsidRPr="00E04E16" w:rsidRDefault="002F06CA" w:rsidP="00083528">
            <w:pPr>
              <w:pStyle w:val="TableCentre"/>
              <w:keepNext/>
              <w:keepLines/>
              <w:rPr>
                <w:rFonts w:ascii="Arial Narrow" w:hAnsi="Arial Narrow"/>
                <w:szCs w:val="20"/>
              </w:rPr>
            </w:pPr>
            <w:r w:rsidRPr="00E04E16">
              <w:rPr>
                <w:rFonts w:ascii="Arial Narrow" w:hAnsi="Arial Narrow"/>
                <w:szCs w:val="20"/>
              </w:rPr>
              <w:t>72 (48%)</w:t>
            </w:r>
          </w:p>
        </w:tc>
        <w:tc>
          <w:tcPr>
            <w:tcW w:w="1272" w:type="dxa"/>
            <w:shd w:val="clear" w:color="auto" w:fill="auto"/>
          </w:tcPr>
          <w:p w:rsidR="002F06CA" w:rsidRPr="00E04E16" w:rsidRDefault="002F06CA" w:rsidP="00083528">
            <w:pPr>
              <w:pStyle w:val="TableCentre"/>
              <w:keepNext/>
              <w:keepLines/>
              <w:rPr>
                <w:rFonts w:ascii="Arial Narrow" w:hAnsi="Arial Narrow"/>
                <w:szCs w:val="20"/>
              </w:rPr>
            </w:pPr>
            <w:r w:rsidRPr="00E04E16">
              <w:rPr>
                <w:rFonts w:ascii="Arial Narrow" w:hAnsi="Arial Narrow"/>
                <w:szCs w:val="20"/>
              </w:rPr>
              <w:t>114 (47%)</w:t>
            </w:r>
          </w:p>
        </w:tc>
        <w:tc>
          <w:tcPr>
            <w:tcW w:w="1265" w:type="dxa"/>
            <w:shd w:val="clear" w:color="auto" w:fill="auto"/>
          </w:tcPr>
          <w:p w:rsidR="002F06CA" w:rsidRPr="00E04E16" w:rsidRDefault="002F06CA" w:rsidP="00083528">
            <w:pPr>
              <w:pStyle w:val="TableCentre"/>
              <w:keepNext/>
              <w:keepLines/>
              <w:rPr>
                <w:rFonts w:ascii="Arial Narrow" w:hAnsi="Arial Narrow"/>
                <w:szCs w:val="20"/>
              </w:rPr>
            </w:pPr>
            <w:r w:rsidRPr="00E04E16">
              <w:rPr>
                <w:rFonts w:ascii="Arial Narrow" w:hAnsi="Arial Narrow"/>
                <w:szCs w:val="20"/>
              </w:rPr>
              <w:t>26 (47%)</w:t>
            </w:r>
          </w:p>
        </w:tc>
        <w:tc>
          <w:tcPr>
            <w:tcW w:w="1277" w:type="dxa"/>
            <w:shd w:val="clear" w:color="auto" w:fill="auto"/>
          </w:tcPr>
          <w:p w:rsidR="002F06CA" w:rsidRPr="00E04E16" w:rsidRDefault="002F06CA" w:rsidP="00083528">
            <w:pPr>
              <w:pStyle w:val="TableCentre"/>
              <w:keepNext/>
              <w:keepLines/>
              <w:rPr>
                <w:rFonts w:ascii="Arial Narrow" w:hAnsi="Arial Narrow"/>
                <w:szCs w:val="20"/>
              </w:rPr>
            </w:pPr>
            <w:r w:rsidRPr="00E04E16">
              <w:rPr>
                <w:rFonts w:ascii="Arial Narrow" w:hAnsi="Arial Narrow"/>
                <w:szCs w:val="20"/>
              </w:rPr>
              <w:t>26 (50%)</w:t>
            </w:r>
          </w:p>
        </w:tc>
      </w:tr>
      <w:tr w:rsidR="002F06CA" w:rsidRPr="00E04E16" w:rsidTr="00F90902">
        <w:tc>
          <w:tcPr>
            <w:tcW w:w="2672" w:type="dxa"/>
            <w:shd w:val="clear" w:color="auto" w:fill="auto"/>
          </w:tcPr>
          <w:p w:rsidR="002F06CA" w:rsidRPr="00E04E16" w:rsidRDefault="002F06CA" w:rsidP="00083528">
            <w:pPr>
              <w:pStyle w:val="Table"/>
              <w:keepNext/>
              <w:keepLines/>
              <w:rPr>
                <w:rFonts w:ascii="Arial Narrow" w:hAnsi="Arial Narrow"/>
                <w:szCs w:val="20"/>
              </w:rPr>
            </w:pPr>
            <w:r w:rsidRPr="00E04E16">
              <w:rPr>
                <w:rFonts w:ascii="Arial Narrow" w:hAnsi="Arial Narrow"/>
              </w:rPr>
              <w:t>Serious adverse events</w:t>
            </w:r>
          </w:p>
        </w:tc>
        <w:tc>
          <w:tcPr>
            <w:tcW w:w="1265" w:type="dxa"/>
            <w:shd w:val="clear" w:color="auto" w:fill="auto"/>
          </w:tcPr>
          <w:p w:rsidR="002F06CA" w:rsidRPr="00E04E16" w:rsidRDefault="002F06CA" w:rsidP="00083528">
            <w:pPr>
              <w:pStyle w:val="TableCentre"/>
              <w:keepNext/>
              <w:keepLines/>
              <w:rPr>
                <w:rFonts w:ascii="Arial Narrow" w:hAnsi="Arial Narrow"/>
                <w:szCs w:val="20"/>
              </w:rPr>
            </w:pPr>
            <w:r w:rsidRPr="00E04E16">
              <w:rPr>
                <w:rFonts w:ascii="Arial Narrow" w:hAnsi="Arial Narrow"/>
              </w:rPr>
              <w:t>1 (1%)</w:t>
            </w:r>
          </w:p>
        </w:tc>
        <w:tc>
          <w:tcPr>
            <w:tcW w:w="1265" w:type="dxa"/>
            <w:shd w:val="clear" w:color="auto" w:fill="auto"/>
          </w:tcPr>
          <w:p w:rsidR="002F06CA" w:rsidRPr="00E04E16" w:rsidRDefault="002F06CA" w:rsidP="00083528">
            <w:pPr>
              <w:pStyle w:val="TableCentre"/>
              <w:keepNext/>
              <w:keepLines/>
              <w:rPr>
                <w:rFonts w:ascii="Arial Narrow" w:hAnsi="Arial Narrow"/>
                <w:szCs w:val="20"/>
              </w:rPr>
            </w:pPr>
            <w:r w:rsidRPr="00E04E16">
              <w:rPr>
                <w:rFonts w:ascii="Arial Narrow" w:hAnsi="Arial Narrow"/>
              </w:rPr>
              <w:t>1 (1%)</w:t>
            </w:r>
          </w:p>
        </w:tc>
        <w:tc>
          <w:tcPr>
            <w:tcW w:w="1272" w:type="dxa"/>
            <w:shd w:val="clear" w:color="auto" w:fill="auto"/>
          </w:tcPr>
          <w:p w:rsidR="002F06CA" w:rsidRPr="00E04E16" w:rsidRDefault="002F06CA" w:rsidP="00083528">
            <w:pPr>
              <w:pStyle w:val="TableCentre"/>
              <w:keepNext/>
              <w:keepLines/>
              <w:rPr>
                <w:rFonts w:ascii="Arial Narrow" w:hAnsi="Arial Narrow"/>
                <w:szCs w:val="20"/>
              </w:rPr>
            </w:pPr>
            <w:r w:rsidRPr="00E04E16">
              <w:rPr>
                <w:rFonts w:ascii="Arial Narrow" w:hAnsi="Arial Narrow"/>
              </w:rPr>
              <w:t>2 (1%)</w:t>
            </w:r>
          </w:p>
        </w:tc>
        <w:tc>
          <w:tcPr>
            <w:tcW w:w="1265" w:type="dxa"/>
            <w:shd w:val="clear" w:color="auto" w:fill="auto"/>
          </w:tcPr>
          <w:p w:rsidR="002F06CA" w:rsidRPr="00E04E16" w:rsidRDefault="002F06CA" w:rsidP="00083528">
            <w:pPr>
              <w:pStyle w:val="TableCentre"/>
              <w:keepNext/>
              <w:keepLines/>
              <w:rPr>
                <w:rFonts w:ascii="Arial Narrow" w:hAnsi="Arial Narrow"/>
                <w:szCs w:val="20"/>
              </w:rPr>
            </w:pPr>
            <w:r w:rsidRPr="00E04E16">
              <w:rPr>
                <w:rFonts w:ascii="Arial Narrow" w:hAnsi="Arial Narrow"/>
              </w:rPr>
              <w:t xml:space="preserve">0 </w:t>
            </w:r>
          </w:p>
        </w:tc>
        <w:tc>
          <w:tcPr>
            <w:tcW w:w="1277" w:type="dxa"/>
            <w:shd w:val="clear" w:color="auto" w:fill="auto"/>
          </w:tcPr>
          <w:p w:rsidR="002F06CA" w:rsidRPr="00E04E16" w:rsidRDefault="002F06CA" w:rsidP="00083528">
            <w:pPr>
              <w:pStyle w:val="TableCentre"/>
              <w:keepNext/>
              <w:keepLines/>
              <w:rPr>
                <w:rFonts w:ascii="Arial Narrow" w:hAnsi="Arial Narrow"/>
                <w:szCs w:val="20"/>
              </w:rPr>
            </w:pPr>
            <w:r w:rsidRPr="00E04E16">
              <w:rPr>
                <w:rFonts w:ascii="Arial Narrow" w:hAnsi="Arial Narrow"/>
              </w:rPr>
              <w:t>1 (2%)</w:t>
            </w:r>
          </w:p>
        </w:tc>
      </w:tr>
      <w:tr w:rsidR="002F06CA" w:rsidRPr="00E04E16" w:rsidTr="00F90902">
        <w:tc>
          <w:tcPr>
            <w:tcW w:w="2672" w:type="dxa"/>
            <w:shd w:val="clear" w:color="auto" w:fill="auto"/>
          </w:tcPr>
          <w:p w:rsidR="002F06CA" w:rsidRPr="00E04E16" w:rsidRDefault="002F06CA" w:rsidP="00083528">
            <w:pPr>
              <w:pStyle w:val="Table"/>
              <w:keepNext/>
              <w:keepLines/>
              <w:rPr>
                <w:rFonts w:ascii="Arial Narrow" w:hAnsi="Arial Narrow"/>
                <w:szCs w:val="20"/>
              </w:rPr>
            </w:pPr>
            <w:r w:rsidRPr="00E04E16">
              <w:rPr>
                <w:rFonts w:ascii="Arial Narrow" w:hAnsi="Arial Narrow"/>
                <w:szCs w:val="20"/>
              </w:rPr>
              <w:t>Gastrointestinal adverse events</w:t>
            </w:r>
          </w:p>
        </w:tc>
        <w:tc>
          <w:tcPr>
            <w:tcW w:w="1265" w:type="dxa"/>
            <w:shd w:val="clear" w:color="auto" w:fill="auto"/>
          </w:tcPr>
          <w:p w:rsidR="002F06CA" w:rsidRPr="00E04E16" w:rsidRDefault="002F06CA" w:rsidP="00083528">
            <w:pPr>
              <w:pStyle w:val="TableCentre"/>
              <w:keepNext/>
              <w:keepLines/>
              <w:rPr>
                <w:rFonts w:ascii="Arial Narrow" w:hAnsi="Arial Narrow"/>
                <w:szCs w:val="20"/>
              </w:rPr>
            </w:pPr>
            <w:r w:rsidRPr="00E04E16">
              <w:rPr>
                <w:rFonts w:ascii="Arial Narrow" w:hAnsi="Arial Narrow"/>
                <w:szCs w:val="20"/>
              </w:rPr>
              <w:t>15 (16%)</w:t>
            </w:r>
          </w:p>
        </w:tc>
        <w:tc>
          <w:tcPr>
            <w:tcW w:w="1265" w:type="dxa"/>
            <w:shd w:val="clear" w:color="auto" w:fill="auto"/>
          </w:tcPr>
          <w:p w:rsidR="002F06CA" w:rsidRPr="00E04E16" w:rsidRDefault="002F06CA" w:rsidP="00083528">
            <w:pPr>
              <w:pStyle w:val="TableCentre"/>
              <w:keepNext/>
              <w:keepLines/>
              <w:rPr>
                <w:rFonts w:ascii="Arial Narrow" w:hAnsi="Arial Narrow"/>
                <w:szCs w:val="20"/>
              </w:rPr>
            </w:pPr>
            <w:r w:rsidRPr="00E04E16">
              <w:rPr>
                <w:rFonts w:ascii="Arial Narrow" w:hAnsi="Arial Narrow"/>
                <w:szCs w:val="20"/>
              </w:rPr>
              <w:t>31 (12%)</w:t>
            </w:r>
          </w:p>
        </w:tc>
        <w:tc>
          <w:tcPr>
            <w:tcW w:w="1272" w:type="dxa"/>
            <w:shd w:val="clear" w:color="auto" w:fill="auto"/>
          </w:tcPr>
          <w:p w:rsidR="002F06CA" w:rsidRPr="00E04E16" w:rsidRDefault="002F06CA" w:rsidP="00083528">
            <w:pPr>
              <w:pStyle w:val="TableCentre"/>
              <w:keepNext/>
              <w:keepLines/>
              <w:rPr>
                <w:rFonts w:ascii="Arial Narrow" w:hAnsi="Arial Narrow"/>
                <w:szCs w:val="20"/>
              </w:rPr>
            </w:pPr>
            <w:r w:rsidRPr="00E04E16">
              <w:rPr>
                <w:rFonts w:ascii="Arial Narrow" w:hAnsi="Arial Narrow"/>
                <w:szCs w:val="20"/>
              </w:rPr>
              <w:t>46 (19%)</w:t>
            </w:r>
          </w:p>
        </w:tc>
        <w:tc>
          <w:tcPr>
            <w:tcW w:w="1265" w:type="dxa"/>
            <w:shd w:val="clear" w:color="auto" w:fill="auto"/>
          </w:tcPr>
          <w:p w:rsidR="002F06CA" w:rsidRPr="00E04E16" w:rsidRDefault="002F06CA" w:rsidP="00083528">
            <w:pPr>
              <w:pStyle w:val="TableCentre"/>
              <w:keepNext/>
              <w:keepLines/>
              <w:rPr>
                <w:rFonts w:ascii="Arial Narrow" w:hAnsi="Arial Narrow"/>
                <w:szCs w:val="20"/>
              </w:rPr>
            </w:pPr>
            <w:r w:rsidRPr="00E04E16">
              <w:rPr>
                <w:rFonts w:ascii="Arial Narrow" w:hAnsi="Arial Narrow"/>
                <w:szCs w:val="20"/>
              </w:rPr>
              <w:t>7 (13%)</w:t>
            </w:r>
          </w:p>
        </w:tc>
        <w:tc>
          <w:tcPr>
            <w:tcW w:w="1277" w:type="dxa"/>
            <w:shd w:val="clear" w:color="auto" w:fill="auto"/>
          </w:tcPr>
          <w:p w:rsidR="002F06CA" w:rsidRPr="00E04E16" w:rsidRDefault="002F06CA" w:rsidP="00083528">
            <w:pPr>
              <w:pStyle w:val="TableCentre"/>
              <w:keepNext/>
              <w:keepLines/>
              <w:rPr>
                <w:rFonts w:ascii="Arial Narrow" w:hAnsi="Arial Narrow"/>
                <w:szCs w:val="20"/>
              </w:rPr>
            </w:pPr>
            <w:r w:rsidRPr="00E04E16">
              <w:rPr>
                <w:rFonts w:ascii="Arial Narrow" w:hAnsi="Arial Narrow"/>
                <w:szCs w:val="20"/>
              </w:rPr>
              <w:t>3 (6%)</w:t>
            </w:r>
          </w:p>
        </w:tc>
      </w:tr>
      <w:tr w:rsidR="002F06CA" w:rsidRPr="00E04E16" w:rsidTr="00F90902">
        <w:tc>
          <w:tcPr>
            <w:tcW w:w="2672" w:type="dxa"/>
            <w:shd w:val="clear" w:color="auto" w:fill="auto"/>
          </w:tcPr>
          <w:p w:rsidR="002F06CA" w:rsidRPr="00E04E16" w:rsidRDefault="002F06CA" w:rsidP="00083528">
            <w:pPr>
              <w:pStyle w:val="Table"/>
              <w:keepNext/>
              <w:keepLines/>
              <w:rPr>
                <w:rFonts w:ascii="Arial Narrow" w:hAnsi="Arial Narrow"/>
                <w:szCs w:val="20"/>
              </w:rPr>
            </w:pPr>
            <w:r w:rsidRPr="00E04E16">
              <w:rPr>
                <w:rFonts w:ascii="Arial Narrow" w:hAnsi="Arial Narrow"/>
                <w:szCs w:val="20"/>
              </w:rPr>
              <w:t>Constipation</w:t>
            </w:r>
          </w:p>
        </w:tc>
        <w:tc>
          <w:tcPr>
            <w:tcW w:w="1265" w:type="dxa"/>
            <w:shd w:val="clear" w:color="auto" w:fill="auto"/>
          </w:tcPr>
          <w:p w:rsidR="002F06CA" w:rsidRPr="00E04E16" w:rsidRDefault="002F06CA" w:rsidP="00083528">
            <w:pPr>
              <w:pStyle w:val="TableCentre"/>
              <w:keepNext/>
              <w:keepLines/>
              <w:rPr>
                <w:rFonts w:ascii="Arial Narrow" w:hAnsi="Arial Narrow"/>
                <w:szCs w:val="20"/>
              </w:rPr>
            </w:pPr>
            <w:r w:rsidRPr="00E04E16">
              <w:rPr>
                <w:rFonts w:ascii="Arial Narrow" w:hAnsi="Arial Narrow"/>
                <w:szCs w:val="20"/>
              </w:rPr>
              <w:t>9 (10%)</w:t>
            </w:r>
          </w:p>
        </w:tc>
        <w:tc>
          <w:tcPr>
            <w:tcW w:w="1265" w:type="dxa"/>
            <w:shd w:val="clear" w:color="auto" w:fill="auto"/>
          </w:tcPr>
          <w:p w:rsidR="002F06CA" w:rsidRPr="00E04E16" w:rsidRDefault="002F06CA" w:rsidP="00083528">
            <w:pPr>
              <w:pStyle w:val="TableCentre"/>
              <w:keepNext/>
              <w:keepLines/>
              <w:rPr>
                <w:rFonts w:ascii="Arial Narrow" w:hAnsi="Arial Narrow"/>
                <w:szCs w:val="20"/>
              </w:rPr>
            </w:pPr>
            <w:r w:rsidRPr="00E04E16">
              <w:rPr>
                <w:rFonts w:ascii="Arial Narrow" w:hAnsi="Arial Narrow"/>
                <w:szCs w:val="20"/>
              </w:rPr>
              <w:t>17 (11%)</w:t>
            </w:r>
          </w:p>
        </w:tc>
        <w:tc>
          <w:tcPr>
            <w:tcW w:w="1272" w:type="dxa"/>
            <w:shd w:val="clear" w:color="auto" w:fill="auto"/>
          </w:tcPr>
          <w:p w:rsidR="002F06CA" w:rsidRPr="00E04E16" w:rsidRDefault="002F06CA" w:rsidP="00083528">
            <w:pPr>
              <w:pStyle w:val="TableCentre"/>
              <w:keepNext/>
              <w:keepLines/>
              <w:rPr>
                <w:rFonts w:ascii="Arial Narrow" w:hAnsi="Arial Narrow"/>
                <w:szCs w:val="20"/>
              </w:rPr>
            </w:pPr>
            <w:r w:rsidRPr="00E04E16">
              <w:rPr>
                <w:rFonts w:ascii="Arial Narrow" w:hAnsi="Arial Narrow"/>
                <w:szCs w:val="20"/>
              </w:rPr>
              <w:t>26 (11%)</w:t>
            </w:r>
          </w:p>
        </w:tc>
        <w:tc>
          <w:tcPr>
            <w:tcW w:w="1265" w:type="dxa"/>
            <w:shd w:val="clear" w:color="auto" w:fill="auto"/>
          </w:tcPr>
          <w:p w:rsidR="002F06CA" w:rsidRPr="00E04E16" w:rsidRDefault="002F06CA" w:rsidP="00083528">
            <w:pPr>
              <w:pStyle w:val="TableCentre"/>
              <w:keepNext/>
              <w:keepLines/>
              <w:rPr>
                <w:rFonts w:ascii="Arial Narrow" w:hAnsi="Arial Narrow"/>
                <w:szCs w:val="20"/>
              </w:rPr>
            </w:pPr>
            <w:r w:rsidRPr="00E04E16">
              <w:rPr>
                <w:rFonts w:ascii="Arial Narrow" w:hAnsi="Arial Narrow"/>
                <w:szCs w:val="20"/>
              </w:rPr>
              <w:t>2 (4%)</w:t>
            </w:r>
          </w:p>
        </w:tc>
        <w:tc>
          <w:tcPr>
            <w:tcW w:w="1277" w:type="dxa"/>
            <w:shd w:val="clear" w:color="auto" w:fill="auto"/>
          </w:tcPr>
          <w:p w:rsidR="002F06CA" w:rsidRPr="00E04E16" w:rsidRDefault="002F06CA" w:rsidP="00083528">
            <w:pPr>
              <w:pStyle w:val="TableCentre"/>
              <w:keepNext/>
              <w:keepLines/>
              <w:rPr>
                <w:rFonts w:ascii="Arial Narrow" w:hAnsi="Arial Narrow"/>
                <w:szCs w:val="20"/>
              </w:rPr>
            </w:pPr>
            <w:r w:rsidRPr="00E04E16">
              <w:rPr>
                <w:rFonts w:ascii="Arial Narrow" w:hAnsi="Arial Narrow"/>
                <w:szCs w:val="20"/>
              </w:rPr>
              <w:t>0</w:t>
            </w:r>
          </w:p>
        </w:tc>
      </w:tr>
      <w:tr w:rsidR="002F06CA" w:rsidRPr="00E04E16" w:rsidTr="00F90902">
        <w:tc>
          <w:tcPr>
            <w:tcW w:w="2672" w:type="dxa"/>
            <w:shd w:val="clear" w:color="auto" w:fill="auto"/>
          </w:tcPr>
          <w:p w:rsidR="002F06CA" w:rsidRPr="00E04E16" w:rsidRDefault="002F06CA" w:rsidP="00083528">
            <w:pPr>
              <w:pStyle w:val="Table"/>
              <w:keepNext/>
              <w:keepLines/>
              <w:rPr>
                <w:rFonts w:ascii="Arial Narrow" w:hAnsi="Arial Narrow"/>
                <w:szCs w:val="20"/>
              </w:rPr>
            </w:pPr>
            <w:r w:rsidRPr="00E04E16">
              <w:rPr>
                <w:rFonts w:ascii="Arial Narrow" w:hAnsi="Arial Narrow"/>
                <w:szCs w:val="20"/>
              </w:rPr>
              <w:t>Diarrhoea</w:t>
            </w:r>
          </w:p>
        </w:tc>
        <w:tc>
          <w:tcPr>
            <w:tcW w:w="1265" w:type="dxa"/>
            <w:shd w:val="clear" w:color="auto" w:fill="auto"/>
          </w:tcPr>
          <w:p w:rsidR="002F06CA" w:rsidRPr="00E04E16" w:rsidRDefault="002F06CA" w:rsidP="00083528">
            <w:pPr>
              <w:pStyle w:val="TableCentre"/>
              <w:keepNext/>
              <w:keepLines/>
              <w:rPr>
                <w:rFonts w:ascii="Arial Narrow" w:hAnsi="Arial Narrow"/>
                <w:szCs w:val="20"/>
              </w:rPr>
            </w:pPr>
            <w:r w:rsidRPr="00E04E16">
              <w:rPr>
                <w:rFonts w:ascii="Arial Narrow" w:hAnsi="Arial Narrow"/>
                <w:szCs w:val="20"/>
              </w:rPr>
              <w:t>2 (2%)</w:t>
            </w:r>
          </w:p>
        </w:tc>
        <w:tc>
          <w:tcPr>
            <w:tcW w:w="1265" w:type="dxa"/>
            <w:shd w:val="clear" w:color="auto" w:fill="auto"/>
          </w:tcPr>
          <w:p w:rsidR="002F06CA" w:rsidRPr="00E04E16" w:rsidRDefault="002F06CA" w:rsidP="00083528">
            <w:pPr>
              <w:pStyle w:val="TableCentre"/>
              <w:keepNext/>
              <w:keepLines/>
              <w:rPr>
                <w:rFonts w:ascii="Arial Narrow" w:hAnsi="Arial Narrow"/>
                <w:szCs w:val="20"/>
              </w:rPr>
            </w:pPr>
            <w:r w:rsidRPr="00E04E16">
              <w:rPr>
                <w:rFonts w:ascii="Arial Narrow" w:hAnsi="Arial Narrow"/>
                <w:szCs w:val="20"/>
              </w:rPr>
              <w:t>6 (4%)</w:t>
            </w:r>
          </w:p>
        </w:tc>
        <w:tc>
          <w:tcPr>
            <w:tcW w:w="1272" w:type="dxa"/>
            <w:shd w:val="clear" w:color="auto" w:fill="auto"/>
          </w:tcPr>
          <w:p w:rsidR="002F06CA" w:rsidRPr="00E04E16" w:rsidRDefault="002F06CA" w:rsidP="00083528">
            <w:pPr>
              <w:pStyle w:val="TableCentre"/>
              <w:keepNext/>
              <w:keepLines/>
              <w:rPr>
                <w:rFonts w:ascii="Arial Narrow" w:hAnsi="Arial Narrow"/>
                <w:szCs w:val="20"/>
              </w:rPr>
            </w:pPr>
            <w:r w:rsidRPr="00E04E16">
              <w:rPr>
                <w:rFonts w:ascii="Arial Narrow" w:hAnsi="Arial Narrow"/>
                <w:szCs w:val="20"/>
              </w:rPr>
              <w:t>8 (3%)</w:t>
            </w:r>
          </w:p>
        </w:tc>
        <w:tc>
          <w:tcPr>
            <w:tcW w:w="1265" w:type="dxa"/>
            <w:shd w:val="clear" w:color="auto" w:fill="auto"/>
          </w:tcPr>
          <w:p w:rsidR="002F06CA" w:rsidRPr="00E04E16" w:rsidRDefault="002F06CA" w:rsidP="00083528">
            <w:pPr>
              <w:pStyle w:val="TableCentre"/>
              <w:keepNext/>
              <w:keepLines/>
              <w:rPr>
                <w:rFonts w:ascii="Arial Narrow" w:hAnsi="Arial Narrow"/>
                <w:szCs w:val="20"/>
              </w:rPr>
            </w:pPr>
            <w:r w:rsidRPr="00E04E16">
              <w:rPr>
                <w:rFonts w:ascii="Arial Narrow" w:hAnsi="Arial Narrow"/>
                <w:szCs w:val="20"/>
              </w:rPr>
              <w:t>2 (4%)</w:t>
            </w:r>
          </w:p>
        </w:tc>
        <w:tc>
          <w:tcPr>
            <w:tcW w:w="1277" w:type="dxa"/>
            <w:shd w:val="clear" w:color="auto" w:fill="auto"/>
          </w:tcPr>
          <w:p w:rsidR="002F06CA" w:rsidRPr="00E04E16" w:rsidRDefault="002F06CA" w:rsidP="00083528">
            <w:pPr>
              <w:pStyle w:val="TableCentre"/>
              <w:keepNext/>
              <w:keepLines/>
              <w:rPr>
                <w:rFonts w:ascii="Arial Narrow" w:hAnsi="Arial Narrow"/>
                <w:szCs w:val="20"/>
              </w:rPr>
            </w:pPr>
            <w:r w:rsidRPr="00E04E16">
              <w:rPr>
                <w:rFonts w:ascii="Arial Narrow" w:hAnsi="Arial Narrow"/>
                <w:szCs w:val="20"/>
              </w:rPr>
              <w:t>0</w:t>
            </w:r>
          </w:p>
        </w:tc>
      </w:tr>
      <w:tr w:rsidR="002F06CA" w:rsidRPr="00E04E16" w:rsidTr="00F90902">
        <w:tc>
          <w:tcPr>
            <w:tcW w:w="2672" w:type="dxa"/>
            <w:shd w:val="clear" w:color="auto" w:fill="auto"/>
          </w:tcPr>
          <w:p w:rsidR="002F06CA" w:rsidRPr="00E04E16" w:rsidRDefault="002F06CA" w:rsidP="00083528">
            <w:pPr>
              <w:pStyle w:val="Table"/>
              <w:rPr>
                <w:rStyle w:val="Small"/>
                <w:rFonts w:ascii="Arial Narrow" w:hAnsi="Arial Narrow"/>
                <w:szCs w:val="20"/>
              </w:rPr>
            </w:pPr>
            <w:r w:rsidRPr="00E04E16">
              <w:rPr>
                <w:rStyle w:val="Small"/>
                <w:rFonts w:ascii="Arial Narrow" w:hAnsi="Arial Narrow"/>
                <w:szCs w:val="20"/>
              </w:rPr>
              <w:t>Nausea</w:t>
            </w:r>
          </w:p>
        </w:tc>
        <w:tc>
          <w:tcPr>
            <w:tcW w:w="1265" w:type="dxa"/>
            <w:shd w:val="clear" w:color="auto" w:fill="auto"/>
          </w:tcPr>
          <w:p w:rsidR="002F06CA" w:rsidRPr="00E04E16" w:rsidRDefault="002F06CA" w:rsidP="00083528">
            <w:pPr>
              <w:pStyle w:val="TableCentre"/>
              <w:rPr>
                <w:rStyle w:val="Small"/>
                <w:rFonts w:ascii="Arial Narrow" w:hAnsi="Arial Narrow"/>
                <w:szCs w:val="20"/>
              </w:rPr>
            </w:pPr>
            <w:r w:rsidRPr="00E04E16">
              <w:rPr>
                <w:rStyle w:val="Small"/>
                <w:rFonts w:ascii="Arial Narrow" w:hAnsi="Arial Narrow"/>
                <w:szCs w:val="20"/>
              </w:rPr>
              <w:t>4 (4%)</w:t>
            </w:r>
          </w:p>
        </w:tc>
        <w:tc>
          <w:tcPr>
            <w:tcW w:w="1265" w:type="dxa"/>
            <w:shd w:val="clear" w:color="auto" w:fill="auto"/>
          </w:tcPr>
          <w:p w:rsidR="002F06CA" w:rsidRPr="00E04E16" w:rsidRDefault="002F06CA" w:rsidP="00083528">
            <w:pPr>
              <w:pStyle w:val="TableCentre"/>
              <w:rPr>
                <w:rStyle w:val="Small"/>
                <w:rFonts w:ascii="Arial Narrow" w:hAnsi="Arial Narrow"/>
                <w:szCs w:val="20"/>
              </w:rPr>
            </w:pPr>
            <w:r w:rsidRPr="00E04E16">
              <w:rPr>
                <w:rStyle w:val="Small"/>
                <w:rFonts w:ascii="Arial Narrow" w:hAnsi="Arial Narrow"/>
                <w:szCs w:val="20"/>
              </w:rPr>
              <w:t>4 (3%)</w:t>
            </w:r>
          </w:p>
        </w:tc>
        <w:tc>
          <w:tcPr>
            <w:tcW w:w="1272" w:type="dxa"/>
            <w:shd w:val="clear" w:color="auto" w:fill="auto"/>
          </w:tcPr>
          <w:p w:rsidR="002F06CA" w:rsidRPr="00E04E16" w:rsidRDefault="002F06CA" w:rsidP="00083528">
            <w:pPr>
              <w:pStyle w:val="TableCentre"/>
              <w:rPr>
                <w:rStyle w:val="Small"/>
                <w:rFonts w:ascii="Arial Narrow" w:hAnsi="Arial Narrow"/>
                <w:szCs w:val="20"/>
              </w:rPr>
            </w:pPr>
            <w:r w:rsidRPr="00E04E16">
              <w:rPr>
                <w:rStyle w:val="Small"/>
                <w:rFonts w:ascii="Arial Narrow" w:hAnsi="Arial Narrow"/>
                <w:szCs w:val="20"/>
              </w:rPr>
              <w:t>8 (3%)</w:t>
            </w:r>
          </w:p>
        </w:tc>
        <w:tc>
          <w:tcPr>
            <w:tcW w:w="1265" w:type="dxa"/>
            <w:shd w:val="clear" w:color="auto" w:fill="auto"/>
          </w:tcPr>
          <w:p w:rsidR="002F06CA" w:rsidRPr="00E04E16" w:rsidRDefault="002F06CA" w:rsidP="00083528">
            <w:pPr>
              <w:pStyle w:val="TableCentre"/>
              <w:rPr>
                <w:rFonts w:ascii="Arial Narrow" w:hAnsi="Arial Narrow"/>
                <w:szCs w:val="20"/>
              </w:rPr>
            </w:pPr>
            <w:r w:rsidRPr="00E04E16">
              <w:rPr>
                <w:rFonts w:ascii="Arial Narrow" w:hAnsi="Arial Narrow"/>
                <w:szCs w:val="20"/>
              </w:rPr>
              <w:t>2 (4%)</w:t>
            </w:r>
          </w:p>
        </w:tc>
        <w:tc>
          <w:tcPr>
            <w:tcW w:w="1277" w:type="dxa"/>
            <w:shd w:val="clear" w:color="auto" w:fill="auto"/>
          </w:tcPr>
          <w:p w:rsidR="002F06CA" w:rsidRPr="00E04E16" w:rsidRDefault="002F06CA" w:rsidP="00083528">
            <w:pPr>
              <w:pStyle w:val="TableCentre"/>
              <w:rPr>
                <w:rFonts w:ascii="Arial Narrow" w:hAnsi="Arial Narrow"/>
                <w:szCs w:val="20"/>
              </w:rPr>
            </w:pPr>
            <w:r w:rsidRPr="00E04E16">
              <w:rPr>
                <w:rFonts w:ascii="Arial Narrow" w:hAnsi="Arial Narrow"/>
                <w:szCs w:val="20"/>
              </w:rPr>
              <w:t>0</w:t>
            </w:r>
          </w:p>
        </w:tc>
      </w:tr>
      <w:tr w:rsidR="002F06CA" w:rsidRPr="00E04E16" w:rsidTr="00F90902">
        <w:tc>
          <w:tcPr>
            <w:tcW w:w="2672" w:type="dxa"/>
            <w:shd w:val="clear" w:color="auto" w:fill="auto"/>
          </w:tcPr>
          <w:p w:rsidR="002F06CA" w:rsidRPr="00E04E16" w:rsidRDefault="002F06CA" w:rsidP="00083528">
            <w:pPr>
              <w:pStyle w:val="Table"/>
              <w:rPr>
                <w:rFonts w:ascii="Arial Narrow" w:hAnsi="Arial Narrow"/>
                <w:szCs w:val="20"/>
              </w:rPr>
            </w:pPr>
            <w:r w:rsidRPr="00E04E16">
              <w:rPr>
                <w:rFonts w:ascii="Arial Narrow" w:hAnsi="Arial Narrow"/>
                <w:szCs w:val="20"/>
              </w:rPr>
              <w:t>Metabolism and nutrition</w:t>
            </w:r>
          </w:p>
        </w:tc>
        <w:tc>
          <w:tcPr>
            <w:tcW w:w="1265" w:type="dxa"/>
            <w:shd w:val="clear" w:color="auto" w:fill="auto"/>
          </w:tcPr>
          <w:p w:rsidR="002F06CA" w:rsidRPr="00E04E16" w:rsidRDefault="002F06CA" w:rsidP="00083528">
            <w:pPr>
              <w:pStyle w:val="TableCentre"/>
              <w:rPr>
                <w:rFonts w:ascii="Arial Narrow" w:hAnsi="Arial Narrow"/>
                <w:szCs w:val="20"/>
              </w:rPr>
            </w:pPr>
            <w:r w:rsidRPr="00E04E16">
              <w:rPr>
                <w:rFonts w:ascii="Arial Narrow" w:hAnsi="Arial Narrow"/>
                <w:szCs w:val="20"/>
              </w:rPr>
              <w:t>12 (13%)</w:t>
            </w:r>
          </w:p>
        </w:tc>
        <w:tc>
          <w:tcPr>
            <w:tcW w:w="1265" w:type="dxa"/>
            <w:shd w:val="clear" w:color="auto" w:fill="auto"/>
          </w:tcPr>
          <w:p w:rsidR="002F06CA" w:rsidRPr="00E04E16" w:rsidRDefault="002F06CA" w:rsidP="00083528">
            <w:pPr>
              <w:pStyle w:val="TableCentre"/>
              <w:rPr>
                <w:rFonts w:ascii="Arial Narrow" w:hAnsi="Arial Narrow"/>
                <w:szCs w:val="20"/>
              </w:rPr>
            </w:pPr>
            <w:r w:rsidRPr="00E04E16">
              <w:rPr>
                <w:rFonts w:ascii="Arial Narrow" w:hAnsi="Arial Narrow"/>
                <w:szCs w:val="20"/>
              </w:rPr>
              <w:t>24 (16%)</w:t>
            </w:r>
          </w:p>
        </w:tc>
        <w:tc>
          <w:tcPr>
            <w:tcW w:w="1272" w:type="dxa"/>
            <w:shd w:val="clear" w:color="auto" w:fill="auto"/>
          </w:tcPr>
          <w:p w:rsidR="002F06CA" w:rsidRPr="00E04E16" w:rsidRDefault="002F06CA" w:rsidP="00083528">
            <w:pPr>
              <w:pStyle w:val="TableCentre"/>
              <w:rPr>
                <w:rFonts w:ascii="Arial Narrow" w:hAnsi="Arial Narrow"/>
                <w:szCs w:val="20"/>
              </w:rPr>
            </w:pPr>
            <w:r w:rsidRPr="00E04E16">
              <w:rPr>
                <w:rFonts w:ascii="Arial Narrow" w:hAnsi="Arial Narrow"/>
                <w:szCs w:val="20"/>
              </w:rPr>
              <w:t>36 (15%)</w:t>
            </w:r>
          </w:p>
        </w:tc>
        <w:tc>
          <w:tcPr>
            <w:tcW w:w="1265" w:type="dxa"/>
            <w:shd w:val="clear" w:color="auto" w:fill="auto"/>
          </w:tcPr>
          <w:p w:rsidR="002F06CA" w:rsidRPr="00E04E16" w:rsidRDefault="002F06CA" w:rsidP="00083528">
            <w:pPr>
              <w:pStyle w:val="TableCentre"/>
              <w:rPr>
                <w:rFonts w:ascii="Arial Narrow" w:hAnsi="Arial Narrow"/>
                <w:szCs w:val="20"/>
              </w:rPr>
            </w:pPr>
            <w:r w:rsidRPr="00E04E16">
              <w:rPr>
                <w:rFonts w:ascii="Arial Narrow" w:hAnsi="Arial Narrow"/>
                <w:szCs w:val="20"/>
              </w:rPr>
              <w:t>6 (11%)</w:t>
            </w:r>
          </w:p>
        </w:tc>
        <w:tc>
          <w:tcPr>
            <w:tcW w:w="1277" w:type="dxa"/>
            <w:shd w:val="clear" w:color="auto" w:fill="auto"/>
          </w:tcPr>
          <w:p w:rsidR="002F06CA" w:rsidRPr="00E04E16" w:rsidRDefault="002F06CA" w:rsidP="00083528">
            <w:pPr>
              <w:pStyle w:val="TableCentre"/>
              <w:rPr>
                <w:rFonts w:ascii="Arial Narrow" w:hAnsi="Arial Narrow"/>
                <w:szCs w:val="20"/>
              </w:rPr>
            </w:pPr>
            <w:r w:rsidRPr="00E04E16">
              <w:rPr>
                <w:rFonts w:ascii="Arial Narrow" w:hAnsi="Arial Narrow"/>
                <w:szCs w:val="20"/>
              </w:rPr>
              <w:t>7 (13%)</w:t>
            </w:r>
          </w:p>
        </w:tc>
      </w:tr>
      <w:tr w:rsidR="002F06CA" w:rsidRPr="00E04E16" w:rsidTr="00F90902">
        <w:tc>
          <w:tcPr>
            <w:tcW w:w="2672" w:type="dxa"/>
            <w:shd w:val="clear" w:color="auto" w:fill="auto"/>
          </w:tcPr>
          <w:p w:rsidR="002F06CA" w:rsidRPr="00E04E16" w:rsidRDefault="002F06CA" w:rsidP="00083528">
            <w:pPr>
              <w:pStyle w:val="Table"/>
              <w:rPr>
                <w:rFonts w:ascii="Arial Narrow" w:hAnsi="Arial Narrow"/>
                <w:szCs w:val="20"/>
              </w:rPr>
            </w:pPr>
            <w:r w:rsidRPr="00E04E16">
              <w:rPr>
                <w:rFonts w:ascii="Arial Narrow" w:hAnsi="Arial Narrow"/>
                <w:szCs w:val="20"/>
              </w:rPr>
              <w:t>Hypomagnesaemia</w:t>
            </w:r>
          </w:p>
        </w:tc>
        <w:tc>
          <w:tcPr>
            <w:tcW w:w="1265" w:type="dxa"/>
            <w:shd w:val="clear" w:color="auto" w:fill="auto"/>
          </w:tcPr>
          <w:p w:rsidR="002F06CA" w:rsidRPr="00E04E16" w:rsidRDefault="002F06CA" w:rsidP="00083528">
            <w:pPr>
              <w:pStyle w:val="TableCentre"/>
              <w:rPr>
                <w:rFonts w:ascii="Arial Narrow" w:hAnsi="Arial Narrow"/>
                <w:szCs w:val="20"/>
              </w:rPr>
            </w:pPr>
            <w:r w:rsidRPr="00E04E16">
              <w:rPr>
                <w:rFonts w:ascii="Arial Narrow" w:hAnsi="Arial Narrow"/>
                <w:szCs w:val="20"/>
              </w:rPr>
              <w:t>3 (3%)</w:t>
            </w:r>
          </w:p>
        </w:tc>
        <w:tc>
          <w:tcPr>
            <w:tcW w:w="1265" w:type="dxa"/>
            <w:shd w:val="clear" w:color="auto" w:fill="auto"/>
          </w:tcPr>
          <w:p w:rsidR="002F06CA" w:rsidRPr="00E04E16" w:rsidRDefault="002F06CA" w:rsidP="00083528">
            <w:pPr>
              <w:pStyle w:val="TableCentre"/>
              <w:rPr>
                <w:rFonts w:ascii="Arial Narrow" w:hAnsi="Arial Narrow"/>
                <w:szCs w:val="20"/>
              </w:rPr>
            </w:pPr>
            <w:r w:rsidRPr="00E04E16">
              <w:rPr>
                <w:rFonts w:ascii="Arial Narrow" w:hAnsi="Arial Narrow"/>
                <w:szCs w:val="20"/>
              </w:rPr>
              <w:t>5 (3%)</w:t>
            </w:r>
          </w:p>
        </w:tc>
        <w:tc>
          <w:tcPr>
            <w:tcW w:w="1272" w:type="dxa"/>
            <w:shd w:val="clear" w:color="auto" w:fill="auto"/>
          </w:tcPr>
          <w:p w:rsidR="002F06CA" w:rsidRPr="00E04E16" w:rsidRDefault="002F06CA" w:rsidP="00083528">
            <w:pPr>
              <w:pStyle w:val="TableCentre"/>
              <w:rPr>
                <w:rFonts w:ascii="Arial Narrow" w:hAnsi="Arial Narrow"/>
                <w:szCs w:val="20"/>
              </w:rPr>
            </w:pPr>
            <w:r w:rsidRPr="00E04E16">
              <w:rPr>
                <w:rFonts w:ascii="Arial Narrow" w:hAnsi="Arial Narrow"/>
                <w:szCs w:val="20"/>
              </w:rPr>
              <w:t>8 (3%)</w:t>
            </w:r>
          </w:p>
        </w:tc>
        <w:tc>
          <w:tcPr>
            <w:tcW w:w="1265" w:type="dxa"/>
            <w:shd w:val="clear" w:color="auto" w:fill="auto"/>
          </w:tcPr>
          <w:p w:rsidR="002F06CA" w:rsidRPr="00E04E16" w:rsidRDefault="002F06CA" w:rsidP="00083528">
            <w:pPr>
              <w:pStyle w:val="TableCentre"/>
              <w:rPr>
                <w:rFonts w:ascii="Arial Narrow" w:hAnsi="Arial Narrow"/>
                <w:szCs w:val="20"/>
              </w:rPr>
            </w:pPr>
            <w:r w:rsidRPr="00E04E16">
              <w:rPr>
                <w:rFonts w:ascii="Arial Narrow" w:hAnsi="Arial Narrow"/>
                <w:szCs w:val="20"/>
              </w:rPr>
              <w:t>1 (2%)</w:t>
            </w:r>
          </w:p>
        </w:tc>
        <w:tc>
          <w:tcPr>
            <w:tcW w:w="1277" w:type="dxa"/>
            <w:shd w:val="clear" w:color="auto" w:fill="auto"/>
          </w:tcPr>
          <w:p w:rsidR="002F06CA" w:rsidRPr="00E04E16" w:rsidRDefault="002F06CA" w:rsidP="00083528">
            <w:pPr>
              <w:pStyle w:val="TableCentre"/>
              <w:rPr>
                <w:rFonts w:ascii="Arial Narrow" w:hAnsi="Arial Narrow"/>
                <w:szCs w:val="20"/>
              </w:rPr>
            </w:pPr>
            <w:r w:rsidRPr="00E04E16">
              <w:rPr>
                <w:rFonts w:ascii="Arial Narrow" w:hAnsi="Arial Narrow"/>
                <w:szCs w:val="20"/>
              </w:rPr>
              <w:t>2 (4%)</w:t>
            </w:r>
          </w:p>
        </w:tc>
      </w:tr>
    </w:tbl>
    <w:p w:rsidR="002F06CA" w:rsidRPr="00E04E16" w:rsidRDefault="002F06CA" w:rsidP="002F06CA">
      <w:pPr>
        <w:pStyle w:val="TableFooter"/>
      </w:pPr>
      <w:r w:rsidRPr="00E04E16">
        <w:t>Source: Table 2.5.9, p.73 of the resubmission.</w:t>
      </w:r>
    </w:p>
    <w:p w:rsidR="002F06CA" w:rsidRPr="00E04E16" w:rsidRDefault="002F06CA" w:rsidP="00BB546F">
      <w:pPr>
        <w:pStyle w:val="TableFooter"/>
        <w:keepNext/>
        <w:keepLines/>
        <w:widowControl/>
        <w:spacing w:after="240"/>
        <w:contextualSpacing/>
      </w:pPr>
      <w:r w:rsidRPr="00E04E16">
        <w:t>Abbreviations: AE, adverse event.</w:t>
      </w:r>
    </w:p>
    <w:p w:rsidR="002F06CA" w:rsidRPr="00E04E16" w:rsidRDefault="002F06CA" w:rsidP="002F06CA">
      <w:pPr>
        <w:pStyle w:val="Caption"/>
        <w:keepNext/>
        <w:keepLines/>
        <w:spacing w:after="0"/>
        <w:rPr>
          <w:rStyle w:val="Font"/>
          <w:rFonts w:ascii="Arial Narrow" w:hAnsi="Arial Narrow"/>
          <w:b/>
          <w:i w:val="0"/>
          <w:color w:val="auto"/>
          <w:sz w:val="20"/>
          <w:szCs w:val="20"/>
        </w:rPr>
      </w:pPr>
      <w:r w:rsidRPr="00E04E16">
        <w:rPr>
          <w:rStyle w:val="Font"/>
          <w:rFonts w:ascii="Arial Narrow" w:hAnsi="Arial Narrow"/>
          <w:b/>
          <w:i w:val="0"/>
          <w:color w:val="auto"/>
          <w:sz w:val="20"/>
          <w:szCs w:val="20"/>
        </w:rPr>
        <w:t xml:space="preserve">Table </w:t>
      </w:r>
      <w:r w:rsidR="00293567" w:rsidRPr="00E04E16">
        <w:rPr>
          <w:rStyle w:val="Font"/>
          <w:rFonts w:ascii="Arial Narrow" w:hAnsi="Arial Narrow"/>
          <w:b/>
          <w:i w:val="0"/>
          <w:color w:val="auto"/>
          <w:sz w:val="20"/>
          <w:szCs w:val="20"/>
        </w:rPr>
        <w:t>11</w:t>
      </w:r>
      <w:r w:rsidRPr="00E04E16">
        <w:rPr>
          <w:rStyle w:val="Font"/>
          <w:rFonts w:ascii="Arial Narrow" w:hAnsi="Arial Narrow"/>
          <w:b/>
          <w:i w:val="0"/>
          <w:color w:val="auto"/>
          <w:sz w:val="20"/>
          <w:szCs w:val="20"/>
        </w:rPr>
        <w:t>: Summary of adverse events most commonly in AMETHYST-DN (safety population; Stratum 1 &amp; 2 pooled)</w:t>
      </w:r>
    </w:p>
    <w:tbl>
      <w:tblPr>
        <w:tblStyle w:val="TableGrid"/>
        <w:tblW w:w="0" w:type="auto"/>
        <w:tblLook w:val="04A0" w:firstRow="1" w:lastRow="0" w:firstColumn="1" w:lastColumn="0" w:noHBand="0" w:noVBand="1"/>
        <w:tblCaption w:val="Table 11: Summary of adverse events most commonly in AMETHYST-DN (safety population; Stratum 1 &amp; 2 pooled)"/>
      </w:tblPr>
      <w:tblGrid>
        <w:gridCol w:w="2672"/>
        <w:gridCol w:w="1265"/>
        <w:gridCol w:w="1265"/>
        <w:gridCol w:w="1272"/>
        <w:gridCol w:w="1265"/>
        <w:gridCol w:w="1277"/>
      </w:tblGrid>
      <w:tr w:rsidR="002F06CA" w:rsidRPr="00E04E16" w:rsidTr="00F90902">
        <w:trPr>
          <w:tblHeader/>
        </w:trPr>
        <w:tc>
          <w:tcPr>
            <w:tcW w:w="2672" w:type="dxa"/>
            <w:vMerge w:val="restart"/>
            <w:shd w:val="clear" w:color="auto" w:fill="auto"/>
            <w:vAlign w:val="center"/>
          </w:tcPr>
          <w:p w:rsidR="002F06CA" w:rsidRPr="00E04E16" w:rsidRDefault="002F06CA" w:rsidP="00083528">
            <w:pPr>
              <w:pStyle w:val="Table"/>
              <w:keepNext/>
              <w:keepLines/>
              <w:rPr>
                <w:rFonts w:ascii="Arial Narrow" w:hAnsi="Arial Narrow"/>
                <w:b/>
                <w:szCs w:val="20"/>
              </w:rPr>
            </w:pPr>
            <w:r w:rsidRPr="00E04E16">
              <w:rPr>
                <w:rFonts w:ascii="Arial Narrow" w:hAnsi="Arial Narrow"/>
                <w:b/>
                <w:szCs w:val="20"/>
              </w:rPr>
              <w:t>AMETHYST-DN</w:t>
            </w:r>
          </w:p>
        </w:tc>
        <w:tc>
          <w:tcPr>
            <w:tcW w:w="6344" w:type="dxa"/>
            <w:gridSpan w:val="5"/>
            <w:tcBorders>
              <w:bottom w:val="single" w:sz="4" w:space="0" w:color="auto"/>
            </w:tcBorders>
            <w:shd w:val="clear" w:color="auto" w:fill="auto"/>
          </w:tcPr>
          <w:p w:rsidR="002F06CA" w:rsidRPr="00E04E16" w:rsidRDefault="002F06CA" w:rsidP="00083528">
            <w:pPr>
              <w:pStyle w:val="TableCentre"/>
              <w:keepNext/>
              <w:keepLines/>
              <w:rPr>
                <w:rFonts w:ascii="Arial Narrow" w:hAnsi="Arial Narrow"/>
                <w:b/>
                <w:szCs w:val="20"/>
              </w:rPr>
            </w:pPr>
            <w:r w:rsidRPr="00E04E16">
              <w:rPr>
                <w:rFonts w:ascii="Arial Narrow" w:hAnsi="Arial Narrow"/>
                <w:b/>
                <w:szCs w:val="20"/>
              </w:rPr>
              <w:t>Patiromer starting dose (g/day), pooled strata 1 &amp; 2</w:t>
            </w:r>
          </w:p>
        </w:tc>
      </w:tr>
      <w:tr w:rsidR="002F06CA" w:rsidRPr="00E04E16" w:rsidTr="00F90902">
        <w:trPr>
          <w:tblHeader/>
        </w:trPr>
        <w:tc>
          <w:tcPr>
            <w:tcW w:w="2672" w:type="dxa"/>
            <w:vMerge/>
            <w:shd w:val="clear" w:color="auto" w:fill="auto"/>
          </w:tcPr>
          <w:p w:rsidR="002F06CA" w:rsidRPr="00E04E16" w:rsidRDefault="002F06CA" w:rsidP="00083528">
            <w:pPr>
              <w:pStyle w:val="Table"/>
              <w:keepNext/>
              <w:keepLines/>
              <w:rPr>
                <w:rFonts w:ascii="Arial Narrow" w:hAnsi="Arial Narrow"/>
                <w:szCs w:val="20"/>
              </w:rPr>
            </w:pPr>
          </w:p>
        </w:tc>
        <w:tc>
          <w:tcPr>
            <w:tcW w:w="1265" w:type="dxa"/>
            <w:tcBorders>
              <w:bottom w:val="nil"/>
            </w:tcBorders>
            <w:shd w:val="clear" w:color="auto" w:fill="auto"/>
          </w:tcPr>
          <w:p w:rsidR="002F06CA" w:rsidRPr="00E04E16" w:rsidRDefault="002F06CA" w:rsidP="00083528">
            <w:pPr>
              <w:pStyle w:val="TableCentre"/>
              <w:keepNext/>
              <w:keepLines/>
              <w:rPr>
                <w:rFonts w:ascii="Arial Narrow" w:hAnsi="Arial Narrow"/>
                <w:b/>
                <w:szCs w:val="20"/>
              </w:rPr>
            </w:pPr>
            <w:r w:rsidRPr="00E04E16">
              <w:rPr>
                <w:rFonts w:ascii="Arial Narrow" w:hAnsi="Arial Narrow"/>
                <w:b/>
                <w:szCs w:val="20"/>
              </w:rPr>
              <w:t>8.4 g/d</w:t>
            </w:r>
          </w:p>
        </w:tc>
        <w:tc>
          <w:tcPr>
            <w:tcW w:w="1265" w:type="dxa"/>
            <w:tcBorders>
              <w:bottom w:val="nil"/>
            </w:tcBorders>
            <w:shd w:val="clear" w:color="auto" w:fill="auto"/>
          </w:tcPr>
          <w:p w:rsidR="002F06CA" w:rsidRPr="00E04E16" w:rsidRDefault="002F06CA" w:rsidP="00083528">
            <w:pPr>
              <w:pStyle w:val="TableCentre"/>
              <w:keepNext/>
              <w:keepLines/>
              <w:rPr>
                <w:rFonts w:ascii="Arial Narrow" w:hAnsi="Arial Narrow"/>
                <w:b/>
                <w:szCs w:val="20"/>
              </w:rPr>
            </w:pPr>
            <w:r w:rsidRPr="00E04E16">
              <w:rPr>
                <w:rFonts w:ascii="Arial Narrow" w:hAnsi="Arial Narrow"/>
                <w:b/>
                <w:szCs w:val="20"/>
              </w:rPr>
              <w:t>16.8 g/d</w:t>
            </w:r>
          </w:p>
        </w:tc>
        <w:tc>
          <w:tcPr>
            <w:tcW w:w="1272" w:type="dxa"/>
            <w:tcBorders>
              <w:bottom w:val="nil"/>
            </w:tcBorders>
            <w:shd w:val="clear" w:color="auto" w:fill="auto"/>
          </w:tcPr>
          <w:p w:rsidR="002F06CA" w:rsidRPr="00E04E16" w:rsidRDefault="002F06CA" w:rsidP="00083528">
            <w:pPr>
              <w:pStyle w:val="TableCentre"/>
              <w:keepNext/>
              <w:keepLines/>
              <w:rPr>
                <w:rFonts w:ascii="Arial Narrow" w:hAnsi="Arial Narrow"/>
                <w:b/>
                <w:szCs w:val="20"/>
              </w:rPr>
            </w:pPr>
            <w:r w:rsidRPr="00E04E16">
              <w:rPr>
                <w:rFonts w:ascii="Arial Narrow" w:hAnsi="Arial Narrow"/>
                <w:b/>
                <w:szCs w:val="20"/>
              </w:rPr>
              <w:t>25.2 g/d</w:t>
            </w:r>
          </w:p>
        </w:tc>
        <w:tc>
          <w:tcPr>
            <w:tcW w:w="1265" w:type="dxa"/>
            <w:tcBorders>
              <w:bottom w:val="nil"/>
            </w:tcBorders>
            <w:shd w:val="clear" w:color="auto" w:fill="auto"/>
          </w:tcPr>
          <w:p w:rsidR="002F06CA" w:rsidRPr="00E04E16" w:rsidRDefault="002F06CA" w:rsidP="00083528">
            <w:pPr>
              <w:pStyle w:val="TableCentre"/>
              <w:keepNext/>
              <w:keepLines/>
              <w:rPr>
                <w:rFonts w:ascii="Arial Narrow" w:hAnsi="Arial Narrow"/>
                <w:b/>
                <w:szCs w:val="20"/>
              </w:rPr>
            </w:pPr>
            <w:r w:rsidRPr="00E04E16">
              <w:rPr>
                <w:rFonts w:ascii="Arial Narrow" w:hAnsi="Arial Narrow"/>
                <w:b/>
                <w:szCs w:val="20"/>
              </w:rPr>
              <w:t>33.6 g/d</w:t>
            </w:r>
          </w:p>
        </w:tc>
        <w:tc>
          <w:tcPr>
            <w:tcW w:w="1277" w:type="dxa"/>
            <w:tcBorders>
              <w:bottom w:val="nil"/>
            </w:tcBorders>
            <w:shd w:val="clear" w:color="auto" w:fill="auto"/>
          </w:tcPr>
          <w:p w:rsidR="002F06CA" w:rsidRPr="00E04E16" w:rsidRDefault="002F06CA" w:rsidP="00083528">
            <w:pPr>
              <w:pStyle w:val="TableCentre"/>
              <w:keepNext/>
              <w:keepLines/>
              <w:rPr>
                <w:rFonts w:ascii="Arial Narrow" w:hAnsi="Arial Narrow"/>
                <w:b/>
                <w:szCs w:val="20"/>
              </w:rPr>
            </w:pPr>
            <w:r w:rsidRPr="00E04E16">
              <w:rPr>
                <w:rFonts w:ascii="Arial Narrow" w:hAnsi="Arial Narrow"/>
                <w:b/>
                <w:szCs w:val="20"/>
              </w:rPr>
              <w:t>Overall</w:t>
            </w:r>
          </w:p>
        </w:tc>
      </w:tr>
      <w:tr w:rsidR="002F06CA" w:rsidRPr="00E04E16" w:rsidTr="00F90902">
        <w:trPr>
          <w:tblHeader/>
        </w:trPr>
        <w:tc>
          <w:tcPr>
            <w:tcW w:w="2672" w:type="dxa"/>
            <w:vMerge/>
            <w:shd w:val="clear" w:color="auto" w:fill="auto"/>
          </w:tcPr>
          <w:p w:rsidR="002F06CA" w:rsidRPr="00E04E16" w:rsidRDefault="002F06CA" w:rsidP="00083528">
            <w:pPr>
              <w:pStyle w:val="Table"/>
              <w:keepNext/>
              <w:keepLines/>
              <w:rPr>
                <w:rFonts w:ascii="Arial Narrow" w:hAnsi="Arial Narrow"/>
                <w:szCs w:val="20"/>
              </w:rPr>
            </w:pPr>
          </w:p>
        </w:tc>
        <w:tc>
          <w:tcPr>
            <w:tcW w:w="1265" w:type="dxa"/>
            <w:tcBorders>
              <w:top w:val="nil"/>
            </w:tcBorders>
            <w:shd w:val="clear" w:color="auto" w:fill="auto"/>
          </w:tcPr>
          <w:p w:rsidR="002F06CA" w:rsidRPr="00E04E16" w:rsidRDefault="002F06CA" w:rsidP="00083528">
            <w:pPr>
              <w:pStyle w:val="TableCentre"/>
              <w:keepNext/>
              <w:keepLines/>
              <w:rPr>
                <w:rFonts w:ascii="Arial Narrow" w:hAnsi="Arial Narrow"/>
                <w:b/>
                <w:szCs w:val="20"/>
              </w:rPr>
            </w:pPr>
            <w:r w:rsidRPr="00E04E16">
              <w:rPr>
                <w:rFonts w:ascii="Arial Narrow" w:hAnsi="Arial Narrow"/>
                <w:b/>
                <w:szCs w:val="20"/>
              </w:rPr>
              <w:t>(N=74)</w:t>
            </w:r>
          </w:p>
        </w:tc>
        <w:tc>
          <w:tcPr>
            <w:tcW w:w="1265" w:type="dxa"/>
            <w:tcBorders>
              <w:top w:val="nil"/>
            </w:tcBorders>
            <w:shd w:val="clear" w:color="auto" w:fill="auto"/>
          </w:tcPr>
          <w:p w:rsidR="002F06CA" w:rsidRPr="00E04E16" w:rsidRDefault="002F06CA" w:rsidP="00083528">
            <w:pPr>
              <w:pStyle w:val="TableCentre"/>
              <w:keepNext/>
              <w:keepLines/>
              <w:rPr>
                <w:rFonts w:ascii="Arial Narrow" w:hAnsi="Arial Narrow"/>
                <w:b/>
                <w:szCs w:val="20"/>
              </w:rPr>
            </w:pPr>
            <w:r w:rsidRPr="00E04E16">
              <w:rPr>
                <w:rFonts w:ascii="Arial Narrow" w:hAnsi="Arial Narrow"/>
                <w:b/>
                <w:szCs w:val="20"/>
              </w:rPr>
              <w:t>(N=99)</w:t>
            </w:r>
          </w:p>
        </w:tc>
        <w:tc>
          <w:tcPr>
            <w:tcW w:w="1272" w:type="dxa"/>
            <w:tcBorders>
              <w:top w:val="nil"/>
            </w:tcBorders>
            <w:shd w:val="clear" w:color="auto" w:fill="auto"/>
          </w:tcPr>
          <w:p w:rsidR="002F06CA" w:rsidRPr="00E04E16" w:rsidRDefault="002F06CA" w:rsidP="00083528">
            <w:pPr>
              <w:pStyle w:val="TableCentre"/>
              <w:keepNext/>
              <w:keepLines/>
              <w:rPr>
                <w:rFonts w:ascii="Arial Narrow" w:hAnsi="Arial Narrow"/>
                <w:b/>
                <w:szCs w:val="20"/>
              </w:rPr>
            </w:pPr>
            <w:r w:rsidRPr="00E04E16">
              <w:rPr>
                <w:rFonts w:ascii="Arial Narrow" w:hAnsi="Arial Narrow"/>
                <w:b/>
                <w:szCs w:val="20"/>
              </w:rPr>
              <w:t>(N=101)</w:t>
            </w:r>
          </w:p>
        </w:tc>
        <w:tc>
          <w:tcPr>
            <w:tcW w:w="1265" w:type="dxa"/>
            <w:tcBorders>
              <w:top w:val="nil"/>
            </w:tcBorders>
            <w:shd w:val="clear" w:color="auto" w:fill="auto"/>
          </w:tcPr>
          <w:p w:rsidR="002F06CA" w:rsidRPr="00E04E16" w:rsidRDefault="002F06CA" w:rsidP="00083528">
            <w:pPr>
              <w:pStyle w:val="TableCentre"/>
              <w:keepNext/>
              <w:keepLines/>
              <w:rPr>
                <w:rFonts w:ascii="Arial Narrow" w:hAnsi="Arial Narrow"/>
                <w:b/>
                <w:szCs w:val="20"/>
              </w:rPr>
            </w:pPr>
            <w:r w:rsidRPr="00E04E16">
              <w:rPr>
                <w:rFonts w:ascii="Arial Narrow" w:hAnsi="Arial Narrow"/>
                <w:b/>
                <w:szCs w:val="20"/>
              </w:rPr>
              <w:t>(N=30)</w:t>
            </w:r>
          </w:p>
        </w:tc>
        <w:tc>
          <w:tcPr>
            <w:tcW w:w="1277" w:type="dxa"/>
            <w:tcBorders>
              <w:top w:val="nil"/>
            </w:tcBorders>
            <w:shd w:val="clear" w:color="auto" w:fill="auto"/>
          </w:tcPr>
          <w:p w:rsidR="002F06CA" w:rsidRPr="00E04E16" w:rsidRDefault="002F06CA" w:rsidP="00083528">
            <w:pPr>
              <w:pStyle w:val="TableCentre"/>
              <w:keepNext/>
              <w:keepLines/>
              <w:rPr>
                <w:rFonts w:ascii="Arial Narrow" w:hAnsi="Arial Narrow"/>
                <w:b/>
                <w:szCs w:val="20"/>
              </w:rPr>
            </w:pPr>
            <w:r w:rsidRPr="00E04E16">
              <w:rPr>
                <w:rFonts w:ascii="Arial Narrow" w:hAnsi="Arial Narrow"/>
                <w:b/>
                <w:szCs w:val="20"/>
              </w:rPr>
              <w:t>(N=304)</w:t>
            </w:r>
          </w:p>
        </w:tc>
      </w:tr>
      <w:tr w:rsidR="002F06CA" w:rsidRPr="00E04E16" w:rsidTr="00F90902">
        <w:tc>
          <w:tcPr>
            <w:tcW w:w="2672" w:type="dxa"/>
            <w:shd w:val="clear" w:color="auto" w:fill="auto"/>
          </w:tcPr>
          <w:p w:rsidR="002F06CA" w:rsidRPr="00E04E16" w:rsidRDefault="002F06CA" w:rsidP="00083528">
            <w:pPr>
              <w:pStyle w:val="Table"/>
              <w:keepNext/>
              <w:keepLines/>
              <w:rPr>
                <w:rFonts w:ascii="Arial Narrow" w:hAnsi="Arial Narrow"/>
                <w:szCs w:val="20"/>
              </w:rPr>
            </w:pPr>
            <w:r w:rsidRPr="00E04E16">
              <w:rPr>
                <w:rFonts w:ascii="Arial Narrow" w:hAnsi="Arial Narrow"/>
                <w:szCs w:val="20"/>
              </w:rPr>
              <w:t>≥ 1 treatment emergent AE</w:t>
            </w:r>
          </w:p>
        </w:tc>
        <w:tc>
          <w:tcPr>
            <w:tcW w:w="1265" w:type="dxa"/>
            <w:shd w:val="clear" w:color="auto" w:fill="auto"/>
          </w:tcPr>
          <w:p w:rsidR="002F06CA" w:rsidRPr="00E04E16" w:rsidRDefault="002F06CA" w:rsidP="00083528">
            <w:pPr>
              <w:pStyle w:val="TableCentre"/>
              <w:keepNext/>
              <w:keepLines/>
              <w:rPr>
                <w:rFonts w:ascii="Arial Narrow" w:hAnsi="Arial Narrow"/>
                <w:szCs w:val="20"/>
              </w:rPr>
            </w:pPr>
            <w:r w:rsidRPr="00E04E16">
              <w:rPr>
                <w:rFonts w:ascii="Arial Narrow" w:hAnsi="Arial Narrow"/>
                <w:szCs w:val="20"/>
              </w:rPr>
              <w:t>47 (63.5%)</w:t>
            </w:r>
          </w:p>
        </w:tc>
        <w:tc>
          <w:tcPr>
            <w:tcW w:w="1265" w:type="dxa"/>
            <w:shd w:val="clear" w:color="auto" w:fill="auto"/>
          </w:tcPr>
          <w:p w:rsidR="002F06CA" w:rsidRPr="00E04E16" w:rsidRDefault="002F06CA" w:rsidP="00083528">
            <w:pPr>
              <w:pStyle w:val="TableCentre"/>
              <w:keepNext/>
              <w:keepLines/>
              <w:rPr>
                <w:rFonts w:ascii="Arial Narrow" w:hAnsi="Arial Narrow"/>
                <w:szCs w:val="20"/>
              </w:rPr>
            </w:pPr>
            <w:r w:rsidRPr="00E04E16">
              <w:rPr>
                <w:rFonts w:ascii="Arial Narrow" w:hAnsi="Arial Narrow"/>
                <w:szCs w:val="20"/>
              </w:rPr>
              <w:t>69 (69.7%)</w:t>
            </w:r>
          </w:p>
        </w:tc>
        <w:tc>
          <w:tcPr>
            <w:tcW w:w="1272" w:type="dxa"/>
            <w:shd w:val="clear" w:color="auto" w:fill="auto"/>
          </w:tcPr>
          <w:p w:rsidR="002F06CA" w:rsidRPr="00E04E16" w:rsidRDefault="002F06CA" w:rsidP="00083528">
            <w:pPr>
              <w:pStyle w:val="TableCentre"/>
              <w:keepNext/>
              <w:keepLines/>
              <w:rPr>
                <w:rFonts w:ascii="Arial Narrow" w:hAnsi="Arial Narrow"/>
                <w:szCs w:val="20"/>
              </w:rPr>
            </w:pPr>
            <w:r w:rsidRPr="00E04E16">
              <w:rPr>
                <w:rFonts w:ascii="Arial Narrow" w:hAnsi="Arial Narrow"/>
                <w:szCs w:val="20"/>
              </w:rPr>
              <w:t>70 (69.3%)</w:t>
            </w:r>
          </w:p>
        </w:tc>
        <w:tc>
          <w:tcPr>
            <w:tcW w:w="1265" w:type="dxa"/>
            <w:shd w:val="clear" w:color="auto" w:fill="auto"/>
          </w:tcPr>
          <w:p w:rsidR="002F06CA" w:rsidRPr="00E04E16" w:rsidRDefault="002F06CA" w:rsidP="00083528">
            <w:pPr>
              <w:pStyle w:val="TableCentre"/>
              <w:keepNext/>
              <w:keepLines/>
              <w:rPr>
                <w:rFonts w:ascii="Arial Narrow" w:hAnsi="Arial Narrow"/>
                <w:szCs w:val="20"/>
              </w:rPr>
            </w:pPr>
            <w:r w:rsidRPr="00E04E16">
              <w:rPr>
                <w:rFonts w:ascii="Arial Narrow" w:hAnsi="Arial Narrow"/>
                <w:szCs w:val="20"/>
              </w:rPr>
              <w:t>25 (83.3%)</w:t>
            </w:r>
          </w:p>
        </w:tc>
        <w:tc>
          <w:tcPr>
            <w:tcW w:w="1277" w:type="dxa"/>
            <w:shd w:val="clear" w:color="auto" w:fill="auto"/>
          </w:tcPr>
          <w:p w:rsidR="002F06CA" w:rsidRPr="00E04E16" w:rsidRDefault="002F06CA" w:rsidP="00083528">
            <w:pPr>
              <w:pStyle w:val="TableCentre"/>
              <w:keepNext/>
              <w:keepLines/>
              <w:rPr>
                <w:rFonts w:ascii="Arial Narrow" w:hAnsi="Arial Narrow"/>
                <w:szCs w:val="20"/>
              </w:rPr>
            </w:pPr>
            <w:r w:rsidRPr="00E04E16">
              <w:rPr>
                <w:rFonts w:ascii="Arial Narrow" w:hAnsi="Arial Narrow"/>
                <w:szCs w:val="20"/>
              </w:rPr>
              <w:t>211 (69.4%)</w:t>
            </w:r>
          </w:p>
        </w:tc>
      </w:tr>
      <w:tr w:rsidR="002F06CA" w:rsidRPr="00E04E16" w:rsidTr="00F90902">
        <w:tc>
          <w:tcPr>
            <w:tcW w:w="2672" w:type="dxa"/>
            <w:shd w:val="clear" w:color="auto" w:fill="auto"/>
          </w:tcPr>
          <w:p w:rsidR="002F06CA" w:rsidRPr="00E04E16" w:rsidRDefault="002F06CA" w:rsidP="00083528">
            <w:pPr>
              <w:pStyle w:val="Table"/>
              <w:keepNext/>
              <w:keepLines/>
              <w:rPr>
                <w:rFonts w:ascii="Arial Narrow" w:hAnsi="Arial Narrow"/>
                <w:szCs w:val="20"/>
              </w:rPr>
            </w:pPr>
            <w:r w:rsidRPr="00E04E16">
              <w:rPr>
                <w:rFonts w:ascii="Arial Narrow" w:hAnsi="Arial Narrow"/>
                <w:szCs w:val="20"/>
              </w:rPr>
              <w:t>Hypomagnesaemia</w:t>
            </w:r>
          </w:p>
        </w:tc>
        <w:tc>
          <w:tcPr>
            <w:tcW w:w="1265" w:type="dxa"/>
            <w:shd w:val="clear" w:color="auto" w:fill="auto"/>
          </w:tcPr>
          <w:p w:rsidR="002F06CA" w:rsidRPr="00E04E16" w:rsidRDefault="002F06CA" w:rsidP="00083528">
            <w:pPr>
              <w:pStyle w:val="TableCentre"/>
              <w:keepNext/>
              <w:keepLines/>
              <w:rPr>
                <w:rFonts w:ascii="Arial Narrow" w:hAnsi="Arial Narrow"/>
                <w:szCs w:val="20"/>
              </w:rPr>
            </w:pPr>
            <w:r w:rsidRPr="00E04E16">
              <w:rPr>
                <w:rFonts w:ascii="Arial Narrow" w:hAnsi="Arial Narrow"/>
                <w:szCs w:val="20"/>
              </w:rPr>
              <w:t>4 (5.4%)</w:t>
            </w:r>
          </w:p>
        </w:tc>
        <w:tc>
          <w:tcPr>
            <w:tcW w:w="1265" w:type="dxa"/>
            <w:shd w:val="clear" w:color="auto" w:fill="auto"/>
          </w:tcPr>
          <w:p w:rsidR="002F06CA" w:rsidRPr="00E04E16" w:rsidRDefault="002F06CA" w:rsidP="00083528">
            <w:pPr>
              <w:pStyle w:val="TableCentre"/>
              <w:keepNext/>
              <w:keepLines/>
              <w:rPr>
                <w:rFonts w:ascii="Arial Narrow" w:hAnsi="Arial Narrow"/>
                <w:szCs w:val="20"/>
              </w:rPr>
            </w:pPr>
            <w:r w:rsidRPr="00E04E16">
              <w:rPr>
                <w:rFonts w:ascii="Arial Narrow" w:hAnsi="Arial Narrow"/>
                <w:szCs w:val="20"/>
              </w:rPr>
              <w:t>7 (7.1%)</w:t>
            </w:r>
          </w:p>
        </w:tc>
        <w:tc>
          <w:tcPr>
            <w:tcW w:w="1272" w:type="dxa"/>
            <w:shd w:val="clear" w:color="auto" w:fill="auto"/>
          </w:tcPr>
          <w:p w:rsidR="002F06CA" w:rsidRPr="00E04E16" w:rsidRDefault="002F06CA" w:rsidP="00083528">
            <w:pPr>
              <w:pStyle w:val="TableCentre"/>
              <w:keepNext/>
              <w:keepLines/>
              <w:rPr>
                <w:rFonts w:ascii="Arial Narrow" w:hAnsi="Arial Narrow"/>
                <w:szCs w:val="20"/>
              </w:rPr>
            </w:pPr>
            <w:r w:rsidRPr="00E04E16">
              <w:rPr>
                <w:rFonts w:ascii="Arial Narrow" w:hAnsi="Arial Narrow"/>
                <w:szCs w:val="20"/>
              </w:rPr>
              <w:t>10 (9.9%)</w:t>
            </w:r>
          </w:p>
        </w:tc>
        <w:tc>
          <w:tcPr>
            <w:tcW w:w="1265" w:type="dxa"/>
            <w:shd w:val="clear" w:color="auto" w:fill="auto"/>
          </w:tcPr>
          <w:p w:rsidR="002F06CA" w:rsidRPr="00E04E16" w:rsidRDefault="002F06CA" w:rsidP="00083528">
            <w:pPr>
              <w:pStyle w:val="TableCentre"/>
              <w:keepNext/>
              <w:keepLines/>
              <w:rPr>
                <w:rFonts w:ascii="Arial Narrow" w:hAnsi="Arial Narrow"/>
                <w:szCs w:val="20"/>
              </w:rPr>
            </w:pPr>
            <w:r w:rsidRPr="00E04E16">
              <w:rPr>
                <w:rFonts w:ascii="Arial Narrow" w:hAnsi="Arial Narrow"/>
                <w:szCs w:val="20"/>
              </w:rPr>
              <w:t>5 (16.7%)</w:t>
            </w:r>
          </w:p>
        </w:tc>
        <w:tc>
          <w:tcPr>
            <w:tcW w:w="1277" w:type="dxa"/>
            <w:shd w:val="clear" w:color="auto" w:fill="auto"/>
          </w:tcPr>
          <w:p w:rsidR="002F06CA" w:rsidRPr="00E04E16" w:rsidRDefault="002F06CA" w:rsidP="00083528">
            <w:pPr>
              <w:pStyle w:val="TableCentre"/>
              <w:keepNext/>
              <w:keepLines/>
              <w:rPr>
                <w:rFonts w:ascii="Arial Narrow" w:hAnsi="Arial Narrow"/>
                <w:szCs w:val="20"/>
              </w:rPr>
            </w:pPr>
            <w:r w:rsidRPr="00E04E16">
              <w:rPr>
                <w:rFonts w:ascii="Arial Narrow" w:hAnsi="Arial Narrow"/>
                <w:szCs w:val="20"/>
              </w:rPr>
              <w:t>26 (8.6%)</w:t>
            </w:r>
          </w:p>
        </w:tc>
      </w:tr>
      <w:tr w:rsidR="002F06CA" w:rsidRPr="00E04E16" w:rsidTr="00F90902">
        <w:tc>
          <w:tcPr>
            <w:tcW w:w="2672" w:type="dxa"/>
            <w:shd w:val="clear" w:color="auto" w:fill="auto"/>
          </w:tcPr>
          <w:p w:rsidR="002F06CA" w:rsidRPr="00E04E16" w:rsidRDefault="002F06CA" w:rsidP="00083528">
            <w:pPr>
              <w:pStyle w:val="Table"/>
              <w:keepNext/>
              <w:keepLines/>
              <w:rPr>
                <w:rFonts w:ascii="Arial Narrow" w:hAnsi="Arial Narrow"/>
                <w:szCs w:val="20"/>
              </w:rPr>
            </w:pPr>
            <w:r w:rsidRPr="00E04E16">
              <w:rPr>
                <w:rFonts w:ascii="Arial Narrow" w:hAnsi="Arial Narrow"/>
                <w:szCs w:val="20"/>
              </w:rPr>
              <w:t>Hypertension</w:t>
            </w:r>
          </w:p>
        </w:tc>
        <w:tc>
          <w:tcPr>
            <w:tcW w:w="1265" w:type="dxa"/>
            <w:shd w:val="clear" w:color="auto" w:fill="auto"/>
          </w:tcPr>
          <w:p w:rsidR="002F06CA" w:rsidRPr="00E04E16" w:rsidRDefault="002F06CA" w:rsidP="00083528">
            <w:pPr>
              <w:pStyle w:val="TableCentre"/>
              <w:keepNext/>
              <w:keepLines/>
              <w:rPr>
                <w:rFonts w:ascii="Arial Narrow" w:hAnsi="Arial Narrow"/>
                <w:szCs w:val="20"/>
              </w:rPr>
            </w:pPr>
            <w:r w:rsidRPr="00E04E16">
              <w:rPr>
                <w:rFonts w:ascii="Arial Narrow" w:hAnsi="Arial Narrow"/>
                <w:szCs w:val="20"/>
              </w:rPr>
              <w:t>5 (6.8%)</w:t>
            </w:r>
          </w:p>
        </w:tc>
        <w:tc>
          <w:tcPr>
            <w:tcW w:w="1265" w:type="dxa"/>
            <w:shd w:val="clear" w:color="auto" w:fill="auto"/>
          </w:tcPr>
          <w:p w:rsidR="002F06CA" w:rsidRPr="00E04E16" w:rsidRDefault="002F06CA" w:rsidP="00083528">
            <w:pPr>
              <w:pStyle w:val="TableCentre"/>
              <w:keepNext/>
              <w:keepLines/>
              <w:rPr>
                <w:rFonts w:ascii="Arial Narrow" w:hAnsi="Arial Narrow"/>
                <w:szCs w:val="20"/>
              </w:rPr>
            </w:pPr>
            <w:r w:rsidRPr="00E04E16">
              <w:rPr>
                <w:rFonts w:ascii="Arial Narrow" w:hAnsi="Arial Narrow"/>
                <w:szCs w:val="20"/>
              </w:rPr>
              <w:t>11 (11.1%)</w:t>
            </w:r>
          </w:p>
        </w:tc>
        <w:tc>
          <w:tcPr>
            <w:tcW w:w="1272" w:type="dxa"/>
            <w:shd w:val="clear" w:color="auto" w:fill="auto"/>
          </w:tcPr>
          <w:p w:rsidR="002F06CA" w:rsidRPr="00E04E16" w:rsidRDefault="002F06CA" w:rsidP="00083528">
            <w:pPr>
              <w:pStyle w:val="TableCentre"/>
              <w:keepNext/>
              <w:keepLines/>
              <w:rPr>
                <w:rFonts w:ascii="Arial Narrow" w:hAnsi="Arial Narrow"/>
                <w:szCs w:val="20"/>
              </w:rPr>
            </w:pPr>
            <w:r w:rsidRPr="00E04E16">
              <w:rPr>
                <w:rFonts w:ascii="Arial Narrow" w:hAnsi="Arial Narrow"/>
                <w:szCs w:val="20"/>
              </w:rPr>
              <w:t>4 (4.0%)</w:t>
            </w:r>
          </w:p>
        </w:tc>
        <w:tc>
          <w:tcPr>
            <w:tcW w:w="1265" w:type="dxa"/>
            <w:shd w:val="clear" w:color="auto" w:fill="auto"/>
          </w:tcPr>
          <w:p w:rsidR="002F06CA" w:rsidRPr="00E04E16" w:rsidRDefault="002F06CA" w:rsidP="00083528">
            <w:pPr>
              <w:pStyle w:val="TableCentre"/>
              <w:keepNext/>
              <w:keepLines/>
              <w:rPr>
                <w:rFonts w:ascii="Arial Narrow" w:hAnsi="Arial Narrow"/>
                <w:szCs w:val="20"/>
              </w:rPr>
            </w:pPr>
            <w:r w:rsidRPr="00E04E16">
              <w:rPr>
                <w:rFonts w:ascii="Arial Narrow" w:hAnsi="Arial Narrow"/>
                <w:szCs w:val="20"/>
              </w:rPr>
              <w:t>4 (13.3%)</w:t>
            </w:r>
          </w:p>
        </w:tc>
        <w:tc>
          <w:tcPr>
            <w:tcW w:w="1277" w:type="dxa"/>
            <w:shd w:val="clear" w:color="auto" w:fill="auto"/>
          </w:tcPr>
          <w:p w:rsidR="002F06CA" w:rsidRPr="00E04E16" w:rsidRDefault="002F06CA" w:rsidP="00083528">
            <w:pPr>
              <w:pStyle w:val="TableCentre"/>
              <w:keepNext/>
              <w:keepLines/>
              <w:rPr>
                <w:rFonts w:ascii="Arial Narrow" w:hAnsi="Arial Narrow"/>
                <w:szCs w:val="20"/>
              </w:rPr>
            </w:pPr>
            <w:r w:rsidRPr="00E04E16">
              <w:rPr>
                <w:rFonts w:ascii="Arial Narrow" w:hAnsi="Arial Narrow"/>
                <w:szCs w:val="20"/>
              </w:rPr>
              <w:t>24 (7.9%)</w:t>
            </w:r>
          </w:p>
        </w:tc>
      </w:tr>
      <w:tr w:rsidR="002F06CA" w:rsidRPr="00E04E16" w:rsidTr="00F90902">
        <w:tc>
          <w:tcPr>
            <w:tcW w:w="2672" w:type="dxa"/>
            <w:shd w:val="clear" w:color="auto" w:fill="auto"/>
          </w:tcPr>
          <w:p w:rsidR="002F06CA" w:rsidRPr="00E04E16" w:rsidRDefault="002F06CA" w:rsidP="00083528">
            <w:pPr>
              <w:pStyle w:val="Table"/>
              <w:keepNext/>
              <w:keepLines/>
              <w:rPr>
                <w:rFonts w:ascii="Arial Narrow" w:hAnsi="Arial Narrow"/>
                <w:szCs w:val="20"/>
              </w:rPr>
            </w:pPr>
            <w:r w:rsidRPr="00E04E16">
              <w:rPr>
                <w:rFonts w:ascii="Arial Narrow" w:hAnsi="Arial Narrow"/>
                <w:szCs w:val="20"/>
              </w:rPr>
              <w:t>Constipation</w:t>
            </w:r>
          </w:p>
        </w:tc>
        <w:tc>
          <w:tcPr>
            <w:tcW w:w="1265" w:type="dxa"/>
            <w:shd w:val="clear" w:color="auto" w:fill="auto"/>
          </w:tcPr>
          <w:p w:rsidR="002F06CA" w:rsidRPr="00E04E16" w:rsidRDefault="002F06CA" w:rsidP="00083528">
            <w:pPr>
              <w:pStyle w:val="TableCentre"/>
              <w:keepNext/>
              <w:keepLines/>
              <w:rPr>
                <w:rFonts w:ascii="Arial Narrow" w:hAnsi="Arial Narrow"/>
                <w:szCs w:val="20"/>
              </w:rPr>
            </w:pPr>
            <w:r w:rsidRPr="00E04E16">
              <w:rPr>
                <w:rFonts w:ascii="Arial Narrow" w:hAnsi="Arial Narrow"/>
                <w:szCs w:val="20"/>
              </w:rPr>
              <w:t>4 (5.4%)</w:t>
            </w:r>
          </w:p>
        </w:tc>
        <w:tc>
          <w:tcPr>
            <w:tcW w:w="1265" w:type="dxa"/>
            <w:shd w:val="clear" w:color="auto" w:fill="auto"/>
          </w:tcPr>
          <w:p w:rsidR="002F06CA" w:rsidRPr="00E04E16" w:rsidRDefault="002F06CA" w:rsidP="00083528">
            <w:pPr>
              <w:pStyle w:val="TableCentre"/>
              <w:keepNext/>
              <w:keepLines/>
              <w:rPr>
                <w:rFonts w:ascii="Arial Narrow" w:hAnsi="Arial Narrow"/>
                <w:szCs w:val="20"/>
              </w:rPr>
            </w:pPr>
            <w:r w:rsidRPr="00E04E16">
              <w:rPr>
                <w:rFonts w:ascii="Arial Narrow" w:hAnsi="Arial Narrow"/>
                <w:szCs w:val="20"/>
              </w:rPr>
              <w:t>5 (5.1%)</w:t>
            </w:r>
          </w:p>
        </w:tc>
        <w:tc>
          <w:tcPr>
            <w:tcW w:w="1272" w:type="dxa"/>
            <w:shd w:val="clear" w:color="auto" w:fill="auto"/>
          </w:tcPr>
          <w:p w:rsidR="002F06CA" w:rsidRPr="00E04E16" w:rsidRDefault="002F06CA" w:rsidP="00083528">
            <w:pPr>
              <w:pStyle w:val="TableCentre"/>
              <w:keepNext/>
              <w:keepLines/>
              <w:rPr>
                <w:rFonts w:ascii="Arial Narrow" w:hAnsi="Arial Narrow"/>
                <w:szCs w:val="20"/>
              </w:rPr>
            </w:pPr>
            <w:r w:rsidRPr="00E04E16">
              <w:rPr>
                <w:rFonts w:ascii="Arial Narrow" w:hAnsi="Arial Narrow"/>
                <w:szCs w:val="20"/>
              </w:rPr>
              <w:t>5 (5.0%)</w:t>
            </w:r>
          </w:p>
        </w:tc>
        <w:tc>
          <w:tcPr>
            <w:tcW w:w="1265" w:type="dxa"/>
            <w:shd w:val="clear" w:color="auto" w:fill="auto"/>
          </w:tcPr>
          <w:p w:rsidR="002F06CA" w:rsidRPr="00E04E16" w:rsidRDefault="002F06CA" w:rsidP="00083528">
            <w:pPr>
              <w:pStyle w:val="TableCentre"/>
              <w:keepNext/>
              <w:keepLines/>
              <w:rPr>
                <w:rFonts w:ascii="Arial Narrow" w:hAnsi="Arial Narrow"/>
                <w:szCs w:val="20"/>
              </w:rPr>
            </w:pPr>
            <w:r w:rsidRPr="00E04E16">
              <w:rPr>
                <w:rFonts w:ascii="Arial Narrow" w:hAnsi="Arial Narrow"/>
                <w:szCs w:val="20"/>
              </w:rPr>
              <w:t>5 (16.7%)</w:t>
            </w:r>
          </w:p>
        </w:tc>
        <w:tc>
          <w:tcPr>
            <w:tcW w:w="1277" w:type="dxa"/>
            <w:shd w:val="clear" w:color="auto" w:fill="auto"/>
          </w:tcPr>
          <w:p w:rsidR="002F06CA" w:rsidRPr="00E04E16" w:rsidRDefault="002F06CA" w:rsidP="00083528">
            <w:pPr>
              <w:pStyle w:val="TableCentre"/>
              <w:keepNext/>
              <w:keepLines/>
              <w:rPr>
                <w:rFonts w:ascii="Arial Narrow" w:hAnsi="Arial Narrow"/>
                <w:szCs w:val="20"/>
              </w:rPr>
            </w:pPr>
            <w:r w:rsidRPr="00E04E16">
              <w:rPr>
                <w:rFonts w:ascii="Arial Narrow" w:hAnsi="Arial Narrow"/>
                <w:szCs w:val="20"/>
              </w:rPr>
              <w:t>19 (6.3%)</w:t>
            </w:r>
          </w:p>
        </w:tc>
      </w:tr>
      <w:tr w:rsidR="002F06CA" w:rsidRPr="00E04E16" w:rsidTr="00F90902">
        <w:tc>
          <w:tcPr>
            <w:tcW w:w="2672" w:type="dxa"/>
            <w:shd w:val="clear" w:color="auto" w:fill="auto"/>
          </w:tcPr>
          <w:p w:rsidR="002F06CA" w:rsidRPr="00E04E16" w:rsidRDefault="002F06CA" w:rsidP="00083528">
            <w:pPr>
              <w:pStyle w:val="Table"/>
              <w:keepNext/>
              <w:keepLines/>
              <w:rPr>
                <w:rFonts w:ascii="Arial Narrow" w:hAnsi="Arial Narrow"/>
                <w:szCs w:val="20"/>
              </w:rPr>
            </w:pPr>
            <w:r w:rsidRPr="00E04E16">
              <w:rPr>
                <w:rFonts w:ascii="Arial Narrow" w:hAnsi="Arial Narrow"/>
                <w:szCs w:val="20"/>
              </w:rPr>
              <w:t>Diarrhoea</w:t>
            </w:r>
          </w:p>
        </w:tc>
        <w:tc>
          <w:tcPr>
            <w:tcW w:w="1265" w:type="dxa"/>
            <w:shd w:val="clear" w:color="auto" w:fill="auto"/>
          </w:tcPr>
          <w:p w:rsidR="002F06CA" w:rsidRPr="00E04E16" w:rsidRDefault="002F06CA" w:rsidP="00083528">
            <w:pPr>
              <w:pStyle w:val="TableCentre"/>
              <w:keepNext/>
              <w:keepLines/>
              <w:rPr>
                <w:rFonts w:ascii="Arial Narrow" w:hAnsi="Arial Narrow"/>
                <w:szCs w:val="20"/>
              </w:rPr>
            </w:pPr>
            <w:r w:rsidRPr="00E04E16">
              <w:rPr>
                <w:rFonts w:ascii="Arial Narrow" w:hAnsi="Arial Narrow"/>
                <w:szCs w:val="20"/>
              </w:rPr>
              <w:t>6 (8.1%)</w:t>
            </w:r>
          </w:p>
        </w:tc>
        <w:tc>
          <w:tcPr>
            <w:tcW w:w="1265" w:type="dxa"/>
            <w:shd w:val="clear" w:color="auto" w:fill="auto"/>
          </w:tcPr>
          <w:p w:rsidR="002F06CA" w:rsidRPr="00E04E16" w:rsidRDefault="002F06CA" w:rsidP="00083528">
            <w:pPr>
              <w:pStyle w:val="TableCentre"/>
              <w:keepNext/>
              <w:keepLines/>
              <w:rPr>
                <w:rFonts w:ascii="Arial Narrow" w:hAnsi="Arial Narrow"/>
                <w:szCs w:val="20"/>
              </w:rPr>
            </w:pPr>
            <w:r w:rsidRPr="00E04E16">
              <w:rPr>
                <w:rFonts w:ascii="Arial Narrow" w:hAnsi="Arial Narrow"/>
                <w:szCs w:val="20"/>
              </w:rPr>
              <w:t>8 (8.1%)</w:t>
            </w:r>
          </w:p>
        </w:tc>
        <w:tc>
          <w:tcPr>
            <w:tcW w:w="1272" w:type="dxa"/>
            <w:shd w:val="clear" w:color="auto" w:fill="auto"/>
          </w:tcPr>
          <w:p w:rsidR="002F06CA" w:rsidRPr="00E04E16" w:rsidRDefault="002F06CA" w:rsidP="00083528">
            <w:pPr>
              <w:pStyle w:val="TableCentre"/>
              <w:keepNext/>
              <w:keepLines/>
              <w:rPr>
                <w:rFonts w:ascii="Arial Narrow" w:hAnsi="Arial Narrow"/>
                <w:szCs w:val="20"/>
              </w:rPr>
            </w:pPr>
            <w:r w:rsidRPr="00E04E16">
              <w:rPr>
                <w:rFonts w:ascii="Arial Narrow" w:hAnsi="Arial Narrow"/>
                <w:szCs w:val="20"/>
              </w:rPr>
              <w:t>2 (2.0%)</w:t>
            </w:r>
          </w:p>
        </w:tc>
        <w:tc>
          <w:tcPr>
            <w:tcW w:w="1265" w:type="dxa"/>
            <w:shd w:val="clear" w:color="auto" w:fill="auto"/>
          </w:tcPr>
          <w:p w:rsidR="002F06CA" w:rsidRPr="00E04E16" w:rsidRDefault="002F06CA" w:rsidP="00083528">
            <w:pPr>
              <w:pStyle w:val="TableCentre"/>
              <w:keepNext/>
              <w:keepLines/>
              <w:rPr>
                <w:rFonts w:ascii="Arial Narrow" w:hAnsi="Arial Narrow"/>
                <w:szCs w:val="20"/>
              </w:rPr>
            </w:pPr>
            <w:r w:rsidRPr="00E04E16">
              <w:rPr>
                <w:rFonts w:ascii="Arial Narrow" w:hAnsi="Arial Narrow"/>
                <w:szCs w:val="20"/>
              </w:rPr>
              <w:t>1 (3.3%)</w:t>
            </w:r>
          </w:p>
        </w:tc>
        <w:tc>
          <w:tcPr>
            <w:tcW w:w="1277" w:type="dxa"/>
            <w:shd w:val="clear" w:color="auto" w:fill="auto"/>
          </w:tcPr>
          <w:p w:rsidR="002F06CA" w:rsidRPr="00E04E16" w:rsidRDefault="002F06CA" w:rsidP="00083528">
            <w:pPr>
              <w:pStyle w:val="TableCentre"/>
              <w:keepNext/>
              <w:keepLines/>
              <w:rPr>
                <w:rFonts w:ascii="Arial Narrow" w:hAnsi="Arial Narrow"/>
                <w:szCs w:val="20"/>
              </w:rPr>
            </w:pPr>
            <w:r w:rsidRPr="00E04E16">
              <w:rPr>
                <w:rFonts w:ascii="Arial Narrow" w:hAnsi="Arial Narrow"/>
                <w:szCs w:val="20"/>
              </w:rPr>
              <w:t>17 (5.6%)</w:t>
            </w:r>
          </w:p>
        </w:tc>
      </w:tr>
      <w:tr w:rsidR="002F06CA" w:rsidRPr="00E04E16" w:rsidTr="00F90902">
        <w:tc>
          <w:tcPr>
            <w:tcW w:w="2672" w:type="dxa"/>
            <w:shd w:val="clear" w:color="auto" w:fill="auto"/>
          </w:tcPr>
          <w:p w:rsidR="002F06CA" w:rsidRPr="00E04E16" w:rsidRDefault="002F06CA" w:rsidP="00083528">
            <w:pPr>
              <w:pStyle w:val="Table"/>
              <w:keepNext/>
              <w:keepLines/>
              <w:rPr>
                <w:rStyle w:val="Small"/>
                <w:rFonts w:ascii="Arial Narrow" w:hAnsi="Arial Narrow"/>
                <w:szCs w:val="20"/>
              </w:rPr>
            </w:pPr>
            <w:r w:rsidRPr="00E04E16">
              <w:rPr>
                <w:rStyle w:val="Small"/>
                <w:rFonts w:ascii="Arial Narrow" w:hAnsi="Arial Narrow"/>
                <w:szCs w:val="20"/>
              </w:rPr>
              <w:t>Ventricular extra-systoles</w:t>
            </w:r>
          </w:p>
        </w:tc>
        <w:tc>
          <w:tcPr>
            <w:tcW w:w="1265" w:type="dxa"/>
            <w:shd w:val="clear" w:color="auto" w:fill="auto"/>
          </w:tcPr>
          <w:p w:rsidR="002F06CA" w:rsidRPr="00E04E16" w:rsidRDefault="002F06CA" w:rsidP="00083528">
            <w:pPr>
              <w:pStyle w:val="TableCentre"/>
              <w:keepNext/>
              <w:keepLines/>
              <w:rPr>
                <w:rStyle w:val="Small"/>
                <w:rFonts w:ascii="Arial Narrow" w:hAnsi="Arial Narrow"/>
                <w:szCs w:val="20"/>
              </w:rPr>
            </w:pPr>
            <w:r w:rsidRPr="00E04E16">
              <w:rPr>
                <w:rStyle w:val="Small"/>
                <w:rFonts w:ascii="Arial Narrow" w:hAnsi="Arial Narrow"/>
                <w:szCs w:val="20"/>
              </w:rPr>
              <w:t>2 (2.7%)</w:t>
            </w:r>
          </w:p>
        </w:tc>
        <w:tc>
          <w:tcPr>
            <w:tcW w:w="1265" w:type="dxa"/>
            <w:shd w:val="clear" w:color="auto" w:fill="auto"/>
          </w:tcPr>
          <w:p w:rsidR="002F06CA" w:rsidRPr="00E04E16" w:rsidRDefault="002F06CA" w:rsidP="00083528">
            <w:pPr>
              <w:pStyle w:val="TableCentre"/>
              <w:keepNext/>
              <w:keepLines/>
              <w:rPr>
                <w:rStyle w:val="Small"/>
                <w:rFonts w:ascii="Arial Narrow" w:hAnsi="Arial Narrow"/>
                <w:szCs w:val="20"/>
              </w:rPr>
            </w:pPr>
            <w:r w:rsidRPr="00E04E16">
              <w:rPr>
                <w:rStyle w:val="Small"/>
                <w:rFonts w:ascii="Arial Narrow" w:hAnsi="Arial Narrow"/>
                <w:szCs w:val="20"/>
              </w:rPr>
              <w:t>4 (4.0%)</w:t>
            </w:r>
          </w:p>
        </w:tc>
        <w:tc>
          <w:tcPr>
            <w:tcW w:w="1272" w:type="dxa"/>
            <w:shd w:val="clear" w:color="auto" w:fill="auto"/>
          </w:tcPr>
          <w:p w:rsidR="002F06CA" w:rsidRPr="00E04E16" w:rsidRDefault="002F06CA" w:rsidP="00083528">
            <w:pPr>
              <w:pStyle w:val="TableCentre"/>
              <w:keepNext/>
              <w:keepLines/>
              <w:rPr>
                <w:rStyle w:val="Small"/>
                <w:rFonts w:ascii="Arial Narrow" w:hAnsi="Arial Narrow"/>
                <w:szCs w:val="20"/>
              </w:rPr>
            </w:pPr>
            <w:r w:rsidRPr="00E04E16">
              <w:rPr>
                <w:rStyle w:val="Small"/>
                <w:rFonts w:ascii="Arial Narrow" w:hAnsi="Arial Narrow"/>
                <w:szCs w:val="20"/>
              </w:rPr>
              <w:t>3 (3.0%)</w:t>
            </w:r>
          </w:p>
        </w:tc>
        <w:tc>
          <w:tcPr>
            <w:tcW w:w="1265" w:type="dxa"/>
            <w:shd w:val="clear" w:color="auto" w:fill="auto"/>
          </w:tcPr>
          <w:p w:rsidR="002F06CA" w:rsidRPr="00E04E16" w:rsidRDefault="002F06CA" w:rsidP="00083528">
            <w:pPr>
              <w:pStyle w:val="TableCentre"/>
              <w:keepNext/>
              <w:keepLines/>
              <w:rPr>
                <w:rStyle w:val="Small"/>
                <w:rFonts w:ascii="Arial Narrow" w:hAnsi="Arial Narrow"/>
                <w:szCs w:val="20"/>
              </w:rPr>
            </w:pPr>
            <w:r w:rsidRPr="00E04E16">
              <w:rPr>
                <w:rStyle w:val="Small"/>
                <w:rFonts w:ascii="Arial Narrow" w:hAnsi="Arial Narrow"/>
                <w:szCs w:val="20"/>
              </w:rPr>
              <w:t>2 (6.7%)</w:t>
            </w:r>
          </w:p>
        </w:tc>
        <w:tc>
          <w:tcPr>
            <w:tcW w:w="1277" w:type="dxa"/>
            <w:shd w:val="clear" w:color="auto" w:fill="auto"/>
          </w:tcPr>
          <w:p w:rsidR="002F06CA" w:rsidRPr="00E04E16" w:rsidRDefault="002F06CA" w:rsidP="00083528">
            <w:pPr>
              <w:pStyle w:val="TableCentre"/>
              <w:keepNext/>
              <w:keepLines/>
              <w:rPr>
                <w:rStyle w:val="Small"/>
                <w:rFonts w:ascii="Arial Narrow" w:hAnsi="Arial Narrow"/>
                <w:szCs w:val="20"/>
              </w:rPr>
            </w:pPr>
            <w:r w:rsidRPr="00E04E16">
              <w:rPr>
                <w:rStyle w:val="Small"/>
                <w:rFonts w:ascii="Arial Narrow" w:hAnsi="Arial Narrow"/>
                <w:szCs w:val="20"/>
              </w:rPr>
              <w:t>11 (3.6%)</w:t>
            </w:r>
          </w:p>
        </w:tc>
      </w:tr>
      <w:tr w:rsidR="002F06CA" w:rsidRPr="00E04E16" w:rsidTr="00F90902">
        <w:tc>
          <w:tcPr>
            <w:tcW w:w="2672" w:type="dxa"/>
            <w:shd w:val="clear" w:color="auto" w:fill="auto"/>
          </w:tcPr>
          <w:p w:rsidR="002F06CA" w:rsidRPr="00E04E16" w:rsidRDefault="002F06CA" w:rsidP="00083528">
            <w:pPr>
              <w:pStyle w:val="Table"/>
              <w:keepNext/>
              <w:keepLines/>
              <w:rPr>
                <w:rFonts w:ascii="Arial Narrow" w:hAnsi="Arial Narrow"/>
                <w:szCs w:val="20"/>
              </w:rPr>
            </w:pPr>
            <w:r w:rsidRPr="00E04E16">
              <w:rPr>
                <w:rFonts w:ascii="Arial Narrow" w:hAnsi="Arial Narrow"/>
                <w:szCs w:val="20"/>
              </w:rPr>
              <w:t>Anaemia</w:t>
            </w:r>
          </w:p>
        </w:tc>
        <w:tc>
          <w:tcPr>
            <w:tcW w:w="1265" w:type="dxa"/>
            <w:shd w:val="clear" w:color="auto" w:fill="auto"/>
          </w:tcPr>
          <w:p w:rsidR="002F06CA" w:rsidRPr="00E04E16" w:rsidRDefault="002F06CA" w:rsidP="00083528">
            <w:pPr>
              <w:pStyle w:val="TableCentre"/>
              <w:keepNext/>
              <w:keepLines/>
              <w:rPr>
                <w:rFonts w:ascii="Arial Narrow" w:hAnsi="Arial Narrow"/>
                <w:szCs w:val="20"/>
              </w:rPr>
            </w:pPr>
            <w:r w:rsidRPr="00E04E16">
              <w:rPr>
                <w:rFonts w:ascii="Arial Narrow" w:hAnsi="Arial Narrow"/>
                <w:szCs w:val="20"/>
              </w:rPr>
              <w:t>2 (2.7%)</w:t>
            </w:r>
          </w:p>
        </w:tc>
        <w:tc>
          <w:tcPr>
            <w:tcW w:w="1265" w:type="dxa"/>
            <w:shd w:val="clear" w:color="auto" w:fill="auto"/>
          </w:tcPr>
          <w:p w:rsidR="002F06CA" w:rsidRPr="00E04E16" w:rsidRDefault="002F06CA" w:rsidP="00083528">
            <w:pPr>
              <w:pStyle w:val="TableCentre"/>
              <w:keepNext/>
              <w:keepLines/>
              <w:rPr>
                <w:rFonts w:ascii="Arial Narrow" w:hAnsi="Arial Narrow"/>
                <w:szCs w:val="20"/>
              </w:rPr>
            </w:pPr>
            <w:r w:rsidRPr="00E04E16">
              <w:rPr>
                <w:rFonts w:ascii="Arial Narrow" w:hAnsi="Arial Narrow"/>
                <w:szCs w:val="20"/>
              </w:rPr>
              <w:t>2 (2.0%)</w:t>
            </w:r>
          </w:p>
        </w:tc>
        <w:tc>
          <w:tcPr>
            <w:tcW w:w="1272" w:type="dxa"/>
            <w:shd w:val="clear" w:color="auto" w:fill="auto"/>
          </w:tcPr>
          <w:p w:rsidR="002F06CA" w:rsidRPr="00E04E16" w:rsidRDefault="002F06CA" w:rsidP="00083528">
            <w:pPr>
              <w:pStyle w:val="TableCentre"/>
              <w:keepNext/>
              <w:keepLines/>
              <w:rPr>
                <w:rFonts w:ascii="Arial Narrow" w:hAnsi="Arial Narrow"/>
                <w:szCs w:val="20"/>
              </w:rPr>
            </w:pPr>
            <w:r w:rsidRPr="00E04E16">
              <w:rPr>
                <w:rFonts w:ascii="Arial Narrow" w:hAnsi="Arial Narrow"/>
                <w:szCs w:val="20"/>
              </w:rPr>
              <w:t>5 (5.0%)</w:t>
            </w:r>
          </w:p>
        </w:tc>
        <w:tc>
          <w:tcPr>
            <w:tcW w:w="1265" w:type="dxa"/>
            <w:shd w:val="clear" w:color="auto" w:fill="auto"/>
          </w:tcPr>
          <w:p w:rsidR="002F06CA" w:rsidRPr="00E04E16" w:rsidRDefault="002F06CA" w:rsidP="00083528">
            <w:pPr>
              <w:pStyle w:val="TableCentre"/>
              <w:keepNext/>
              <w:keepLines/>
              <w:rPr>
                <w:rFonts w:ascii="Arial Narrow" w:hAnsi="Arial Narrow"/>
                <w:szCs w:val="20"/>
              </w:rPr>
            </w:pPr>
            <w:r w:rsidRPr="00E04E16">
              <w:rPr>
                <w:rFonts w:ascii="Arial Narrow" w:hAnsi="Arial Narrow"/>
                <w:szCs w:val="20"/>
              </w:rPr>
              <w:t>2 (6.7%)</w:t>
            </w:r>
          </w:p>
        </w:tc>
        <w:tc>
          <w:tcPr>
            <w:tcW w:w="1277" w:type="dxa"/>
            <w:shd w:val="clear" w:color="auto" w:fill="auto"/>
          </w:tcPr>
          <w:p w:rsidR="002F06CA" w:rsidRPr="00E04E16" w:rsidRDefault="002F06CA" w:rsidP="00083528">
            <w:pPr>
              <w:pStyle w:val="TableCentre"/>
              <w:keepNext/>
              <w:keepLines/>
              <w:rPr>
                <w:rFonts w:ascii="Arial Narrow" w:hAnsi="Arial Narrow"/>
                <w:szCs w:val="20"/>
              </w:rPr>
            </w:pPr>
            <w:r w:rsidRPr="00E04E16">
              <w:rPr>
                <w:rFonts w:ascii="Arial Narrow" w:hAnsi="Arial Narrow"/>
                <w:szCs w:val="20"/>
              </w:rPr>
              <w:t>11 (3.6%)</w:t>
            </w:r>
          </w:p>
        </w:tc>
      </w:tr>
      <w:tr w:rsidR="002F06CA" w:rsidRPr="00E04E16" w:rsidTr="00F90902">
        <w:tc>
          <w:tcPr>
            <w:tcW w:w="2672" w:type="dxa"/>
            <w:shd w:val="clear" w:color="auto" w:fill="auto"/>
          </w:tcPr>
          <w:p w:rsidR="002F06CA" w:rsidRPr="00E04E16" w:rsidRDefault="002F06CA" w:rsidP="00083528">
            <w:pPr>
              <w:pStyle w:val="Table"/>
              <w:keepNext/>
              <w:keepLines/>
              <w:rPr>
                <w:rFonts w:ascii="Arial Narrow" w:hAnsi="Arial Narrow"/>
                <w:szCs w:val="20"/>
              </w:rPr>
            </w:pPr>
            <w:r w:rsidRPr="00E04E16">
              <w:rPr>
                <w:rFonts w:ascii="Arial Narrow" w:hAnsi="Arial Narrow"/>
                <w:szCs w:val="20"/>
              </w:rPr>
              <w:t>Hypokalaemia</w:t>
            </w:r>
          </w:p>
        </w:tc>
        <w:tc>
          <w:tcPr>
            <w:tcW w:w="1265" w:type="dxa"/>
            <w:shd w:val="clear" w:color="auto" w:fill="auto"/>
          </w:tcPr>
          <w:p w:rsidR="002F06CA" w:rsidRPr="00E04E16" w:rsidRDefault="002F06CA" w:rsidP="00083528">
            <w:pPr>
              <w:pStyle w:val="TableCentre"/>
              <w:keepNext/>
              <w:keepLines/>
              <w:rPr>
                <w:rFonts w:ascii="Arial Narrow" w:hAnsi="Arial Narrow"/>
                <w:szCs w:val="20"/>
              </w:rPr>
            </w:pPr>
            <w:r w:rsidRPr="00E04E16">
              <w:rPr>
                <w:rFonts w:ascii="Arial Narrow" w:hAnsi="Arial Narrow"/>
                <w:szCs w:val="20"/>
              </w:rPr>
              <w:t>2 (2.7%)</w:t>
            </w:r>
          </w:p>
        </w:tc>
        <w:tc>
          <w:tcPr>
            <w:tcW w:w="1265" w:type="dxa"/>
            <w:shd w:val="clear" w:color="auto" w:fill="auto"/>
          </w:tcPr>
          <w:p w:rsidR="002F06CA" w:rsidRPr="00E04E16" w:rsidRDefault="002F06CA" w:rsidP="00083528">
            <w:pPr>
              <w:pStyle w:val="TableCentre"/>
              <w:keepNext/>
              <w:keepLines/>
              <w:rPr>
                <w:rFonts w:ascii="Arial Narrow" w:hAnsi="Arial Narrow"/>
                <w:szCs w:val="20"/>
              </w:rPr>
            </w:pPr>
            <w:r w:rsidRPr="00E04E16">
              <w:rPr>
                <w:rFonts w:ascii="Arial Narrow" w:hAnsi="Arial Narrow"/>
                <w:szCs w:val="20"/>
              </w:rPr>
              <w:t>2 (2.0%)</w:t>
            </w:r>
          </w:p>
        </w:tc>
        <w:tc>
          <w:tcPr>
            <w:tcW w:w="1272" w:type="dxa"/>
            <w:shd w:val="clear" w:color="auto" w:fill="auto"/>
          </w:tcPr>
          <w:p w:rsidR="002F06CA" w:rsidRPr="00E04E16" w:rsidRDefault="002F06CA" w:rsidP="00083528">
            <w:pPr>
              <w:pStyle w:val="TableCentre"/>
              <w:keepNext/>
              <w:keepLines/>
              <w:rPr>
                <w:rFonts w:ascii="Arial Narrow" w:hAnsi="Arial Narrow"/>
                <w:szCs w:val="20"/>
              </w:rPr>
            </w:pPr>
            <w:r w:rsidRPr="00E04E16">
              <w:rPr>
                <w:rFonts w:ascii="Arial Narrow" w:hAnsi="Arial Narrow"/>
                <w:szCs w:val="20"/>
              </w:rPr>
              <w:t xml:space="preserve">0 </w:t>
            </w:r>
          </w:p>
        </w:tc>
        <w:tc>
          <w:tcPr>
            <w:tcW w:w="1265" w:type="dxa"/>
            <w:shd w:val="clear" w:color="auto" w:fill="auto"/>
          </w:tcPr>
          <w:p w:rsidR="002F06CA" w:rsidRPr="00E04E16" w:rsidRDefault="002F06CA" w:rsidP="00083528">
            <w:pPr>
              <w:pStyle w:val="TableCentre"/>
              <w:keepNext/>
              <w:keepLines/>
              <w:rPr>
                <w:rFonts w:ascii="Arial Narrow" w:hAnsi="Arial Narrow"/>
                <w:szCs w:val="20"/>
              </w:rPr>
            </w:pPr>
            <w:r w:rsidRPr="00E04E16">
              <w:rPr>
                <w:rFonts w:ascii="Arial Narrow" w:hAnsi="Arial Narrow"/>
                <w:szCs w:val="20"/>
              </w:rPr>
              <w:t>3 (10.0%)</w:t>
            </w:r>
          </w:p>
        </w:tc>
        <w:tc>
          <w:tcPr>
            <w:tcW w:w="1277" w:type="dxa"/>
            <w:shd w:val="clear" w:color="auto" w:fill="auto"/>
          </w:tcPr>
          <w:p w:rsidR="002F06CA" w:rsidRPr="00E04E16" w:rsidRDefault="002F06CA" w:rsidP="00083528">
            <w:pPr>
              <w:pStyle w:val="TableCentre"/>
              <w:keepNext/>
              <w:keepLines/>
              <w:rPr>
                <w:rFonts w:ascii="Arial Narrow" w:hAnsi="Arial Narrow"/>
                <w:szCs w:val="20"/>
              </w:rPr>
            </w:pPr>
            <w:r w:rsidRPr="00E04E16">
              <w:rPr>
                <w:rFonts w:ascii="Arial Narrow" w:hAnsi="Arial Narrow"/>
                <w:szCs w:val="20"/>
              </w:rPr>
              <w:t>7 (2.3%)</w:t>
            </w:r>
          </w:p>
        </w:tc>
      </w:tr>
    </w:tbl>
    <w:p w:rsidR="002F06CA" w:rsidRPr="00E04E16" w:rsidRDefault="002F06CA" w:rsidP="00157B8D">
      <w:pPr>
        <w:pStyle w:val="TableFooter"/>
        <w:spacing w:after="120"/>
        <w:contextualSpacing/>
      </w:pPr>
      <w:r w:rsidRPr="00E04E16">
        <w:t>Source: Table 2.7.3, p.84 of the resubmission.</w:t>
      </w:r>
    </w:p>
    <w:p w:rsidR="002F06CA" w:rsidRPr="00E04E16" w:rsidRDefault="002F06CA" w:rsidP="00BB546F">
      <w:pPr>
        <w:pStyle w:val="TableFooter"/>
        <w:keepNext/>
        <w:keepLines/>
        <w:widowControl/>
        <w:spacing w:after="240"/>
        <w:contextualSpacing/>
      </w:pPr>
      <w:r w:rsidRPr="00E04E16">
        <w:t>Abbreviations: AE, adverse event</w:t>
      </w:r>
      <w:r w:rsidR="00157B8D" w:rsidRPr="00E04E16">
        <w:t>.</w:t>
      </w:r>
    </w:p>
    <w:p w:rsidR="002F06CA" w:rsidRPr="00E04E16" w:rsidRDefault="002F06CA" w:rsidP="00130128">
      <w:pPr>
        <w:pStyle w:val="ExecSumBodyText"/>
      </w:pPr>
      <w:r w:rsidRPr="00E04E16">
        <w:t xml:space="preserve">The most common adverse events reported by patients treated with patiromer were gastrointestinal events (OPAL-HK Part B 13%). Hypokalaemia (OPAL-HK 1%; AMETHYST-DN 2.3%) and hypomagnesaemia (OPAL-HK 4%; AMETHYST-DN 8.6%) were reported despite intensive monitoring and strict study drug titration protocols based on frequent serum potassium assays. </w:t>
      </w:r>
    </w:p>
    <w:p w:rsidR="002F06CA" w:rsidRPr="00E04E16" w:rsidRDefault="002F06CA" w:rsidP="002F06CA">
      <w:pPr>
        <w:pStyle w:val="ExecSumBodyText"/>
      </w:pPr>
      <w:r w:rsidRPr="00E04E16">
        <w:t>In the AMETHYST-DN study</w:t>
      </w:r>
      <w:r w:rsidR="00C76BFF" w:rsidRPr="00E04E16">
        <w:t>,</w:t>
      </w:r>
      <w:r w:rsidRPr="00E04E16">
        <w:t xml:space="preserve"> 8.6% of patients reported hypomagnesaemia in the long-term maintenance period and 16.7% over the combined treatment initiation and long-term maintenance periods.</w:t>
      </w:r>
    </w:p>
    <w:p w:rsidR="005D26B4" w:rsidRPr="00E04E16" w:rsidRDefault="002F06CA" w:rsidP="00D86231">
      <w:pPr>
        <w:pStyle w:val="ExecSumBodyText"/>
      </w:pPr>
      <w:r w:rsidRPr="00E04E16">
        <w:t>Safety concerns for patiromer identified in the most recent PSUR were unchanged from the previous submission and included the important identified risk of hypomagnesaemia, and the potential increased risk of intestinal perforation in patients with a current or history of severe gastrointestinal disorders</w:t>
      </w:r>
      <w:r w:rsidR="00067C44" w:rsidRPr="00E04E16">
        <w:t>,</w:t>
      </w:r>
      <w:r w:rsidRPr="00E04E16">
        <w:t xml:space="preserve"> and hypercalcaemia in patients with current or history of hypercalcaemia. The risk of hypomagnesaemia is consistent with the safety data reported in the </w:t>
      </w:r>
      <w:r w:rsidR="00403D12" w:rsidRPr="00E04E16">
        <w:t>longer-term</w:t>
      </w:r>
      <w:r w:rsidRPr="00E04E16">
        <w:t xml:space="preserve"> AMETHYST-DN study.</w:t>
      </w:r>
      <w:r w:rsidR="00436E31" w:rsidRPr="00E04E16">
        <w:t xml:space="preserve"> </w:t>
      </w:r>
    </w:p>
    <w:p w:rsidR="00130128" w:rsidRPr="00E04E16" w:rsidRDefault="00130128" w:rsidP="00D86231">
      <w:pPr>
        <w:pStyle w:val="ExecSumBodyText"/>
      </w:pPr>
      <w:r w:rsidRPr="00E04E16">
        <w:t xml:space="preserve">The ESC noted that </w:t>
      </w:r>
      <w:r w:rsidR="002E0A96" w:rsidRPr="00E04E16">
        <w:t>hypokalaemia and hypomagnesaemia are risk factors for cardiac arrhythmias and adverse cardiac outcomes, especially in a p</w:t>
      </w:r>
      <w:r w:rsidR="00600BFF" w:rsidRPr="00E04E16">
        <w:t>atient p</w:t>
      </w:r>
      <w:r w:rsidR="002E0A96" w:rsidRPr="00E04E16">
        <w:t xml:space="preserve">opulation with CKD. </w:t>
      </w:r>
    </w:p>
    <w:p w:rsidR="007F1017" w:rsidRPr="00E04E16" w:rsidRDefault="007F1017" w:rsidP="00D86231">
      <w:pPr>
        <w:pStyle w:val="3-SubsectionHeading"/>
      </w:pPr>
      <w:bookmarkStart w:id="16" w:name="_Toc22897643"/>
      <w:bookmarkStart w:id="17" w:name="_Toc51063877"/>
      <w:r w:rsidRPr="00E04E16">
        <w:lastRenderedPageBreak/>
        <w:t>Benefits/harms</w:t>
      </w:r>
      <w:bookmarkEnd w:id="16"/>
      <w:bookmarkEnd w:id="17"/>
    </w:p>
    <w:p w:rsidR="002F06CA" w:rsidRPr="00E04E16" w:rsidRDefault="002F06CA" w:rsidP="002F06CA">
      <w:pPr>
        <w:pStyle w:val="ListParagraph"/>
        <w:numPr>
          <w:ilvl w:val="1"/>
          <w:numId w:val="1"/>
        </w:numPr>
        <w:contextualSpacing w:val="0"/>
      </w:pPr>
      <w:r w:rsidRPr="00E04E16">
        <w:t>On the basis of the evidence presented in the submission from the OPAL-HK-Part B withdrawal study, for every 100 patients treated with patiromer in comparison to placebo and over a duration of 8 weeks:</w:t>
      </w:r>
    </w:p>
    <w:p w:rsidR="002F06CA" w:rsidRPr="00E04E16" w:rsidRDefault="002F06CA" w:rsidP="00BA6281">
      <w:pPr>
        <w:pStyle w:val="ListParagraph"/>
        <w:numPr>
          <w:ilvl w:val="0"/>
          <w:numId w:val="10"/>
        </w:numPr>
        <w:ind w:left="993" w:hanging="284"/>
        <w:contextualSpacing w:val="0"/>
      </w:pPr>
      <w:r w:rsidRPr="00E04E16">
        <w:t>Approximately 45 fewer patients would experience serum potassium concentrations &gt; 5.5 mmol/L;</w:t>
      </w:r>
    </w:p>
    <w:p w:rsidR="002F06CA" w:rsidRPr="00E04E16" w:rsidRDefault="002F06CA" w:rsidP="00BA6281">
      <w:pPr>
        <w:pStyle w:val="ListParagraph"/>
        <w:numPr>
          <w:ilvl w:val="0"/>
          <w:numId w:val="10"/>
        </w:numPr>
        <w:ind w:left="993" w:hanging="284"/>
        <w:contextualSpacing w:val="0"/>
      </w:pPr>
      <w:r w:rsidRPr="00E04E16">
        <w:t>Approximately 48 fewer patients would experience serum potassium concentrations &gt; 5.1 mmol/L;</w:t>
      </w:r>
    </w:p>
    <w:p w:rsidR="002F06CA" w:rsidRPr="00E04E16" w:rsidRDefault="002F06CA" w:rsidP="00BA6281">
      <w:pPr>
        <w:pStyle w:val="ListParagraph"/>
        <w:numPr>
          <w:ilvl w:val="0"/>
          <w:numId w:val="10"/>
        </w:numPr>
        <w:ind w:left="993" w:hanging="284"/>
        <w:contextualSpacing w:val="0"/>
      </w:pPr>
      <w:r w:rsidRPr="00E04E16">
        <w:t>Approximately 1 fewer patient would experience a serious adverse event; and</w:t>
      </w:r>
    </w:p>
    <w:p w:rsidR="00FC1884" w:rsidRPr="00E04E16" w:rsidRDefault="002F06CA" w:rsidP="00BA6281">
      <w:pPr>
        <w:pStyle w:val="ListParagraph"/>
        <w:numPr>
          <w:ilvl w:val="0"/>
          <w:numId w:val="10"/>
        </w:numPr>
        <w:spacing w:after="120"/>
        <w:ind w:left="993" w:hanging="284"/>
        <w:contextualSpacing w:val="0"/>
      </w:pPr>
      <w:r w:rsidRPr="00E04E16">
        <w:t xml:space="preserve">Approximately </w:t>
      </w:r>
      <w:r w:rsidR="00403D12" w:rsidRPr="00E04E16">
        <w:t>seven</w:t>
      </w:r>
      <w:r w:rsidRPr="00E04E16">
        <w:t xml:space="preserve"> additional patients would experience a gastrointestinal adverse event.</w:t>
      </w:r>
    </w:p>
    <w:p w:rsidR="00C76BFF" w:rsidRPr="00E04E16" w:rsidRDefault="00C76BFF" w:rsidP="00C76BFF">
      <w:pPr>
        <w:pStyle w:val="ExecSumBodyText"/>
      </w:pPr>
      <w:r w:rsidRPr="00E04E16">
        <w:t>The ESC previously consider</w:t>
      </w:r>
      <w:r w:rsidR="00BB0B89" w:rsidRPr="00E04E16">
        <w:t>e</w:t>
      </w:r>
      <w:r w:rsidRPr="00E04E16">
        <w:t xml:space="preserve">d that, as the randomised clinical data were limited to 8 weeks duration, the </w:t>
      </w:r>
      <w:r w:rsidRPr="00E04E16">
        <w:rPr>
          <w:rFonts w:ascii="Calibri" w:hAnsi="Calibri"/>
          <w:snapToGrid/>
        </w:rPr>
        <w:t>clinical relevance of the efficacy outcomes to chr</w:t>
      </w:r>
      <w:r w:rsidR="007720C7" w:rsidRPr="00E04E16">
        <w:rPr>
          <w:rFonts w:ascii="Calibri" w:hAnsi="Calibri"/>
          <w:snapToGrid/>
        </w:rPr>
        <w:t>onic treatment with patiromer was</w:t>
      </w:r>
      <w:r w:rsidRPr="00E04E16">
        <w:rPr>
          <w:rFonts w:ascii="Calibri" w:hAnsi="Calibri"/>
          <w:snapToGrid/>
        </w:rPr>
        <w:t xml:space="preserve"> unclear (para 6.35, Patiromer Public Summary Document, November 2019 PBAC meeting).</w:t>
      </w:r>
      <w:r w:rsidR="00677F5F" w:rsidRPr="00E04E16">
        <w:rPr>
          <w:rFonts w:ascii="Calibri" w:hAnsi="Calibri"/>
          <w:snapToGrid/>
        </w:rPr>
        <w:t xml:space="preserve"> </w:t>
      </w:r>
    </w:p>
    <w:p w:rsidR="00B3566F" w:rsidRPr="00E04E16" w:rsidRDefault="00C76BFF" w:rsidP="00E82581">
      <w:pPr>
        <w:pStyle w:val="ExecSumBodyText"/>
      </w:pPr>
      <w:r w:rsidRPr="00E04E16">
        <w:t>The ESC was previously concerned that the rates of hypokalaemia were not reported in the OPAL-HK Part B trial, noting that a rate of 7.3% was reported in the patiromer arm of the PEARL-HF study. In addition, the ESC previously considered that the rate of hypomagnesaemia was underrepresented in the OPAL-HK Part B trial, noting that an overall rate of 8.6% was reported in the AMETHYST-DN study (para 6.36, Patiromer Public Summary Document, November 2019 PBAC meeting).</w:t>
      </w:r>
      <w:bookmarkStart w:id="18" w:name="_Toc22897644"/>
      <w:bookmarkStart w:id="19" w:name="_Toc51063878"/>
    </w:p>
    <w:p w:rsidR="00B60939" w:rsidRPr="00E04E16" w:rsidRDefault="00B60939" w:rsidP="00B3566F">
      <w:pPr>
        <w:pStyle w:val="3-SubsectionHeading"/>
      </w:pPr>
      <w:r w:rsidRPr="00E04E16">
        <w:t>Clinical claim</w:t>
      </w:r>
      <w:bookmarkEnd w:id="18"/>
      <w:bookmarkEnd w:id="19"/>
    </w:p>
    <w:p w:rsidR="002F06CA" w:rsidRPr="00E04E16" w:rsidRDefault="002F06CA" w:rsidP="007720C7">
      <w:pPr>
        <w:pStyle w:val="ListParagraph"/>
        <w:numPr>
          <w:ilvl w:val="1"/>
          <w:numId w:val="1"/>
        </w:numPr>
        <w:spacing w:after="120"/>
        <w:contextualSpacing w:val="0"/>
      </w:pPr>
      <w:r w:rsidRPr="00E04E16">
        <w:t>The resubmission described patiromer as superior in terms of effectiveness and inferior in terms of safety compared to placebo (standard care)</w:t>
      </w:r>
      <w:r w:rsidR="00E04E16">
        <w:t xml:space="preserve">. </w:t>
      </w:r>
    </w:p>
    <w:p w:rsidR="002F06CA" w:rsidRPr="00E04E16" w:rsidRDefault="002F06CA" w:rsidP="002F06CA">
      <w:pPr>
        <w:pStyle w:val="ListParagraph"/>
        <w:numPr>
          <w:ilvl w:val="1"/>
          <w:numId w:val="1"/>
        </w:numPr>
        <w:contextualSpacing w:val="0"/>
      </w:pPr>
      <w:r w:rsidRPr="00E04E16">
        <w:t xml:space="preserve">The </w:t>
      </w:r>
      <w:r w:rsidR="00130128" w:rsidRPr="00E04E16">
        <w:t xml:space="preserve">ESC considered that the </w:t>
      </w:r>
      <w:r w:rsidRPr="00E04E16">
        <w:t xml:space="preserve">therapeutic conclusion presented in the resubmission </w:t>
      </w:r>
      <w:r w:rsidR="00130128" w:rsidRPr="00E04E16">
        <w:t>was</w:t>
      </w:r>
      <w:r w:rsidR="003D4A3A" w:rsidRPr="00E04E16">
        <w:t xml:space="preserve"> </w:t>
      </w:r>
      <w:r w:rsidRPr="00E04E16">
        <w:t xml:space="preserve">not adequately supported by the evidence presented. No new clinical evidence </w:t>
      </w:r>
      <w:r w:rsidR="00130128" w:rsidRPr="00E04E16">
        <w:t>was</w:t>
      </w:r>
      <w:r w:rsidR="003D4A3A" w:rsidRPr="00E04E16">
        <w:t xml:space="preserve"> </w:t>
      </w:r>
      <w:r w:rsidRPr="00E04E16">
        <w:t>presented in the resubmission, and the issues identified in the November 2019 submission have not been adequately addressed:</w:t>
      </w:r>
    </w:p>
    <w:p w:rsidR="002F06CA" w:rsidRPr="00E04E16" w:rsidRDefault="003D4A3A" w:rsidP="00BA6281">
      <w:pPr>
        <w:pStyle w:val="ListParagraph"/>
        <w:widowControl w:val="0"/>
        <w:numPr>
          <w:ilvl w:val="0"/>
          <w:numId w:val="12"/>
        </w:numPr>
      </w:pPr>
      <w:r w:rsidRPr="00E04E16">
        <w:t>The maximum p</w:t>
      </w:r>
      <w:r w:rsidR="002F06CA" w:rsidRPr="00E04E16">
        <w:t xml:space="preserve">atiromer dose strengths used in the OPAL-HK and AMETHYST-DN studies </w:t>
      </w:r>
      <w:r w:rsidRPr="00E04E16">
        <w:t xml:space="preserve">(up to 50.4 g/day) exceeded </w:t>
      </w:r>
      <w:r w:rsidR="002F06CA" w:rsidRPr="00E04E16">
        <w:t xml:space="preserve">the maximum dose recommended in the patiromer Product Information </w:t>
      </w:r>
      <w:r w:rsidRPr="00E04E16">
        <w:t xml:space="preserve">(up to 25.2 g/day) </w:t>
      </w:r>
      <w:r w:rsidR="002F06CA" w:rsidRPr="00E04E16">
        <w:t>and may have biased results in favour of patiromer;</w:t>
      </w:r>
    </w:p>
    <w:p w:rsidR="002F06CA" w:rsidRPr="00E04E16" w:rsidRDefault="002F06CA" w:rsidP="00BA6281">
      <w:pPr>
        <w:pStyle w:val="ListParagraph"/>
        <w:widowControl w:val="0"/>
        <w:numPr>
          <w:ilvl w:val="0"/>
          <w:numId w:val="12"/>
        </w:numPr>
      </w:pPr>
      <w:r w:rsidRPr="00E04E16">
        <w:t xml:space="preserve">The intense monitoring and complex patiromer and RAASi dosing regimens used in the included studies </w:t>
      </w:r>
      <w:r w:rsidR="007720C7" w:rsidRPr="00E04E16">
        <w:t xml:space="preserve">are </w:t>
      </w:r>
      <w:r w:rsidRPr="00E04E16">
        <w:t xml:space="preserve">not </w:t>
      </w:r>
      <w:r w:rsidR="007720C7" w:rsidRPr="00E04E16">
        <w:t xml:space="preserve">likely to </w:t>
      </w:r>
      <w:r w:rsidRPr="00E04E16">
        <w:t xml:space="preserve">reflect patient management in clinical practice. The intensity of serum potassium control in the OPAL-HK and AMETHYST-DN studies is unlikely to be realised in the eligible population;  </w:t>
      </w:r>
    </w:p>
    <w:p w:rsidR="002F06CA" w:rsidRPr="00E04E16" w:rsidRDefault="002F06CA" w:rsidP="00BA6281">
      <w:pPr>
        <w:pStyle w:val="ListParagraph"/>
        <w:widowControl w:val="0"/>
        <w:numPr>
          <w:ilvl w:val="0"/>
          <w:numId w:val="12"/>
        </w:numPr>
      </w:pPr>
      <w:r w:rsidRPr="00E04E16">
        <w:t xml:space="preserve">The definitions of hyperkalaemia requiring pharmacological intervention used in the included studies were below the thresholds likely to initiate additional pharmacological interventions in Australian clinical practice and the definition included in the requested restriction. Some patients treated with patiromer in </w:t>
      </w:r>
      <w:r w:rsidRPr="00E04E16">
        <w:lastRenderedPageBreak/>
        <w:t>the clinical studies may</w:t>
      </w:r>
      <w:r w:rsidR="007720C7" w:rsidRPr="00E04E16">
        <w:t>, in clinical practice,</w:t>
      </w:r>
      <w:r w:rsidRPr="00E04E16">
        <w:t xml:space="preserve"> be treated with </w:t>
      </w:r>
      <w:r w:rsidR="007720C7" w:rsidRPr="00E04E16">
        <w:t>less invasive interventions (e.g. low potassium diets)</w:t>
      </w:r>
      <w:r w:rsidR="00A3113F" w:rsidRPr="00E04E16">
        <w:t xml:space="preserve"> or </w:t>
      </w:r>
      <w:r w:rsidRPr="00E04E16">
        <w:t>other interventions (e.g. loop diuretics</w:t>
      </w:r>
      <w:r w:rsidR="00FB38D7" w:rsidRPr="00E04E16">
        <w:t>)</w:t>
      </w:r>
      <w:r w:rsidRPr="00E04E16">
        <w:t>;</w:t>
      </w:r>
    </w:p>
    <w:p w:rsidR="002F06CA" w:rsidRPr="00E04E16" w:rsidRDefault="002F06CA" w:rsidP="00BA6281">
      <w:pPr>
        <w:pStyle w:val="ListParagraph"/>
        <w:widowControl w:val="0"/>
        <w:numPr>
          <w:ilvl w:val="0"/>
          <w:numId w:val="12"/>
        </w:numPr>
      </w:pPr>
      <w:r w:rsidRPr="00E04E16">
        <w:t xml:space="preserve">Target serum potassium concentrations for CKD patients in the included studies were lower than the recommended target range for Australian clinical practice (&lt; 6.0 mmol/L; KHA 2015); </w:t>
      </w:r>
    </w:p>
    <w:p w:rsidR="002F06CA" w:rsidRPr="00E04E16" w:rsidRDefault="002F06CA" w:rsidP="00BA6281">
      <w:pPr>
        <w:pStyle w:val="ListParagraph"/>
        <w:widowControl w:val="0"/>
        <w:numPr>
          <w:ilvl w:val="0"/>
          <w:numId w:val="12"/>
        </w:numPr>
      </w:pPr>
      <w:r w:rsidRPr="00E04E16">
        <w:t xml:space="preserve">Results for </w:t>
      </w:r>
      <w:r w:rsidR="007720C7" w:rsidRPr="00E04E16">
        <w:t xml:space="preserve">the </w:t>
      </w:r>
      <w:r w:rsidRPr="00E04E16">
        <w:t>primary outcome of mean change in serum potassium from baseline in the included studies generally statistically favoured patiromer, but varied in magnitude between studies</w:t>
      </w:r>
      <w:r w:rsidR="007720C7" w:rsidRPr="00E04E16">
        <w:t xml:space="preserve"> and with different</w:t>
      </w:r>
      <w:r w:rsidRPr="00E04E16">
        <w:t xml:space="preserve"> patiromer start doses and baseline serum potassium concentrations. The increase in serum potassium in the Part B withdrawal study placebo arm was also small. It is unclear whether </w:t>
      </w:r>
      <w:r w:rsidR="007720C7" w:rsidRPr="00E04E16">
        <w:t xml:space="preserve">the observed </w:t>
      </w:r>
      <w:r w:rsidRPr="00E04E16">
        <w:t>changes in serum potassium concentration were clinically important</w:t>
      </w:r>
      <w:r w:rsidR="002D1C16" w:rsidRPr="00E04E16">
        <w:t>;</w:t>
      </w:r>
    </w:p>
    <w:p w:rsidR="002F06CA" w:rsidRPr="00E04E16" w:rsidRDefault="002F06CA" w:rsidP="00BA6281">
      <w:pPr>
        <w:pStyle w:val="ListParagraph"/>
        <w:widowControl w:val="0"/>
        <w:numPr>
          <w:ilvl w:val="0"/>
          <w:numId w:val="12"/>
        </w:numPr>
      </w:pPr>
      <w:r w:rsidRPr="00E04E16">
        <w:t>The claim that treatment with patiromer allowed patients to continue optimal treatment with RAASi therapies relied on exploratory outcomes from the OPAL-HK dosing/withdrawal study</w:t>
      </w:r>
      <w:r w:rsidR="005F1C74" w:rsidRPr="00E04E16">
        <w:t>. This was</w:t>
      </w:r>
      <w:r w:rsidRPr="00E04E16">
        <w:t xml:space="preserve"> impacted by the pre-specified patiromer/RAASi titration protocols</w:t>
      </w:r>
      <w:r w:rsidR="005F1C74" w:rsidRPr="00E04E16">
        <w:t>,</w:t>
      </w:r>
      <w:r w:rsidRPr="00E04E16">
        <w:t xml:space="preserve"> which applied different criteria for down titration of RAASi therapies to the patiromer and placebo arms of the study</w:t>
      </w:r>
      <w:r w:rsidR="002D1C16" w:rsidRPr="00E04E16">
        <w:t>;</w:t>
      </w:r>
    </w:p>
    <w:p w:rsidR="002F06CA" w:rsidRPr="00E04E16" w:rsidRDefault="002F06CA" w:rsidP="00BA6281">
      <w:pPr>
        <w:pStyle w:val="ListParagraph"/>
        <w:widowControl w:val="0"/>
        <w:numPr>
          <w:ilvl w:val="0"/>
          <w:numId w:val="12"/>
        </w:numPr>
      </w:pPr>
      <w:r w:rsidRPr="00E04E16">
        <w:t xml:space="preserve">The OPAL-HK study design selected an enriched population of patiromer responders for continuation into the placebo controlled Part B withdrawal study. Study outcomes (particularly exploratory outcomes) may overestimate the efficacy of patiromer likely to be experienced in clinical practice and results </w:t>
      </w:r>
      <w:r w:rsidR="00C417A6" w:rsidRPr="00E04E16">
        <w:t>can</w:t>
      </w:r>
      <w:r w:rsidRPr="00E04E16">
        <w:t>not be extrapolated to the eligible population</w:t>
      </w:r>
      <w:r w:rsidR="002D1C16" w:rsidRPr="00E04E16">
        <w:t>;</w:t>
      </w:r>
    </w:p>
    <w:p w:rsidR="002D1C16" w:rsidRPr="00E04E16" w:rsidRDefault="002F06CA" w:rsidP="00BA6281">
      <w:pPr>
        <w:pStyle w:val="ListParagraph"/>
        <w:widowControl w:val="0"/>
        <w:numPr>
          <w:ilvl w:val="0"/>
          <w:numId w:val="12"/>
        </w:numPr>
      </w:pPr>
      <w:r w:rsidRPr="00E04E16">
        <w:t>In the OPAL-HK and AMETHYST-DN studies it was unclear whether elevated serum potassium episodes were acute (i.e. related to discrete events) or chronic (i.e. related to CKD progression), or whether patients experiencing elevated potassium episodes attempted alternative therapies (e.g. loop/thiazide diuretics) prior to commencing patiromer</w:t>
      </w:r>
      <w:r w:rsidR="002D1C16" w:rsidRPr="00E04E16">
        <w:t xml:space="preserve">; </w:t>
      </w:r>
    </w:p>
    <w:p w:rsidR="00075D97" w:rsidRPr="00E04E16" w:rsidRDefault="002D1C16" w:rsidP="00BA6281">
      <w:pPr>
        <w:pStyle w:val="ListParagraph"/>
        <w:widowControl w:val="0"/>
        <w:numPr>
          <w:ilvl w:val="0"/>
          <w:numId w:val="12"/>
        </w:numPr>
      </w:pPr>
      <w:r w:rsidRPr="00E04E16">
        <w:t>data supporting long-term usage (AMETHYST-DN study, which was open label) were very limited, particularly for a drug, which is for chronic usage (if the benefits in terms of RAASi continuation are to be realised); and</w:t>
      </w:r>
      <w:r w:rsidR="002F06CA" w:rsidRPr="00E04E16">
        <w:t xml:space="preserve"> </w:t>
      </w:r>
    </w:p>
    <w:p w:rsidR="002F06CA" w:rsidRPr="00E04E16" w:rsidRDefault="002F06CA" w:rsidP="00BA6281">
      <w:pPr>
        <w:pStyle w:val="ListParagraph"/>
        <w:widowControl w:val="0"/>
        <w:numPr>
          <w:ilvl w:val="0"/>
          <w:numId w:val="12"/>
        </w:numPr>
        <w:spacing w:after="120"/>
        <w:ind w:left="1349" w:hanging="357"/>
        <w:contextualSpacing w:val="0"/>
      </w:pPr>
      <w:r w:rsidRPr="00E04E16">
        <w:t>The assumption that patients experiencing increased serum potassium concentrations would not be treated with intermittent potassium binding resins (e.g.</w:t>
      </w:r>
      <w:r w:rsidR="00105D7E" w:rsidRPr="00E04E16">
        <w:t xml:space="preserve"> SPS or CPS</w:t>
      </w:r>
      <w:r w:rsidRPr="00E04E16">
        <w:t>) was not adequately justified, and unlikely to reflect clinical practice.</w:t>
      </w:r>
    </w:p>
    <w:p w:rsidR="0064628F" w:rsidRPr="00E04E16" w:rsidRDefault="00075D97" w:rsidP="00075D97">
      <w:pPr>
        <w:pStyle w:val="ExecSumBodyText"/>
      </w:pPr>
      <w:r w:rsidRPr="00E04E16">
        <w:t>In addition, t</w:t>
      </w:r>
      <w:r w:rsidR="002F06CA" w:rsidRPr="00E04E16">
        <w:t xml:space="preserve">he November 2019 submission proposed that treatment with patiromer would continue over the lifetime of the patient (no long term data were presented supporting use of patiromer beyond twelve months). However, the resubmission suggested that most patients would discontinue treatment with patiromer within 12 months of initiation, with some patients discontinuing treatment within 3 months or </w:t>
      </w:r>
      <w:r w:rsidR="002F06CA" w:rsidRPr="00E04E16">
        <w:lastRenderedPageBreak/>
        <w:t>less.</w:t>
      </w:r>
      <w:r w:rsidR="002F12DF">
        <w:rPr>
          <w:rStyle w:val="FootnoteReference"/>
        </w:rPr>
        <w:footnoteReference w:id="2"/>
      </w:r>
      <w:r w:rsidR="002F06CA" w:rsidRPr="00E04E16">
        <w:t xml:space="preserve"> The intermittent use of patiromer over the lifetime of patients with CKD experiencing recurrent hyperkalaemia is not excluded in the requested restriction and is not supported by the clinical evidence presented. </w:t>
      </w:r>
      <w:r w:rsidR="00105D7E" w:rsidRPr="00E04E16">
        <w:t xml:space="preserve">The ESC was concerned that shorter courses of patiromer would result in lower numbers of patients staying on RAASi therapy, and hence would have reduced clinical benefit. </w:t>
      </w:r>
    </w:p>
    <w:p w:rsidR="005F7588" w:rsidRPr="00E04E16" w:rsidRDefault="0064628F" w:rsidP="004F3263">
      <w:pPr>
        <w:pStyle w:val="ExecSumBodyText"/>
      </w:pPr>
      <w:r w:rsidRPr="00E04E16">
        <w:t xml:space="preserve">The results of the post-hoc subgroup analyses of individual patient data for patients </w:t>
      </w:r>
      <w:r w:rsidR="000D3EA5" w:rsidRPr="00E04E16">
        <w:t>in</w:t>
      </w:r>
      <w:r w:rsidRPr="00E04E16">
        <w:t xml:space="preserve"> OPAL-HK Part A </w:t>
      </w:r>
      <w:r w:rsidR="000D3EA5" w:rsidRPr="00E04E16">
        <w:t xml:space="preserve">with </w:t>
      </w:r>
      <w:r w:rsidRPr="00E04E16">
        <w:t xml:space="preserve">baseline serum potassium concentrations ≥ 6.0 mmol/L may not be reliable given the small sample size </w:t>
      </w:r>
      <w:r w:rsidR="00814E8B" w:rsidRPr="00E04E16">
        <w:t xml:space="preserve">(n=26) </w:t>
      </w:r>
      <w:r w:rsidRPr="00E04E16">
        <w:t>of the subgroup analysis.</w:t>
      </w:r>
    </w:p>
    <w:p w:rsidR="004F3263" w:rsidRPr="00E04E16" w:rsidRDefault="004F3263" w:rsidP="004F3263">
      <w:pPr>
        <w:pStyle w:val="ExecSumBodyText"/>
      </w:pPr>
      <w:r w:rsidRPr="00E04E16">
        <w:t xml:space="preserve">The PBAC considered that the claim of superior comparative effectiveness was adequately supported </w:t>
      </w:r>
      <w:r w:rsidR="002D1C16" w:rsidRPr="00E04E16">
        <w:t xml:space="preserve">for the outcome of potassium lowering, however it was not supported for patient-relevant outcomes such as maintenance or optimisation of RAASi </w:t>
      </w:r>
      <w:r w:rsidR="00AF4C25" w:rsidRPr="00E04E16">
        <w:t>therapy</w:t>
      </w:r>
      <w:r w:rsidR="002D1C16" w:rsidRPr="00E04E16">
        <w:t xml:space="preserve"> and long-term cardiovascular and renal outcomes</w:t>
      </w:r>
      <w:r w:rsidRPr="00E04E16">
        <w:t>.</w:t>
      </w:r>
      <w:r w:rsidR="00AF4C25" w:rsidRPr="00E04E16">
        <w:t xml:space="preserve"> Further, an incremental benefit versus intermittent use of SPS/CPS resins was not demonstrated.</w:t>
      </w:r>
    </w:p>
    <w:p w:rsidR="004F3263" w:rsidRPr="00E04E16" w:rsidRDefault="004F3263" w:rsidP="004F3263">
      <w:pPr>
        <w:pStyle w:val="ExecSumBodyText"/>
      </w:pPr>
      <w:r w:rsidRPr="00E04E16">
        <w:t>The PBAC considered that the claim of inferior comparative safety was reasonable</w:t>
      </w:r>
      <w:r w:rsidR="002D1C16" w:rsidRPr="00E04E16">
        <w:t xml:space="preserve"> noting the potential for hypokalaemia and hypomagnesaemia.</w:t>
      </w:r>
    </w:p>
    <w:p w:rsidR="00B60939" w:rsidRPr="00E04E16" w:rsidRDefault="00B60939" w:rsidP="00E9094A">
      <w:pPr>
        <w:pStyle w:val="3-SubsectionHeading"/>
      </w:pPr>
      <w:bookmarkStart w:id="20" w:name="_Toc22897645"/>
      <w:bookmarkStart w:id="21" w:name="_Toc51063879"/>
      <w:r w:rsidRPr="00E04E16">
        <w:t>Economic analysis</w:t>
      </w:r>
      <w:bookmarkEnd w:id="20"/>
      <w:bookmarkEnd w:id="21"/>
      <w:r w:rsidR="00491B3A" w:rsidRPr="00E04E16">
        <w:t xml:space="preserve"> </w:t>
      </w:r>
    </w:p>
    <w:p w:rsidR="00FB1089" w:rsidRPr="00E04E16" w:rsidRDefault="00FB1089" w:rsidP="00FB1089">
      <w:pPr>
        <w:pStyle w:val="ExecSumBodyText"/>
      </w:pPr>
      <w:r w:rsidRPr="00E04E16">
        <w:t xml:space="preserve">The resubmission presented a new economic model, given the substantial concerns with the model presented in the November 2019 submission (see Table 2 above). The previous model was a Markov microsimulation developed in TreeAge, over a </w:t>
      </w:r>
      <w:r w:rsidR="000D7EAC" w:rsidRPr="00E04E16">
        <w:t>10-year</w:t>
      </w:r>
      <w:r w:rsidRPr="00E04E16">
        <w:t xml:space="preserve"> time horizon. Hyperkalaemia events were based on extrapolated data from the OPAL-HK Part B and AMETHYST-DN studies. Patiromer treatment discontinuation was based on extrapolated data from the AMETHYST-DN study (68.9% of patients remained on treatment at 12 months). The current model is a Markov cohort analysis developed in Excel over a </w:t>
      </w:r>
      <w:r w:rsidR="00403D12" w:rsidRPr="00E04E16">
        <w:t>35-year</w:t>
      </w:r>
      <w:r w:rsidRPr="00E04E16">
        <w:t xml:space="preserve"> time horizon. Hyperkalaemia health states were assumed based on serum potassium levels derived from post</w:t>
      </w:r>
      <w:r w:rsidR="005625EB" w:rsidRPr="00E04E16">
        <w:t>-</w:t>
      </w:r>
      <w:r w:rsidRPr="00E04E16">
        <w:t xml:space="preserve">hoc subgroup analyses of OPAL-HK and UK CPRD data. Patiromer treatment discontinuation was based on US claims data and an assumed maximum duration of treatment of one year. </w:t>
      </w:r>
    </w:p>
    <w:p w:rsidR="00FB1089" w:rsidRPr="00E04E16" w:rsidRDefault="00FB1089" w:rsidP="00FB1089">
      <w:pPr>
        <w:pStyle w:val="ExecSumBodyText"/>
      </w:pPr>
      <w:r w:rsidRPr="00E04E16">
        <w:t>Key components of the economic evaluation presented in the resubmission are summarised in Table 12.</w:t>
      </w:r>
    </w:p>
    <w:p w:rsidR="000F5DDB" w:rsidRPr="00E04E16" w:rsidRDefault="000F5DDB" w:rsidP="00331A38">
      <w:pPr>
        <w:pStyle w:val="Tableheadingrow"/>
        <w:keepLines/>
        <w:rPr>
          <w:lang w:val="en-AU"/>
        </w:rPr>
      </w:pPr>
      <w:r w:rsidRPr="00E04E16">
        <w:rPr>
          <w:lang w:val="en-AU"/>
        </w:rPr>
        <w:t xml:space="preserve">Table </w:t>
      </w:r>
      <w:r w:rsidR="00293567" w:rsidRPr="00E04E16">
        <w:rPr>
          <w:lang w:val="en-AU"/>
        </w:rPr>
        <w:t>12</w:t>
      </w:r>
      <w:r w:rsidRPr="00E04E16">
        <w:rPr>
          <w:lang w:val="en-AU"/>
        </w:rPr>
        <w:t>: Key components of the economic evaluation</w:t>
      </w:r>
    </w:p>
    <w:tbl>
      <w:tblPr>
        <w:tblW w:w="5000" w:type="pct"/>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546"/>
        <w:gridCol w:w="7471"/>
      </w:tblGrid>
      <w:tr w:rsidR="000F5DDB" w:rsidRPr="00E04E16" w:rsidTr="00D46224">
        <w:trPr>
          <w:tblHeader/>
        </w:trPr>
        <w:tc>
          <w:tcPr>
            <w:tcW w:w="857" w:type="pct"/>
            <w:shd w:val="clear" w:color="auto" w:fill="auto"/>
          </w:tcPr>
          <w:p w:rsidR="000F5DDB" w:rsidRPr="00E04E16" w:rsidRDefault="000F5DDB" w:rsidP="00331A38">
            <w:pPr>
              <w:pStyle w:val="TableText"/>
              <w:keepLines/>
              <w:rPr>
                <w:b/>
              </w:rPr>
            </w:pPr>
            <w:r w:rsidRPr="00E04E16">
              <w:rPr>
                <w:b/>
              </w:rPr>
              <w:t xml:space="preserve">Component </w:t>
            </w:r>
          </w:p>
        </w:tc>
        <w:tc>
          <w:tcPr>
            <w:tcW w:w="4143" w:type="pct"/>
          </w:tcPr>
          <w:p w:rsidR="000F5DDB" w:rsidRPr="00E04E16" w:rsidRDefault="008C1D7A" w:rsidP="00331A38">
            <w:pPr>
              <w:pStyle w:val="TableText"/>
              <w:keepLines/>
              <w:jc w:val="center"/>
              <w:rPr>
                <w:b/>
              </w:rPr>
            </w:pPr>
            <w:r w:rsidRPr="00E04E16">
              <w:rPr>
                <w:b/>
              </w:rPr>
              <w:t>Description</w:t>
            </w:r>
          </w:p>
        </w:tc>
      </w:tr>
      <w:tr w:rsidR="000F5DDB" w:rsidRPr="00E04E16" w:rsidTr="00D46224">
        <w:tc>
          <w:tcPr>
            <w:tcW w:w="857" w:type="pct"/>
            <w:shd w:val="clear" w:color="auto" w:fill="auto"/>
            <w:vAlign w:val="center"/>
          </w:tcPr>
          <w:p w:rsidR="000F5DDB" w:rsidRPr="00E04E16" w:rsidRDefault="00D710C7" w:rsidP="00331A38">
            <w:pPr>
              <w:pStyle w:val="TableText"/>
              <w:keepLines/>
            </w:pPr>
            <w:r w:rsidRPr="00E04E16">
              <w:t>Treatments</w:t>
            </w:r>
          </w:p>
        </w:tc>
        <w:tc>
          <w:tcPr>
            <w:tcW w:w="4143" w:type="pct"/>
          </w:tcPr>
          <w:p w:rsidR="000F5DDB" w:rsidRPr="00E04E16" w:rsidRDefault="00D710C7" w:rsidP="00331A38">
            <w:pPr>
              <w:pStyle w:val="TableText"/>
              <w:keepLines/>
            </w:pPr>
            <w:r w:rsidRPr="00E04E16">
              <w:t>Patiromer</w:t>
            </w:r>
            <w:r w:rsidR="00646511" w:rsidRPr="00E04E16">
              <w:t>,</w:t>
            </w:r>
            <w:r w:rsidRPr="00E04E16">
              <w:t xml:space="preserve"> placebo/</w:t>
            </w:r>
            <w:r w:rsidR="00276E8A" w:rsidRPr="00E04E16">
              <w:t>standard care</w:t>
            </w:r>
          </w:p>
        </w:tc>
      </w:tr>
      <w:tr w:rsidR="00646511" w:rsidRPr="00E04E16" w:rsidTr="00D46224">
        <w:tc>
          <w:tcPr>
            <w:tcW w:w="857" w:type="pct"/>
            <w:shd w:val="clear" w:color="auto" w:fill="auto"/>
            <w:vAlign w:val="center"/>
          </w:tcPr>
          <w:p w:rsidR="00646511" w:rsidRPr="00E04E16" w:rsidRDefault="00646511" w:rsidP="00331A38">
            <w:pPr>
              <w:pStyle w:val="TableText"/>
              <w:keepLines/>
            </w:pPr>
            <w:r w:rsidRPr="00E04E16">
              <w:t>Time horizon</w:t>
            </w:r>
          </w:p>
        </w:tc>
        <w:tc>
          <w:tcPr>
            <w:tcW w:w="4143" w:type="pct"/>
          </w:tcPr>
          <w:p w:rsidR="00646511" w:rsidRPr="00E04E16" w:rsidRDefault="00646511" w:rsidP="00331A38">
            <w:pPr>
              <w:pStyle w:val="TableText"/>
              <w:keepLines/>
            </w:pPr>
            <w:r w:rsidRPr="00E04E16">
              <w:t>35 year</w:t>
            </w:r>
            <w:r w:rsidR="00856DE8" w:rsidRPr="00E04E16">
              <w:t>s</w:t>
            </w:r>
            <w:r w:rsidRPr="00E04E16">
              <w:t xml:space="preserve"> (compared to 8 weeks of OPAL-HK part B)</w:t>
            </w:r>
            <w:r w:rsidR="00B35138" w:rsidRPr="00E04E16">
              <w:t xml:space="preserve">. The ESC noted that the data supporting long-term usage were very limited </w:t>
            </w:r>
            <w:r w:rsidR="00E11441" w:rsidRPr="00E04E16">
              <w:t>(</w:t>
            </w:r>
            <w:r w:rsidR="00086406" w:rsidRPr="00E04E16">
              <w:t xml:space="preserve">the AMETHYST study reported outcomes to 52 weeks), and </w:t>
            </w:r>
            <w:r w:rsidR="00B35138" w:rsidRPr="00E04E16">
              <w:t>considered that the</w:t>
            </w:r>
            <w:r w:rsidR="00086406" w:rsidRPr="00E04E16">
              <w:t xml:space="preserve"> 35-year</w:t>
            </w:r>
            <w:r w:rsidR="00B35138" w:rsidRPr="00E04E16">
              <w:t xml:space="preserve"> time horizon increased the uncertainty of the model</w:t>
            </w:r>
            <w:r w:rsidR="00086406" w:rsidRPr="00E04E16">
              <w:t>.</w:t>
            </w:r>
            <w:r w:rsidR="00B35138" w:rsidRPr="00E04E16">
              <w:t xml:space="preserve"> </w:t>
            </w:r>
          </w:p>
        </w:tc>
      </w:tr>
      <w:tr w:rsidR="00646511" w:rsidRPr="00E04E16" w:rsidTr="00D46224">
        <w:tc>
          <w:tcPr>
            <w:tcW w:w="857" w:type="pct"/>
            <w:shd w:val="clear" w:color="auto" w:fill="auto"/>
            <w:vAlign w:val="center"/>
          </w:tcPr>
          <w:p w:rsidR="00646511" w:rsidRPr="00E04E16" w:rsidRDefault="00646511" w:rsidP="00FD0396">
            <w:pPr>
              <w:pStyle w:val="TableText"/>
              <w:keepNext w:val="0"/>
              <w:rPr>
                <w:rFonts w:ascii="Times" w:eastAsia="Times New Roman" w:hAnsi="Times" w:cs="Times New Roman"/>
                <w:szCs w:val="20"/>
              </w:rPr>
            </w:pPr>
            <w:r w:rsidRPr="00E04E16">
              <w:t>Outcomes</w:t>
            </w:r>
          </w:p>
        </w:tc>
        <w:tc>
          <w:tcPr>
            <w:tcW w:w="4143" w:type="pct"/>
          </w:tcPr>
          <w:p w:rsidR="00646511" w:rsidRPr="00E04E16" w:rsidRDefault="00646511" w:rsidP="00FD0396">
            <w:pPr>
              <w:pStyle w:val="TableText"/>
              <w:keepNext w:val="0"/>
            </w:pPr>
            <w:r w:rsidRPr="00E04E16">
              <w:t>Quality-adjusted life years</w:t>
            </w:r>
          </w:p>
        </w:tc>
      </w:tr>
      <w:tr w:rsidR="00646511" w:rsidRPr="00E04E16" w:rsidTr="00D46224">
        <w:tc>
          <w:tcPr>
            <w:tcW w:w="857" w:type="pct"/>
            <w:shd w:val="clear" w:color="auto" w:fill="auto"/>
            <w:vAlign w:val="center"/>
          </w:tcPr>
          <w:p w:rsidR="00646511" w:rsidRPr="00E04E16" w:rsidRDefault="00646511" w:rsidP="00FD0396">
            <w:pPr>
              <w:pStyle w:val="TableText"/>
              <w:keepNext w:val="0"/>
              <w:rPr>
                <w:rFonts w:ascii="Times" w:eastAsia="Times New Roman" w:hAnsi="Times" w:cs="Times New Roman"/>
                <w:szCs w:val="20"/>
              </w:rPr>
            </w:pPr>
            <w:r w:rsidRPr="00E04E16">
              <w:lastRenderedPageBreak/>
              <w:t>Methods used to generate results</w:t>
            </w:r>
          </w:p>
        </w:tc>
        <w:tc>
          <w:tcPr>
            <w:tcW w:w="4143" w:type="pct"/>
          </w:tcPr>
          <w:p w:rsidR="00646511" w:rsidRPr="00E04E16" w:rsidRDefault="00646511" w:rsidP="00FD0396">
            <w:pPr>
              <w:pStyle w:val="TableText"/>
              <w:keepNext w:val="0"/>
            </w:pPr>
            <w:r w:rsidRPr="00E04E16">
              <w:t>Markov cohort model</w:t>
            </w:r>
          </w:p>
        </w:tc>
      </w:tr>
      <w:tr w:rsidR="00646511" w:rsidRPr="00E04E16" w:rsidTr="00D46224">
        <w:tc>
          <w:tcPr>
            <w:tcW w:w="857" w:type="pct"/>
            <w:shd w:val="clear" w:color="auto" w:fill="auto"/>
            <w:vAlign w:val="center"/>
          </w:tcPr>
          <w:p w:rsidR="00646511" w:rsidRPr="00E04E16" w:rsidRDefault="00646511" w:rsidP="00FD0396">
            <w:pPr>
              <w:pStyle w:val="TableText"/>
              <w:keepNext w:val="0"/>
              <w:rPr>
                <w:rFonts w:ascii="Times" w:eastAsia="Times New Roman" w:hAnsi="Times" w:cs="Times New Roman"/>
                <w:szCs w:val="20"/>
              </w:rPr>
            </w:pPr>
            <w:r w:rsidRPr="00E04E16">
              <w:t>Health states</w:t>
            </w:r>
          </w:p>
        </w:tc>
        <w:tc>
          <w:tcPr>
            <w:tcW w:w="4143" w:type="pct"/>
          </w:tcPr>
          <w:p w:rsidR="00646511" w:rsidRPr="00E04E16" w:rsidRDefault="00646511" w:rsidP="00FD0396">
            <w:pPr>
              <w:pStyle w:val="TableText"/>
              <w:keepNext w:val="0"/>
            </w:pPr>
            <w:r w:rsidRPr="00E04E16">
              <w:t>26 alive health states comprised of various combinations of potassium level (determines RAASi treatment status), CKD stage, and CV disease history; and one absorbing death state</w:t>
            </w:r>
          </w:p>
        </w:tc>
      </w:tr>
      <w:tr w:rsidR="00646511" w:rsidRPr="00E04E16" w:rsidTr="00D46224">
        <w:tc>
          <w:tcPr>
            <w:tcW w:w="857" w:type="pct"/>
            <w:shd w:val="clear" w:color="auto" w:fill="auto"/>
            <w:vAlign w:val="center"/>
          </w:tcPr>
          <w:p w:rsidR="00646511" w:rsidRPr="00E04E16" w:rsidRDefault="00646511" w:rsidP="00FD0396">
            <w:pPr>
              <w:pStyle w:val="TableText"/>
              <w:keepNext w:val="0"/>
              <w:rPr>
                <w:rFonts w:ascii="Times" w:eastAsia="Times New Roman" w:hAnsi="Times" w:cs="Times New Roman"/>
                <w:szCs w:val="20"/>
              </w:rPr>
            </w:pPr>
            <w:r w:rsidRPr="00E04E16">
              <w:t>Cycle length</w:t>
            </w:r>
          </w:p>
        </w:tc>
        <w:tc>
          <w:tcPr>
            <w:tcW w:w="4143" w:type="pct"/>
          </w:tcPr>
          <w:p w:rsidR="00646511" w:rsidRPr="00E04E16" w:rsidRDefault="00646511" w:rsidP="00FD0396">
            <w:pPr>
              <w:pStyle w:val="TableText"/>
              <w:keepNext w:val="0"/>
            </w:pPr>
            <w:r w:rsidRPr="00E04E16">
              <w:t>1 month (no half-cycle correction)</w:t>
            </w:r>
          </w:p>
        </w:tc>
      </w:tr>
      <w:tr w:rsidR="00646511" w:rsidRPr="00E04E16" w:rsidTr="00D46224">
        <w:tc>
          <w:tcPr>
            <w:tcW w:w="857" w:type="pct"/>
            <w:shd w:val="clear" w:color="auto" w:fill="auto"/>
            <w:vAlign w:val="center"/>
          </w:tcPr>
          <w:p w:rsidR="00646511" w:rsidRPr="00E04E16" w:rsidRDefault="00646511" w:rsidP="00FD0396">
            <w:pPr>
              <w:pStyle w:val="TableText"/>
              <w:keepNext w:val="0"/>
              <w:rPr>
                <w:rFonts w:ascii="Times" w:eastAsia="Times New Roman" w:hAnsi="Times" w:cs="Times New Roman"/>
                <w:szCs w:val="20"/>
              </w:rPr>
            </w:pPr>
            <w:r w:rsidRPr="00E04E16">
              <w:t>Transition probabilities</w:t>
            </w:r>
          </w:p>
        </w:tc>
        <w:tc>
          <w:tcPr>
            <w:tcW w:w="4143" w:type="pct"/>
          </w:tcPr>
          <w:p w:rsidR="00646511" w:rsidRPr="00E04E16" w:rsidRDefault="00646511" w:rsidP="00FD0396">
            <w:pPr>
              <w:jc w:val="left"/>
              <w:rPr>
                <w:rFonts w:ascii="Arial Narrow" w:hAnsi="Arial Narrow"/>
                <w:sz w:val="20"/>
                <w:szCs w:val="20"/>
              </w:rPr>
            </w:pPr>
            <w:r w:rsidRPr="00E04E16">
              <w:rPr>
                <w:rFonts w:ascii="Arial Narrow" w:hAnsi="Arial Narrow"/>
                <w:sz w:val="20"/>
                <w:szCs w:val="20"/>
              </w:rPr>
              <w:t>- Initial and subsequent transitions between serum potassium categories w</w:t>
            </w:r>
            <w:r w:rsidR="00856DE8" w:rsidRPr="00E04E16">
              <w:rPr>
                <w:rFonts w:ascii="Arial Narrow" w:hAnsi="Arial Narrow"/>
                <w:sz w:val="20"/>
                <w:szCs w:val="20"/>
              </w:rPr>
              <w:t>ere based on post</w:t>
            </w:r>
            <w:r w:rsidR="005625EB" w:rsidRPr="00E04E16">
              <w:rPr>
                <w:rFonts w:ascii="Arial Narrow" w:hAnsi="Arial Narrow"/>
                <w:sz w:val="20"/>
                <w:szCs w:val="20"/>
              </w:rPr>
              <w:t>-</w:t>
            </w:r>
            <w:r w:rsidR="00856DE8" w:rsidRPr="00E04E16">
              <w:rPr>
                <w:rFonts w:ascii="Arial Narrow" w:hAnsi="Arial Narrow"/>
                <w:sz w:val="20"/>
                <w:szCs w:val="20"/>
              </w:rPr>
              <w:t>hoc subgroup analyses of</w:t>
            </w:r>
            <w:r w:rsidRPr="00E04E16">
              <w:rPr>
                <w:rFonts w:ascii="Arial Narrow" w:hAnsi="Arial Narrow"/>
                <w:sz w:val="20"/>
                <w:szCs w:val="20"/>
              </w:rPr>
              <w:t xml:space="preserve"> OPAL</w:t>
            </w:r>
            <w:r w:rsidR="00856DE8" w:rsidRPr="00E04E16">
              <w:rPr>
                <w:rFonts w:ascii="Arial Narrow" w:hAnsi="Arial Narrow"/>
                <w:sz w:val="20"/>
                <w:szCs w:val="20"/>
              </w:rPr>
              <w:t>-HK</w:t>
            </w:r>
            <w:r w:rsidRPr="00E04E16">
              <w:rPr>
                <w:rFonts w:ascii="Arial Narrow" w:hAnsi="Arial Narrow"/>
                <w:sz w:val="20"/>
                <w:szCs w:val="20"/>
              </w:rPr>
              <w:t xml:space="preserve"> </w:t>
            </w:r>
            <w:r w:rsidR="00856DE8" w:rsidRPr="00E04E16">
              <w:rPr>
                <w:rFonts w:ascii="Arial Narrow" w:hAnsi="Arial Narrow"/>
                <w:sz w:val="20"/>
                <w:szCs w:val="20"/>
              </w:rPr>
              <w:t xml:space="preserve">(for the patiromer arm) </w:t>
            </w:r>
            <w:r w:rsidRPr="00E04E16">
              <w:rPr>
                <w:rFonts w:ascii="Arial Narrow" w:hAnsi="Arial Narrow"/>
                <w:sz w:val="20"/>
                <w:szCs w:val="20"/>
              </w:rPr>
              <w:t xml:space="preserve">and </w:t>
            </w:r>
            <w:r w:rsidR="00856DE8" w:rsidRPr="00E04E16">
              <w:rPr>
                <w:rFonts w:ascii="Arial Narrow" w:hAnsi="Arial Narrow"/>
                <w:sz w:val="20"/>
                <w:szCs w:val="20"/>
              </w:rPr>
              <w:t xml:space="preserve">a </w:t>
            </w:r>
            <w:r w:rsidRPr="00E04E16">
              <w:rPr>
                <w:rFonts w:ascii="Arial Narrow" w:hAnsi="Arial Narrow"/>
                <w:sz w:val="20"/>
                <w:szCs w:val="20"/>
              </w:rPr>
              <w:t>UK CPRD analysis</w:t>
            </w:r>
            <w:r w:rsidR="00856DE8" w:rsidRPr="00E04E16">
              <w:rPr>
                <w:rFonts w:ascii="Arial Narrow" w:hAnsi="Arial Narrow"/>
                <w:sz w:val="20"/>
                <w:szCs w:val="20"/>
              </w:rPr>
              <w:t xml:space="preserve"> (for the </w:t>
            </w:r>
            <w:r w:rsidR="00276E8A" w:rsidRPr="00E04E16">
              <w:rPr>
                <w:rFonts w:ascii="Arial Narrow" w:hAnsi="Arial Narrow"/>
                <w:sz w:val="20"/>
                <w:szCs w:val="20"/>
              </w:rPr>
              <w:t>standard care</w:t>
            </w:r>
            <w:r w:rsidR="00856DE8" w:rsidRPr="00E04E16">
              <w:rPr>
                <w:rFonts w:ascii="Arial Narrow" w:hAnsi="Arial Narrow"/>
                <w:sz w:val="20"/>
                <w:szCs w:val="20"/>
              </w:rPr>
              <w:t xml:space="preserve"> arm),</w:t>
            </w:r>
            <w:r w:rsidRPr="00E04E16">
              <w:rPr>
                <w:rFonts w:ascii="Arial Narrow" w:hAnsi="Arial Narrow"/>
                <w:sz w:val="20"/>
                <w:szCs w:val="20"/>
              </w:rPr>
              <w:t xml:space="preserve"> with additional assumptions. No additional mortality risk associated with hyperkalaemia</w:t>
            </w:r>
            <w:r w:rsidR="00856DE8" w:rsidRPr="00E04E16">
              <w:rPr>
                <w:rFonts w:ascii="Arial Narrow" w:hAnsi="Arial Narrow"/>
                <w:sz w:val="20"/>
                <w:szCs w:val="20"/>
              </w:rPr>
              <w:t xml:space="preserve"> was assumed</w:t>
            </w:r>
            <w:r w:rsidRPr="00E04E16">
              <w:rPr>
                <w:rFonts w:ascii="Arial Narrow" w:hAnsi="Arial Narrow"/>
                <w:sz w:val="20"/>
                <w:szCs w:val="20"/>
              </w:rPr>
              <w:t>.</w:t>
            </w:r>
          </w:p>
          <w:p w:rsidR="00646511" w:rsidRPr="00E04E16" w:rsidRDefault="00646511" w:rsidP="00FD0396">
            <w:pPr>
              <w:jc w:val="left"/>
              <w:rPr>
                <w:rFonts w:ascii="Arial Narrow" w:hAnsi="Arial Narrow"/>
                <w:sz w:val="20"/>
                <w:szCs w:val="20"/>
              </w:rPr>
            </w:pPr>
            <w:r w:rsidRPr="00E04E16">
              <w:rPr>
                <w:rFonts w:ascii="Arial Narrow" w:hAnsi="Arial Narrow"/>
                <w:sz w:val="20"/>
                <w:szCs w:val="20"/>
              </w:rPr>
              <w:t>- RAASi dose intensity was assumed, based on serum potassium levels (full RAASi: &lt;5.5; reduced RAASi: 5.5-6.0; discontinued RAASi: &gt;6.0 mmol/L). The treatment effects of RAASi therapies versus placebo for CV events, CV mortality and CKD progression were based on Xie et al (2016) network meta-analysis.</w:t>
            </w:r>
            <w:r w:rsidR="004F2AA4" w:rsidRPr="00E04E16">
              <w:rPr>
                <w:rFonts w:ascii="Arial Narrow" w:hAnsi="Arial Narrow"/>
                <w:sz w:val="20"/>
                <w:szCs w:val="20"/>
              </w:rPr>
              <w:t xml:space="preserve"> The relative risk for the treatment effect of RAASi therapies assumed in the model was: 0.80 for CV events; 0.95 for CV mortality; and 0.64 for CKD progression.</w:t>
            </w:r>
          </w:p>
          <w:p w:rsidR="00646511" w:rsidRPr="00E04E16" w:rsidRDefault="00646511" w:rsidP="00FD0396">
            <w:pPr>
              <w:jc w:val="left"/>
              <w:rPr>
                <w:rFonts w:ascii="Arial Narrow" w:hAnsi="Arial Narrow"/>
                <w:bCs/>
                <w:sz w:val="20"/>
                <w:szCs w:val="20"/>
              </w:rPr>
            </w:pPr>
            <w:r w:rsidRPr="00E04E16">
              <w:rPr>
                <w:rFonts w:ascii="Arial Narrow" w:hAnsi="Arial Narrow"/>
                <w:bCs/>
                <w:sz w:val="20"/>
                <w:szCs w:val="20"/>
              </w:rPr>
              <w:t>- Risk of chronic kidney disease progression was informed by data from the Xie et al (2016) network meta-analysis with additional assumptions. Mortality risk informed by Australian life tables and published estimates (Eriksen &amp; Ingebretsen 2006, Sud et al 2016, Steenkamp et al 2016)</w:t>
            </w:r>
          </w:p>
          <w:p w:rsidR="00646511" w:rsidRPr="00E04E16" w:rsidRDefault="00646511" w:rsidP="00FD0396">
            <w:pPr>
              <w:jc w:val="left"/>
              <w:rPr>
                <w:rFonts w:ascii="Arial Narrow" w:hAnsi="Arial Narrow"/>
                <w:sz w:val="20"/>
                <w:szCs w:val="20"/>
              </w:rPr>
            </w:pPr>
            <w:r w:rsidRPr="00E04E16">
              <w:rPr>
                <w:rFonts w:ascii="Arial Narrow" w:hAnsi="Arial Narrow"/>
                <w:sz w:val="20"/>
                <w:szCs w:val="20"/>
              </w:rPr>
              <w:t>- Risk of cardiovascular events was informed by data from the Xie et al (2016) network meta-analysis with additional assumptions. Mortality risk informed from same data source</w:t>
            </w:r>
            <w:r w:rsidR="008528A4" w:rsidRPr="00E04E16">
              <w:rPr>
                <w:rFonts w:ascii="Arial Narrow" w:hAnsi="Arial Narrow"/>
                <w:sz w:val="20"/>
                <w:szCs w:val="20"/>
              </w:rPr>
              <w:t>. The ESC noted that the Xie e</w:t>
            </w:r>
            <w:r w:rsidR="00111B9F" w:rsidRPr="00E04E16">
              <w:rPr>
                <w:rFonts w:ascii="Arial Narrow" w:hAnsi="Arial Narrow"/>
                <w:sz w:val="20"/>
                <w:szCs w:val="20"/>
              </w:rPr>
              <w:t>t</w:t>
            </w:r>
            <w:r w:rsidR="008528A4" w:rsidRPr="00E04E16">
              <w:rPr>
                <w:rFonts w:ascii="Arial Narrow" w:hAnsi="Arial Narrow"/>
                <w:sz w:val="20"/>
                <w:szCs w:val="20"/>
              </w:rPr>
              <w:t xml:space="preserve"> al meta-analysis was informed by studies in which RAASi therapy was used long-term.</w:t>
            </w:r>
          </w:p>
          <w:p w:rsidR="00646511" w:rsidRPr="00E04E16" w:rsidRDefault="00646511" w:rsidP="00FD0396">
            <w:pPr>
              <w:jc w:val="left"/>
              <w:rPr>
                <w:rFonts w:ascii="Arial Narrow" w:hAnsi="Arial Narrow"/>
                <w:sz w:val="20"/>
                <w:szCs w:val="20"/>
              </w:rPr>
            </w:pPr>
            <w:r w:rsidRPr="00E04E16">
              <w:rPr>
                <w:rFonts w:ascii="Arial Narrow" w:hAnsi="Arial Narrow"/>
                <w:sz w:val="20"/>
                <w:szCs w:val="20"/>
              </w:rPr>
              <w:t xml:space="preserve">- Patiromer treatment discontinuation based on real-world patiromer treatment continuation in the US and an assumed maximum treatment duration of one year. No additional adjustment for compliance. </w:t>
            </w:r>
          </w:p>
        </w:tc>
      </w:tr>
      <w:tr w:rsidR="00646511" w:rsidRPr="00E04E16" w:rsidTr="00D46224">
        <w:tc>
          <w:tcPr>
            <w:tcW w:w="857" w:type="pct"/>
            <w:shd w:val="clear" w:color="auto" w:fill="auto"/>
            <w:vAlign w:val="center"/>
          </w:tcPr>
          <w:p w:rsidR="00646511" w:rsidRPr="00E04E16" w:rsidRDefault="00646511" w:rsidP="00FD0396">
            <w:pPr>
              <w:pStyle w:val="TableText"/>
              <w:keepNext w:val="0"/>
            </w:pPr>
            <w:r w:rsidRPr="00E04E16">
              <w:t>Costs</w:t>
            </w:r>
          </w:p>
        </w:tc>
        <w:tc>
          <w:tcPr>
            <w:tcW w:w="4143" w:type="pct"/>
          </w:tcPr>
          <w:p w:rsidR="00646511" w:rsidRPr="00E04E16" w:rsidRDefault="00646511" w:rsidP="00FD0396">
            <w:pPr>
              <w:jc w:val="left"/>
              <w:rPr>
                <w:rFonts w:ascii="Arial Narrow" w:hAnsi="Arial Narrow"/>
                <w:sz w:val="20"/>
                <w:szCs w:val="20"/>
              </w:rPr>
            </w:pPr>
            <w:r w:rsidRPr="00E04E16">
              <w:rPr>
                <w:rFonts w:ascii="Arial Narrow" w:hAnsi="Arial Narrow"/>
                <w:sz w:val="20"/>
                <w:szCs w:val="20"/>
              </w:rPr>
              <w:t>- Patiromer cost ($</w:t>
            </w:r>
            <w:r w:rsidR="004E288B">
              <w:rPr>
                <w:rFonts w:ascii="Arial Narrow" w:hAnsi="Arial Narrow"/>
                <w:noProof/>
                <w:color w:val="000000"/>
                <w:sz w:val="20"/>
                <w:szCs w:val="20"/>
                <w:highlight w:val="black"/>
              </w:rPr>
              <w:t>'''''''''''''''</w:t>
            </w:r>
            <w:r w:rsidRPr="00E04E16">
              <w:rPr>
                <w:rFonts w:ascii="Arial Narrow" w:hAnsi="Arial Narrow"/>
                <w:sz w:val="20"/>
                <w:szCs w:val="20"/>
              </w:rPr>
              <w:t xml:space="preserve">) based on an assumed daily dose of 8.4 or 16.8 g (DPMQ </w:t>
            </w:r>
            <w:r w:rsidR="00856DE8" w:rsidRPr="00E04E16">
              <w:rPr>
                <w:rFonts w:ascii="Arial Narrow" w:hAnsi="Arial Narrow"/>
                <w:sz w:val="20"/>
                <w:szCs w:val="20"/>
              </w:rPr>
              <w:t>$</w:t>
            </w:r>
            <w:r w:rsidR="004E288B">
              <w:rPr>
                <w:rFonts w:ascii="Arial Narrow" w:hAnsi="Arial Narrow"/>
                <w:noProof/>
                <w:color w:val="000000"/>
                <w:sz w:val="20"/>
                <w:szCs w:val="20"/>
                <w:highlight w:val="black"/>
              </w:rPr>
              <w:t>'''''''''''''''</w:t>
            </w:r>
            <w:r w:rsidRPr="00E04E16">
              <w:rPr>
                <w:rFonts w:ascii="Arial Narrow" w:hAnsi="Arial Narrow"/>
                <w:sz w:val="20"/>
                <w:szCs w:val="20"/>
              </w:rPr>
              <w:t xml:space="preserve"> for 30 days adjusted for monthly cycle length); $</w:t>
            </w:r>
            <w:r w:rsidR="004E288B">
              <w:rPr>
                <w:rFonts w:ascii="Arial Narrow" w:hAnsi="Arial Narrow"/>
                <w:noProof/>
                <w:color w:val="000000"/>
                <w:sz w:val="20"/>
                <w:szCs w:val="20"/>
                <w:highlight w:val="black"/>
              </w:rPr>
              <w:t>'''''''''''''''''</w:t>
            </w:r>
            <w:r w:rsidRPr="00E04E16">
              <w:rPr>
                <w:rFonts w:ascii="Arial Narrow" w:hAnsi="Arial Narrow"/>
                <w:sz w:val="20"/>
                <w:szCs w:val="20"/>
              </w:rPr>
              <w:t xml:space="preserve"> using updated July 1 fees and mark-ups (DPMQ $</w:t>
            </w:r>
            <w:r w:rsidR="004E288B">
              <w:rPr>
                <w:rFonts w:ascii="Arial Narrow" w:hAnsi="Arial Narrow"/>
                <w:noProof/>
                <w:color w:val="000000"/>
                <w:sz w:val="20"/>
                <w:szCs w:val="20"/>
                <w:highlight w:val="black"/>
              </w:rPr>
              <w:t>'''''''''''''''</w:t>
            </w:r>
            <w:r w:rsidRPr="00E04E16">
              <w:rPr>
                <w:rFonts w:ascii="Arial Narrow" w:hAnsi="Arial Narrow"/>
                <w:sz w:val="20"/>
                <w:szCs w:val="20"/>
              </w:rPr>
              <w:t>).</w:t>
            </w:r>
          </w:p>
          <w:p w:rsidR="00856DE8" w:rsidRPr="00E04E16" w:rsidRDefault="00856DE8" w:rsidP="00FD0396">
            <w:pPr>
              <w:jc w:val="left"/>
              <w:rPr>
                <w:rFonts w:ascii="Arial Narrow" w:hAnsi="Arial Narrow"/>
                <w:sz w:val="20"/>
                <w:szCs w:val="20"/>
              </w:rPr>
            </w:pPr>
            <w:r w:rsidRPr="00E04E16">
              <w:rPr>
                <w:rFonts w:ascii="Arial Narrow" w:hAnsi="Arial Narrow"/>
                <w:sz w:val="20"/>
                <w:szCs w:val="20"/>
              </w:rPr>
              <w:t>- RAASi cost ($40.96) based on DPMQs of perindopril 10 mg, irbesartan 300 mg, spironolactone 100 mg, adjusted for monthly cycle length.</w:t>
            </w:r>
          </w:p>
          <w:p w:rsidR="00646511" w:rsidRPr="00E04E16" w:rsidRDefault="00646511" w:rsidP="00FD0396">
            <w:pPr>
              <w:jc w:val="left"/>
              <w:rPr>
                <w:rFonts w:ascii="Arial Narrow" w:hAnsi="Arial Narrow"/>
                <w:sz w:val="20"/>
                <w:szCs w:val="20"/>
              </w:rPr>
            </w:pPr>
            <w:r w:rsidRPr="00E04E16">
              <w:rPr>
                <w:rFonts w:ascii="Arial Narrow" w:hAnsi="Arial Narrow"/>
                <w:sz w:val="20"/>
                <w:szCs w:val="20"/>
              </w:rPr>
              <w:t>- Cost of CKD health states (CKD 3: $183.52; CKD 4: $183.52; CKD 5: $1,067.18) based on AusDiab study (Wyld 2015), inflated to 2020 prices</w:t>
            </w:r>
          </w:p>
          <w:p w:rsidR="00646511" w:rsidRPr="00E04E16" w:rsidRDefault="00646511" w:rsidP="00FD0396">
            <w:pPr>
              <w:jc w:val="left"/>
              <w:rPr>
                <w:rFonts w:ascii="Arial Narrow" w:eastAsiaTheme="minorHAnsi" w:hAnsi="Arial Narrow" w:cstheme="minorBidi"/>
                <w:sz w:val="20"/>
              </w:rPr>
            </w:pPr>
            <w:r w:rsidRPr="00E04E16">
              <w:rPr>
                <w:rFonts w:ascii="Arial Narrow" w:hAnsi="Arial Narrow"/>
                <w:sz w:val="20"/>
                <w:szCs w:val="20"/>
              </w:rPr>
              <w:t>- Cost of CV events ($8,837) based on w</w:t>
            </w:r>
            <w:r w:rsidRPr="00E04E16">
              <w:rPr>
                <w:rFonts w:ascii="Arial Narrow" w:eastAsiaTheme="minorHAnsi" w:hAnsi="Arial Narrow" w:cstheme="minorBidi"/>
                <w:sz w:val="20"/>
              </w:rPr>
              <w:t>eighted average hospitalisation cost based on AR-DRGs and separations from Round 21 (2016-17) for</w:t>
            </w:r>
            <w:r w:rsidR="00856DE8" w:rsidRPr="00E04E16">
              <w:rPr>
                <w:rFonts w:ascii="Arial Narrow" w:eastAsiaTheme="minorHAnsi" w:hAnsi="Arial Narrow" w:cstheme="minorBidi"/>
                <w:sz w:val="20"/>
              </w:rPr>
              <w:t xml:space="preserve"> MI, and</w:t>
            </w:r>
            <w:r w:rsidRPr="00E04E16">
              <w:rPr>
                <w:rFonts w:ascii="Arial Narrow" w:eastAsiaTheme="minorHAnsi" w:hAnsi="Arial Narrow" w:cstheme="minorBidi"/>
                <w:sz w:val="20"/>
              </w:rPr>
              <w:t xml:space="preserve"> stroke and oth</w:t>
            </w:r>
            <w:r w:rsidR="00856DE8" w:rsidRPr="00E04E16">
              <w:rPr>
                <w:rFonts w:ascii="Arial Narrow" w:eastAsiaTheme="minorHAnsi" w:hAnsi="Arial Narrow" w:cstheme="minorBidi"/>
                <w:sz w:val="20"/>
              </w:rPr>
              <w:t>er cerebrovascular disorders</w:t>
            </w:r>
            <w:r w:rsidRPr="00E04E16">
              <w:rPr>
                <w:rFonts w:ascii="Arial Narrow" w:eastAsiaTheme="minorHAnsi" w:hAnsi="Arial Narrow" w:cstheme="minorBidi"/>
                <w:sz w:val="20"/>
              </w:rPr>
              <w:t>.</w:t>
            </w:r>
          </w:p>
          <w:p w:rsidR="00646511" w:rsidRPr="00E04E16" w:rsidRDefault="00646511" w:rsidP="00FD0396">
            <w:pPr>
              <w:jc w:val="left"/>
              <w:rPr>
                <w:rFonts w:ascii="Arial Narrow" w:eastAsiaTheme="minorHAnsi" w:hAnsi="Arial Narrow" w:cstheme="minorBidi"/>
                <w:sz w:val="20"/>
              </w:rPr>
            </w:pPr>
            <w:r w:rsidRPr="00E04E16">
              <w:rPr>
                <w:rFonts w:ascii="Arial Narrow" w:eastAsiaTheme="minorHAnsi" w:hAnsi="Arial Narrow" w:cstheme="minorBidi"/>
                <w:sz w:val="20"/>
              </w:rPr>
              <w:t>- Cost of CV health state ($325.29), based on expenditure on CV disease in Australia of $10.45 billion (AIHW 2019), divided by number of patients with CV disease (ABS Health Survey 2014-15); and adjusted for proportion of expenditure accounted for in CV event state due to hospitalisation (58%)</w:t>
            </w:r>
          </w:p>
          <w:p w:rsidR="00646511" w:rsidRPr="00E04E16" w:rsidRDefault="00646511" w:rsidP="00FD0396">
            <w:pPr>
              <w:pStyle w:val="TableText"/>
              <w:keepNext w:val="0"/>
              <w:rPr>
                <w:szCs w:val="20"/>
              </w:rPr>
            </w:pPr>
            <w:r w:rsidRPr="00E04E16">
              <w:rPr>
                <w:rFonts w:eastAsiaTheme="minorHAnsi" w:cstheme="minorBidi"/>
              </w:rPr>
              <w:t xml:space="preserve">- Cost of hyperkalaemia ($699) based on </w:t>
            </w:r>
            <w:r w:rsidRPr="00E04E16">
              <w:rPr>
                <w:szCs w:val="20"/>
              </w:rPr>
              <w:t>the average cost for all emergency department presentations based on Round 21 NHCDC (2016-17), inflated to current prices; applied to proportions of patients hospitalised by serum potassium level from a Danish study (Thomsen 2018)</w:t>
            </w:r>
          </w:p>
        </w:tc>
      </w:tr>
      <w:tr w:rsidR="00646511" w:rsidRPr="00E04E16" w:rsidTr="00D46224">
        <w:tc>
          <w:tcPr>
            <w:tcW w:w="857" w:type="pct"/>
            <w:shd w:val="clear" w:color="auto" w:fill="auto"/>
            <w:vAlign w:val="center"/>
          </w:tcPr>
          <w:p w:rsidR="00646511" w:rsidRPr="00E04E16" w:rsidRDefault="00646511" w:rsidP="008A19B9">
            <w:pPr>
              <w:pStyle w:val="TableText"/>
              <w:keepLines/>
            </w:pPr>
            <w:r w:rsidRPr="00E04E16">
              <w:lastRenderedPageBreak/>
              <w:t>Quality of life</w:t>
            </w:r>
          </w:p>
        </w:tc>
        <w:tc>
          <w:tcPr>
            <w:tcW w:w="4143" w:type="pct"/>
          </w:tcPr>
          <w:p w:rsidR="008C1D7A" w:rsidRPr="00E04E16" w:rsidRDefault="008C1D7A" w:rsidP="008A19B9">
            <w:pPr>
              <w:pStyle w:val="TableText"/>
              <w:keepLines/>
              <w:rPr>
                <w:bCs w:val="0"/>
              </w:rPr>
            </w:pPr>
            <w:r w:rsidRPr="00E04E16">
              <w:rPr>
                <w:szCs w:val="20"/>
              </w:rPr>
              <w:t xml:space="preserve">- Age and sex specific population norms from </w:t>
            </w:r>
            <w:r w:rsidRPr="00E04E16">
              <w:t>Australian National Survey of Mental Health and Wellbeing (Hawthorne 2013). H</w:t>
            </w:r>
            <w:r w:rsidRPr="00E04E16">
              <w:rPr>
                <w:bCs w:val="0"/>
              </w:rPr>
              <w:t>ealth state utilities were weighted by the decline in population norms over time relative the baseline age of 64 years</w:t>
            </w:r>
          </w:p>
          <w:p w:rsidR="008C1D7A" w:rsidRPr="00E04E16" w:rsidRDefault="008C1D7A" w:rsidP="008A19B9">
            <w:pPr>
              <w:pStyle w:val="TableText"/>
              <w:keepLines/>
              <w:rPr>
                <w:bCs w:val="0"/>
              </w:rPr>
            </w:pPr>
            <w:r w:rsidRPr="00E04E16">
              <w:rPr>
                <w:bCs w:val="0"/>
              </w:rPr>
              <w:t xml:space="preserve">- CKD health state utilities (CKD 3: 0.80; CKD 4: 0.74; CKD 5/ESKD: 0.73) based on patients with pre-dialysis CKD, measured using EQ-5D (Jesky 2016). </w:t>
            </w:r>
          </w:p>
          <w:p w:rsidR="00F90902" w:rsidRDefault="008C1D7A" w:rsidP="008A19B9">
            <w:pPr>
              <w:pStyle w:val="TableText"/>
              <w:keepLines/>
              <w:rPr>
                <w:rFonts w:eastAsiaTheme="minorHAnsi" w:cstheme="minorBidi"/>
              </w:rPr>
            </w:pPr>
            <w:r w:rsidRPr="00E04E16">
              <w:rPr>
                <w:szCs w:val="20"/>
              </w:rPr>
              <w:t>- Cardiovascular utilities</w:t>
            </w:r>
            <w:r w:rsidRPr="00E04E16">
              <w:rPr>
                <w:rFonts w:eastAsiaTheme="minorHAnsi" w:cstheme="minorBidi"/>
              </w:rPr>
              <w:t xml:space="preserve"> based on a weighting of MI and stroke utilities </w:t>
            </w:r>
            <w:r w:rsidR="00BA6281" w:rsidRPr="00E04E16">
              <w:rPr>
                <w:rFonts w:eastAsiaTheme="minorHAnsi" w:cstheme="minorBidi"/>
              </w:rPr>
              <w:t>(65:35, which was derived from annual UK pri</w:t>
            </w:r>
            <w:r w:rsidR="00F90902">
              <w:rPr>
                <w:rFonts w:eastAsiaTheme="minorHAnsi" w:cstheme="minorBidi"/>
              </w:rPr>
              <w:t>mary care NHS data (Kerr 2015)):</w:t>
            </w:r>
          </w:p>
          <w:p w:rsidR="00BA6281" w:rsidRPr="00E04E16" w:rsidRDefault="00FD0396" w:rsidP="008A19B9">
            <w:pPr>
              <w:pStyle w:val="TableText"/>
              <w:keepLines/>
              <w:rPr>
                <w:rFonts w:eastAsiaTheme="minorHAnsi" w:cstheme="minorBidi"/>
              </w:rPr>
            </w:pPr>
            <w:r w:rsidRPr="00E04E16">
              <w:rPr>
                <w:rFonts w:eastAsiaTheme="minorHAnsi" w:cstheme="minorBidi"/>
              </w:rPr>
              <w:t xml:space="preserve">    </w:t>
            </w:r>
            <w:r w:rsidR="00BA6281" w:rsidRPr="00E04E16">
              <w:rPr>
                <w:rFonts w:eastAsiaTheme="minorHAnsi" w:cstheme="minorBidi"/>
              </w:rPr>
              <w:t xml:space="preserve">- </w:t>
            </w:r>
            <w:r w:rsidR="008C1D7A" w:rsidRPr="00E04E16">
              <w:rPr>
                <w:rFonts w:eastAsiaTheme="minorHAnsi" w:cstheme="minorBidi"/>
              </w:rPr>
              <w:t>at one month for CV events</w:t>
            </w:r>
            <w:r w:rsidR="00BA6281" w:rsidRPr="00E04E16">
              <w:rPr>
                <w:rFonts w:eastAsiaTheme="minorHAnsi" w:cstheme="minorBidi"/>
              </w:rPr>
              <w:t xml:space="preserve">: </w:t>
            </w:r>
            <w:r w:rsidR="008C1D7A" w:rsidRPr="00E04E16">
              <w:rPr>
                <w:rFonts w:eastAsiaTheme="minorHAnsi" w:cstheme="minorBidi"/>
              </w:rPr>
              <w:t xml:space="preserve">0.622 </w:t>
            </w:r>
            <w:r w:rsidRPr="00E04E16">
              <w:rPr>
                <w:rFonts w:eastAsiaTheme="minorHAnsi" w:cstheme="minorBidi"/>
              </w:rPr>
              <w:t xml:space="preserve">(based on a utility of 0.690 for MI and 0.496 for stroke); </w:t>
            </w:r>
            <w:r w:rsidR="008C1D7A" w:rsidRPr="00E04E16">
              <w:rPr>
                <w:rFonts w:eastAsiaTheme="minorHAnsi" w:cstheme="minorBidi"/>
              </w:rPr>
              <w:t xml:space="preserve">and </w:t>
            </w:r>
          </w:p>
          <w:p w:rsidR="00BA6281" w:rsidRPr="00E04E16" w:rsidRDefault="00FD0396" w:rsidP="008A19B9">
            <w:pPr>
              <w:pStyle w:val="TableText"/>
              <w:keepLines/>
              <w:rPr>
                <w:rFonts w:eastAsiaTheme="minorHAnsi" w:cstheme="minorBidi"/>
              </w:rPr>
            </w:pPr>
            <w:r w:rsidRPr="00E04E16">
              <w:rPr>
                <w:rFonts w:eastAsiaTheme="minorHAnsi" w:cstheme="minorBidi"/>
              </w:rPr>
              <w:t xml:space="preserve">    -</w:t>
            </w:r>
            <w:r w:rsidR="00BA6281" w:rsidRPr="00E04E16">
              <w:rPr>
                <w:rFonts w:eastAsiaTheme="minorHAnsi" w:cstheme="minorBidi"/>
              </w:rPr>
              <w:t xml:space="preserve"> </w:t>
            </w:r>
            <w:r w:rsidR="008C1D7A" w:rsidRPr="00E04E16">
              <w:rPr>
                <w:rFonts w:eastAsiaTheme="minorHAnsi" w:cstheme="minorBidi"/>
              </w:rPr>
              <w:t xml:space="preserve">at 24 months for </w:t>
            </w:r>
            <w:r w:rsidR="00856DE8" w:rsidRPr="00E04E16">
              <w:rPr>
                <w:rFonts w:eastAsiaTheme="minorHAnsi" w:cstheme="minorBidi"/>
              </w:rPr>
              <w:t xml:space="preserve">the </w:t>
            </w:r>
            <w:r w:rsidR="008C1D7A" w:rsidRPr="00E04E16">
              <w:rPr>
                <w:rFonts w:eastAsiaTheme="minorHAnsi" w:cstheme="minorBidi"/>
              </w:rPr>
              <w:t>CV health state</w:t>
            </w:r>
            <w:r w:rsidR="00A7094D" w:rsidRPr="00E04E16">
              <w:rPr>
                <w:rFonts w:eastAsiaTheme="minorHAnsi" w:cstheme="minorBidi"/>
              </w:rPr>
              <w:t>:</w:t>
            </w:r>
            <w:r w:rsidR="008C1D7A" w:rsidRPr="00E04E16">
              <w:rPr>
                <w:rFonts w:eastAsiaTheme="minorHAnsi" w:cstheme="minorBidi"/>
              </w:rPr>
              <w:t xml:space="preserve"> 0.643</w:t>
            </w:r>
            <w:r w:rsidRPr="00E04E16">
              <w:rPr>
                <w:rFonts w:eastAsiaTheme="minorHAnsi" w:cstheme="minorBidi"/>
              </w:rPr>
              <w:t xml:space="preserve"> (based on 0.706 for MI and 0.527 for stroke)</w:t>
            </w:r>
            <w:r w:rsidR="00BA6281" w:rsidRPr="00E04E16">
              <w:rPr>
                <w:rFonts w:eastAsiaTheme="minorHAnsi" w:cstheme="minorBidi"/>
              </w:rPr>
              <w:t>.</w:t>
            </w:r>
          </w:p>
          <w:p w:rsidR="00BA6281" w:rsidRPr="00E04E16" w:rsidRDefault="00BA6281" w:rsidP="008A19B9">
            <w:pPr>
              <w:pStyle w:val="TableText"/>
              <w:keepLines/>
              <w:rPr>
                <w:rFonts w:eastAsiaTheme="minorHAnsi" w:cstheme="minorBidi"/>
              </w:rPr>
            </w:pPr>
            <w:r w:rsidRPr="00E04E16">
              <w:rPr>
                <w:rFonts w:eastAsiaTheme="minorHAnsi" w:cstheme="minorBidi"/>
              </w:rPr>
              <w:t>The utilities were based on a utility study of patients with multiple cardiovascular events, defined as patients who experienced a qualifying ACS event (MI or unstable angina) following a previous ACS event (Pockett et al 2018). Data were based on surveys of patients from 3 UK hospitals who were identified prospectively or retrospectively between 2011 and 2012. Patients were followed up from 1 month up to 2 years post-discharge date. EQ-5D-3L questionnaire converted to EQ-5D index scores using UK tariffs.</w:t>
            </w:r>
            <w:r w:rsidR="00640EEB" w:rsidRPr="00E04E16">
              <w:rPr>
                <w:rFonts w:eastAsiaTheme="minorHAnsi" w:cstheme="minorBidi"/>
              </w:rPr>
              <w:t xml:space="preserve"> </w:t>
            </w:r>
          </w:p>
          <w:p w:rsidR="00646511" w:rsidRPr="00E04E16" w:rsidRDefault="008C1D7A" w:rsidP="008A19B9">
            <w:pPr>
              <w:pStyle w:val="TableText"/>
              <w:keepLines/>
              <w:rPr>
                <w:szCs w:val="20"/>
              </w:rPr>
            </w:pPr>
            <w:r w:rsidRPr="00E04E16">
              <w:rPr>
                <w:rFonts w:eastAsiaTheme="minorHAnsi" w:cstheme="minorBidi"/>
              </w:rPr>
              <w:t>- No utility adjustment applied for hyperkalaemia.</w:t>
            </w:r>
          </w:p>
        </w:tc>
      </w:tr>
    </w:tbl>
    <w:p w:rsidR="000F5DDB" w:rsidRPr="00E04E16" w:rsidRDefault="000F5DDB" w:rsidP="00397C0A">
      <w:pPr>
        <w:pStyle w:val="TableFooter"/>
      </w:pPr>
      <w:r w:rsidRPr="00E04E16">
        <w:t>Source: Table 3.1.1, p92 of the submission</w:t>
      </w:r>
    </w:p>
    <w:p w:rsidR="008C1D7A" w:rsidRPr="00E04E16" w:rsidRDefault="008C1D7A" w:rsidP="00397C0A">
      <w:pPr>
        <w:pStyle w:val="TableFooter"/>
        <w:spacing w:after="240"/>
      </w:pPr>
      <w:r w:rsidRPr="00E04E16">
        <w:t>Abbreviations: CKD, chronic kidney disease; CPRD, Clinical Practice Research Datalink; CV, cardiovascular; ESKD, end stage kidney disease; MI, myocardial infarction; NHCDC, National Hospital Cost Data Collection; RAASi, renin-angiotensin-aldosterone system inhibitor</w:t>
      </w:r>
    </w:p>
    <w:p w:rsidR="008C1D7A" w:rsidRPr="00E04E16" w:rsidRDefault="008C1D7A" w:rsidP="008C1D7A">
      <w:pPr>
        <w:pStyle w:val="ExecSumBodyText"/>
      </w:pPr>
      <w:r w:rsidRPr="00E04E16">
        <w:t>The structure of the model is summarised in the figure below.</w:t>
      </w:r>
    </w:p>
    <w:p w:rsidR="00DE334B" w:rsidRPr="00E04E16" w:rsidRDefault="00DE334B" w:rsidP="00111B9F">
      <w:pPr>
        <w:keepNext/>
        <w:spacing w:before="240"/>
        <w:rPr>
          <w:rFonts w:ascii="Arial Narrow" w:hAnsi="Arial Narrow"/>
          <w:b/>
          <w:sz w:val="20"/>
        </w:rPr>
      </w:pPr>
      <w:r w:rsidRPr="00E04E16">
        <w:rPr>
          <w:rFonts w:ascii="Arial Narrow" w:hAnsi="Arial Narrow"/>
          <w:b/>
          <w:sz w:val="20"/>
        </w:rPr>
        <w:t xml:space="preserve">Figure </w:t>
      </w:r>
      <w:r w:rsidR="00075D97" w:rsidRPr="00E04E16">
        <w:rPr>
          <w:rFonts w:ascii="Arial Narrow" w:hAnsi="Arial Narrow"/>
          <w:b/>
          <w:sz w:val="20"/>
        </w:rPr>
        <w:t>2</w:t>
      </w:r>
      <w:r w:rsidRPr="00E04E16">
        <w:rPr>
          <w:rFonts w:ascii="Arial Narrow" w:hAnsi="Arial Narrow"/>
          <w:b/>
          <w:sz w:val="20"/>
        </w:rPr>
        <w:t>: Structure of the model</w:t>
      </w:r>
    </w:p>
    <w:p w:rsidR="00DE334B" w:rsidRPr="00E04E16" w:rsidRDefault="00DE334B" w:rsidP="00DE334B">
      <w:bookmarkStart w:id="22" w:name="_GoBack"/>
      <w:r w:rsidRPr="00E04E16">
        <w:rPr>
          <w:noProof/>
        </w:rPr>
        <w:drawing>
          <wp:inline distT="0" distB="0" distL="0" distR="0" wp14:anchorId="01EB22B3" wp14:editId="349EEE24">
            <wp:extent cx="5732145" cy="2362533"/>
            <wp:effectExtent l="0" t="0" r="1905" b="0"/>
            <wp:docPr id="18" name="Picture 1" title="Figure 2: Structure of the mod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32145" cy="2362533"/>
                    </a:xfrm>
                    <a:prstGeom prst="rect">
                      <a:avLst/>
                    </a:prstGeom>
                    <a:noFill/>
                    <a:ln>
                      <a:noFill/>
                    </a:ln>
                  </pic:spPr>
                </pic:pic>
              </a:graphicData>
            </a:graphic>
          </wp:inline>
        </w:drawing>
      </w:r>
      <w:bookmarkEnd w:id="22"/>
    </w:p>
    <w:p w:rsidR="00DE334B" w:rsidRPr="00E04E16" w:rsidRDefault="00DE334B" w:rsidP="005E0297">
      <w:pPr>
        <w:spacing w:after="120"/>
        <w:contextualSpacing/>
        <w:rPr>
          <w:rFonts w:ascii="Arial Narrow" w:hAnsi="Arial Narrow"/>
          <w:sz w:val="18"/>
        </w:rPr>
      </w:pPr>
      <w:r w:rsidRPr="00E04E16">
        <w:rPr>
          <w:rFonts w:ascii="Arial Narrow" w:hAnsi="Arial Narrow"/>
          <w:sz w:val="18"/>
        </w:rPr>
        <w:t>Source: Figure 3.2.1, p98 of the resubmission</w:t>
      </w:r>
    </w:p>
    <w:p w:rsidR="00DE334B" w:rsidRPr="00E04E16" w:rsidRDefault="00DE334B" w:rsidP="005E0297">
      <w:pPr>
        <w:spacing w:after="120"/>
        <w:contextualSpacing/>
        <w:rPr>
          <w:rFonts w:ascii="Arial Narrow" w:hAnsi="Arial Narrow"/>
          <w:sz w:val="18"/>
        </w:rPr>
      </w:pPr>
      <w:r w:rsidRPr="00E04E16">
        <w:rPr>
          <w:rFonts w:ascii="Arial Narrow" w:hAnsi="Arial Narrow"/>
          <w:sz w:val="18"/>
        </w:rPr>
        <w:t>Abbreviations: CKD, chronic kidney disease; CV, cardiovascular; ESRD, end stage renal disease; K+, serum potassium; RAASi, renin-angiotensin-aldosterone system inhibitor</w:t>
      </w:r>
    </w:p>
    <w:p w:rsidR="00DE334B" w:rsidRPr="00E04E16" w:rsidRDefault="00DE334B" w:rsidP="005E0297">
      <w:pPr>
        <w:spacing w:after="120"/>
        <w:contextualSpacing/>
        <w:rPr>
          <w:rFonts w:ascii="Arial Narrow" w:hAnsi="Arial Narrow"/>
          <w:sz w:val="18"/>
        </w:rPr>
      </w:pPr>
      <w:r w:rsidRPr="00E04E16">
        <w:rPr>
          <w:rFonts w:ascii="Arial Narrow" w:hAnsi="Arial Narrow"/>
          <w:sz w:val="18"/>
        </w:rPr>
        <w:t>Note: In the resubmission’s model all patients start the model with serum potassium &gt;6.0 (in either CKD 3 or CKD 4)</w:t>
      </w:r>
    </w:p>
    <w:p w:rsidR="00DE334B" w:rsidRPr="00E04E16" w:rsidRDefault="00DE334B" w:rsidP="00BB546F">
      <w:pPr>
        <w:keepNext/>
        <w:keepLines/>
        <w:spacing w:after="240"/>
        <w:contextualSpacing/>
        <w:rPr>
          <w:rFonts w:ascii="Arial Narrow" w:hAnsi="Arial Narrow"/>
          <w:sz w:val="18"/>
        </w:rPr>
      </w:pPr>
      <w:r w:rsidRPr="00E04E16">
        <w:rPr>
          <w:rFonts w:ascii="Arial Narrow" w:hAnsi="Arial Narrow"/>
          <w:sz w:val="18"/>
        </w:rPr>
        <w:t>Note: Patients may die from any health state</w:t>
      </w:r>
    </w:p>
    <w:p w:rsidR="00E374F0" w:rsidRPr="00E04E16" w:rsidRDefault="00276E8A" w:rsidP="00E374F0">
      <w:pPr>
        <w:pStyle w:val="ExecSumBodyText"/>
      </w:pPr>
      <w:r w:rsidRPr="00E04E16">
        <w:t>The movement between health states is highly complex resulting in a number of structural issues</w:t>
      </w:r>
      <w:r w:rsidR="00E374F0" w:rsidRPr="00E04E16">
        <w:t xml:space="preserve">, summarised in the key drivers table below. </w:t>
      </w:r>
    </w:p>
    <w:p w:rsidR="00276E8A" w:rsidRPr="00E04E16" w:rsidRDefault="00276E8A" w:rsidP="00E374F0">
      <w:pPr>
        <w:pStyle w:val="ExecSumBodyText"/>
      </w:pPr>
      <w:r w:rsidRPr="00E04E16">
        <w:rPr>
          <w:iCs/>
        </w:rPr>
        <w:t xml:space="preserve">The cohort model does not allow tracking of events and there is no allowance for prior events to affect subsequent event probabilities. </w:t>
      </w:r>
      <w:r w:rsidR="00FB1089" w:rsidRPr="00E04E16">
        <w:rPr>
          <w:iCs/>
        </w:rPr>
        <w:t xml:space="preserve">In the model, a cardiovascular event is a tunnel state, where patients remain for one cycle only, after which they either die or move to a post-CV state. Patients in a post-CV state can experience subsequent cardiovascular </w:t>
      </w:r>
      <w:r w:rsidR="006B4573" w:rsidRPr="00E04E16">
        <w:rPr>
          <w:iCs/>
        </w:rPr>
        <w:t>events;</w:t>
      </w:r>
      <w:r w:rsidR="00FB1089" w:rsidRPr="00E04E16">
        <w:rPr>
          <w:iCs/>
        </w:rPr>
        <w:t xml:space="preserve"> however, </w:t>
      </w:r>
      <w:r w:rsidRPr="00E04E16">
        <w:rPr>
          <w:iCs/>
        </w:rPr>
        <w:t xml:space="preserve">a cardiovascular event does not increase the risk of a </w:t>
      </w:r>
      <w:r w:rsidRPr="00E04E16">
        <w:rPr>
          <w:iCs/>
        </w:rPr>
        <w:lastRenderedPageBreak/>
        <w:t>subsequent event, or increase mortality aft</w:t>
      </w:r>
      <w:r w:rsidR="00E374F0" w:rsidRPr="00E04E16">
        <w:rPr>
          <w:iCs/>
        </w:rPr>
        <w:t>e</w:t>
      </w:r>
      <w:r w:rsidRPr="00E04E16">
        <w:rPr>
          <w:iCs/>
        </w:rPr>
        <w:t>r the first month. It is unlikely that serum potassium monitoring will be the same in all health states (monitoring may be more likely to occur at the time of a cardiovascular event), and therefore the detection of hyperkalaemia will differ between health states. A microsimulation approach would have a greater ability to track events and incorporate the impact of events on subsequent transitions.</w:t>
      </w:r>
    </w:p>
    <w:p w:rsidR="00276E8A" w:rsidRPr="00E04E16" w:rsidRDefault="00276E8A" w:rsidP="00276E8A">
      <w:pPr>
        <w:pStyle w:val="ExecSumBodyText"/>
      </w:pPr>
      <w:r w:rsidRPr="00E04E16">
        <w:t xml:space="preserve">The primary benefit of patiromer compared with </w:t>
      </w:r>
      <w:r w:rsidR="00524179" w:rsidRPr="00E04E16">
        <w:t>standard care</w:t>
      </w:r>
      <w:r w:rsidRPr="00E04E16">
        <w:t xml:space="preserve"> is implemented as a higher proportion of patients</w:t>
      </w:r>
      <w:r w:rsidR="00381AD8" w:rsidRPr="00E04E16">
        <w:t xml:space="preserve"> achieving </w:t>
      </w:r>
      <w:r w:rsidRPr="00E04E16">
        <w:t>the lowest serum potassium category in the initial cycle</w:t>
      </w:r>
      <w:r w:rsidR="00381AD8" w:rsidRPr="00E04E16">
        <w:t>. The transition probabilities between serum potassium health states (with RAASi dose intensity levels), based on the post</w:t>
      </w:r>
      <w:r w:rsidR="005625EB" w:rsidRPr="00E04E16">
        <w:t>-</w:t>
      </w:r>
      <w:r w:rsidR="00381AD8" w:rsidRPr="00E04E16">
        <w:t>hoc analyses of OPAL-HK and the UK CPRD analysis, are summarised in Table 13.</w:t>
      </w:r>
      <w:r w:rsidRPr="00E04E16">
        <w:t xml:space="preserve"> </w:t>
      </w:r>
    </w:p>
    <w:p w:rsidR="00381AD8" w:rsidRPr="00E04E16" w:rsidRDefault="00381AD8" w:rsidP="00D81872">
      <w:pPr>
        <w:pStyle w:val="Tableheadingrow"/>
        <w:keepLines/>
        <w:rPr>
          <w:lang w:val="en-AU"/>
        </w:rPr>
      </w:pPr>
      <w:r w:rsidRPr="00E04E16">
        <w:rPr>
          <w:lang w:val="en-AU"/>
        </w:rPr>
        <w:t xml:space="preserve">Table 13: Transition probabilities between </w:t>
      </w:r>
      <w:r w:rsidR="00D612FD" w:rsidRPr="00E04E16">
        <w:rPr>
          <w:lang w:val="en-AU"/>
        </w:rPr>
        <w:t xml:space="preserve">serum potassium/RAASi dose intensity </w:t>
      </w:r>
      <w:r w:rsidRPr="00E04E16">
        <w:rPr>
          <w:lang w:val="en-AU"/>
        </w:rPr>
        <w:t>health states</w:t>
      </w:r>
    </w:p>
    <w:tbl>
      <w:tblPr>
        <w:tblStyle w:val="TableGrid"/>
        <w:tblW w:w="0" w:type="auto"/>
        <w:tblCellMar>
          <w:left w:w="28" w:type="dxa"/>
          <w:right w:w="28" w:type="dxa"/>
        </w:tblCellMar>
        <w:tblLook w:val="04A0" w:firstRow="1" w:lastRow="0" w:firstColumn="1" w:lastColumn="0" w:noHBand="0" w:noVBand="1"/>
        <w:tblCaption w:val="Table 13: Transition probabilities between serum potassium/RAASi dose intensity health states"/>
      </w:tblPr>
      <w:tblGrid>
        <w:gridCol w:w="4248"/>
        <w:gridCol w:w="992"/>
        <w:gridCol w:w="1392"/>
        <w:gridCol w:w="1018"/>
        <w:gridCol w:w="1366"/>
      </w:tblGrid>
      <w:tr w:rsidR="00381AD8" w:rsidRPr="00E04E16" w:rsidTr="00381AD8">
        <w:trPr>
          <w:tblHeader/>
        </w:trPr>
        <w:tc>
          <w:tcPr>
            <w:tcW w:w="4248" w:type="dxa"/>
            <w:vMerge w:val="restart"/>
            <w:vAlign w:val="center"/>
          </w:tcPr>
          <w:p w:rsidR="00381AD8" w:rsidRPr="00E04E16" w:rsidRDefault="00381AD8" w:rsidP="00D81872">
            <w:pPr>
              <w:keepNext/>
              <w:keepLines/>
              <w:jc w:val="left"/>
              <w:rPr>
                <w:rFonts w:ascii="Arial Narrow" w:hAnsi="Arial Narrow"/>
                <w:b/>
                <w:sz w:val="20"/>
              </w:rPr>
            </w:pPr>
            <w:r w:rsidRPr="00E04E16">
              <w:rPr>
                <w:rFonts w:ascii="Arial Narrow" w:hAnsi="Arial Narrow"/>
                <w:b/>
                <w:sz w:val="20"/>
              </w:rPr>
              <w:t>Transition</w:t>
            </w:r>
          </w:p>
        </w:tc>
        <w:tc>
          <w:tcPr>
            <w:tcW w:w="2384" w:type="dxa"/>
            <w:gridSpan w:val="2"/>
            <w:vAlign w:val="center"/>
          </w:tcPr>
          <w:p w:rsidR="00381AD8" w:rsidRPr="00E04E16" w:rsidRDefault="00381AD8" w:rsidP="00D81872">
            <w:pPr>
              <w:keepNext/>
              <w:keepLines/>
              <w:jc w:val="center"/>
              <w:rPr>
                <w:rFonts w:ascii="Arial Narrow" w:hAnsi="Arial Narrow"/>
                <w:b/>
                <w:sz w:val="20"/>
              </w:rPr>
            </w:pPr>
            <w:r w:rsidRPr="00E04E16">
              <w:rPr>
                <w:rFonts w:ascii="Arial Narrow" w:hAnsi="Arial Narrow"/>
                <w:b/>
                <w:sz w:val="20"/>
              </w:rPr>
              <w:t>CKD 3</w:t>
            </w:r>
          </w:p>
        </w:tc>
        <w:tc>
          <w:tcPr>
            <w:tcW w:w="2384" w:type="dxa"/>
            <w:gridSpan w:val="2"/>
          </w:tcPr>
          <w:p w:rsidR="00381AD8" w:rsidRPr="00E04E16" w:rsidRDefault="00381AD8" w:rsidP="00D81872">
            <w:pPr>
              <w:keepNext/>
              <w:keepLines/>
              <w:jc w:val="center"/>
              <w:rPr>
                <w:rFonts w:ascii="Arial Narrow" w:hAnsi="Arial Narrow"/>
                <w:b/>
                <w:sz w:val="20"/>
              </w:rPr>
            </w:pPr>
            <w:r w:rsidRPr="00E04E16">
              <w:rPr>
                <w:rFonts w:ascii="Arial Narrow" w:hAnsi="Arial Narrow"/>
                <w:b/>
                <w:sz w:val="20"/>
              </w:rPr>
              <w:t>CKD 4</w:t>
            </w:r>
          </w:p>
        </w:tc>
      </w:tr>
      <w:tr w:rsidR="00381AD8" w:rsidRPr="00E04E16" w:rsidTr="00381AD8">
        <w:trPr>
          <w:tblHeader/>
        </w:trPr>
        <w:tc>
          <w:tcPr>
            <w:tcW w:w="4248" w:type="dxa"/>
            <w:vMerge/>
            <w:vAlign w:val="center"/>
          </w:tcPr>
          <w:p w:rsidR="00381AD8" w:rsidRPr="00E04E16" w:rsidRDefault="00381AD8" w:rsidP="00D81872">
            <w:pPr>
              <w:keepNext/>
              <w:keepLines/>
              <w:jc w:val="left"/>
              <w:rPr>
                <w:rFonts w:ascii="Arial Narrow" w:hAnsi="Arial Narrow"/>
                <w:b/>
                <w:sz w:val="20"/>
              </w:rPr>
            </w:pPr>
          </w:p>
        </w:tc>
        <w:tc>
          <w:tcPr>
            <w:tcW w:w="992" w:type="dxa"/>
            <w:vAlign w:val="center"/>
          </w:tcPr>
          <w:p w:rsidR="00381AD8" w:rsidRPr="00E04E16" w:rsidRDefault="00381AD8" w:rsidP="00D81872">
            <w:pPr>
              <w:keepNext/>
              <w:keepLines/>
              <w:jc w:val="center"/>
              <w:rPr>
                <w:rFonts w:ascii="Arial Narrow" w:hAnsi="Arial Narrow"/>
                <w:b/>
                <w:sz w:val="20"/>
              </w:rPr>
            </w:pPr>
            <w:r w:rsidRPr="00E04E16">
              <w:rPr>
                <w:rFonts w:ascii="Arial Narrow" w:hAnsi="Arial Narrow"/>
                <w:b/>
                <w:sz w:val="20"/>
              </w:rPr>
              <w:t>Patiromer</w:t>
            </w:r>
          </w:p>
        </w:tc>
        <w:tc>
          <w:tcPr>
            <w:tcW w:w="1392" w:type="dxa"/>
            <w:vAlign w:val="center"/>
          </w:tcPr>
          <w:p w:rsidR="00381AD8" w:rsidRPr="00E04E16" w:rsidRDefault="00381AD8" w:rsidP="00D81872">
            <w:pPr>
              <w:keepNext/>
              <w:keepLines/>
              <w:jc w:val="center"/>
              <w:rPr>
                <w:rFonts w:ascii="Arial Narrow" w:hAnsi="Arial Narrow"/>
                <w:b/>
                <w:sz w:val="20"/>
              </w:rPr>
            </w:pPr>
            <w:r w:rsidRPr="00E04E16">
              <w:rPr>
                <w:rFonts w:ascii="Arial Narrow" w:hAnsi="Arial Narrow"/>
                <w:b/>
                <w:sz w:val="20"/>
              </w:rPr>
              <w:t>Standard care</w:t>
            </w:r>
          </w:p>
        </w:tc>
        <w:tc>
          <w:tcPr>
            <w:tcW w:w="1018" w:type="dxa"/>
            <w:vAlign w:val="center"/>
          </w:tcPr>
          <w:p w:rsidR="00381AD8" w:rsidRPr="00E04E16" w:rsidRDefault="00381AD8" w:rsidP="00D81872">
            <w:pPr>
              <w:keepNext/>
              <w:keepLines/>
              <w:jc w:val="center"/>
              <w:rPr>
                <w:rFonts w:ascii="Arial Narrow" w:hAnsi="Arial Narrow"/>
                <w:b/>
                <w:sz w:val="20"/>
              </w:rPr>
            </w:pPr>
            <w:r w:rsidRPr="00E04E16">
              <w:rPr>
                <w:rFonts w:ascii="Arial Narrow" w:hAnsi="Arial Narrow"/>
                <w:b/>
                <w:sz w:val="20"/>
              </w:rPr>
              <w:t>Patiromer</w:t>
            </w:r>
          </w:p>
        </w:tc>
        <w:tc>
          <w:tcPr>
            <w:tcW w:w="1366" w:type="dxa"/>
            <w:vAlign w:val="center"/>
          </w:tcPr>
          <w:p w:rsidR="00381AD8" w:rsidRPr="00E04E16" w:rsidRDefault="00381AD8" w:rsidP="00D81872">
            <w:pPr>
              <w:keepNext/>
              <w:keepLines/>
              <w:jc w:val="center"/>
              <w:rPr>
                <w:rFonts w:ascii="Arial Narrow" w:hAnsi="Arial Narrow"/>
                <w:b/>
                <w:sz w:val="20"/>
              </w:rPr>
            </w:pPr>
            <w:r w:rsidRPr="00E04E16">
              <w:rPr>
                <w:rFonts w:ascii="Arial Narrow" w:hAnsi="Arial Narrow"/>
                <w:b/>
                <w:sz w:val="20"/>
              </w:rPr>
              <w:t>Standard care</w:t>
            </w:r>
          </w:p>
        </w:tc>
      </w:tr>
      <w:tr w:rsidR="00381AD8" w:rsidRPr="00E04E16" w:rsidTr="00381AD8">
        <w:trPr>
          <w:tblHeader/>
        </w:trPr>
        <w:tc>
          <w:tcPr>
            <w:tcW w:w="4248" w:type="dxa"/>
            <w:vAlign w:val="center"/>
          </w:tcPr>
          <w:p w:rsidR="00381AD8" w:rsidRPr="00E04E16" w:rsidRDefault="00381AD8" w:rsidP="00D81872">
            <w:pPr>
              <w:keepNext/>
              <w:keepLines/>
              <w:jc w:val="left"/>
              <w:rPr>
                <w:rFonts w:ascii="Arial Narrow" w:hAnsi="Arial Narrow"/>
                <w:b/>
                <w:sz w:val="20"/>
              </w:rPr>
            </w:pPr>
            <w:r w:rsidRPr="00E04E16">
              <w:rPr>
                <w:rFonts w:ascii="Arial Narrow" w:hAnsi="Arial Narrow"/>
                <w:b/>
                <w:sz w:val="20"/>
              </w:rPr>
              <w:t>Initial cycle</w:t>
            </w:r>
          </w:p>
        </w:tc>
        <w:tc>
          <w:tcPr>
            <w:tcW w:w="992" w:type="dxa"/>
            <w:vAlign w:val="center"/>
          </w:tcPr>
          <w:p w:rsidR="00381AD8" w:rsidRPr="00E04E16" w:rsidRDefault="00381AD8" w:rsidP="00D81872">
            <w:pPr>
              <w:keepNext/>
              <w:keepLines/>
              <w:jc w:val="center"/>
              <w:rPr>
                <w:rFonts w:ascii="Arial Narrow" w:hAnsi="Arial Narrow"/>
                <w:b/>
                <w:sz w:val="20"/>
              </w:rPr>
            </w:pPr>
          </w:p>
        </w:tc>
        <w:tc>
          <w:tcPr>
            <w:tcW w:w="1392" w:type="dxa"/>
            <w:vAlign w:val="center"/>
          </w:tcPr>
          <w:p w:rsidR="00381AD8" w:rsidRPr="00E04E16" w:rsidRDefault="00381AD8" w:rsidP="00D81872">
            <w:pPr>
              <w:keepNext/>
              <w:keepLines/>
              <w:jc w:val="center"/>
              <w:rPr>
                <w:rFonts w:ascii="Arial Narrow" w:hAnsi="Arial Narrow"/>
                <w:b/>
                <w:sz w:val="20"/>
              </w:rPr>
            </w:pPr>
          </w:p>
        </w:tc>
        <w:tc>
          <w:tcPr>
            <w:tcW w:w="1018" w:type="dxa"/>
          </w:tcPr>
          <w:p w:rsidR="00381AD8" w:rsidRPr="00E04E16" w:rsidRDefault="00381AD8" w:rsidP="00D81872">
            <w:pPr>
              <w:keepNext/>
              <w:keepLines/>
              <w:jc w:val="center"/>
              <w:rPr>
                <w:rFonts w:ascii="Arial Narrow" w:hAnsi="Arial Narrow"/>
                <w:b/>
                <w:sz w:val="20"/>
              </w:rPr>
            </w:pPr>
          </w:p>
        </w:tc>
        <w:tc>
          <w:tcPr>
            <w:tcW w:w="1366" w:type="dxa"/>
          </w:tcPr>
          <w:p w:rsidR="00381AD8" w:rsidRPr="00E04E16" w:rsidRDefault="00381AD8" w:rsidP="00D81872">
            <w:pPr>
              <w:keepNext/>
              <w:keepLines/>
              <w:jc w:val="center"/>
              <w:rPr>
                <w:rFonts w:ascii="Arial Narrow" w:hAnsi="Arial Narrow"/>
                <w:b/>
                <w:sz w:val="20"/>
              </w:rPr>
            </w:pPr>
          </w:p>
        </w:tc>
      </w:tr>
      <w:tr w:rsidR="00381AD8" w:rsidRPr="00E04E16" w:rsidTr="00381AD8">
        <w:tc>
          <w:tcPr>
            <w:tcW w:w="4248" w:type="dxa"/>
          </w:tcPr>
          <w:p w:rsidR="00381AD8" w:rsidRPr="00E04E16" w:rsidRDefault="00381AD8" w:rsidP="00D81872">
            <w:pPr>
              <w:keepNext/>
              <w:keepLines/>
              <w:rPr>
                <w:rFonts w:ascii="Arial Narrow" w:hAnsi="Arial Narrow"/>
                <w:sz w:val="20"/>
              </w:rPr>
            </w:pPr>
            <w:r w:rsidRPr="00E04E16">
              <w:rPr>
                <w:rFonts w:ascii="Arial Narrow" w:hAnsi="Arial Narrow"/>
                <w:sz w:val="20"/>
              </w:rPr>
              <w:t>- &gt;6 mmol/L to full RAASi (&lt;5.5 mmol/L)</w:t>
            </w:r>
          </w:p>
          <w:p w:rsidR="00381AD8" w:rsidRPr="00E04E16" w:rsidRDefault="00381AD8" w:rsidP="00D81872">
            <w:pPr>
              <w:keepNext/>
              <w:keepLines/>
              <w:rPr>
                <w:rFonts w:ascii="Arial Narrow" w:hAnsi="Arial Narrow"/>
                <w:sz w:val="20"/>
              </w:rPr>
            </w:pPr>
            <w:r w:rsidRPr="00E04E16">
              <w:rPr>
                <w:rFonts w:ascii="Arial Narrow" w:hAnsi="Arial Narrow"/>
                <w:sz w:val="20"/>
              </w:rPr>
              <w:t>- &gt;6 mmol/L to reduced RAASi (5.5-6.0 mmol/L)</w:t>
            </w:r>
          </w:p>
          <w:p w:rsidR="00381AD8" w:rsidRPr="00E04E16" w:rsidRDefault="00381AD8" w:rsidP="00D81872">
            <w:pPr>
              <w:keepNext/>
              <w:keepLines/>
              <w:rPr>
                <w:rFonts w:ascii="Arial Narrow" w:hAnsi="Arial Narrow"/>
                <w:sz w:val="20"/>
              </w:rPr>
            </w:pPr>
            <w:r w:rsidRPr="00E04E16">
              <w:rPr>
                <w:rFonts w:ascii="Arial Narrow" w:hAnsi="Arial Narrow"/>
                <w:sz w:val="20"/>
              </w:rPr>
              <w:t>- &gt;6 mmol/L to discontinued RAASi (&gt;6.0 mmol/L)</w:t>
            </w:r>
          </w:p>
        </w:tc>
        <w:tc>
          <w:tcPr>
            <w:tcW w:w="992" w:type="dxa"/>
            <w:vAlign w:val="center"/>
          </w:tcPr>
          <w:p w:rsidR="00381AD8" w:rsidRPr="00E04E16" w:rsidRDefault="00381AD8" w:rsidP="00D81872">
            <w:pPr>
              <w:keepNext/>
              <w:keepLines/>
              <w:jc w:val="center"/>
              <w:rPr>
                <w:rFonts w:ascii="Arial Narrow" w:hAnsi="Arial Narrow"/>
                <w:sz w:val="20"/>
              </w:rPr>
            </w:pPr>
            <w:r w:rsidRPr="00E04E16">
              <w:rPr>
                <w:rFonts w:ascii="Arial Narrow" w:hAnsi="Arial Narrow"/>
                <w:sz w:val="20"/>
              </w:rPr>
              <w:t>100%</w:t>
            </w:r>
          </w:p>
          <w:p w:rsidR="00381AD8" w:rsidRPr="00E04E16" w:rsidRDefault="00381AD8" w:rsidP="00D81872">
            <w:pPr>
              <w:keepNext/>
              <w:keepLines/>
              <w:jc w:val="center"/>
              <w:rPr>
                <w:rFonts w:ascii="Arial Narrow" w:hAnsi="Arial Narrow"/>
                <w:sz w:val="20"/>
              </w:rPr>
            </w:pPr>
            <w:r w:rsidRPr="00E04E16">
              <w:rPr>
                <w:rFonts w:ascii="Arial Narrow" w:hAnsi="Arial Narrow"/>
                <w:sz w:val="20"/>
              </w:rPr>
              <w:t>0%</w:t>
            </w:r>
          </w:p>
          <w:p w:rsidR="00381AD8" w:rsidRPr="00E04E16" w:rsidRDefault="00381AD8" w:rsidP="00D81872">
            <w:pPr>
              <w:keepNext/>
              <w:keepLines/>
              <w:jc w:val="center"/>
              <w:rPr>
                <w:rFonts w:ascii="Arial Narrow" w:hAnsi="Arial Narrow"/>
                <w:sz w:val="20"/>
              </w:rPr>
            </w:pPr>
            <w:r w:rsidRPr="00E04E16">
              <w:rPr>
                <w:rFonts w:ascii="Arial Narrow" w:hAnsi="Arial Narrow"/>
                <w:sz w:val="20"/>
              </w:rPr>
              <w:t>0%</w:t>
            </w:r>
          </w:p>
        </w:tc>
        <w:tc>
          <w:tcPr>
            <w:tcW w:w="1392" w:type="dxa"/>
            <w:vAlign w:val="center"/>
          </w:tcPr>
          <w:p w:rsidR="00381AD8" w:rsidRPr="00E04E16" w:rsidRDefault="00381AD8" w:rsidP="00D81872">
            <w:pPr>
              <w:keepNext/>
              <w:keepLines/>
              <w:jc w:val="center"/>
              <w:rPr>
                <w:rFonts w:ascii="Arial Narrow" w:hAnsi="Arial Narrow"/>
                <w:sz w:val="20"/>
              </w:rPr>
            </w:pPr>
            <w:r w:rsidRPr="00E04E16">
              <w:rPr>
                <w:rFonts w:ascii="Arial Narrow" w:hAnsi="Arial Narrow"/>
                <w:sz w:val="20"/>
              </w:rPr>
              <w:t>11.05%</w:t>
            </w:r>
          </w:p>
          <w:p w:rsidR="00381AD8" w:rsidRPr="00E04E16" w:rsidRDefault="00381AD8" w:rsidP="00D81872">
            <w:pPr>
              <w:keepNext/>
              <w:keepLines/>
              <w:jc w:val="center"/>
              <w:rPr>
                <w:rFonts w:ascii="Arial Narrow" w:hAnsi="Arial Narrow"/>
                <w:sz w:val="20"/>
              </w:rPr>
            </w:pPr>
            <w:r w:rsidRPr="00E04E16">
              <w:rPr>
                <w:rFonts w:ascii="Arial Narrow" w:hAnsi="Arial Narrow"/>
                <w:sz w:val="20"/>
              </w:rPr>
              <w:t>13.14% [2.35%</w:t>
            </w:r>
            <w:r w:rsidR="00794C60" w:rsidRPr="00E04E16">
              <w:rPr>
                <w:rFonts w:ascii="Arial Narrow" w:hAnsi="Arial Narrow"/>
                <w:sz w:val="20"/>
                <w:vertAlign w:val="superscript"/>
              </w:rPr>
              <w:t>a</w:t>
            </w:r>
            <w:r w:rsidRPr="00E04E16">
              <w:rPr>
                <w:rFonts w:ascii="Arial Narrow" w:hAnsi="Arial Narrow"/>
                <w:sz w:val="20"/>
              </w:rPr>
              <w:t>]</w:t>
            </w:r>
          </w:p>
          <w:p w:rsidR="00381AD8" w:rsidRPr="00E04E16" w:rsidRDefault="00381AD8" w:rsidP="00D81872">
            <w:pPr>
              <w:keepNext/>
              <w:keepLines/>
              <w:jc w:val="center"/>
              <w:rPr>
                <w:rFonts w:ascii="Arial Narrow" w:hAnsi="Arial Narrow"/>
                <w:sz w:val="20"/>
              </w:rPr>
            </w:pPr>
            <w:r w:rsidRPr="00E04E16">
              <w:rPr>
                <w:rFonts w:ascii="Arial Narrow" w:hAnsi="Arial Narrow"/>
                <w:sz w:val="20"/>
              </w:rPr>
              <w:t>75.81% [86.60%</w:t>
            </w:r>
            <w:r w:rsidR="00794C60" w:rsidRPr="00E04E16">
              <w:rPr>
                <w:rFonts w:ascii="Arial Narrow" w:hAnsi="Arial Narrow"/>
                <w:sz w:val="20"/>
                <w:vertAlign w:val="superscript"/>
              </w:rPr>
              <w:t>a</w:t>
            </w:r>
            <w:r w:rsidRPr="00E04E16">
              <w:rPr>
                <w:rFonts w:ascii="Arial Narrow" w:hAnsi="Arial Narrow"/>
                <w:sz w:val="20"/>
              </w:rPr>
              <w:t>]</w:t>
            </w:r>
          </w:p>
        </w:tc>
        <w:tc>
          <w:tcPr>
            <w:tcW w:w="1018" w:type="dxa"/>
            <w:vAlign w:val="center"/>
          </w:tcPr>
          <w:p w:rsidR="00381AD8" w:rsidRPr="00E04E16" w:rsidRDefault="00381AD8" w:rsidP="00D81872">
            <w:pPr>
              <w:keepNext/>
              <w:keepLines/>
              <w:jc w:val="center"/>
              <w:rPr>
                <w:rFonts w:ascii="Arial Narrow" w:hAnsi="Arial Narrow"/>
                <w:sz w:val="20"/>
              </w:rPr>
            </w:pPr>
            <w:r w:rsidRPr="00E04E16">
              <w:rPr>
                <w:rFonts w:ascii="Arial Narrow" w:hAnsi="Arial Narrow"/>
                <w:sz w:val="20"/>
              </w:rPr>
              <w:t>100%</w:t>
            </w:r>
          </w:p>
          <w:p w:rsidR="00381AD8" w:rsidRPr="00E04E16" w:rsidRDefault="00381AD8" w:rsidP="00D81872">
            <w:pPr>
              <w:keepNext/>
              <w:keepLines/>
              <w:jc w:val="center"/>
              <w:rPr>
                <w:rFonts w:ascii="Arial Narrow" w:hAnsi="Arial Narrow"/>
                <w:sz w:val="20"/>
              </w:rPr>
            </w:pPr>
            <w:r w:rsidRPr="00E04E16">
              <w:rPr>
                <w:rFonts w:ascii="Arial Narrow" w:hAnsi="Arial Narrow"/>
                <w:sz w:val="20"/>
              </w:rPr>
              <w:t>0%</w:t>
            </w:r>
          </w:p>
          <w:p w:rsidR="00381AD8" w:rsidRPr="00E04E16" w:rsidRDefault="00381AD8" w:rsidP="00D81872">
            <w:pPr>
              <w:keepNext/>
              <w:keepLines/>
              <w:jc w:val="center"/>
              <w:rPr>
                <w:rFonts w:ascii="Arial Narrow" w:hAnsi="Arial Narrow"/>
                <w:sz w:val="20"/>
              </w:rPr>
            </w:pPr>
            <w:r w:rsidRPr="00E04E16">
              <w:rPr>
                <w:rFonts w:ascii="Arial Narrow" w:hAnsi="Arial Narrow"/>
                <w:sz w:val="20"/>
              </w:rPr>
              <w:t>0%</w:t>
            </w:r>
          </w:p>
        </w:tc>
        <w:tc>
          <w:tcPr>
            <w:tcW w:w="1366" w:type="dxa"/>
            <w:vAlign w:val="center"/>
          </w:tcPr>
          <w:p w:rsidR="00381AD8" w:rsidRPr="00E04E16" w:rsidRDefault="00381AD8" w:rsidP="00D81872">
            <w:pPr>
              <w:keepNext/>
              <w:keepLines/>
              <w:jc w:val="center"/>
              <w:rPr>
                <w:rFonts w:ascii="Arial Narrow" w:hAnsi="Arial Narrow"/>
                <w:sz w:val="20"/>
              </w:rPr>
            </w:pPr>
            <w:r w:rsidRPr="00E04E16">
              <w:rPr>
                <w:rFonts w:ascii="Arial Narrow" w:hAnsi="Arial Narrow"/>
                <w:sz w:val="20"/>
              </w:rPr>
              <w:t>7.41%</w:t>
            </w:r>
          </w:p>
          <w:p w:rsidR="00381AD8" w:rsidRPr="00E04E16" w:rsidRDefault="00381AD8" w:rsidP="00D81872">
            <w:pPr>
              <w:keepNext/>
              <w:keepLines/>
              <w:jc w:val="center"/>
              <w:rPr>
                <w:rFonts w:ascii="Arial Narrow" w:hAnsi="Arial Narrow"/>
                <w:sz w:val="20"/>
              </w:rPr>
            </w:pPr>
            <w:r w:rsidRPr="00E04E16">
              <w:rPr>
                <w:rFonts w:ascii="Arial Narrow" w:hAnsi="Arial Narrow"/>
                <w:sz w:val="20"/>
              </w:rPr>
              <w:t>11.24% [4.14%</w:t>
            </w:r>
            <w:r w:rsidR="00794C60" w:rsidRPr="00E04E16">
              <w:rPr>
                <w:rFonts w:ascii="Arial Narrow" w:hAnsi="Arial Narrow"/>
                <w:sz w:val="20"/>
                <w:vertAlign w:val="superscript"/>
              </w:rPr>
              <w:t>a</w:t>
            </w:r>
            <w:r w:rsidRPr="00E04E16">
              <w:rPr>
                <w:rFonts w:ascii="Arial Narrow" w:hAnsi="Arial Narrow"/>
                <w:sz w:val="20"/>
              </w:rPr>
              <w:t>]</w:t>
            </w:r>
          </w:p>
          <w:p w:rsidR="00381AD8" w:rsidRPr="00E04E16" w:rsidRDefault="00381AD8" w:rsidP="00D81872">
            <w:pPr>
              <w:keepNext/>
              <w:keepLines/>
              <w:jc w:val="center"/>
              <w:rPr>
                <w:rFonts w:ascii="Arial Narrow" w:hAnsi="Arial Narrow"/>
                <w:sz w:val="20"/>
              </w:rPr>
            </w:pPr>
            <w:r w:rsidRPr="00E04E16">
              <w:rPr>
                <w:rFonts w:ascii="Arial Narrow" w:hAnsi="Arial Narrow"/>
                <w:sz w:val="20"/>
              </w:rPr>
              <w:t>81.35% [88.45%</w:t>
            </w:r>
            <w:r w:rsidR="00794C60" w:rsidRPr="00E04E16">
              <w:rPr>
                <w:rFonts w:ascii="Arial Narrow" w:hAnsi="Arial Narrow"/>
                <w:sz w:val="20"/>
                <w:vertAlign w:val="superscript"/>
              </w:rPr>
              <w:t>a</w:t>
            </w:r>
            <w:r w:rsidRPr="00E04E16">
              <w:rPr>
                <w:rFonts w:ascii="Arial Narrow" w:hAnsi="Arial Narrow"/>
                <w:sz w:val="20"/>
              </w:rPr>
              <w:t>]</w:t>
            </w:r>
          </w:p>
        </w:tc>
      </w:tr>
      <w:tr w:rsidR="00381AD8" w:rsidRPr="00E04E16" w:rsidTr="00381AD8">
        <w:tc>
          <w:tcPr>
            <w:tcW w:w="4248" w:type="dxa"/>
          </w:tcPr>
          <w:p w:rsidR="00381AD8" w:rsidRPr="00E04E16" w:rsidRDefault="00381AD8" w:rsidP="00D81872">
            <w:pPr>
              <w:keepNext/>
              <w:keepLines/>
              <w:rPr>
                <w:rFonts w:ascii="Arial Narrow" w:hAnsi="Arial Narrow"/>
                <w:b/>
                <w:sz w:val="20"/>
              </w:rPr>
            </w:pPr>
            <w:r w:rsidRPr="00E04E16">
              <w:rPr>
                <w:rFonts w:ascii="Arial Narrow" w:hAnsi="Arial Narrow"/>
                <w:b/>
                <w:sz w:val="20"/>
              </w:rPr>
              <w:t>Subsequent cycles</w:t>
            </w:r>
          </w:p>
        </w:tc>
        <w:tc>
          <w:tcPr>
            <w:tcW w:w="992" w:type="dxa"/>
            <w:vAlign w:val="center"/>
          </w:tcPr>
          <w:p w:rsidR="00381AD8" w:rsidRPr="00E04E16" w:rsidRDefault="00381AD8" w:rsidP="00D81872">
            <w:pPr>
              <w:keepNext/>
              <w:keepLines/>
              <w:jc w:val="center"/>
              <w:rPr>
                <w:rFonts w:ascii="Arial Narrow" w:hAnsi="Arial Narrow"/>
                <w:sz w:val="20"/>
              </w:rPr>
            </w:pPr>
          </w:p>
        </w:tc>
        <w:tc>
          <w:tcPr>
            <w:tcW w:w="1392" w:type="dxa"/>
            <w:vAlign w:val="center"/>
          </w:tcPr>
          <w:p w:rsidR="00381AD8" w:rsidRPr="00E04E16" w:rsidRDefault="00381AD8" w:rsidP="00D81872">
            <w:pPr>
              <w:keepNext/>
              <w:keepLines/>
              <w:jc w:val="center"/>
              <w:rPr>
                <w:rFonts w:ascii="Arial Narrow" w:hAnsi="Arial Narrow"/>
                <w:sz w:val="20"/>
              </w:rPr>
            </w:pPr>
          </w:p>
        </w:tc>
        <w:tc>
          <w:tcPr>
            <w:tcW w:w="1018" w:type="dxa"/>
          </w:tcPr>
          <w:p w:rsidR="00381AD8" w:rsidRPr="00E04E16" w:rsidRDefault="00381AD8" w:rsidP="00D81872">
            <w:pPr>
              <w:keepNext/>
              <w:keepLines/>
              <w:jc w:val="center"/>
              <w:rPr>
                <w:rFonts w:ascii="Arial Narrow" w:hAnsi="Arial Narrow"/>
                <w:sz w:val="20"/>
              </w:rPr>
            </w:pPr>
          </w:p>
        </w:tc>
        <w:tc>
          <w:tcPr>
            <w:tcW w:w="1366" w:type="dxa"/>
          </w:tcPr>
          <w:p w:rsidR="00381AD8" w:rsidRPr="00E04E16" w:rsidRDefault="00381AD8" w:rsidP="00D81872">
            <w:pPr>
              <w:keepNext/>
              <w:keepLines/>
              <w:jc w:val="center"/>
              <w:rPr>
                <w:rFonts w:ascii="Arial Narrow" w:hAnsi="Arial Narrow"/>
                <w:sz w:val="20"/>
              </w:rPr>
            </w:pPr>
          </w:p>
        </w:tc>
      </w:tr>
      <w:tr w:rsidR="00381AD8" w:rsidRPr="00E04E16" w:rsidTr="00381AD8">
        <w:tc>
          <w:tcPr>
            <w:tcW w:w="4248" w:type="dxa"/>
          </w:tcPr>
          <w:p w:rsidR="00381AD8" w:rsidRPr="00E04E16" w:rsidRDefault="00381AD8" w:rsidP="00D81872">
            <w:pPr>
              <w:keepNext/>
              <w:keepLines/>
              <w:rPr>
                <w:rFonts w:ascii="Arial Narrow" w:hAnsi="Arial Narrow"/>
                <w:sz w:val="20"/>
              </w:rPr>
            </w:pPr>
            <w:r w:rsidRPr="00E04E16">
              <w:rPr>
                <w:rFonts w:ascii="Arial Narrow" w:hAnsi="Arial Narrow"/>
                <w:sz w:val="20"/>
              </w:rPr>
              <w:t>- Full RAASi (&lt;5.5) to reduced RAASi (5.5-6.0)</w:t>
            </w:r>
          </w:p>
          <w:p w:rsidR="00381AD8" w:rsidRPr="00E04E16" w:rsidRDefault="00381AD8" w:rsidP="00D81872">
            <w:pPr>
              <w:keepNext/>
              <w:keepLines/>
              <w:rPr>
                <w:rFonts w:ascii="Arial Narrow" w:hAnsi="Arial Narrow"/>
                <w:sz w:val="20"/>
              </w:rPr>
            </w:pPr>
            <w:r w:rsidRPr="00E04E16">
              <w:rPr>
                <w:rFonts w:ascii="Arial Narrow" w:hAnsi="Arial Narrow"/>
                <w:sz w:val="20"/>
              </w:rPr>
              <w:t>- Reduced RAASi (5.5-6.0) to full RAASi (&lt;5.5)</w:t>
            </w:r>
          </w:p>
          <w:p w:rsidR="00381AD8" w:rsidRPr="00E04E16" w:rsidRDefault="00381AD8" w:rsidP="00D81872">
            <w:pPr>
              <w:keepNext/>
              <w:keepLines/>
              <w:rPr>
                <w:rFonts w:ascii="Arial Narrow" w:hAnsi="Arial Narrow"/>
                <w:sz w:val="20"/>
              </w:rPr>
            </w:pPr>
            <w:r w:rsidRPr="00E04E16">
              <w:rPr>
                <w:rFonts w:ascii="Arial Narrow" w:hAnsi="Arial Narrow"/>
                <w:sz w:val="20"/>
              </w:rPr>
              <w:t>- Reduced RAASi (5.5-6.0) to discontinued RAASi (&gt;6.0)</w:t>
            </w:r>
          </w:p>
          <w:p w:rsidR="00381AD8" w:rsidRPr="00E04E16" w:rsidRDefault="00381AD8" w:rsidP="00D81872">
            <w:pPr>
              <w:keepNext/>
              <w:keepLines/>
              <w:rPr>
                <w:rFonts w:ascii="Arial Narrow" w:hAnsi="Arial Narrow"/>
                <w:sz w:val="20"/>
              </w:rPr>
            </w:pPr>
            <w:r w:rsidRPr="00E04E16">
              <w:rPr>
                <w:rFonts w:ascii="Arial Narrow" w:hAnsi="Arial Narrow"/>
                <w:sz w:val="20"/>
              </w:rPr>
              <w:t>- Discontinued RAASi (&gt;6.0) to reduced RAASi (5.5-6.0)</w:t>
            </w:r>
          </w:p>
        </w:tc>
        <w:tc>
          <w:tcPr>
            <w:tcW w:w="992" w:type="dxa"/>
            <w:vAlign w:val="center"/>
          </w:tcPr>
          <w:p w:rsidR="00381AD8" w:rsidRPr="00E04E16" w:rsidRDefault="00381AD8" w:rsidP="00D81872">
            <w:pPr>
              <w:keepNext/>
              <w:keepLines/>
              <w:jc w:val="center"/>
              <w:rPr>
                <w:rFonts w:ascii="Arial Narrow" w:hAnsi="Arial Narrow"/>
                <w:sz w:val="20"/>
              </w:rPr>
            </w:pPr>
            <w:r w:rsidRPr="00E04E16">
              <w:rPr>
                <w:rFonts w:ascii="Arial Narrow" w:hAnsi="Arial Narrow"/>
                <w:sz w:val="20"/>
              </w:rPr>
              <w:t>0.06%</w:t>
            </w:r>
          </w:p>
          <w:p w:rsidR="00381AD8" w:rsidRPr="00E04E16" w:rsidRDefault="00381AD8" w:rsidP="00D81872">
            <w:pPr>
              <w:keepNext/>
              <w:keepLines/>
              <w:jc w:val="center"/>
              <w:rPr>
                <w:rFonts w:ascii="Arial Narrow" w:hAnsi="Arial Narrow"/>
                <w:sz w:val="20"/>
              </w:rPr>
            </w:pPr>
            <w:r w:rsidRPr="00E04E16">
              <w:rPr>
                <w:rFonts w:ascii="Arial Narrow" w:hAnsi="Arial Narrow"/>
                <w:sz w:val="20"/>
              </w:rPr>
              <w:t>11.44%</w:t>
            </w:r>
          </w:p>
          <w:p w:rsidR="00381AD8" w:rsidRPr="00E04E16" w:rsidRDefault="00381AD8" w:rsidP="00D81872">
            <w:pPr>
              <w:keepNext/>
              <w:keepLines/>
              <w:jc w:val="center"/>
              <w:rPr>
                <w:rFonts w:ascii="Arial Narrow" w:hAnsi="Arial Narrow"/>
                <w:sz w:val="20"/>
              </w:rPr>
            </w:pPr>
            <w:r w:rsidRPr="00E04E16">
              <w:rPr>
                <w:rFonts w:ascii="Arial Narrow" w:hAnsi="Arial Narrow"/>
                <w:sz w:val="20"/>
              </w:rPr>
              <w:t>0.07%</w:t>
            </w:r>
          </w:p>
          <w:p w:rsidR="00381AD8" w:rsidRPr="00E04E16" w:rsidRDefault="00381AD8" w:rsidP="00D81872">
            <w:pPr>
              <w:keepNext/>
              <w:keepLines/>
              <w:jc w:val="center"/>
              <w:rPr>
                <w:rFonts w:ascii="Arial Narrow" w:hAnsi="Arial Narrow"/>
                <w:sz w:val="20"/>
              </w:rPr>
            </w:pPr>
            <w:r w:rsidRPr="00E04E16">
              <w:rPr>
                <w:rFonts w:ascii="Arial Narrow" w:hAnsi="Arial Narrow"/>
                <w:sz w:val="20"/>
              </w:rPr>
              <w:t>13.14%</w:t>
            </w:r>
          </w:p>
        </w:tc>
        <w:tc>
          <w:tcPr>
            <w:tcW w:w="1392" w:type="dxa"/>
            <w:vAlign w:val="center"/>
          </w:tcPr>
          <w:p w:rsidR="00381AD8" w:rsidRPr="00E04E16" w:rsidRDefault="00381AD8" w:rsidP="00D81872">
            <w:pPr>
              <w:keepNext/>
              <w:keepLines/>
              <w:jc w:val="center"/>
              <w:rPr>
                <w:rFonts w:ascii="Arial Narrow" w:hAnsi="Arial Narrow"/>
                <w:sz w:val="20"/>
              </w:rPr>
            </w:pPr>
            <w:r w:rsidRPr="00E04E16">
              <w:rPr>
                <w:rFonts w:ascii="Arial Narrow" w:hAnsi="Arial Narrow"/>
                <w:sz w:val="20"/>
              </w:rPr>
              <w:t>0.35%</w:t>
            </w:r>
          </w:p>
          <w:p w:rsidR="00381AD8" w:rsidRPr="00E04E16" w:rsidRDefault="00381AD8" w:rsidP="00D81872">
            <w:pPr>
              <w:keepNext/>
              <w:keepLines/>
              <w:jc w:val="center"/>
              <w:rPr>
                <w:rFonts w:ascii="Arial Narrow" w:hAnsi="Arial Narrow"/>
                <w:sz w:val="20"/>
              </w:rPr>
            </w:pPr>
            <w:r w:rsidRPr="00E04E16">
              <w:rPr>
                <w:rFonts w:ascii="Arial Narrow" w:hAnsi="Arial Narrow"/>
                <w:sz w:val="20"/>
              </w:rPr>
              <w:t>11.44%</w:t>
            </w:r>
          </w:p>
          <w:p w:rsidR="00381AD8" w:rsidRPr="00E04E16" w:rsidRDefault="00381AD8" w:rsidP="00D81872">
            <w:pPr>
              <w:keepNext/>
              <w:keepLines/>
              <w:jc w:val="center"/>
              <w:rPr>
                <w:rFonts w:ascii="Arial Narrow" w:hAnsi="Arial Narrow"/>
                <w:sz w:val="20"/>
              </w:rPr>
            </w:pPr>
            <w:r w:rsidRPr="00E04E16">
              <w:rPr>
                <w:rFonts w:ascii="Arial Narrow" w:hAnsi="Arial Narrow"/>
                <w:sz w:val="20"/>
              </w:rPr>
              <w:t>0.38%</w:t>
            </w:r>
          </w:p>
          <w:p w:rsidR="00381AD8" w:rsidRPr="00E04E16" w:rsidRDefault="00381AD8" w:rsidP="00D81872">
            <w:pPr>
              <w:keepNext/>
              <w:keepLines/>
              <w:jc w:val="center"/>
              <w:rPr>
                <w:rFonts w:ascii="Arial Narrow" w:hAnsi="Arial Narrow"/>
                <w:sz w:val="20"/>
              </w:rPr>
            </w:pPr>
            <w:r w:rsidRPr="00E04E16">
              <w:rPr>
                <w:rFonts w:ascii="Arial Narrow" w:hAnsi="Arial Narrow"/>
                <w:sz w:val="20"/>
              </w:rPr>
              <w:t>13.14%</w:t>
            </w:r>
          </w:p>
        </w:tc>
        <w:tc>
          <w:tcPr>
            <w:tcW w:w="1018" w:type="dxa"/>
          </w:tcPr>
          <w:p w:rsidR="00381AD8" w:rsidRPr="00E04E16" w:rsidRDefault="00381AD8" w:rsidP="00D81872">
            <w:pPr>
              <w:keepNext/>
              <w:keepLines/>
              <w:jc w:val="center"/>
              <w:rPr>
                <w:rFonts w:ascii="Arial Narrow" w:hAnsi="Arial Narrow"/>
                <w:sz w:val="20"/>
              </w:rPr>
            </w:pPr>
            <w:r w:rsidRPr="00E04E16">
              <w:rPr>
                <w:rFonts w:ascii="Arial Narrow" w:hAnsi="Arial Narrow"/>
                <w:sz w:val="20"/>
              </w:rPr>
              <w:t>0.18%</w:t>
            </w:r>
          </w:p>
          <w:p w:rsidR="00381AD8" w:rsidRPr="00E04E16" w:rsidRDefault="00381AD8" w:rsidP="00D81872">
            <w:pPr>
              <w:keepNext/>
              <w:keepLines/>
              <w:jc w:val="center"/>
              <w:rPr>
                <w:rFonts w:ascii="Arial Narrow" w:hAnsi="Arial Narrow"/>
                <w:sz w:val="20"/>
              </w:rPr>
            </w:pPr>
            <w:r w:rsidRPr="00E04E16">
              <w:rPr>
                <w:rFonts w:ascii="Arial Narrow" w:hAnsi="Arial Narrow"/>
                <w:sz w:val="20"/>
              </w:rPr>
              <w:t>9.43%</w:t>
            </w:r>
          </w:p>
          <w:p w:rsidR="00381AD8" w:rsidRPr="00E04E16" w:rsidRDefault="00381AD8" w:rsidP="00D81872">
            <w:pPr>
              <w:keepNext/>
              <w:keepLines/>
              <w:jc w:val="center"/>
              <w:rPr>
                <w:rFonts w:ascii="Arial Narrow" w:hAnsi="Arial Narrow"/>
                <w:sz w:val="20"/>
              </w:rPr>
            </w:pPr>
            <w:r w:rsidRPr="00E04E16">
              <w:rPr>
                <w:rFonts w:ascii="Arial Narrow" w:hAnsi="Arial Narrow"/>
                <w:sz w:val="20"/>
              </w:rPr>
              <w:t>0.19%</w:t>
            </w:r>
          </w:p>
          <w:p w:rsidR="00381AD8" w:rsidRPr="00E04E16" w:rsidRDefault="00381AD8" w:rsidP="00D81872">
            <w:pPr>
              <w:keepNext/>
              <w:keepLines/>
              <w:jc w:val="center"/>
              <w:rPr>
                <w:rFonts w:ascii="Arial Narrow" w:hAnsi="Arial Narrow"/>
                <w:sz w:val="20"/>
              </w:rPr>
            </w:pPr>
            <w:r w:rsidRPr="00E04E16">
              <w:rPr>
                <w:rFonts w:ascii="Arial Narrow" w:hAnsi="Arial Narrow"/>
                <w:sz w:val="20"/>
              </w:rPr>
              <w:t>11.24%</w:t>
            </w:r>
          </w:p>
        </w:tc>
        <w:tc>
          <w:tcPr>
            <w:tcW w:w="1366" w:type="dxa"/>
          </w:tcPr>
          <w:p w:rsidR="00381AD8" w:rsidRPr="00E04E16" w:rsidRDefault="00381AD8" w:rsidP="00D81872">
            <w:pPr>
              <w:keepNext/>
              <w:keepLines/>
              <w:jc w:val="center"/>
              <w:rPr>
                <w:rFonts w:ascii="Arial Narrow" w:hAnsi="Arial Narrow"/>
                <w:sz w:val="20"/>
              </w:rPr>
            </w:pPr>
            <w:r w:rsidRPr="00E04E16">
              <w:rPr>
                <w:rFonts w:ascii="Arial Narrow" w:hAnsi="Arial Narrow"/>
                <w:sz w:val="20"/>
              </w:rPr>
              <w:t>1.01%</w:t>
            </w:r>
          </w:p>
          <w:p w:rsidR="00381AD8" w:rsidRPr="00E04E16" w:rsidRDefault="00381AD8" w:rsidP="00D81872">
            <w:pPr>
              <w:keepNext/>
              <w:keepLines/>
              <w:jc w:val="center"/>
              <w:rPr>
                <w:rFonts w:ascii="Arial Narrow" w:hAnsi="Arial Narrow"/>
                <w:sz w:val="20"/>
              </w:rPr>
            </w:pPr>
            <w:r w:rsidRPr="00E04E16">
              <w:rPr>
                <w:rFonts w:ascii="Arial Narrow" w:hAnsi="Arial Narrow"/>
                <w:sz w:val="20"/>
              </w:rPr>
              <w:t>9.43%</w:t>
            </w:r>
          </w:p>
          <w:p w:rsidR="00381AD8" w:rsidRPr="00E04E16" w:rsidRDefault="00381AD8" w:rsidP="00D81872">
            <w:pPr>
              <w:keepNext/>
              <w:keepLines/>
              <w:jc w:val="center"/>
              <w:rPr>
                <w:rFonts w:ascii="Arial Narrow" w:hAnsi="Arial Narrow"/>
                <w:sz w:val="20"/>
              </w:rPr>
            </w:pPr>
            <w:r w:rsidRPr="00E04E16">
              <w:rPr>
                <w:rFonts w:ascii="Arial Narrow" w:hAnsi="Arial Narrow"/>
                <w:sz w:val="20"/>
              </w:rPr>
              <w:t>1.02%</w:t>
            </w:r>
          </w:p>
          <w:p w:rsidR="00381AD8" w:rsidRPr="00E04E16" w:rsidRDefault="00381AD8" w:rsidP="00D81872">
            <w:pPr>
              <w:keepNext/>
              <w:keepLines/>
              <w:jc w:val="center"/>
              <w:rPr>
                <w:rFonts w:ascii="Arial Narrow" w:hAnsi="Arial Narrow"/>
                <w:sz w:val="20"/>
              </w:rPr>
            </w:pPr>
            <w:r w:rsidRPr="00E04E16">
              <w:rPr>
                <w:rFonts w:ascii="Arial Narrow" w:hAnsi="Arial Narrow"/>
                <w:sz w:val="20"/>
              </w:rPr>
              <w:t>11.24%</w:t>
            </w:r>
          </w:p>
        </w:tc>
      </w:tr>
    </w:tbl>
    <w:p w:rsidR="00381AD8" w:rsidRPr="00E04E16" w:rsidRDefault="00381AD8" w:rsidP="00D81872">
      <w:pPr>
        <w:pStyle w:val="TableFigureFooter"/>
        <w:keepNext/>
        <w:keepLines/>
      </w:pPr>
      <w:r w:rsidRPr="00E04E16">
        <w:t>Source: Table 3.4.3, p105; Table 3.4.4, p106; Table 3.4.5, p107 of the resubmission and ATTACHMENT 7 - Cost Effectiveness Model Excel spreadsheet provided with the resubmission</w:t>
      </w:r>
    </w:p>
    <w:p w:rsidR="00381AD8" w:rsidRPr="00E04E16" w:rsidRDefault="00381AD8" w:rsidP="00D81872">
      <w:pPr>
        <w:pStyle w:val="TableFigureFooter"/>
        <w:keepNext/>
        <w:keepLines/>
      </w:pPr>
      <w:r w:rsidRPr="00E04E16">
        <w:t>Abbreviations: CKD, chronic kidney disease; RAASi, renin-angiotensin-aldosterone inhibitor</w:t>
      </w:r>
    </w:p>
    <w:p w:rsidR="00381AD8" w:rsidRPr="00E04E16" w:rsidRDefault="00794C60" w:rsidP="00BB546F">
      <w:pPr>
        <w:pStyle w:val="TableFigureFooter"/>
        <w:keepNext/>
        <w:keepLines/>
        <w:spacing w:after="240"/>
      </w:pPr>
      <w:r w:rsidRPr="00E04E16">
        <w:rPr>
          <w:vertAlign w:val="superscript"/>
        </w:rPr>
        <w:t xml:space="preserve">a </w:t>
      </w:r>
      <w:r w:rsidR="00381AD8" w:rsidRPr="00E04E16">
        <w:t>values corrected during the evaluation. The submission appeared to combine the proportion of patients who transitioned to the reduced RAASi state with those who transitioned to the full RAASi state. This adjustment is conducted for subsequent cycles, given the model allows stepwise transitions only, but is allowed in the initial cycle.</w:t>
      </w:r>
    </w:p>
    <w:p w:rsidR="00381AD8" w:rsidRPr="00E04E16" w:rsidRDefault="00381AD8" w:rsidP="00CD1345">
      <w:pPr>
        <w:pStyle w:val="ExecSumBodyText"/>
      </w:pPr>
      <w:r w:rsidRPr="00E04E16">
        <w:t>Table 13 shows the large difference in treatment effect between patiromer and standard care in the first cycle, with 100% of patiromer treated patients transitioning to the lowest serum potassium state</w:t>
      </w:r>
      <w:r w:rsidR="00A20058" w:rsidRPr="00E04E16">
        <w:t xml:space="preserve"> (and </w:t>
      </w:r>
      <w:r w:rsidR="00267AE0" w:rsidRPr="00E04E16">
        <w:t xml:space="preserve">thus </w:t>
      </w:r>
      <w:r w:rsidR="00A20058" w:rsidRPr="00E04E16">
        <w:t>remaining on full RAASi doses)</w:t>
      </w:r>
      <w:r w:rsidRPr="00E04E16">
        <w:t>, compared with 7-11% of standard care patients.</w:t>
      </w:r>
      <w:r w:rsidR="00A350AB" w:rsidRPr="00E04E16">
        <w:t xml:space="preserve"> The first cycle transition probabilities in the model were derived from a post</w:t>
      </w:r>
      <w:r w:rsidR="005625EB" w:rsidRPr="00E04E16">
        <w:t>-</w:t>
      </w:r>
      <w:r w:rsidR="00A350AB" w:rsidRPr="00E04E16">
        <w:t xml:space="preserve">hoc subgroup analysis of OPAL-HK Part A for the patiromer arm, and from the UK CPRD analysis for the standard care arm. The ESC considered that the two data sources did not appear </w:t>
      </w:r>
      <w:r w:rsidR="00A20058" w:rsidRPr="00E04E16">
        <w:t>similar</w:t>
      </w:r>
      <w:r w:rsidR="00A350AB" w:rsidRPr="00E04E16">
        <w:t xml:space="preserve"> g</w:t>
      </w:r>
      <w:r w:rsidRPr="00E04E16">
        <w:t>iven the differences between the studies in terms of population (differences in age, CKD state, comorbidities and history of RAASi use) and setting (strict protocols and intensive monitoring in the clinical trial)</w:t>
      </w:r>
      <w:r w:rsidR="00111B9F" w:rsidRPr="00E04E16">
        <w:t>.</w:t>
      </w:r>
      <w:r w:rsidRPr="00E04E16">
        <w:t xml:space="preserve"> </w:t>
      </w:r>
      <w:r w:rsidR="00111B9F" w:rsidRPr="00E04E16">
        <w:t xml:space="preserve">The ESC </w:t>
      </w:r>
      <w:r w:rsidR="00A350AB" w:rsidRPr="00E04E16">
        <w:t xml:space="preserve">considered that </w:t>
      </w:r>
      <w:r w:rsidRPr="00E04E16">
        <w:t xml:space="preserve">it </w:t>
      </w:r>
      <w:r w:rsidR="00A20058" w:rsidRPr="00E04E16">
        <w:t>wa</w:t>
      </w:r>
      <w:r w:rsidRPr="00E04E16">
        <w:t>s not reasonable to assume that differences in the proportions of patients achieving serum potassium &lt;5.5 mmol/L were solely due to the use of patiromer.</w:t>
      </w:r>
      <w:r w:rsidR="007B65BE" w:rsidRPr="00E04E16">
        <w:t xml:space="preserve"> The subsequent cycle transitions between serum potassium/RAASi dose intensity health states for the standard care arm were also informed by the CPRD analysis. </w:t>
      </w:r>
    </w:p>
    <w:p w:rsidR="00884540" w:rsidRPr="00E04E16" w:rsidRDefault="00620330" w:rsidP="00884540">
      <w:pPr>
        <w:pStyle w:val="ExecSumBodyText"/>
      </w:pPr>
      <w:r w:rsidRPr="00E04E16">
        <w:t>The ESC considered</w:t>
      </w:r>
      <w:r w:rsidR="00A12E0E" w:rsidRPr="00E04E16">
        <w:t xml:space="preserve"> that the</w:t>
      </w:r>
      <w:r w:rsidR="007B65BE" w:rsidRPr="00E04E16">
        <w:t xml:space="preserve"> CPRD</w:t>
      </w:r>
      <w:r w:rsidR="00A12E0E" w:rsidRPr="00E04E16">
        <w:t xml:space="preserve"> analysis resulted</w:t>
      </w:r>
      <w:r w:rsidRPr="00E04E16">
        <w:t xml:space="preserve"> in implausibly high proportions of patients </w:t>
      </w:r>
      <w:r w:rsidR="00FD5555" w:rsidRPr="00E04E16">
        <w:t>in the</w:t>
      </w:r>
      <w:r w:rsidR="00471DCE" w:rsidRPr="00E04E16">
        <w:t xml:space="preserve"> standard care </w:t>
      </w:r>
      <w:r w:rsidR="00FD5555" w:rsidRPr="00E04E16">
        <w:t xml:space="preserve">arm </w:t>
      </w:r>
      <w:r w:rsidRPr="00E04E16">
        <w:t xml:space="preserve">remaining in the </w:t>
      </w:r>
      <w:r w:rsidRPr="00E04E16">
        <w:rPr>
          <w:rFonts w:cstheme="minorHAnsi"/>
        </w:rPr>
        <w:t>&gt;</w:t>
      </w:r>
      <w:r w:rsidRPr="00E04E16">
        <w:t>6.0</w:t>
      </w:r>
      <w:r w:rsidR="00263BA4" w:rsidRPr="00E04E16">
        <w:t xml:space="preserve"> mmol/L serum p</w:t>
      </w:r>
      <w:r w:rsidR="00721430" w:rsidRPr="00E04E16">
        <w:t xml:space="preserve">otassium </w:t>
      </w:r>
      <w:r w:rsidR="00721430" w:rsidRPr="00E04E16">
        <w:lastRenderedPageBreak/>
        <w:t>category</w:t>
      </w:r>
      <w:r w:rsidR="00FD5555" w:rsidRPr="00E04E16">
        <w:t xml:space="preserve"> in the initial cycle (&gt;86.6%, as corrected by the evaluation), and thus discontinuing RAASi therapy</w:t>
      </w:r>
      <w:r w:rsidR="00263BA4" w:rsidRPr="00E04E16">
        <w:t>.</w:t>
      </w:r>
      <w:r w:rsidR="007B65BE" w:rsidRPr="00E04E16">
        <w:t xml:space="preserve"> </w:t>
      </w:r>
    </w:p>
    <w:p w:rsidR="00AE3B06" w:rsidRPr="00E04E16" w:rsidRDefault="007B65BE" w:rsidP="00356825">
      <w:pPr>
        <w:pStyle w:val="ExecSumBodyText"/>
      </w:pPr>
      <w:r w:rsidRPr="00E04E16">
        <w:t xml:space="preserve">The ESC also considered that the very low probabilities of </w:t>
      </w:r>
      <w:r w:rsidR="003D4A3A" w:rsidRPr="00E04E16">
        <w:t>transitioni</w:t>
      </w:r>
      <w:r w:rsidRPr="00E04E16">
        <w:t xml:space="preserve">ng out of the </w:t>
      </w:r>
      <w:r w:rsidR="00FD5555" w:rsidRPr="00E04E16">
        <w:t>full RAASi (</w:t>
      </w:r>
      <w:r w:rsidRPr="00E04E16">
        <w:t>&lt;5.5 mmol/L</w:t>
      </w:r>
      <w:r w:rsidR="00FD5555" w:rsidRPr="00E04E16">
        <w:t>)</w:t>
      </w:r>
      <w:r w:rsidRPr="00E04E16">
        <w:t xml:space="preserve"> </w:t>
      </w:r>
      <w:r w:rsidR="00FD5555" w:rsidRPr="00E04E16">
        <w:t>category</w:t>
      </w:r>
      <w:r w:rsidRPr="00E04E16">
        <w:t xml:space="preserve"> in subsequent cycles (0.35% to 1.01% per cycle in the standard care arm) were implausible. Th</w:t>
      </w:r>
      <w:r w:rsidR="008C5D2D" w:rsidRPr="00E04E16">
        <w:t xml:space="preserve">e ESC noted that patients in the patiromer arm would: all transition to the </w:t>
      </w:r>
      <w:r w:rsidR="00FD5555" w:rsidRPr="00E04E16">
        <w:t xml:space="preserve">full RAASi (&lt;5.5 mmol/L) category </w:t>
      </w:r>
      <w:r w:rsidR="008C5D2D" w:rsidRPr="00E04E16">
        <w:t>in the initial cycle; cease patiromer within 12 months (median of 3 months)</w:t>
      </w:r>
      <w:r w:rsidR="002F12DF">
        <w:rPr>
          <w:rStyle w:val="FootnoteReference"/>
        </w:rPr>
        <w:footnoteReference w:id="3"/>
      </w:r>
      <w:r w:rsidR="008C5D2D" w:rsidRPr="00E04E16">
        <w:t xml:space="preserve"> </w:t>
      </w:r>
      <w:r w:rsidR="00B34EB0" w:rsidRPr="00E04E16">
        <w:t>thus accruing</w:t>
      </w:r>
      <w:r w:rsidR="008C5D2D" w:rsidRPr="00E04E16">
        <w:t xml:space="preserve"> no further drug costs; and remain in </w:t>
      </w:r>
      <w:r w:rsidR="00FD5555" w:rsidRPr="00E04E16">
        <w:t>the</w:t>
      </w:r>
      <w:r w:rsidR="008C5D2D" w:rsidRPr="00E04E16">
        <w:t xml:space="preserve"> full RAASi (&lt;5.5 mmol/L serum potassium) category for a prolonged period due to the low probability of leaving this </w:t>
      </w:r>
      <w:r w:rsidR="00B34EB0" w:rsidRPr="00E04E16">
        <w:t>category</w:t>
      </w:r>
      <w:r w:rsidR="00E11441" w:rsidRPr="00E04E16">
        <w:t>.</w:t>
      </w:r>
      <w:r w:rsidR="00CD1345" w:rsidRPr="00E04E16">
        <w:t xml:space="preserve"> </w:t>
      </w:r>
      <w:r w:rsidR="008C5D2D" w:rsidRPr="00E04E16">
        <w:t xml:space="preserve">Even when patients eventually transition to the reduced RAASi (5.5-6.0) </w:t>
      </w:r>
      <w:r w:rsidR="00FD5555" w:rsidRPr="00E04E16">
        <w:t>category</w:t>
      </w:r>
      <w:r w:rsidR="008C5D2D" w:rsidRPr="00E04E16">
        <w:t>, the probability of discontinuing RAASi therapy (&gt;6.0) is low (0.38% to 1.02% per cycle in subsequent cy</w:t>
      </w:r>
      <w:r w:rsidR="00FD5555" w:rsidRPr="00E04E16">
        <w:t>c</w:t>
      </w:r>
      <w:r w:rsidR="008C5D2D" w:rsidRPr="00E04E16">
        <w:t>les in the standard care arm).</w:t>
      </w:r>
      <w:r w:rsidR="00CD1345" w:rsidRPr="00E04E16">
        <w:t xml:space="preserve"> </w:t>
      </w:r>
      <w:r w:rsidR="00356825" w:rsidRPr="00E04E16">
        <w:t>While some patients who cease patiromer may remain on full RAASi doses, t</w:t>
      </w:r>
      <w:r w:rsidR="00CD1345" w:rsidRPr="00E04E16">
        <w:t xml:space="preserve">he ESC considered that it was implausible to apply these assumptions to the full cohort of patients initiated on patiromer. The ESC considered it was </w:t>
      </w:r>
      <w:r w:rsidR="00C417A6" w:rsidRPr="00E04E16">
        <w:t xml:space="preserve">highly </w:t>
      </w:r>
      <w:r w:rsidR="00CD1345" w:rsidRPr="00E04E16">
        <w:t xml:space="preserve">implausible that </w:t>
      </w:r>
      <w:r w:rsidR="00356825" w:rsidRPr="00E04E16">
        <w:t>short-term</w:t>
      </w:r>
      <w:r w:rsidR="00CD1345" w:rsidRPr="00E04E16">
        <w:t xml:space="preserve"> patiromer </w:t>
      </w:r>
      <w:r w:rsidR="000915E1" w:rsidRPr="00E04E16">
        <w:t>treatment</w:t>
      </w:r>
      <w:r w:rsidR="00E11441" w:rsidRPr="00E04E16">
        <w:t xml:space="preserve"> would</w:t>
      </w:r>
      <w:r w:rsidR="00CD1345" w:rsidRPr="00E04E16">
        <w:t xml:space="preserve"> </w:t>
      </w:r>
      <w:r w:rsidR="000915E1" w:rsidRPr="00E04E16">
        <w:t xml:space="preserve">lead to patients </w:t>
      </w:r>
      <w:r w:rsidR="00CD1345" w:rsidRPr="00E04E16">
        <w:t>remain</w:t>
      </w:r>
      <w:r w:rsidR="000915E1" w:rsidRPr="00E04E16">
        <w:t>ing</w:t>
      </w:r>
      <w:r w:rsidR="00CD1345" w:rsidRPr="00E04E16">
        <w:t xml:space="preserve"> on full RAASi therapy </w:t>
      </w:r>
      <w:r w:rsidR="00356825" w:rsidRPr="00E04E16">
        <w:t xml:space="preserve">for a prolonged period </w:t>
      </w:r>
      <w:r w:rsidR="00CD1345" w:rsidRPr="00E04E16">
        <w:t>and gain</w:t>
      </w:r>
      <w:r w:rsidR="000915E1" w:rsidRPr="00E04E16">
        <w:t>ing</w:t>
      </w:r>
      <w:r w:rsidR="00CD1345" w:rsidRPr="00E04E16">
        <w:t xml:space="preserve"> CV benefits over a 35 year time horizon</w:t>
      </w:r>
      <w:r w:rsidR="00E04E16">
        <w:t xml:space="preserve">. </w:t>
      </w:r>
    </w:p>
    <w:p w:rsidR="0076760E" w:rsidRPr="00E04E16" w:rsidRDefault="008C5D2D" w:rsidP="00CD1345">
      <w:pPr>
        <w:pStyle w:val="ExecSumBodyText"/>
      </w:pPr>
      <w:r w:rsidRPr="00E04E16">
        <w:t>As noted in</w:t>
      </w:r>
      <w:r w:rsidR="00331A38" w:rsidRPr="00E04E16">
        <w:t xml:space="preserve"> </w:t>
      </w:r>
      <w:r w:rsidR="001D4345" w:rsidRPr="00E04E16">
        <w:t>the comparative effectiveness section</w:t>
      </w:r>
      <w:r w:rsidRPr="00E04E16">
        <w:t>, t</w:t>
      </w:r>
      <w:r w:rsidR="00A20058" w:rsidRPr="00E04E16">
        <w:t xml:space="preserve">he ESC considered the </w:t>
      </w:r>
      <w:r w:rsidR="00267AE0" w:rsidRPr="00E04E16">
        <w:t xml:space="preserve">transition probabilities derived from the CPRD analysis were </w:t>
      </w:r>
      <w:r w:rsidR="00A20058" w:rsidRPr="00E04E16">
        <w:t xml:space="preserve">not reliable because </w:t>
      </w:r>
      <w:r w:rsidR="004855CF" w:rsidRPr="00E04E16">
        <w:t>no details were provided on the frequency o</w:t>
      </w:r>
      <w:r w:rsidR="00604B55" w:rsidRPr="00E04E16">
        <w:t>f testing in the population,</w:t>
      </w:r>
      <w:r w:rsidR="005D2DA7" w:rsidRPr="00E04E16">
        <w:t xml:space="preserve"> limited results of the analysis were provided,</w:t>
      </w:r>
      <w:r w:rsidR="00604B55" w:rsidRPr="00E04E16">
        <w:t xml:space="preserve"> and </w:t>
      </w:r>
      <w:r w:rsidR="00267AE0" w:rsidRPr="00E04E16">
        <w:t>a</w:t>
      </w:r>
      <w:r w:rsidR="004855CF" w:rsidRPr="00E04E16">
        <w:t xml:space="preserve"> last observation carried forward </w:t>
      </w:r>
      <w:r w:rsidR="00A048D2" w:rsidRPr="00E04E16">
        <w:t>approach was used for missing serum potassium value</w:t>
      </w:r>
      <w:r w:rsidR="00604B55" w:rsidRPr="00E04E16">
        <w:t>s</w:t>
      </w:r>
      <w:r w:rsidR="006B79B6" w:rsidRPr="00E04E16">
        <w:t xml:space="preserve"> with the previous serum potassium value used until a new serum potassium value was reported. This approach </w:t>
      </w:r>
      <w:r w:rsidR="00267AE0" w:rsidRPr="00E04E16">
        <w:t>wa</w:t>
      </w:r>
      <w:r w:rsidR="006B79B6" w:rsidRPr="00E04E16">
        <w:t>s not reasonable given the short-term episodic nature of hyperkalaemia, where the detection of hyperkalaemia and its resolution is dependent on frequency of testing. If testing is not frequent, the month-to-month variation in serum potassium will not be captured.</w:t>
      </w:r>
      <w:r w:rsidR="00A048D2" w:rsidRPr="00E04E16">
        <w:t xml:space="preserve"> </w:t>
      </w:r>
      <w:r w:rsidR="007B65BE" w:rsidRPr="00E04E16">
        <w:t xml:space="preserve">Further, the ESC noted that there was no attempt to validate the results of the CPRD analysis with external sources. </w:t>
      </w:r>
    </w:p>
    <w:p w:rsidR="00D402AC" w:rsidRPr="00E04E16" w:rsidRDefault="0076760E" w:rsidP="00D402AC">
      <w:pPr>
        <w:pStyle w:val="ExecSumBodyText"/>
      </w:pPr>
      <w:r w:rsidRPr="00E04E16">
        <w:t>The</w:t>
      </w:r>
      <w:r w:rsidR="00D402AC" w:rsidRPr="00E04E16">
        <w:t xml:space="preserve"> CPRD analysis does not include transitions between RAASi dose intensity levels. In the model, it is assumed that the serum potassium levels correspond to levels of RAASi intensity: full RAASi dose in those with serum potassium &lt;5.5 mmol/L; reduced RAASi dose in those with serum potassium 5.5-6.0 mmol/L; and discontinued RAASi treatment in those with serum potassium &gt;6 mmol/L. However, no treatment effect on serum potassium level is incorporated for RAASi dose reduction or discontinuation.</w:t>
      </w:r>
      <w:r w:rsidR="00275E01" w:rsidRPr="00E04E16">
        <w:t xml:space="preserve"> </w:t>
      </w:r>
    </w:p>
    <w:p w:rsidR="006B79B6" w:rsidRPr="00E04E16" w:rsidRDefault="006B79B6" w:rsidP="00D402AC">
      <w:pPr>
        <w:pStyle w:val="ExecSumBodyText"/>
      </w:pPr>
      <w:r w:rsidRPr="00E04E16">
        <w:t>The ESC also noted that the individual patient data informing the patiromer arm for initial transitions were not prov</w:t>
      </w:r>
      <w:r w:rsidR="007B65BE" w:rsidRPr="00E04E16">
        <w:t>id</w:t>
      </w:r>
      <w:r w:rsidRPr="00E04E16">
        <w:t>ed and could not be verified.</w:t>
      </w:r>
    </w:p>
    <w:p w:rsidR="00AE3B06" w:rsidRPr="00E04E16" w:rsidRDefault="00267AE0" w:rsidP="00267AE0">
      <w:pPr>
        <w:pStyle w:val="ExecSumBodyText"/>
      </w:pPr>
      <w:r w:rsidRPr="00E04E16">
        <w:lastRenderedPageBreak/>
        <w:t>To derive subsequent transitions (Cycle 2+) between serum potassium/RAASi intensity health states f</w:t>
      </w:r>
      <w:r w:rsidR="00AE3B06" w:rsidRPr="00E04E16">
        <w:t xml:space="preserve">or the patiromer arm, the resubmission derived a hazard ratio of maintaining normokalaemia for patiromer versus placebo, </w:t>
      </w:r>
      <w:r w:rsidRPr="00E04E16">
        <w:t xml:space="preserve">based on individual patient data from OPAL-HK Part B for those with a baseline serum potassium &gt;6.0 mmol/L in OPAL-HK Part A (as shown in Figure 1). This analysis was </w:t>
      </w:r>
      <w:r w:rsidR="00AE3B06" w:rsidRPr="00E04E16">
        <w:t>based on small patient numbers (</w:t>
      </w:r>
      <w:r w:rsidRPr="00E04E16">
        <w:t>n</w:t>
      </w:r>
      <w:r w:rsidR="00AE3B06" w:rsidRPr="00E04E16">
        <w:t xml:space="preserve">=11 patiromer; </w:t>
      </w:r>
      <w:r w:rsidRPr="00E04E16">
        <w:t>n</w:t>
      </w:r>
      <w:r w:rsidR="00AE3B06" w:rsidRPr="00E04E16">
        <w:t>=14 placebo) and small numbers of events (</w:t>
      </w:r>
      <w:r w:rsidRPr="00E04E16">
        <w:t>n</w:t>
      </w:r>
      <w:r w:rsidR="00AE3B06" w:rsidRPr="00E04E16">
        <w:t xml:space="preserve">=2 patiromer; </w:t>
      </w:r>
      <w:r w:rsidRPr="00E04E16">
        <w:t>n</w:t>
      </w:r>
      <w:r w:rsidR="00AE3B06" w:rsidRPr="00E04E16">
        <w:t>=10 placebo). The calculated HR was 0.1809 (95% CI 0.0393, 0.8319). The hazard ratio is applied to the patiromer arm for the transition probabilities of worsening hyperkalaemia (i.e., moving from full RAASi (&lt;5.5 mmol/L) to reduced RAASi (5.5-6.0 mmol/L) and reduced RAASi (5.5-6.0 mmol/L) to discontinued RAASi (&gt;6.0 mmol/L)).</w:t>
      </w:r>
    </w:p>
    <w:p w:rsidR="00D612FD" w:rsidRPr="00E04E16" w:rsidRDefault="00D612FD" w:rsidP="00B35138">
      <w:pPr>
        <w:pStyle w:val="ExecSumBodyText"/>
      </w:pPr>
      <w:r w:rsidRPr="00E04E16">
        <w:t xml:space="preserve">Differences between treatment arms in serum potassium level/RAASi dose intensity health states persist throughout the model, particularly in the first 3-4 years (see Figure 3 below), resulting in small reductions in CKD progression, cardiovascular disease and death for patiromer-treated patients, compared to standard care, with no patiromer drug costs beyond the first year of the model. </w:t>
      </w:r>
    </w:p>
    <w:p w:rsidR="00D612FD" w:rsidRPr="00E04E16" w:rsidRDefault="00D612FD" w:rsidP="00FD0396">
      <w:pPr>
        <w:pStyle w:val="TableHeading"/>
      </w:pPr>
      <w:r w:rsidRPr="00E04E16">
        <w:t>Figure 3: Markov trace of serum potassium/RAASi use health states over 35-year model duration</w:t>
      </w:r>
    </w:p>
    <w:p w:rsidR="00D612FD" w:rsidRPr="00E04E16" w:rsidRDefault="00D612FD" w:rsidP="00D612FD">
      <w:r w:rsidRPr="00E04E16">
        <w:rPr>
          <w:noProof/>
        </w:rPr>
        <w:drawing>
          <wp:inline distT="0" distB="0" distL="0" distR="0" wp14:anchorId="5022AF00" wp14:editId="5DA06E43">
            <wp:extent cx="5688000" cy="3715200"/>
            <wp:effectExtent l="0" t="0" r="8255" b="0"/>
            <wp:docPr id="21" name="Picture 21" title="Figure 3: Markov trace of serum potassium/RAASi use health states over 35-year model du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88000" cy="3715200"/>
                    </a:xfrm>
                    <a:prstGeom prst="rect">
                      <a:avLst/>
                    </a:prstGeom>
                    <a:noFill/>
                  </pic:spPr>
                </pic:pic>
              </a:graphicData>
            </a:graphic>
          </wp:inline>
        </w:drawing>
      </w:r>
    </w:p>
    <w:p w:rsidR="00D612FD" w:rsidRPr="00E04E16" w:rsidRDefault="00D612FD" w:rsidP="00BB546F">
      <w:pPr>
        <w:pStyle w:val="TableFigureFooter"/>
        <w:keepNext/>
        <w:keepLines/>
        <w:spacing w:after="240"/>
      </w:pPr>
      <w:r w:rsidRPr="00E04E16">
        <w:t>Source: Compiled during the evaluation using ATTACHMENT 7 - Cost Effectiveness Model Excel spreadsheet provided with the resubmission</w:t>
      </w:r>
    </w:p>
    <w:p w:rsidR="00275C5A" w:rsidRPr="00E04E16" w:rsidRDefault="00F55552" w:rsidP="00BB00B3">
      <w:pPr>
        <w:pStyle w:val="ExecSumBodyText"/>
      </w:pPr>
      <w:r w:rsidRPr="00E04E16">
        <w:t>Key drivers of the economic model are summarised in the following table.</w:t>
      </w:r>
      <w:r w:rsidRPr="00E04E16">
        <w:rPr>
          <w:highlight w:val="cyan"/>
        </w:rPr>
        <w:t xml:space="preserve"> </w:t>
      </w:r>
    </w:p>
    <w:p w:rsidR="00B559B9" w:rsidRPr="00E04E16" w:rsidRDefault="00075D97" w:rsidP="00B559B9">
      <w:pPr>
        <w:pStyle w:val="Tableheadingrow"/>
        <w:rPr>
          <w:lang w:val="en-AU"/>
        </w:rPr>
      </w:pPr>
      <w:r w:rsidRPr="00E04E16">
        <w:rPr>
          <w:lang w:val="en-AU"/>
        </w:rPr>
        <w:lastRenderedPageBreak/>
        <w:t xml:space="preserve">Table </w:t>
      </w:r>
      <w:r w:rsidR="00293567" w:rsidRPr="00E04E16">
        <w:rPr>
          <w:lang w:val="en-AU"/>
        </w:rPr>
        <w:t>1</w:t>
      </w:r>
      <w:r w:rsidR="00D612FD" w:rsidRPr="00E04E16">
        <w:rPr>
          <w:lang w:val="en-AU"/>
        </w:rPr>
        <w:t>4</w:t>
      </w:r>
      <w:r w:rsidR="00B559B9" w:rsidRPr="00E04E16">
        <w:rPr>
          <w:lang w:val="en-AU"/>
        </w:rPr>
        <w:t>: 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271"/>
        <w:gridCol w:w="6662"/>
        <w:gridCol w:w="1084"/>
      </w:tblGrid>
      <w:tr w:rsidR="00B559B9" w:rsidRPr="00E04E16" w:rsidTr="00397C0A">
        <w:trPr>
          <w:cantSplit/>
          <w:tblHeader/>
        </w:trPr>
        <w:tc>
          <w:tcPr>
            <w:tcW w:w="705" w:type="pct"/>
            <w:shd w:val="clear" w:color="auto" w:fill="auto"/>
            <w:vAlign w:val="center"/>
          </w:tcPr>
          <w:p w:rsidR="00B559B9" w:rsidRPr="00E04E16" w:rsidRDefault="00B559B9" w:rsidP="00393169">
            <w:pPr>
              <w:pStyle w:val="Tableheadingrow"/>
              <w:keepNext w:val="0"/>
              <w:jc w:val="center"/>
              <w:rPr>
                <w:szCs w:val="20"/>
                <w:lang w:val="en-AU"/>
              </w:rPr>
            </w:pPr>
            <w:r w:rsidRPr="00E04E16">
              <w:rPr>
                <w:szCs w:val="20"/>
                <w:lang w:val="en-AU"/>
              </w:rPr>
              <w:t>Description</w:t>
            </w:r>
          </w:p>
        </w:tc>
        <w:tc>
          <w:tcPr>
            <w:tcW w:w="3694" w:type="pct"/>
            <w:shd w:val="clear" w:color="auto" w:fill="auto"/>
            <w:vAlign w:val="center"/>
          </w:tcPr>
          <w:p w:rsidR="00B559B9" w:rsidRPr="00E04E16" w:rsidRDefault="00B559B9" w:rsidP="00393169">
            <w:pPr>
              <w:pStyle w:val="Tableheadingrow"/>
              <w:keepNext w:val="0"/>
              <w:jc w:val="center"/>
              <w:rPr>
                <w:szCs w:val="20"/>
                <w:lang w:val="en-AU"/>
              </w:rPr>
            </w:pPr>
            <w:r w:rsidRPr="00E04E16">
              <w:rPr>
                <w:szCs w:val="20"/>
                <w:lang w:val="en-AU"/>
              </w:rPr>
              <w:t>Method/Value</w:t>
            </w:r>
          </w:p>
        </w:tc>
        <w:tc>
          <w:tcPr>
            <w:tcW w:w="601" w:type="pct"/>
            <w:shd w:val="clear" w:color="auto" w:fill="auto"/>
            <w:vAlign w:val="center"/>
          </w:tcPr>
          <w:p w:rsidR="00B559B9" w:rsidRPr="00E04E16" w:rsidRDefault="00B559B9" w:rsidP="00393169">
            <w:pPr>
              <w:pStyle w:val="Tableheadingrow"/>
              <w:keepNext w:val="0"/>
              <w:jc w:val="center"/>
              <w:rPr>
                <w:szCs w:val="20"/>
                <w:lang w:val="en-AU"/>
              </w:rPr>
            </w:pPr>
            <w:r w:rsidRPr="00E04E16">
              <w:rPr>
                <w:szCs w:val="20"/>
                <w:lang w:val="en-AU"/>
              </w:rPr>
              <w:t>Impact</w:t>
            </w:r>
          </w:p>
        </w:tc>
      </w:tr>
      <w:tr w:rsidR="00B559B9" w:rsidRPr="00E04E16" w:rsidTr="00397C0A">
        <w:trPr>
          <w:cantSplit/>
        </w:trPr>
        <w:tc>
          <w:tcPr>
            <w:tcW w:w="705" w:type="pct"/>
            <w:shd w:val="clear" w:color="auto" w:fill="auto"/>
            <w:vAlign w:val="center"/>
          </w:tcPr>
          <w:p w:rsidR="00B559B9" w:rsidRPr="00E04E16" w:rsidRDefault="00B559B9" w:rsidP="00393169">
            <w:pPr>
              <w:pStyle w:val="TableText"/>
              <w:keepNext w:val="0"/>
              <w:jc w:val="center"/>
              <w:rPr>
                <w:szCs w:val="20"/>
              </w:rPr>
            </w:pPr>
            <w:r w:rsidRPr="00E04E16">
              <w:rPr>
                <w:szCs w:val="20"/>
              </w:rPr>
              <w:t>Patiromer treatment effect</w:t>
            </w:r>
          </w:p>
        </w:tc>
        <w:tc>
          <w:tcPr>
            <w:tcW w:w="3694" w:type="pct"/>
            <w:shd w:val="clear" w:color="auto" w:fill="auto"/>
            <w:vAlign w:val="center"/>
          </w:tcPr>
          <w:p w:rsidR="00B559B9" w:rsidRPr="00E04E16" w:rsidRDefault="00B559B9" w:rsidP="00393169">
            <w:pPr>
              <w:tabs>
                <w:tab w:val="left" w:pos="1500"/>
              </w:tabs>
              <w:spacing w:after="60"/>
              <w:jc w:val="left"/>
              <w:rPr>
                <w:rFonts w:ascii="Arial Narrow" w:hAnsi="Arial Narrow"/>
                <w:sz w:val="20"/>
                <w:szCs w:val="20"/>
              </w:rPr>
            </w:pPr>
            <w:r w:rsidRPr="00E04E16">
              <w:rPr>
                <w:rFonts w:ascii="Arial Narrow" w:hAnsi="Arial Narrow"/>
                <w:sz w:val="20"/>
                <w:szCs w:val="20"/>
              </w:rPr>
              <w:t>First cycle transition probabilities in the model were derived from a post</w:t>
            </w:r>
            <w:r w:rsidR="005625EB" w:rsidRPr="00E04E16">
              <w:rPr>
                <w:rFonts w:ascii="Arial Narrow" w:hAnsi="Arial Narrow"/>
                <w:sz w:val="20"/>
                <w:szCs w:val="20"/>
              </w:rPr>
              <w:t>-</w:t>
            </w:r>
            <w:r w:rsidRPr="00E04E16">
              <w:rPr>
                <w:rFonts w:ascii="Arial Narrow" w:hAnsi="Arial Narrow"/>
                <w:sz w:val="20"/>
                <w:szCs w:val="20"/>
              </w:rPr>
              <w:t>hoc subgroup analysis of OPAL-HK Part A for the patiromer arm and from the UK CPRD analysis for the standard care arm.</w:t>
            </w:r>
          </w:p>
          <w:p w:rsidR="00B559B9" w:rsidRPr="00E04E16" w:rsidRDefault="00B559B9" w:rsidP="00393169">
            <w:pPr>
              <w:tabs>
                <w:tab w:val="left" w:pos="1500"/>
              </w:tabs>
              <w:spacing w:after="60"/>
              <w:jc w:val="left"/>
              <w:rPr>
                <w:rFonts w:ascii="Arial Narrow" w:hAnsi="Arial Narrow"/>
                <w:sz w:val="20"/>
                <w:szCs w:val="20"/>
              </w:rPr>
            </w:pPr>
            <w:r w:rsidRPr="00E04E16">
              <w:rPr>
                <w:rFonts w:ascii="Arial Narrow" w:hAnsi="Arial Narrow"/>
                <w:sz w:val="20"/>
                <w:szCs w:val="20"/>
              </w:rPr>
              <w:t>The transition probabilities were not derived from similar populations (differences in age, CKD state, comorbidities and history of RAASi use) and it is therefore not appropriate to assume that differences in the proportion of patients in serum potassium categories were solely due to the use of patiromer.</w:t>
            </w:r>
          </w:p>
          <w:p w:rsidR="00B559B9" w:rsidRPr="00E04E16" w:rsidRDefault="00B559B9" w:rsidP="00393169">
            <w:pPr>
              <w:tabs>
                <w:tab w:val="left" w:pos="1500"/>
              </w:tabs>
              <w:spacing w:after="60"/>
              <w:jc w:val="left"/>
              <w:rPr>
                <w:rFonts w:ascii="Arial Narrow" w:hAnsi="Arial Narrow"/>
                <w:sz w:val="20"/>
                <w:szCs w:val="20"/>
              </w:rPr>
            </w:pPr>
            <w:r w:rsidRPr="00E04E16">
              <w:rPr>
                <w:rFonts w:ascii="Arial Narrow" w:hAnsi="Arial Narrow"/>
                <w:sz w:val="20"/>
                <w:szCs w:val="20"/>
              </w:rPr>
              <w:t>Patients enrolled in OPAL-HK were subject to strict study treatment protocols involving RAASi dose titration/withdrawal, and intensive monitoring of serum potassium levels, which are unlikely to be representative of UK patients in the general practice setting (no information was reported on frequency of serum potassium monitoring, or RAASi dose intensity in the CPRD analysis).</w:t>
            </w:r>
          </w:p>
        </w:tc>
        <w:tc>
          <w:tcPr>
            <w:tcW w:w="601" w:type="pct"/>
            <w:shd w:val="clear" w:color="auto" w:fill="auto"/>
            <w:vAlign w:val="center"/>
          </w:tcPr>
          <w:p w:rsidR="00B559B9" w:rsidRPr="00E04E16" w:rsidRDefault="00B559B9" w:rsidP="00393169">
            <w:pPr>
              <w:pStyle w:val="TableText"/>
              <w:keepNext w:val="0"/>
              <w:jc w:val="center"/>
              <w:rPr>
                <w:szCs w:val="20"/>
              </w:rPr>
            </w:pPr>
            <w:r w:rsidRPr="00E04E16">
              <w:rPr>
                <w:szCs w:val="20"/>
              </w:rPr>
              <w:t>High, favours patiromer</w:t>
            </w:r>
          </w:p>
        </w:tc>
      </w:tr>
      <w:tr w:rsidR="00B559B9" w:rsidRPr="00E04E16" w:rsidTr="00397C0A">
        <w:trPr>
          <w:cantSplit/>
        </w:trPr>
        <w:tc>
          <w:tcPr>
            <w:tcW w:w="705" w:type="pct"/>
            <w:shd w:val="clear" w:color="auto" w:fill="auto"/>
            <w:vAlign w:val="center"/>
          </w:tcPr>
          <w:p w:rsidR="00B559B9" w:rsidRPr="00E04E16" w:rsidRDefault="00B559B9" w:rsidP="00393169">
            <w:pPr>
              <w:pStyle w:val="TableText"/>
              <w:keepNext w:val="0"/>
              <w:jc w:val="center"/>
              <w:rPr>
                <w:szCs w:val="20"/>
              </w:rPr>
            </w:pPr>
            <w:r w:rsidRPr="00E04E16">
              <w:rPr>
                <w:szCs w:val="20"/>
              </w:rPr>
              <w:t>Model structure</w:t>
            </w:r>
          </w:p>
        </w:tc>
        <w:tc>
          <w:tcPr>
            <w:tcW w:w="3694" w:type="pct"/>
            <w:shd w:val="clear" w:color="auto" w:fill="auto"/>
            <w:vAlign w:val="center"/>
          </w:tcPr>
          <w:p w:rsidR="00B559B9" w:rsidRPr="00E04E16" w:rsidRDefault="00B559B9" w:rsidP="00393169">
            <w:pPr>
              <w:pStyle w:val="ExecSumBodyText"/>
              <w:numPr>
                <w:ilvl w:val="0"/>
                <w:numId w:val="0"/>
              </w:numPr>
              <w:spacing w:after="60"/>
              <w:jc w:val="left"/>
              <w:rPr>
                <w:rFonts w:ascii="Arial Narrow" w:hAnsi="Arial Narrow"/>
                <w:iCs/>
                <w:sz w:val="20"/>
                <w:szCs w:val="20"/>
              </w:rPr>
            </w:pPr>
            <w:r w:rsidRPr="00E04E16">
              <w:rPr>
                <w:rFonts w:ascii="Arial Narrow" w:hAnsi="Arial Narrow"/>
                <w:iCs/>
                <w:sz w:val="20"/>
                <w:szCs w:val="20"/>
              </w:rPr>
              <w:t xml:space="preserve">The </w:t>
            </w:r>
            <w:r w:rsidR="00354C53" w:rsidRPr="00E04E16">
              <w:rPr>
                <w:rFonts w:ascii="Arial Narrow" w:hAnsi="Arial Narrow"/>
                <w:iCs/>
                <w:sz w:val="20"/>
                <w:szCs w:val="20"/>
              </w:rPr>
              <w:t xml:space="preserve">model structure incorporates health states combining various combinations of serum </w:t>
            </w:r>
            <w:r w:rsidRPr="00E04E16">
              <w:rPr>
                <w:rFonts w:ascii="Arial Narrow" w:hAnsi="Arial Narrow"/>
                <w:iCs/>
                <w:sz w:val="20"/>
                <w:szCs w:val="20"/>
              </w:rPr>
              <w:t>potassium level (determines RAASi treatment status), CKD stage, and CV disease history</w:t>
            </w:r>
            <w:r w:rsidR="00354C53" w:rsidRPr="00E04E16">
              <w:rPr>
                <w:rFonts w:ascii="Arial Narrow" w:hAnsi="Arial Narrow"/>
                <w:iCs/>
                <w:sz w:val="20"/>
                <w:szCs w:val="20"/>
              </w:rPr>
              <w:t>.</w:t>
            </w:r>
          </w:p>
          <w:p w:rsidR="00B559B9" w:rsidRPr="00E04E16" w:rsidRDefault="00B559B9" w:rsidP="00393169">
            <w:pPr>
              <w:pStyle w:val="ExecSumBodyText"/>
              <w:numPr>
                <w:ilvl w:val="0"/>
                <w:numId w:val="0"/>
              </w:numPr>
              <w:spacing w:after="60"/>
              <w:jc w:val="left"/>
              <w:rPr>
                <w:rFonts w:ascii="Arial Narrow" w:hAnsi="Arial Narrow"/>
                <w:iCs/>
                <w:sz w:val="20"/>
                <w:szCs w:val="20"/>
              </w:rPr>
            </w:pPr>
            <w:r w:rsidRPr="00E04E16">
              <w:rPr>
                <w:rFonts w:ascii="Arial Narrow" w:hAnsi="Arial Narrow"/>
                <w:iCs/>
                <w:sz w:val="20"/>
                <w:szCs w:val="20"/>
              </w:rPr>
              <w:t xml:space="preserve">The hybrid health states, based on an assumed fixed association between RAASi dose intensity and serum potassium levels, were inconsistent with available clinical </w:t>
            </w:r>
            <w:r w:rsidR="006B4573" w:rsidRPr="00E04E16">
              <w:rPr>
                <w:rFonts w:ascii="Arial Narrow" w:hAnsi="Arial Narrow"/>
                <w:iCs/>
                <w:sz w:val="20"/>
                <w:szCs w:val="20"/>
              </w:rPr>
              <w:t>data, which</w:t>
            </w:r>
            <w:r w:rsidRPr="00E04E16">
              <w:rPr>
                <w:rFonts w:ascii="Arial Narrow" w:hAnsi="Arial Narrow"/>
                <w:iCs/>
                <w:sz w:val="20"/>
                <w:szCs w:val="20"/>
              </w:rPr>
              <w:t xml:space="preserve"> suggest a dynamic relationship where serum potassium levels affect treatment decisions that in turn affect serum potassium levels. Additionally, the data presented in the submission d</w:t>
            </w:r>
            <w:r w:rsidR="0032660F" w:rsidRPr="00E04E16">
              <w:rPr>
                <w:rFonts w:ascii="Arial Narrow" w:hAnsi="Arial Narrow"/>
                <w:iCs/>
                <w:sz w:val="20"/>
                <w:szCs w:val="20"/>
              </w:rPr>
              <w:t>id</w:t>
            </w:r>
            <w:r w:rsidRPr="00E04E16">
              <w:rPr>
                <w:rFonts w:ascii="Arial Narrow" w:hAnsi="Arial Narrow"/>
                <w:iCs/>
                <w:sz w:val="20"/>
                <w:szCs w:val="20"/>
              </w:rPr>
              <w:t xml:space="preserve"> not support the assumption that all patients with hyperkalaemia will discontinue RAASi therapy (serum potassium &gt;6 mmol/L; Jun 2019) and the assumption that RAASi dose changes are the only way to change potassium levels in clinical practice (sponsor-commissioned key opinion leaders survey).</w:t>
            </w:r>
          </w:p>
          <w:p w:rsidR="00B559B9" w:rsidRPr="00E04E16" w:rsidRDefault="00B559B9" w:rsidP="00393169">
            <w:pPr>
              <w:pStyle w:val="ExecSumBodyText"/>
              <w:numPr>
                <w:ilvl w:val="0"/>
                <w:numId w:val="0"/>
              </w:numPr>
              <w:spacing w:after="60"/>
              <w:jc w:val="left"/>
              <w:rPr>
                <w:rFonts w:ascii="Arial Narrow" w:hAnsi="Arial Narrow"/>
                <w:iCs/>
                <w:sz w:val="20"/>
                <w:szCs w:val="20"/>
              </w:rPr>
            </w:pPr>
            <w:r w:rsidRPr="00E04E16">
              <w:rPr>
                <w:rFonts w:ascii="Arial Narrow" w:hAnsi="Arial Narrow"/>
                <w:iCs/>
                <w:sz w:val="20"/>
                <w:szCs w:val="20"/>
              </w:rPr>
              <w:t xml:space="preserve">After the first cycle, the model assumes that patients can only transition between health states in a stepwise manner (patients cannot transition between the serum potassium &lt;5.5 and &gt;6.0 mmol/L health states). This assumption was inconsistent with the available clinical data and required additional adjustments to the source data in order to </w:t>
            </w:r>
            <w:r w:rsidR="006574F1" w:rsidRPr="00E04E16">
              <w:rPr>
                <w:rFonts w:ascii="Arial Narrow" w:hAnsi="Arial Narrow"/>
                <w:iCs/>
                <w:sz w:val="20"/>
                <w:szCs w:val="20"/>
              </w:rPr>
              <w:t xml:space="preserve">be </w:t>
            </w:r>
            <w:r w:rsidRPr="00E04E16">
              <w:rPr>
                <w:rFonts w:ascii="Arial Narrow" w:hAnsi="Arial Narrow"/>
                <w:iCs/>
                <w:sz w:val="20"/>
                <w:szCs w:val="20"/>
              </w:rPr>
              <w:t>implement</w:t>
            </w:r>
            <w:r w:rsidR="006574F1" w:rsidRPr="00E04E16">
              <w:rPr>
                <w:rFonts w:ascii="Arial Narrow" w:hAnsi="Arial Narrow"/>
                <w:iCs/>
                <w:sz w:val="20"/>
                <w:szCs w:val="20"/>
              </w:rPr>
              <w:t>ed</w:t>
            </w:r>
            <w:r w:rsidRPr="00E04E16">
              <w:rPr>
                <w:rFonts w:ascii="Arial Narrow" w:hAnsi="Arial Narrow"/>
                <w:iCs/>
                <w:sz w:val="20"/>
                <w:szCs w:val="20"/>
              </w:rPr>
              <w:t xml:space="preserve"> in the economic model. This assumption artificially slowed the rate at which patients improve to the low serum potassium/full RAASi health state.</w:t>
            </w:r>
          </w:p>
          <w:p w:rsidR="00B559B9" w:rsidRPr="00E04E16" w:rsidRDefault="00B559B9" w:rsidP="00393169">
            <w:pPr>
              <w:pStyle w:val="ExecSumBodyText"/>
              <w:numPr>
                <w:ilvl w:val="0"/>
                <w:numId w:val="0"/>
              </w:numPr>
              <w:spacing w:after="0"/>
              <w:jc w:val="left"/>
              <w:rPr>
                <w:rFonts w:ascii="Arial Narrow" w:hAnsi="Arial Narrow"/>
                <w:sz w:val="20"/>
                <w:szCs w:val="20"/>
              </w:rPr>
            </w:pPr>
            <w:r w:rsidRPr="00E04E16">
              <w:rPr>
                <w:rFonts w:ascii="Arial Narrow" w:hAnsi="Arial Narrow"/>
                <w:iCs/>
                <w:sz w:val="20"/>
                <w:szCs w:val="20"/>
              </w:rPr>
              <w:t>The model does not allow patients to reinitiate patiromer treatment, which is possible under the requested restriction and would be consistent with an episodic disease course.</w:t>
            </w:r>
          </w:p>
        </w:tc>
        <w:tc>
          <w:tcPr>
            <w:tcW w:w="601" w:type="pct"/>
            <w:shd w:val="clear" w:color="auto" w:fill="auto"/>
            <w:vAlign w:val="center"/>
          </w:tcPr>
          <w:p w:rsidR="00B559B9" w:rsidRPr="00E04E16" w:rsidRDefault="00B559B9" w:rsidP="00393169">
            <w:pPr>
              <w:pStyle w:val="TableText"/>
              <w:keepNext w:val="0"/>
              <w:jc w:val="center"/>
              <w:rPr>
                <w:szCs w:val="20"/>
              </w:rPr>
            </w:pPr>
            <w:r w:rsidRPr="00E04E16">
              <w:rPr>
                <w:szCs w:val="20"/>
              </w:rPr>
              <w:t>High, favours patiromer</w:t>
            </w:r>
          </w:p>
        </w:tc>
      </w:tr>
      <w:tr w:rsidR="00B559B9" w:rsidRPr="00E04E16" w:rsidTr="00397C0A">
        <w:trPr>
          <w:cantSplit/>
        </w:trPr>
        <w:tc>
          <w:tcPr>
            <w:tcW w:w="705" w:type="pct"/>
            <w:shd w:val="clear" w:color="auto" w:fill="auto"/>
            <w:vAlign w:val="center"/>
          </w:tcPr>
          <w:p w:rsidR="00B559B9" w:rsidRPr="00E04E16" w:rsidRDefault="00B559B9" w:rsidP="00393169">
            <w:pPr>
              <w:pStyle w:val="TableText"/>
              <w:keepNext w:val="0"/>
              <w:jc w:val="center"/>
              <w:rPr>
                <w:szCs w:val="20"/>
              </w:rPr>
            </w:pPr>
            <w:r w:rsidRPr="00E04E16">
              <w:rPr>
                <w:szCs w:val="20"/>
              </w:rPr>
              <w:t>RAASi mediated effects</w:t>
            </w:r>
          </w:p>
        </w:tc>
        <w:tc>
          <w:tcPr>
            <w:tcW w:w="3694" w:type="pct"/>
            <w:shd w:val="clear" w:color="auto" w:fill="auto"/>
            <w:vAlign w:val="center"/>
          </w:tcPr>
          <w:p w:rsidR="00B559B9" w:rsidRPr="00E04E16" w:rsidRDefault="00B559B9" w:rsidP="00393169">
            <w:pPr>
              <w:pStyle w:val="ExecSumBodyText"/>
              <w:numPr>
                <w:ilvl w:val="0"/>
                <w:numId w:val="0"/>
              </w:numPr>
              <w:spacing w:after="60"/>
              <w:jc w:val="left"/>
              <w:rPr>
                <w:rFonts w:ascii="Arial Narrow" w:hAnsi="Arial Narrow"/>
                <w:sz w:val="20"/>
                <w:szCs w:val="20"/>
              </w:rPr>
            </w:pPr>
            <w:r w:rsidRPr="00E04E16">
              <w:rPr>
                <w:rFonts w:ascii="Arial Narrow" w:hAnsi="Arial Narrow"/>
                <w:sz w:val="20"/>
                <w:szCs w:val="20"/>
              </w:rPr>
              <w:t xml:space="preserve">The treatment effect of RAASi therapies on cardiovascular risk and cardiovascular mortality were based on a network meta-analysis of trials comparing ACE inhibitor or ARB therapies to placebo (Xie et al 2016). In practice, patients will be receiving </w:t>
            </w:r>
            <w:r w:rsidR="00B11691" w:rsidRPr="00E04E16">
              <w:rPr>
                <w:rFonts w:ascii="Arial Narrow" w:hAnsi="Arial Narrow"/>
                <w:sz w:val="20"/>
                <w:szCs w:val="20"/>
              </w:rPr>
              <w:t xml:space="preserve">other </w:t>
            </w:r>
            <w:r w:rsidRPr="00E04E16">
              <w:rPr>
                <w:rFonts w:ascii="Arial Narrow" w:hAnsi="Arial Narrow"/>
                <w:sz w:val="20"/>
                <w:szCs w:val="20"/>
              </w:rPr>
              <w:t>active therapies to manage their risk of cardiovascular events (e.g. calcium channel blockers, beta-blockers and other diuretics for hypertension patients), and the results of the systematic review did not demonstrate a statistically significant difference in cardiovascular events or death for patients treated with RAASi therapies compared to other active treatments.</w:t>
            </w:r>
          </w:p>
        </w:tc>
        <w:tc>
          <w:tcPr>
            <w:tcW w:w="601" w:type="pct"/>
            <w:shd w:val="clear" w:color="auto" w:fill="auto"/>
            <w:vAlign w:val="center"/>
          </w:tcPr>
          <w:p w:rsidR="00B559B9" w:rsidRPr="00E04E16" w:rsidRDefault="00B559B9" w:rsidP="00393169">
            <w:pPr>
              <w:pStyle w:val="TableText"/>
              <w:keepNext w:val="0"/>
              <w:jc w:val="center"/>
              <w:rPr>
                <w:szCs w:val="20"/>
              </w:rPr>
            </w:pPr>
            <w:r w:rsidRPr="00E04E16">
              <w:rPr>
                <w:szCs w:val="20"/>
              </w:rPr>
              <w:t>High, favours patiromer</w:t>
            </w:r>
          </w:p>
        </w:tc>
      </w:tr>
      <w:tr w:rsidR="00B559B9" w:rsidRPr="00E04E16" w:rsidTr="00397C0A">
        <w:trPr>
          <w:cantSplit/>
        </w:trPr>
        <w:tc>
          <w:tcPr>
            <w:tcW w:w="705" w:type="pct"/>
            <w:shd w:val="clear" w:color="auto" w:fill="auto"/>
            <w:vAlign w:val="center"/>
          </w:tcPr>
          <w:p w:rsidR="00B559B9" w:rsidRPr="00E04E16" w:rsidRDefault="00B559B9" w:rsidP="00393169">
            <w:pPr>
              <w:pStyle w:val="TableText"/>
              <w:keepNext w:val="0"/>
              <w:jc w:val="center"/>
              <w:rPr>
                <w:szCs w:val="20"/>
              </w:rPr>
            </w:pPr>
            <w:r w:rsidRPr="00E04E16">
              <w:rPr>
                <w:szCs w:val="20"/>
              </w:rPr>
              <w:lastRenderedPageBreak/>
              <w:t>Patiromer circumstances of use</w:t>
            </w:r>
          </w:p>
        </w:tc>
        <w:tc>
          <w:tcPr>
            <w:tcW w:w="3694" w:type="pct"/>
            <w:shd w:val="clear" w:color="auto" w:fill="auto"/>
            <w:vAlign w:val="center"/>
          </w:tcPr>
          <w:p w:rsidR="00B559B9" w:rsidRPr="00E04E16" w:rsidRDefault="00B559B9" w:rsidP="00393169">
            <w:pPr>
              <w:pStyle w:val="Tabletext0"/>
              <w:keepNext w:val="0"/>
              <w:spacing w:before="0" w:after="60"/>
            </w:pPr>
            <w:r w:rsidRPr="00E04E16">
              <w:t xml:space="preserve">The resubmission assumed that all patients in the patiromer arm receive a dose of either 8.4 or 16.8 g daily (both daily doses have the same cost due to flat pricing). </w:t>
            </w:r>
            <w:r w:rsidR="00CD1345" w:rsidRPr="00E04E16">
              <w:t>The ESC considered that t</w:t>
            </w:r>
            <w:r w:rsidRPr="00E04E16">
              <w:t>his dosing assumption was not justified in the submission and was inconsistent with the data used to inform treatment efficacy estimates which were based on 5</w:t>
            </w:r>
            <w:r w:rsidR="00F07241" w:rsidRPr="00E04E16">
              <w:t>0</w:t>
            </w:r>
            <w:r w:rsidRPr="00E04E16">
              <w:t xml:space="preserve">% of patients using doses </w:t>
            </w:r>
            <w:r w:rsidR="00F07241" w:rsidRPr="00E04E16">
              <w:t>of 2</w:t>
            </w:r>
            <w:r w:rsidRPr="00E04E16">
              <w:t xml:space="preserve">1 g daily </w:t>
            </w:r>
            <w:r w:rsidR="00F07241" w:rsidRPr="00E04E16">
              <w:t xml:space="preserve">or higher </w:t>
            </w:r>
            <w:r w:rsidRPr="00E04E16">
              <w:t xml:space="preserve">(i.e. patients who would require multiple </w:t>
            </w:r>
            <w:r w:rsidR="00843D24" w:rsidRPr="00E04E16">
              <w:t>scripts</w:t>
            </w:r>
            <w:r w:rsidRPr="00E04E16">
              <w:t>)</w:t>
            </w:r>
            <w:r w:rsidR="00F07241" w:rsidRPr="00E04E16">
              <w:t>.</w:t>
            </w:r>
            <w:r w:rsidR="00D37C59" w:rsidRPr="00E04E16">
              <w:t xml:space="preserve"> The </w:t>
            </w:r>
            <w:r w:rsidR="00E11441" w:rsidRPr="00E04E16">
              <w:t xml:space="preserve">evaluation </w:t>
            </w:r>
            <w:r w:rsidR="00D37C59" w:rsidRPr="00E04E16">
              <w:t xml:space="preserve">assumed that 75% of patients in OPAL-HK were on doses greater than 16.8 g per day (and thus require multiple </w:t>
            </w:r>
            <w:r w:rsidR="00843D24" w:rsidRPr="00E04E16">
              <w:t>scripts</w:t>
            </w:r>
            <w:r w:rsidR="00D37C59" w:rsidRPr="00E04E16">
              <w:t>) based on the CSR which states that the lower interquartile range is 17 g. The PSCR stated the 17 g reported in the CSR was a rounding of 16.8 g</w:t>
            </w:r>
            <w:r w:rsidR="0076760E" w:rsidRPr="00E04E16">
              <w:t xml:space="preserve"> (which would require 1 </w:t>
            </w:r>
            <w:r w:rsidR="00843D24" w:rsidRPr="00E04E16">
              <w:t>script</w:t>
            </w:r>
            <w:r w:rsidR="0076760E" w:rsidRPr="00E04E16">
              <w:t>)</w:t>
            </w:r>
            <w:r w:rsidR="00D37C59" w:rsidRPr="00E04E16">
              <w:t xml:space="preserve">. The ESC considered that the actual proportion of patients in OPAL-HK who </w:t>
            </w:r>
            <w:r w:rsidR="00E11441" w:rsidRPr="00E04E16">
              <w:t>us</w:t>
            </w:r>
            <w:r w:rsidR="00D37C59" w:rsidRPr="00E04E16">
              <w:t xml:space="preserve">ed a dose greater than 16.8 g (and thus require multiple </w:t>
            </w:r>
            <w:r w:rsidR="00843D24" w:rsidRPr="00E04E16">
              <w:t>script</w:t>
            </w:r>
            <w:r w:rsidR="00BE2DC1" w:rsidRPr="00E04E16">
              <w:t>s</w:t>
            </w:r>
            <w:r w:rsidR="00D37C59" w:rsidRPr="00E04E16">
              <w:t xml:space="preserve">) would be between 75% and 50% (given the median dose </w:t>
            </w:r>
            <w:r w:rsidR="00E11441" w:rsidRPr="00E04E16">
              <w:t>was</w:t>
            </w:r>
            <w:r w:rsidR="00D37C59" w:rsidRPr="00E04E16">
              <w:t xml:space="preserve"> 21 g). The ESC acknowledged that the sensitivity analysis using the median and interquartile range (</w:t>
            </w:r>
            <w:r w:rsidR="00E04E16" w:rsidRPr="00E04E16">
              <w:t>labelled</w:t>
            </w:r>
            <w:r w:rsidR="00D37C59" w:rsidRPr="00E04E16">
              <w:t xml:space="preserve"> ‘A’ in the Table 16)</w:t>
            </w:r>
            <w:r w:rsidR="00E11441" w:rsidRPr="00E04E16">
              <w:t xml:space="preserve"> may overestimate the ICER.</w:t>
            </w:r>
            <w:r w:rsidR="00D37C59" w:rsidRPr="00E04E16">
              <w:t xml:space="preserve"> </w:t>
            </w:r>
          </w:p>
          <w:p w:rsidR="00B559B9" w:rsidRPr="00E04E16" w:rsidRDefault="00B559B9" w:rsidP="00393169">
            <w:pPr>
              <w:pStyle w:val="Tabletext0"/>
              <w:keepNext w:val="0"/>
              <w:spacing w:before="0" w:after="60"/>
            </w:pPr>
            <w:r w:rsidRPr="00E04E16">
              <w:t>Treatment discontinuation rates were modelled up to one year based on US claims data for patiromer. The submission assumed there would be no further use of patiromer after the first year. There was insufficient information provided for the claims data (regarding treatment rules, co-payments, patient characteristics and other factors) to assess the applicability of this data source. Additionally, the assumption of no further use beyond one year was inadequately supported and was inconsistent with the US claims data. In general, the discontinuation pattern reported in the claims data was consistent with patiromer being used as an episodic treatment in most patients.</w:t>
            </w:r>
          </w:p>
          <w:p w:rsidR="00B559B9" w:rsidRPr="00E04E16" w:rsidRDefault="00B559B9" w:rsidP="00393169">
            <w:pPr>
              <w:pStyle w:val="Tabletext0"/>
              <w:keepNext w:val="0"/>
              <w:spacing w:before="0" w:after="60"/>
            </w:pPr>
            <w:r w:rsidRPr="00E04E16">
              <w:t>The submission did not report on treatment re-initiation with patiromer.</w:t>
            </w:r>
          </w:p>
        </w:tc>
        <w:tc>
          <w:tcPr>
            <w:tcW w:w="601" w:type="pct"/>
            <w:shd w:val="clear" w:color="auto" w:fill="auto"/>
            <w:vAlign w:val="center"/>
          </w:tcPr>
          <w:p w:rsidR="00B559B9" w:rsidRPr="00E04E16" w:rsidRDefault="00B559B9" w:rsidP="00393169">
            <w:pPr>
              <w:pStyle w:val="TableText"/>
              <w:keepNext w:val="0"/>
              <w:jc w:val="center"/>
              <w:rPr>
                <w:szCs w:val="20"/>
              </w:rPr>
            </w:pPr>
            <w:r w:rsidRPr="00E04E16">
              <w:rPr>
                <w:szCs w:val="20"/>
              </w:rPr>
              <w:t>High, favours patiromer</w:t>
            </w:r>
          </w:p>
        </w:tc>
      </w:tr>
    </w:tbl>
    <w:p w:rsidR="00B559B9" w:rsidRPr="00E04E16" w:rsidRDefault="00B559B9" w:rsidP="00BB546F">
      <w:pPr>
        <w:pStyle w:val="TableFooter"/>
        <w:keepNext/>
        <w:keepLines/>
        <w:widowControl/>
        <w:spacing w:after="240"/>
        <w:contextualSpacing/>
      </w:pPr>
      <w:r w:rsidRPr="00E04E16">
        <w:t>Source: Constructed during the evaluation.</w:t>
      </w:r>
    </w:p>
    <w:p w:rsidR="00D46224" w:rsidRPr="00E04E16" w:rsidRDefault="00D710C7" w:rsidP="00D46224">
      <w:pPr>
        <w:pStyle w:val="ExecSumBodyText"/>
      </w:pPr>
      <w:r w:rsidRPr="00E04E16">
        <w:t>The results of the stepped economic evaluation are presented in the table below.</w:t>
      </w:r>
      <w:r w:rsidR="00D46224" w:rsidRPr="00E04E16">
        <w:t xml:space="preserve"> The model</w:t>
      </w:r>
      <w:r w:rsidR="00B11691" w:rsidRPr="00E04E16">
        <w:t xml:space="preserve"> was updated during evaluation to</w:t>
      </w:r>
      <w:r w:rsidR="00D46224" w:rsidRPr="00E04E16">
        <w:t xml:space="preserve"> correct for errors in the initial health state transitions and in the cost of the post-CV health state. </w:t>
      </w:r>
    </w:p>
    <w:p w:rsidR="00D710C7" w:rsidRPr="00E04E16" w:rsidRDefault="00D710C7" w:rsidP="00D81872">
      <w:pPr>
        <w:pStyle w:val="TableFigureCaption"/>
        <w:keepLines/>
      </w:pPr>
      <w:r w:rsidRPr="00E04E16">
        <w:t xml:space="preserve">Table </w:t>
      </w:r>
      <w:r w:rsidR="00293567" w:rsidRPr="00E04E16">
        <w:t>1</w:t>
      </w:r>
      <w:r w:rsidR="00494BDB" w:rsidRPr="00E04E16">
        <w:t>5</w:t>
      </w:r>
      <w:r w:rsidRPr="00E04E16">
        <w:t>: Results of the stepped economic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757"/>
        <w:gridCol w:w="2451"/>
        <w:gridCol w:w="2298"/>
        <w:gridCol w:w="1511"/>
      </w:tblGrid>
      <w:tr w:rsidR="00D710C7" w:rsidRPr="00E04E16" w:rsidTr="00856DE8">
        <w:trPr>
          <w:tblHeader/>
        </w:trPr>
        <w:tc>
          <w:tcPr>
            <w:tcW w:w="1529" w:type="pct"/>
            <w:vAlign w:val="center"/>
          </w:tcPr>
          <w:p w:rsidR="00D710C7" w:rsidRPr="00E04E16" w:rsidRDefault="00D710C7" w:rsidP="00D81872">
            <w:pPr>
              <w:pStyle w:val="Tableheadingrow"/>
              <w:keepLines/>
              <w:rPr>
                <w:lang w:val="en-AU"/>
              </w:rPr>
            </w:pPr>
            <w:r w:rsidRPr="00E04E16">
              <w:rPr>
                <w:lang w:val="en-AU"/>
              </w:rPr>
              <w:t>Step and component</w:t>
            </w:r>
          </w:p>
        </w:tc>
        <w:tc>
          <w:tcPr>
            <w:tcW w:w="1359" w:type="pct"/>
            <w:vAlign w:val="center"/>
          </w:tcPr>
          <w:p w:rsidR="00D710C7" w:rsidRPr="00E04E16" w:rsidRDefault="00D710C7" w:rsidP="00D81872">
            <w:pPr>
              <w:pStyle w:val="Tableheadingrow"/>
              <w:keepLines/>
              <w:jc w:val="center"/>
              <w:rPr>
                <w:lang w:val="en-AU"/>
              </w:rPr>
            </w:pPr>
            <w:r w:rsidRPr="00E04E16">
              <w:rPr>
                <w:lang w:val="en-AU"/>
              </w:rPr>
              <w:t>Patiromer</w:t>
            </w:r>
          </w:p>
        </w:tc>
        <w:tc>
          <w:tcPr>
            <w:tcW w:w="1274" w:type="pct"/>
            <w:vAlign w:val="center"/>
          </w:tcPr>
          <w:p w:rsidR="00D710C7" w:rsidRPr="00E04E16" w:rsidRDefault="00276E8A" w:rsidP="00D81872">
            <w:pPr>
              <w:pStyle w:val="Tableheadingrow"/>
              <w:keepLines/>
              <w:jc w:val="center"/>
              <w:rPr>
                <w:lang w:val="en-AU"/>
              </w:rPr>
            </w:pPr>
            <w:r w:rsidRPr="00E04E16">
              <w:rPr>
                <w:lang w:val="en-AU"/>
              </w:rPr>
              <w:t>Standard care</w:t>
            </w:r>
          </w:p>
        </w:tc>
        <w:tc>
          <w:tcPr>
            <w:tcW w:w="838" w:type="pct"/>
            <w:vAlign w:val="center"/>
          </w:tcPr>
          <w:p w:rsidR="00D710C7" w:rsidRPr="00E04E16" w:rsidRDefault="00D710C7" w:rsidP="00D81872">
            <w:pPr>
              <w:pStyle w:val="Tableheadingrow"/>
              <w:keepLines/>
              <w:jc w:val="center"/>
              <w:rPr>
                <w:lang w:val="en-AU"/>
              </w:rPr>
            </w:pPr>
            <w:r w:rsidRPr="00E04E16">
              <w:rPr>
                <w:lang w:val="en-AU"/>
              </w:rPr>
              <w:t>Increment</w:t>
            </w:r>
          </w:p>
        </w:tc>
      </w:tr>
      <w:tr w:rsidR="00D710C7" w:rsidRPr="00E04E16" w:rsidTr="00856DE8">
        <w:tc>
          <w:tcPr>
            <w:tcW w:w="5000" w:type="pct"/>
            <w:gridSpan w:val="4"/>
            <w:vAlign w:val="center"/>
          </w:tcPr>
          <w:p w:rsidR="00D710C7" w:rsidRPr="00E04E16" w:rsidRDefault="00D710C7" w:rsidP="00D81872">
            <w:pPr>
              <w:pStyle w:val="TableText"/>
              <w:keepLines/>
              <w:rPr>
                <w:b/>
              </w:rPr>
            </w:pPr>
            <w:r w:rsidRPr="00E04E16">
              <w:rPr>
                <w:b/>
              </w:rPr>
              <w:t>Step 1a: Modelled efficacy (based on OPAL-HK and CPRD analysis); no CKD or CV transitions; no patiromer treatment discontinuation; patiromer drug costs only; outcome patients with hyperkalaemia (&gt;6.0 mmol/L); time horizon 1 year</w:t>
            </w:r>
          </w:p>
        </w:tc>
      </w:tr>
      <w:tr w:rsidR="00D710C7" w:rsidRPr="00E04E16" w:rsidTr="00856DE8">
        <w:tc>
          <w:tcPr>
            <w:tcW w:w="1529" w:type="pct"/>
            <w:vAlign w:val="center"/>
          </w:tcPr>
          <w:p w:rsidR="00D710C7" w:rsidRPr="00E04E16" w:rsidRDefault="00D710C7" w:rsidP="00D81872">
            <w:pPr>
              <w:pStyle w:val="TableText"/>
              <w:keepLines/>
            </w:pPr>
            <w:r w:rsidRPr="00E04E16">
              <w:t>Costs</w:t>
            </w:r>
          </w:p>
        </w:tc>
        <w:tc>
          <w:tcPr>
            <w:tcW w:w="1359" w:type="pct"/>
            <w:vAlign w:val="center"/>
          </w:tcPr>
          <w:p w:rsidR="00D710C7" w:rsidRPr="00E04E16" w:rsidRDefault="00D710C7" w:rsidP="00D81872">
            <w:pPr>
              <w:pStyle w:val="TableText"/>
              <w:keepLines/>
              <w:jc w:val="center"/>
            </w:pPr>
            <w:r w:rsidRPr="00E04E16">
              <w:t>$</w:t>
            </w:r>
            <w:r w:rsidR="004E288B">
              <w:rPr>
                <w:noProof/>
                <w:color w:val="000000"/>
                <w:highlight w:val="black"/>
              </w:rPr>
              <w:t>''''''''''''''</w:t>
            </w:r>
          </w:p>
        </w:tc>
        <w:tc>
          <w:tcPr>
            <w:tcW w:w="1274" w:type="pct"/>
            <w:vAlign w:val="center"/>
          </w:tcPr>
          <w:p w:rsidR="00D710C7" w:rsidRPr="00E04E16" w:rsidRDefault="00D710C7" w:rsidP="00D81872">
            <w:pPr>
              <w:pStyle w:val="TableText"/>
              <w:keepLines/>
              <w:jc w:val="center"/>
            </w:pPr>
            <w:r w:rsidRPr="00E04E16">
              <w:t>$0</w:t>
            </w:r>
          </w:p>
        </w:tc>
        <w:tc>
          <w:tcPr>
            <w:tcW w:w="838" w:type="pct"/>
            <w:vAlign w:val="center"/>
          </w:tcPr>
          <w:p w:rsidR="00D710C7" w:rsidRPr="00E04E16" w:rsidRDefault="00D710C7" w:rsidP="00D81872">
            <w:pPr>
              <w:pStyle w:val="TableText"/>
              <w:keepLines/>
              <w:jc w:val="center"/>
            </w:pPr>
            <w:r w:rsidRPr="00E04E16">
              <w:t>$</w:t>
            </w:r>
            <w:r w:rsidR="004E288B">
              <w:rPr>
                <w:noProof/>
                <w:color w:val="000000"/>
                <w:highlight w:val="black"/>
              </w:rPr>
              <w:t>'''''''''''''</w:t>
            </w:r>
          </w:p>
        </w:tc>
      </w:tr>
      <w:tr w:rsidR="00D710C7" w:rsidRPr="00E04E16" w:rsidTr="00856DE8">
        <w:tc>
          <w:tcPr>
            <w:tcW w:w="1529" w:type="pct"/>
            <w:vAlign w:val="center"/>
          </w:tcPr>
          <w:p w:rsidR="00D710C7" w:rsidRPr="00E04E16" w:rsidRDefault="00D710C7" w:rsidP="00D81872">
            <w:pPr>
              <w:pStyle w:val="TableText"/>
              <w:keepLines/>
            </w:pPr>
            <w:r w:rsidRPr="00E04E16">
              <w:t>Patients with hyperkalaemia</w:t>
            </w:r>
            <w:r w:rsidRPr="00E04E16">
              <w:rPr>
                <w:vertAlign w:val="superscript"/>
              </w:rPr>
              <w:t>1</w:t>
            </w:r>
          </w:p>
        </w:tc>
        <w:tc>
          <w:tcPr>
            <w:tcW w:w="1359" w:type="pct"/>
            <w:vAlign w:val="center"/>
          </w:tcPr>
          <w:p w:rsidR="00D710C7" w:rsidRPr="00E04E16" w:rsidRDefault="00D710C7" w:rsidP="00D81872">
            <w:pPr>
              <w:pStyle w:val="TableText"/>
              <w:keepLines/>
              <w:jc w:val="center"/>
            </w:pPr>
            <w:r w:rsidRPr="00E04E16">
              <w:t>0.000035</w:t>
            </w:r>
          </w:p>
        </w:tc>
        <w:tc>
          <w:tcPr>
            <w:tcW w:w="1274" w:type="pct"/>
            <w:vAlign w:val="center"/>
          </w:tcPr>
          <w:p w:rsidR="00D710C7" w:rsidRPr="00E04E16" w:rsidRDefault="00D710C7" w:rsidP="00D81872">
            <w:pPr>
              <w:pStyle w:val="TableText"/>
              <w:keepLines/>
              <w:jc w:val="center"/>
            </w:pPr>
            <w:r w:rsidRPr="00E04E16">
              <w:t>0.234736</w:t>
            </w:r>
          </w:p>
        </w:tc>
        <w:tc>
          <w:tcPr>
            <w:tcW w:w="838" w:type="pct"/>
            <w:vAlign w:val="center"/>
          </w:tcPr>
          <w:p w:rsidR="00D710C7" w:rsidRPr="00E04E16" w:rsidRDefault="00D710C7" w:rsidP="00D81872">
            <w:pPr>
              <w:pStyle w:val="TableText"/>
              <w:keepLines/>
              <w:jc w:val="center"/>
            </w:pPr>
            <w:r w:rsidRPr="00E04E16">
              <w:t>-0.234701</w:t>
            </w:r>
          </w:p>
        </w:tc>
      </w:tr>
      <w:tr w:rsidR="00D710C7" w:rsidRPr="00E04E16" w:rsidTr="00856DE8">
        <w:tc>
          <w:tcPr>
            <w:tcW w:w="4162" w:type="pct"/>
            <w:gridSpan w:val="3"/>
            <w:vAlign w:val="center"/>
          </w:tcPr>
          <w:p w:rsidR="00D710C7" w:rsidRPr="00E04E16" w:rsidRDefault="00D710C7" w:rsidP="00D81872">
            <w:pPr>
              <w:pStyle w:val="TableText"/>
              <w:keepLines/>
              <w:rPr>
                <w:b/>
              </w:rPr>
            </w:pPr>
            <w:r w:rsidRPr="00E04E16">
              <w:rPr>
                <w:b/>
              </w:rPr>
              <w:t>Incremental cost per additional patient without hyperkalaemia (&gt;6.0 mmol/L)</w:t>
            </w:r>
          </w:p>
        </w:tc>
        <w:tc>
          <w:tcPr>
            <w:tcW w:w="838" w:type="pct"/>
            <w:vAlign w:val="center"/>
          </w:tcPr>
          <w:p w:rsidR="00D710C7" w:rsidRPr="00D84D21" w:rsidRDefault="00D710C7" w:rsidP="00D81872">
            <w:pPr>
              <w:pStyle w:val="TableText"/>
              <w:keepLines/>
              <w:jc w:val="center"/>
              <w:rPr>
                <w:b/>
                <w:vertAlign w:val="superscript"/>
              </w:rPr>
            </w:pPr>
            <w:r w:rsidRPr="00E04E16">
              <w:rPr>
                <w:b/>
              </w:rPr>
              <w:t>$</w:t>
            </w:r>
            <w:r w:rsidR="004E288B">
              <w:rPr>
                <w:b/>
                <w:noProof/>
                <w:color w:val="000000"/>
                <w:highlight w:val="black"/>
              </w:rPr>
              <w:t>''''''''''''</w:t>
            </w:r>
            <w:r w:rsidR="00BD211E" w:rsidRPr="00BD211E">
              <w:rPr>
                <w:vertAlign w:val="superscript"/>
              </w:rPr>
              <w:t>3</w:t>
            </w:r>
          </w:p>
        </w:tc>
      </w:tr>
      <w:tr w:rsidR="00D710C7" w:rsidRPr="00E04E16" w:rsidTr="00856DE8">
        <w:tc>
          <w:tcPr>
            <w:tcW w:w="5000" w:type="pct"/>
            <w:gridSpan w:val="4"/>
            <w:vAlign w:val="center"/>
          </w:tcPr>
          <w:p w:rsidR="00D710C7" w:rsidRPr="00E04E16" w:rsidRDefault="00D710C7" w:rsidP="00D710C7">
            <w:pPr>
              <w:pStyle w:val="TableText"/>
              <w:keepNext w:val="0"/>
              <w:rPr>
                <w:b/>
              </w:rPr>
            </w:pPr>
            <w:r w:rsidRPr="00E04E16">
              <w:rPr>
                <w:b/>
              </w:rPr>
              <w:t xml:space="preserve">Step 1b: Modelled efficacy (based on OPAL-HK and CPRD analysis); </w:t>
            </w:r>
            <w:r w:rsidRPr="00E04E16">
              <w:rPr>
                <w:b/>
                <w:u w:val="single"/>
              </w:rPr>
              <w:t>CKD and CV transitions</w:t>
            </w:r>
            <w:r w:rsidRPr="00E04E16">
              <w:rPr>
                <w:b/>
              </w:rPr>
              <w:t>; no patiromer treatment discontinuation; patiromer drug costs only; outcome patients with hyperkalaemia (&gt;6.0 mmol/L); time horizon 1 year</w:t>
            </w:r>
          </w:p>
        </w:tc>
      </w:tr>
      <w:tr w:rsidR="00D710C7" w:rsidRPr="00E04E16" w:rsidTr="00856DE8">
        <w:tc>
          <w:tcPr>
            <w:tcW w:w="1529" w:type="pct"/>
            <w:vAlign w:val="center"/>
          </w:tcPr>
          <w:p w:rsidR="00D710C7" w:rsidRPr="00E04E16" w:rsidRDefault="00D710C7" w:rsidP="00856DE8">
            <w:pPr>
              <w:pStyle w:val="TableText"/>
              <w:keepNext w:val="0"/>
            </w:pPr>
            <w:r w:rsidRPr="00E04E16">
              <w:t>Costs</w:t>
            </w:r>
          </w:p>
        </w:tc>
        <w:tc>
          <w:tcPr>
            <w:tcW w:w="1359" w:type="pct"/>
            <w:vAlign w:val="center"/>
          </w:tcPr>
          <w:p w:rsidR="00D710C7" w:rsidRPr="00E04E16" w:rsidRDefault="00D710C7" w:rsidP="00856DE8">
            <w:pPr>
              <w:pStyle w:val="TableText"/>
              <w:keepNext w:val="0"/>
              <w:jc w:val="center"/>
            </w:pPr>
            <w:r w:rsidRPr="00E04E16">
              <w:t>$</w:t>
            </w:r>
            <w:r w:rsidR="004E288B">
              <w:rPr>
                <w:noProof/>
                <w:color w:val="000000"/>
                <w:highlight w:val="black"/>
              </w:rPr>
              <w:t>''''''''''''</w:t>
            </w:r>
          </w:p>
        </w:tc>
        <w:tc>
          <w:tcPr>
            <w:tcW w:w="1274" w:type="pct"/>
            <w:vAlign w:val="center"/>
          </w:tcPr>
          <w:p w:rsidR="00D710C7" w:rsidRPr="00E04E16" w:rsidRDefault="00D710C7" w:rsidP="00856DE8">
            <w:pPr>
              <w:pStyle w:val="TableText"/>
              <w:keepNext w:val="0"/>
              <w:jc w:val="center"/>
            </w:pPr>
            <w:r w:rsidRPr="00E04E16">
              <w:t>$0</w:t>
            </w:r>
          </w:p>
        </w:tc>
        <w:tc>
          <w:tcPr>
            <w:tcW w:w="838" w:type="pct"/>
            <w:vAlign w:val="center"/>
          </w:tcPr>
          <w:p w:rsidR="00D710C7" w:rsidRPr="00E04E16" w:rsidRDefault="00D710C7" w:rsidP="00856DE8">
            <w:pPr>
              <w:pStyle w:val="TableText"/>
              <w:keepNext w:val="0"/>
              <w:jc w:val="center"/>
            </w:pPr>
            <w:r w:rsidRPr="00E04E16">
              <w:t>$</w:t>
            </w:r>
            <w:r w:rsidR="004E288B">
              <w:rPr>
                <w:noProof/>
                <w:color w:val="000000"/>
                <w:highlight w:val="black"/>
              </w:rPr>
              <w:t>''''''''''''''</w:t>
            </w:r>
          </w:p>
        </w:tc>
      </w:tr>
      <w:tr w:rsidR="00D710C7" w:rsidRPr="00E04E16" w:rsidTr="00856DE8">
        <w:tc>
          <w:tcPr>
            <w:tcW w:w="1529" w:type="pct"/>
            <w:vAlign w:val="center"/>
          </w:tcPr>
          <w:p w:rsidR="00D710C7" w:rsidRPr="00E04E16" w:rsidRDefault="00D710C7" w:rsidP="00856DE8">
            <w:pPr>
              <w:pStyle w:val="TableText"/>
              <w:keepNext w:val="0"/>
            </w:pPr>
            <w:r w:rsidRPr="00E04E16">
              <w:t>Patients with hyperkalaemia</w:t>
            </w:r>
            <w:r w:rsidRPr="00E04E16">
              <w:rPr>
                <w:vertAlign w:val="superscript"/>
              </w:rPr>
              <w:t>1</w:t>
            </w:r>
          </w:p>
        </w:tc>
        <w:tc>
          <w:tcPr>
            <w:tcW w:w="1359" w:type="pct"/>
            <w:vAlign w:val="center"/>
          </w:tcPr>
          <w:p w:rsidR="00D710C7" w:rsidRPr="00E04E16" w:rsidRDefault="00D710C7" w:rsidP="00856DE8">
            <w:pPr>
              <w:pStyle w:val="TableText"/>
              <w:keepNext w:val="0"/>
              <w:jc w:val="center"/>
            </w:pPr>
            <w:r w:rsidRPr="00E04E16">
              <w:t>0.000034</w:t>
            </w:r>
          </w:p>
        </w:tc>
        <w:tc>
          <w:tcPr>
            <w:tcW w:w="1274" w:type="pct"/>
            <w:vAlign w:val="center"/>
          </w:tcPr>
          <w:p w:rsidR="00D710C7" w:rsidRPr="00E04E16" w:rsidRDefault="00D710C7" w:rsidP="00856DE8">
            <w:pPr>
              <w:pStyle w:val="TableText"/>
              <w:keepNext w:val="0"/>
              <w:jc w:val="center"/>
            </w:pPr>
            <w:r w:rsidRPr="00E04E16">
              <w:t>0.226276</w:t>
            </w:r>
          </w:p>
        </w:tc>
        <w:tc>
          <w:tcPr>
            <w:tcW w:w="838" w:type="pct"/>
            <w:vAlign w:val="center"/>
          </w:tcPr>
          <w:p w:rsidR="00D710C7" w:rsidRPr="00E04E16" w:rsidRDefault="00D710C7" w:rsidP="00856DE8">
            <w:pPr>
              <w:pStyle w:val="TableText"/>
              <w:keepNext w:val="0"/>
              <w:jc w:val="center"/>
            </w:pPr>
            <w:r w:rsidRPr="00E04E16">
              <w:t>-0.226241</w:t>
            </w:r>
          </w:p>
        </w:tc>
      </w:tr>
      <w:tr w:rsidR="00D710C7" w:rsidRPr="00E04E16" w:rsidTr="00856DE8">
        <w:tc>
          <w:tcPr>
            <w:tcW w:w="4162" w:type="pct"/>
            <w:gridSpan w:val="3"/>
            <w:vAlign w:val="center"/>
          </w:tcPr>
          <w:p w:rsidR="00D710C7" w:rsidRPr="00E04E16" w:rsidRDefault="00D710C7" w:rsidP="00856DE8">
            <w:pPr>
              <w:pStyle w:val="TableText"/>
              <w:keepNext w:val="0"/>
            </w:pPr>
            <w:r w:rsidRPr="00E04E16">
              <w:rPr>
                <w:b/>
              </w:rPr>
              <w:t>Incremental cost per additional patient without hyperkalaemia (&gt;6.0 mmol/L)</w:t>
            </w:r>
          </w:p>
        </w:tc>
        <w:tc>
          <w:tcPr>
            <w:tcW w:w="838" w:type="pct"/>
            <w:vAlign w:val="center"/>
          </w:tcPr>
          <w:p w:rsidR="00D710C7" w:rsidRPr="00D84D21" w:rsidRDefault="00D710C7" w:rsidP="00E10EC7">
            <w:pPr>
              <w:pStyle w:val="TableText"/>
              <w:keepNext w:val="0"/>
              <w:jc w:val="center"/>
              <w:rPr>
                <w:b/>
                <w:vertAlign w:val="superscript"/>
              </w:rPr>
            </w:pPr>
            <w:r w:rsidRPr="00E04E16">
              <w:rPr>
                <w:b/>
              </w:rPr>
              <w:t>$</w:t>
            </w:r>
            <w:r w:rsidR="004E288B">
              <w:rPr>
                <w:b/>
                <w:noProof/>
                <w:color w:val="000000"/>
                <w:highlight w:val="black"/>
              </w:rPr>
              <w:t>''''''''''''</w:t>
            </w:r>
            <w:r w:rsidR="00BD211E" w:rsidRPr="00BD211E">
              <w:rPr>
                <w:vertAlign w:val="superscript"/>
              </w:rPr>
              <w:t>3</w:t>
            </w:r>
          </w:p>
        </w:tc>
      </w:tr>
      <w:tr w:rsidR="00D710C7" w:rsidRPr="00E04E16" w:rsidTr="00856DE8">
        <w:tc>
          <w:tcPr>
            <w:tcW w:w="5000" w:type="pct"/>
            <w:gridSpan w:val="4"/>
            <w:vAlign w:val="center"/>
          </w:tcPr>
          <w:p w:rsidR="00D710C7" w:rsidRPr="00E04E16" w:rsidRDefault="00D710C7" w:rsidP="00856DE8">
            <w:pPr>
              <w:pStyle w:val="TableText"/>
              <w:keepNext w:val="0"/>
            </w:pPr>
            <w:r w:rsidRPr="00E04E16">
              <w:rPr>
                <w:b/>
              </w:rPr>
              <w:t xml:space="preserve">Step 1c: Modelled efficacy (based on OPAL-HK and CPRD analysis); CKD and CV transitions; no patiromer treatment discontinuation; patiromer drug costs only; </w:t>
            </w:r>
            <w:r w:rsidRPr="00E04E16">
              <w:rPr>
                <w:b/>
                <w:u w:val="single"/>
              </w:rPr>
              <w:t>outcome life years</w:t>
            </w:r>
            <w:r w:rsidRPr="00E04E16">
              <w:rPr>
                <w:b/>
              </w:rPr>
              <w:t>; time horizon 1 year</w:t>
            </w:r>
          </w:p>
        </w:tc>
      </w:tr>
      <w:tr w:rsidR="00D710C7" w:rsidRPr="00E04E16" w:rsidTr="00856DE8">
        <w:tc>
          <w:tcPr>
            <w:tcW w:w="1529" w:type="pct"/>
            <w:vAlign w:val="center"/>
          </w:tcPr>
          <w:p w:rsidR="00D710C7" w:rsidRPr="00E04E16" w:rsidRDefault="00D710C7" w:rsidP="00856DE8">
            <w:pPr>
              <w:pStyle w:val="TableText"/>
              <w:keepNext w:val="0"/>
            </w:pPr>
            <w:r w:rsidRPr="00E04E16">
              <w:t>Costs</w:t>
            </w:r>
          </w:p>
        </w:tc>
        <w:tc>
          <w:tcPr>
            <w:tcW w:w="1359" w:type="pct"/>
            <w:vAlign w:val="center"/>
          </w:tcPr>
          <w:p w:rsidR="00D710C7" w:rsidRPr="00E04E16" w:rsidRDefault="00D710C7" w:rsidP="00856DE8">
            <w:pPr>
              <w:pStyle w:val="TableText"/>
              <w:keepNext w:val="0"/>
              <w:jc w:val="center"/>
            </w:pPr>
            <w:r w:rsidRPr="00E04E16">
              <w:t>$</w:t>
            </w:r>
            <w:r w:rsidR="004E288B">
              <w:rPr>
                <w:noProof/>
                <w:color w:val="000000"/>
                <w:highlight w:val="black"/>
              </w:rPr>
              <w:t>'''''''''''''</w:t>
            </w:r>
          </w:p>
        </w:tc>
        <w:tc>
          <w:tcPr>
            <w:tcW w:w="1274" w:type="pct"/>
            <w:vAlign w:val="center"/>
          </w:tcPr>
          <w:p w:rsidR="00D710C7" w:rsidRPr="00E04E16" w:rsidRDefault="00D710C7" w:rsidP="00856DE8">
            <w:pPr>
              <w:pStyle w:val="TableText"/>
              <w:keepNext w:val="0"/>
              <w:jc w:val="center"/>
            </w:pPr>
            <w:r w:rsidRPr="00E04E16">
              <w:t>$0</w:t>
            </w:r>
          </w:p>
        </w:tc>
        <w:tc>
          <w:tcPr>
            <w:tcW w:w="838" w:type="pct"/>
            <w:vAlign w:val="center"/>
          </w:tcPr>
          <w:p w:rsidR="00D710C7" w:rsidRPr="00E04E16" w:rsidRDefault="00D710C7" w:rsidP="00856DE8">
            <w:pPr>
              <w:pStyle w:val="TableText"/>
              <w:keepNext w:val="0"/>
              <w:jc w:val="center"/>
            </w:pPr>
            <w:r w:rsidRPr="00E04E16">
              <w:t>$</w:t>
            </w:r>
            <w:r w:rsidR="004E288B">
              <w:rPr>
                <w:noProof/>
                <w:color w:val="000000"/>
                <w:highlight w:val="black"/>
              </w:rPr>
              <w:t>'''''''''''''</w:t>
            </w:r>
          </w:p>
        </w:tc>
      </w:tr>
      <w:tr w:rsidR="00D710C7" w:rsidRPr="00E04E16" w:rsidTr="00856DE8">
        <w:tc>
          <w:tcPr>
            <w:tcW w:w="1529" w:type="pct"/>
            <w:vAlign w:val="center"/>
          </w:tcPr>
          <w:p w:rsidR="00D710C7" w:rsidRPr="00E04E16" w:rsidRDefault="00D710C7" w:rsidP="00856DE8">
            <w:pPr>
              <w:pStyle w:val="TableText"/>
              <w:keepNext w:val="0"/>
            </w:pPr>
            <w:r w:rsidRPr="00E04E16">
              <w:t>Life years</w:t>
            </w:r>
          </w:p>
        </w:tc>
        <w:tc>
          <w:tcPr>
            <w:tcW w:w="1359" w:type="pct"/>
            <w:vAlign w:val="center"/>
          </w:tcPr>
          <w:p w:rsidR="00D710C7" w:rsidRPr="00E04E16" w:rsidRDefault="00D710C7" w:rsidP="00856DE8">
            <w:pPr>
              <w:pStyle w:val="TableText"/>
              <w:keepNext w:val="0"/>
              <w:jc w:val="center"/>
            </w:pPr>
            <w:r w:rsidRPr="00E04E16">
              <w:t>0.978335</w:t>
            </w:r>
          </w:p>
        </w:tc>
        <w:tc>
          <w:tcPr>
            <w:tcW w:w="1274" w:type="pct"/>
            <w:vAlign w:val="center"/>
          </w:tcPr>
          <w:p w:rsidR="00D710C7" w:rsidRPr="00E04E16" w:rsidRDefault="00D710C7" w:rsidP="00856DE8">
            <w:pPr>
              <w:pStyle w:val="TableText"/>
              <w:keepNext w:val="0"/>
              <w:jc w:val="center"/>
            </w:pPr>
            <w:r w:rsidRPr="00E04E16">
              <w:t>0.976986</w:t>
            </w:r>
          </w:p>
        </w:tc>
        <w:tc>
          <w:tcPr>
            <w:tcW w:w="838" w:type="pct"/>
            <w:vAlign w:val="center"/>
          </w:tcPr>
          <w:p w:rsidR="00D710C7" w:rsidRPr="00E04E16" w:rsidRDefault="00D710C7" w:rsidP="00856DE8">
            <w:pPr>
              <w:pStyle w:val="TableText"/>
              <w:keepNext w:val="0"/>
              <w:jc w:val="center"/>
            </w:pPr>
            <w:r w:rsidRPr="00E04E16">
              <w:t>0.001350</w:t>
            </w:r>
          </w:p>
        </w:tc>
      </w:tr>
      <w:tr w:rsidR="00D710C7" w:rsidRPr="00E04E16" w:rsidTr="00856DE8">
        <w:tc>
          <w:tcPr>
            <w:tcW w:w="4162" w:type="pct"/>
            <w:gridSpan w:val="3"/>
            <w:vAlign w:val="center"/>
          </w:tcPr>
          <w:p w:rsidR="00D710C7" w:rsidRPr="00E04E16" w:rsidRDefault="00D710C7" w:rsidP="00856DE8">
            <w:pPr>
              <w:pStyle w:val="TableText"/>
              <w:keepNext w:val="0"/>
              <w:rPr>
                <w:rFonts w:ascii="Times" w:hAnsi="Times"/>
                <w:b/>
              </w:rPr>
            </w:pPr>
            <w:r w:rsidRPr="00E04E16">
              <w:rPr>
                <w:b/>
              </w:rPr>
              <w:t>Incremental cost/life year gained</w:t>
            </w:r>
          </w:p>
        </w:tc>
        <w:tc>
          <w:tcPr>
            <w:tcW w:w="838" w:type="pct"/>
            <w:vAlign w:val="center"/>
          </w:tcPr>
          <w:p w:rsidR="00D710C7" w:rsidRPr="00D84D21" w:rsidRDefault="00D710C7" w:rsidP="00E10EC7">
            <w:pPr>
              <w:pStyle w:val="TableText"/>
              <w:keepNext w:val="0"/>
              <w:jc w:val="center"/>
              <w:rPr>
                <w:b/>
                <w:vertAlign w:val="superscript"/>
              </w:rPr>
            </w:pPr>
            <w:r w:rsidRPr="00E04E16">
              <w:rPr>
                <w:b/>
              </w:rPr>
              <w:t>$</w:t>
            </w:r>
            <w:r w:rsidR="004E288B">
              <w:rPr>
                <w:b/>
                <w:noProof/>
                <w:color w:val="000000"/>
                <w:highlight w:val="black"/>
              </w:rPr>
              <w:t>''''''''''''''''''''</w:t>
            </w:r>
            <w:r w:rsidR="00BD211E" w:rsidRPr="00BD211E">
              <w:rPr>
                <w:vertAlign w:val="superscript"/>
              </w:rPr>
              <w:t>4</w:t>
            </w:r>
          </w:p>
        </w:tc>
      </w:tr>
      <w:tr w:rsidR="00D710C7" w:rsidRPr="00E04E16" w:rsidTr="00856DE8">
        <w:tc>
          <w:tcPr>
            <w:tcW w:w="5000" w:type="pct"/>
            <w:gridSpan w:val="4"/>
            <w:vAlign w:val="center"/>
          </w:tcPr>
          <w:p w:rsidR="00D710C7" w:rsidRPr="00E04E16" w:rsidRDefault="00D710C7" w:rsidP="00D710C7">
            <w:pPr>
              <w:pStyle w:val="Tableheadingrow"/>
              <w:keepNext w:val="0"/>
              <w:rPr>
                <w:lang w:val="en-AU"/>
              </w:rPr>
            </w:pPr>
            <w:r w:rsidRPr="00E04E16">
              <w:rPr>
                <w:lang w:val="en-AU"/>
              </w:rPr>
              <w:t xml:space="preserve">Step 2: Modelled efficacy (based on OPAL-HK and CPRD analysis); CKD and CV transitions; </w:t>
            </w:r>
            <w:r w:rsidRPr="00E04E16">
              <w:rPr>
                <w:u w:val="single"/>
                <w:lang w:val="en-AU"/>
              </w:rPr>
              <w:t>patiromer discontinuation based on US claims data</w:t>
            </w:r>
            <w:r w:rsidRPr="00E04E16">
              <w:rPr>
                <w:lang w:val="en-AU"/>
              </w:rPr>
              <w:t>; patiromer drug costs only; no utility adjustments (outcome life years); time horizon 1 year (no discounting)</w:t>
            </w:r>
          </w:p>
        </w:tc>
      </w:tr>
      <w:tr w:rsidR="00D710C7" w:rsidRPr="00E04E16" w:rsidTr="00856DE8">
        <w:tc>
          <w:tcPr>
            <w:tcW w:w="1529" w:type="pct"/>
            <w:vAlign w:val="center"/>
          </w:tcPr>
          <w:p w:rsidR="00D710C7" w:rsidRPr="00E04E16" w:rsidRDefault="00D710C7" w:rsidP="00856DE8">
            <w:pPr>
              <w:pStyle w:val="TableText"/>
              <w:keepNext w:val="0"/>
              <w:rPr>
                <w:rFonts w:ascii="Times" w:hAnsi="Times"/>
              </w:rPr>
            </w:pPr>
            <w:r w:rsidRPr="00E04E16">
              <w:t>Costs</w:t>
            </w:r>
          </w:p>
        </w:tc>
        <w:tc>
          <w:tcPr>
            <w:tcW w:w="1359" w:type="pct"/>
            <w:vAlign w:val="center"/>
          </w:tcPr>
          <w:p w:rsidR="00D710C7" w:rsidRPr="00E04E16" w:rsidRDefault="00D710C7" w:rsidP="00856DE8">
            <w:pPr>
              <w:pStyle w:val="TableText"/>
              <w:keepNext w:val="0"/>
              <w:jc w:val="center"/>
            </w:pPr>
            <w:r w:rsidRPr="00E04E16">
              <w:t>$</w:t>
            </w:r>
            <w:r w:rsidR="004E288B">
              <w:rPr>
                <w:noProof/>
                <w:color w:val="000000"/>
                <w:highlight w:val="black"/>
              </w:rPr>
              <w:t>'''''''''''''</w:t>
            </w:r>
          </w:p>
        </w:tc>
        <w:tc>
          <w:tcPr>
            <w:tcW w:w="1274" w:type="pct"/>
            <w:vAlign w:val="center"/>
          </w:tcPr>
          <w:p w:rsidR="00D710C7" w:rsidRPr="00E04E16" w:rsidRDefault="00D710C7" w:rsidP="00856DE8">
            <w:pPr>
              <w:pStyle w:val="TableText"/>
              <w:keepNext w:val="0"/>
              <w:jc w:val="center"/>
            </w:pPr>
            <w:r w:rsidRPr="00E04E16">
              <w:t>$0</w:t>
            </w:r>
          </w:p>
        </w:tc>
        <w:tc>
          <w:tcPr>
            <w:tcW w:w="838" w:type="pct"/>
            <w:vAlign w:val="center"/>
          </w:tcPr>
          <w:p w:rsidR="00D710C7" w:rsidRPr="00E04E16" w:rsidRDefault="00D710C7" w:rsidP="00856DE8">
            <w:pPr>
              <w:pStyle w:val="TableText"/>
              <w:keepNext w:val="0"/>
              <w:jc w:val="center"/>
            </w:pPr>
            <w:r w:rsidRPr="00E04E16">
              <w:t>$</w:t>
            </w:r>
            <w:r w:rsidR="004E288B">
              <w:rPr>
                <w:noProof/>
                <w:color w:val="000000"/>
                <w:highlight w:val="black"/>
              </w:rPr>
              <w:t>'''''''''''''</w:t>
            </w:r>
          </w:p>
        </w:tc>
      </w:tr>
      <w:tr w:rsidR="00D710C7" w:rsidRPr="00E04E16" w:rsidTr="00856DE8">
        <w:tc>
          <w:tcPr>
            <w:tcW w:w="1529" w:type="pct"/>
            <w:vAlign w:val="center"/>
          </w:tcPr>
          <w:p w:rsidR="00D710C7" w:rsidRPr="00E04E16" w:rsidRDefault="00D710C7" w:rsidP="00856DE8">
            <w:pPr>
              <w:pStyle w:val="TableText"/>
              <w:keepNext w:val="0"/>
              <w:rPr>
                <w:rFonts w:ascii="Times" w:hAnsi="Times"/>
              </w:rPr>
            </w:pPr>
            <w:r w:rsidRPr="00E04E16">
              <w:t>Life years</w:t>
            </w:r>
          </w:p>
        </w:tc>
        <w:tc>
          <w:tcPr>
            <w:tcW w:w="1359" w:type="pct"/>
            <w:vAlign w:val="center"/>
          </w:tcPr>
          <w:p w:rsidR="00D710C7" w:rsidRPr="00E04E16" w:rsidRDefault="00D710C7" w:rsidP="00856DE8">
            <w:pPr>
              <w:pStyle w:val="TableText"/>
              <w:keepNext w:val="0"/>
              <w:jc w:val="center"/>
            </w:pPr>
            <w:r w:rsidRPr="00E04E16">
              <w:t>0.978330</w:t>
            </w:r>
          </w:p>
        </w:tc>
        <w:tc>
          <w:tcPr>
            <w:tcW w:w="1274" w:type="pct"/>
            <w:vAlign w:val="center"/>
          </w:tcPr>
          <w:p w:rsidR="00D710C7" w:rsidRPr="00E04E16" w:rsidRDefault="00D710C7" w:rsidP="00856DE8">
            <w:pPr>
              <w:pStyle w:val="TableText"/>
              <w:keepNext w:val="0"/>
              <w:jc w:val="center"/>
            </w:pPr>
            <w:r w:rsidRPr="00E04E16">
              <w:t>0.976986</w:t>
            </w:r>
          </w:p>
        </w:tc>
        <w:tc>
          <w:tcPr>
            <w:tcW w:w="838" w:type="pct"/>
            <w:vAlign w:val="center"/>
          </w:tcPr>
          <w:p w:rsidR="00D710C7" w:rsidRPr="00E04E16" w:rsidRDefault="00D710C7" w:rsidP="00856DE8">
            <w:pPr>
              <w:pStyle w:val="TableText"/>
              <w:keepNext w:val="0"/>
              <w:jc w:val="center"/>
            </w:pPr>
            <w:r w:rsidRPr="00E04E16">
              <w:t>0.001344</w:t>
            </w:r>
          </w:p>
        </w:tc>
      </w:tr>
      <w:tr w:rsidR="00D710C7" w:rsidRPr="00E04E16" w:rsidTr="00856DE8">
        <w:tc>
          <w:tcPr>
            <w:tcW w:w="4162" w:type="pct"/>
            <w:gridSpan w:val="3"/>
            <w:vAlign w:val="center"/>
          </w:tcPr>
          <w:p w:rsidR="00D710C7" w:rsidRPr="00E04E16" w:rsidRDefault="00D710C7" w:rsidP="00856DE8">
            <w:pPr>
              <w:pStyle w:val="TableText"/>
              <w:keepNext w:val="0"/>
              <w:rPr>
                <w:rFonts w:ascii="Times" w:hAnsi="Times"/>
                <w:b/>
              </w:rPr>
            </w:pPr>
            <w:r w:rsidRPr="00E04E16">
              <w:rPr>
                <w:b/>
              </w:rPr>
              <w:lastRenderedPageBreak/>
              <w:t>Incremental cost/life year gained</w:t>
            </w:r>
          </w:p>
        </w:tc>
        <w:tc>
          <w:tcPr>
            <w:tcW w:w="838" w:type="pct"/>
            <w:vAlign w:val="center"/>
          </w:tcPr>
          <w:p w:rsidR="00D710C7" w:rsidRPr="00D84D21" w:rsidRDefault="00D710C7" w:rsidP="00E10EC7">
            <w:pPr>
              <w:pStyle w:val="TableText"/>
              <w:keepNext w:val="0"/>
              <w:jc w:val="center"/>
              <w:rPr>
                <w:b/>
                <w:vertAlign w:val="superscript"/>
              </w:rPr>
            </w:pPr>
            <w:r w:rsidRPr="00E04E16">
              <w:rPr>
                <w:b/>
              </w:rPr>
              <w:t>$</w:t>
            </w:r>
            <w:r w:rsidR="004E288B">
              <w:rPr>
                <w:b/>
                <w:noProof/>
                <w:color w:val="000000"/>
                <w:highlight w:val="black"/>
              </w:rPr>
              <w:t>'''''''''''''''''</w:t>
            </w:r>
            <w:r w:rsidR="00BD211E" w:rsidRPr="00BD211E">
              <w:rPr>
                <w:vertAlign w:val="superscript"/>
              </w:rPr>
              <w:t>4</w:t>
            </w:r>
          </w:p>
        </w:tc>
      </w:tr>
      <w:tr w:rsidR="00D710C7" w:rsidRPr="00E04E16" w:rsidTr="0082114B">
        <w:trPr>
          <w:trHeight w:val="514"/>
        </w:trPr>
        <w:tc>
          <w:tcPr>
            <w:tcW w:w="5000" w:type="pct"/>
            <w:gridSpan w:val="4"/>
            <w:vAlign w:val="center"/>
          </w:tcPr>
          <w:p w:rsidR="00D710C7" w:rsidRPr="00E04E16" w:rsidRDefault="00D710C7" w:rsidP="0082114B">
            <w:pPr>
              <w:pStyle w:val="Tableheadingrow"/>
              <w:keepNext w:val="0"/>
              <w:spacing w:after="20"/>
              <w:rPr>
                <w:lang w:val="en-AU"/>
              </w:rPr>
            </w:pPr>
            <w:r w:rsidRPr="00E04E16">
              <w:rPr>
                <w:lang w:val="en-AU"/>
              </w:rPr>
              <w:t xml:space="preserve">Step 3: Modelled efficacy (based on OPAL-HK and CPRD analysis); CKD and CV transitions; patiromer discontinuation based on US claims data; patiromer drug costs only; no utility adjustments (outcome life years); </w:t>
            </w:r>
            <w:r w:rsidRPr="00E04E16">
              <w:rPr>
                <w:u w:val="single"/>
                <w:lang w:val="en-AU"/>
              </w:rPr>
              <w:t>time horizon 35 years (discount rate of 5%)</w:t>
            </w:r>
          </w:p>
        </w:tc>
      </w:tr>
      <w:tr w:rsidR="00D710C7" w:rsidRPr="00E04E16" w:rsidTr="00856DE8">
        <w:tc>
          <w:tcPr>
            <w:tcW w:w="1529" w:type="pct"/>
            <w:vAlign w:val="center"/>
          </w:tcPr>
          <w:p w:rsidR="00D710C7" w:rsidRPr="00E04E16" w:rsidRDefault="00D710C7" w:rsidP="00856DE8">
            <w:pPr>
              <w:pStyle w:val="TableText"/>
              <w:keepNext w:val="0"/>
              <w:rPr>
                <w:rFonts w:ascii="Times" w:hAnsi="Times"/>
              </w:rPr>
            </w:pPr>
            <w:r w:rsidRPr="00E04E16">
              <w:t>Costs</w:t>
            </w:r>
          </w:p>
        </w:tc>
        <w:tc>
          <w:tcPr>
            <w:tcW w:w="1359" w:type="pct"/>
            <w:vAlign w:val="center"/>
          </w:tcPr>
          <w:p w:rsidR="00D710C7" w:rsidRPr="00E04E16" w:rsidRDefault="00D710C7" w:rsidP="00856DE8">
            <w:pPr>
              <w:pStyle w:val="TableText"/>
              <w:keepNext w:val="0"/>
              <w:jc w:val="center"/>
            </w:pPr>
            <w:r w:rsidRPr="00E04E16">
              <w:t>$</w:t>
            </w:r>
            <w:r w:rsidR="004E288B">
              <w:rPr>
                <w:noProof/>
                <w:color w:val="000000"/>
                <w:highlight w:val="black"/>
              </w:rPr>
              <w:t>''''''''''''''</w:t>
            </w:r>
          </w:p>
        </w:tc>
        <w:tc>
          <w:tcPr>
            <w:tcW w:w="1274" w:type="pct"/>
            <w:vAlign w:val="center"/>
          </w:tcPr>
          <w:p w:rsidR="00D710C7" w:rsidRPr="00E04E16" w:rsidRDefault="00D710C7" w:rsidP="00856DE8">
            <w:pPr>
              <w:pStyle w:val="TableText"/>
              <w:keepNext w:val="0"/>
              <w:jc w:val="center"/>
            </w:pPr>
            <w:r w:rsidRPr="00E04E16">
              <w:t>$0</w:t>
            </w:r>
          </w:p>
        </w:tc>
        <w:tc>
          <w:tcPr>
            <w:tcW w:w="838" w:type="pct"/>
            <w:vAlign w:val="center"/>
          </w:tcPr>
          <w:p w:rsidR="00D710C7" w:rsidRPr="00E04E16" w:rsidRDefault="00D710C7" w:rsidP="00856DE8">
            <w:pPr>
              <w:pStyle w:val="TableText"/>
              <w:keepNext w:val="0"/>
              <w:jc w:val="center"/>
            </w:pPr>
            <w:r w:rsidRPr="00E04E16">
              <w:t>$</w:t>
            </w:r>
            <w:r w:rsidR="004E288B">
              <w:rPr>
                <w:noProof/>
                <w:color w:val="000000"/>
                <w:highlight w:val="black"/>
              </w:rPr>
              <w:t>'''''''''''''</w:t>
            </w:r>
          </w:p>
        </w:tc>
      </w:tr>
      <w:tr w:rsidR="00D710C7" w:rsidRPr="00E04E16" w:rsidTr="00856DE8">
        <w:tc>
          <w:tcPr>
            <w:tcW w:w="1529" w:type="pct"/>
            <w:vAlign w:val="center"/>
          </w:tcPr>
          <w:p w:rsidR="00D710C7" w:rsidRPr="00E04E16" w:rsidRDefault="00D710C7" w:rsidP="00856DE8">
            <w:pPr>
              <w:pStyle w:val="TableText"/>
              <w:keepNext w:val="0"/>
              <w:rPr>
                <w:rFonts w:ascii="Times" w:hAnsi="Times"/>
              </w:rPr>
            </w:pPr>
            <w:r w:rsidRPr="00E04E16">
              <w:t>Life years</w:t>
            </w:r>
          </w:p>
        </w:tc>
        <w:tc>
          <w:tcPr>
            <w:tcW w:w="1359" w:type="pct"/>
            <w:vAlign w:val="center"/>
          </w:tcPr>
          <w:p w:rsidR="00D710C7" w:rsidRPr="00E04E16" w:rsidRDefault="00D710C7" w:rsidP="00856DE8">
            <w:pPr>
              <w:pStyle w:val="TableText"/>
              <w:keepNext w:val="0"/>
              <w:jc w:val="center"/>
              <w:rPr>
                <w:rFonts w:ascii="Times" w:hAnsi="Times"/>
              </w:rPr>
            </w:pPr>
            <w:r w:rsidRPr="00E04E16">
              <w:t>7.680616</w:t>
            </w:r>
          </w:p>
        </w:tc>
        <w:tc>
          <w:tcPr>
            <w:tcW w:w="1274" w:type="pct"/>
            <w:vAlign w:val="center"/>
          </w:tcPr>
          <w:p w:rsidR="00D710C7" w:rsidRPr="00E04E16" w:rsidRDefault="00D710C7" w:rsidP="00856DE8">
            <w:pPr>
              <w:pStyle w:val="TableText"/>
              <w:keepNext w:val="0"/>
              <w:jc w:val="center"/>
              <w:rPr>
                <w:rFonts w:ascii="Times" w:hAnsi="Times"/>
              </w:rPr>
            </w:pPr>
            <w:r w:rsidRPr="00E04E16">
              <w:t>7.518747</w:t>
            </w:r>
          </w:p>
        </w:tc>
        <w:tc>
          <w:tcPr>
            <w:tcW w:w="838" w:type="pct"/>
            <w:vAlign w:val="center"/>
          </w:tcPr>
          <w:p w:rsidR="00D710C7" w:rsidRPr="00E04E16" w:rsidRDefault="00D710C7" w:rsidP="00856DE8">
            <w:pPr>
              <w:pStyle w:val="TableText"/>
              <w:keepNext w:val="0"/>
              <w:jc w:val="center"/>
            </w:pPr>
            <w:r w:rsidRPr="00E04E16">
              <w:t>0.061870</w:t>
            </w:r>
          </w:p>
        </w:tc>
      </w:tr>
      <w:tr w:rsidR="00D710C7" w:rsidRPr="00E04E16" w:rsidTr="00856DE8">
        <w:tc>
          <w:tcPr>
            <w:tcW w:w="4162" w:type="pct"/>
            <w:gridSpan w:val="3"/>
            <w:vAlign w:val="center"/>
          </w:tcPr>
          <w:p w:rsidR="00D710C7" w:rsidRPr="00E04E16" w:rsidRDefault="00D710C7" w:rsidP="00856DE8">
            <w:pPr>
              <w:pStyle w:val="TableText"/>
              <w:keepNext w:val="0"/>
              <w:rPr>
                <w:rFonts w:ascii="Times" w:hAnsi="Times"/>
                <w:b/>
              </w:rPr>
            </w:pPr>
            <w:r w:rsidRPr="00E04E16">
              <w:rPr>
                <w:b/>
              </w:rPr>
              <w:t>Incremental cost/life year gained</w:t>
            </w:r>
          </w:p>
        </w:tc>
        <w:tc>
          <w:tcPr>
            <w:tcW w:w="838" w:type="pct"/>
            <w:vAlign w:val="center"/>
          </w:tcPr>
          <w:p w:rsidR="00D710C7" w:rsidRPr="00D84D21" w:rsidRDefault="00D710C7" w:rsidP="00E10EC7">
            <w:pPr>
              <w:pStyle w:val="TableText"/>
              <w:keepNext w:val="0"/>
              <w:jc w:val="center"/>
              <w:rPr>
                <w:b/>
                <w:vertAlign w:val="superscript"/>
              </w:rPr>
            </w:pPr>
            <w:r w:rsidRPr="00E04E16">
              <w:rPr>
                <w:b/>
              </w:rPr>
              <w:t>$</w:t>
            </w:r>
            <w:r w:rsidR="004E288B">
              <w:rPr>
                <w:b/>
                <w:noProof/>
                <w:color w:val="000000"/>
                <w:highlight w:val="black"/>
              </w:rPr>
              <w:t>''''''''''''</w:t>
            </w:r>
            <w:r w:rsidR="00BD211E" w:rsidRPr="00BD211E">
              <w:rPr>
                <w:vertAlign w:val="superscript"/>
              </w:rPr>
              <w:t>5</w:t>
            </w:r>
          </w:p>
        </w:tc>
      </w:tr>
      <w:tr w:rsidR="00D710C7" w:rsidRPr="00E04E16" w:rsidTr="00856DE8">
        <w:tc>
          <w:tcPr>
            <w:tcW w:w="5000" w:type="pct"/>
            <w:gridSpan w:val="4"/>
            <w:vAlign w:val="center"/>
          </w:tcPr>
          <w:p w:rsidR="00D710C7" w:rsidRPr="00E04E16" w:rsidRDefault="00D710C7" w:rsidP="00D710C7">
            <w:pPr>
              <w:pStyle w:val="Tableheadingrow"/>
              <w:keepNext w:val="0"/>
              <w:rPr>
                <w:lang w:val="en-AU"/>
              </w:rPr>
            </w:pPr>
            <w:r w:rsidRPr="00E04E16">
              <w:rPr>
                <w:lang w:val="en-AU"/>
              </w:rPr>
              <w:t xml:space="preserve">Step 4: Modelled efficacy (based on OPAL-HK and CPRD analysis); CKD and CV transitions; patiromer discontinuation based on US claims data; patiromer </w:t>
            </w:r>
            <w:r w:rsidRPr="00E04E16">
              <w:rPr>
                <w:u w:val="single"/>
                <w:lang w:val="en-AU"/>
              </w:rPr>
              <w:t>and RAASi</w:t>
            </w:r>
            <w:r w:rsidRPr="00E04E16">
              <w:rPr>
                <w:lang w:val="en-AU"/>
              </w:rPr>
              <w:t xml:space="preserve"> drug costs</w:t>
            </w:r>
            <w:r w:rsidRPr="00E04E16">
              <w:rPr>
                <w:vertAlign w:val="superscript"/>
                <w:lang w:val="en-AU"/>
              </w:rPr>
              <w:t>2</w:t>
            </w:r>
            <w:r w:rsidRPr="00E04E16">
              <w:rPr>
                <w:lang w:val="en-AU"/>
              </w:rPr>
              <w:t>;  only; no utility adjustments (outcome life years); time horizon 35 years</w:t>
            </w:r>
          </w:p>
        </w:tc>
      </w:tr>
      <w:tr w:rsidR="00D710C7" w:rsidRPr="00E04E16" w:rsidTr="00856DE8">
        <w:tc>
          <w:tcPr>
            <w:tcW w:w="1529" w:type="pct"/>
            <w:vAlign w:val="center"/>
          </w:tcPr>
          <w:p w:rsidR="00D710C7" w:rsidRPr="00E04E16" w:rsidRDefault="00D710C7" w:rsidP="00856DE8">
            <w:pPr>
              <w:pStyle w:val="TableText"/>
              <w:keepNext w:val="0"/>
              <w:rPr>
                <w:rFonts w:ascii="Times" w:hAnsi="Times"/>
              </w:rPr>
            </w:pPr>
            <w:r w:rsidRPr="00E04E16">
              <w:t>Costs</w:t>
            </w:r>
          </w:p>
        </w:tc>
        <w:tc>
          <w:tcPr>
            <w:tcW w:w="1359" w:type="pct"/>
            <w:vAlign w:val="center"/>
          </w:tcPr>
          <w:p w:rsidR="00D710C7" w:rsidRPr="00E04E16" w:rsidRDefault="00D710C7" w:rsidP="00856DE8">
            <w:pPr>
              <w:pStyle w:val="TableText"/>
              <w:keepNext w:val="0"/>
              <w:jc w:val="center"/>
            </w:pPr>
            <w:r w:rsidRPr="00E04E16">
              <w:t>$</w:t>
            </w:r>
            <w:r w:rsidR="004E288B">
              <w:rPr>
                <w:noProof/>
                <w:color w:val="000000"/>
                <w:highlight w:val="black"/>
              </w:rPr>
              <w:t>''''''''''''''</w:t>
            </w:r>
          </w:p>
        </w:tc>
        <w:tc>
          <w:tcPr>
            <w:tcW w:w="1274" w:type="pct"/>
            <w:vAlign w:val="center"/>
          </w:tcPr>
          <w:p w:rsidR="00D710C7" w:rsidRPr="00E04E16" w:rsidRDefault="00D710C7" w:rsidP="00856DE8">
            <w:pPr>
              <w:pStyle w:val="TableText"/>
              <w:keepNext w:val="0"/>
              <w:jc w:val="center"/>
            </w:pPr>
            <w:r w:rsidRPr="00E04E16">
              <w:t>$2,977</w:t>
            </w:r>
          </w:p>
        </w:tc>
        <w:tc>
          <w:tcPr>
            <w:tcW w:w="838" w:type="pct"/>
            <w:vAlign w:val="center"/>
          </w:tcPr>
          <w:p w:rsidR="00D710C7" w:rsidRPr="00E04E16" w:rsidRDefault="00D710C7" w:rsidP="00856DE8">
            <w:pPr>
              <w:pStyle w:val="TableText"/>
              <w:keepNext w:val="0"/>
              <w:jc w:val="center"/>
            </w:pPr>
            <w:r w:rsidRPr="00E04E16">
              <w:t>$</w:t>
            </w:r>
            <w:r w:rsidR="004E288B">
              <w:rPr>
                <w:noProof/>
                <w:color w:val="000000"/>
                <w:highlight w:val="black"/>
              </w:rPr>
              <w:t>'''''</w:t>
            </w:r>
            <w:r w:rsidRPr="00E04E16">
              <w:t>763</w:t>
            </w:r>
          </w:p>
        </w:tc>
      </w:tr>
      <w:tr w:rsidR="00D710C7" w:rsidRPr="00E04E16" w:rsidTr="00856DE8">
        <w:tc>
          <w:tcPr>
            <w:tcW w:w="1529" w:type="pct"/>
            <w:vAlign w:val="center"/>
          </w:tcPr>
          <w:p w:rsidR="00D710C7" w:rsidRPr="00E04E16" w:rsidRDefault="00D710C7" w:rsidP="00856DE8">
            <w:pPr>
              <w:pStyle w:val="TableText"/>
              <w:keepNext w:val="0"/>
              <w:rPr>
                <w:rFonts w:ascii="Times" w:hAnsi="Times"/>
              </w:rPr>
            </w:pPr>
            <w:r w:rsidRPr="00E04E16">
              <w:t>Life years</w:t>
            </w:r>
          </w:p>
        </w:tc>
        <w:tc>
          <w:tcPr>
            <w:tcW w:w="1359" w:type="pct"/>
            <w:vAlign w:val="center"/>
          </w:tcPr>
          <w:p w:rsidR="00D710C7" w:rsidRPr="00E04E16" w:rsidRDefault="00D710C7" w:rsidP="00856DE8">
            <w:pPr>
              <w:pStyle w:val="TableText"/>
              <w:keepNext w:val="0"/>
              <w:jc w:val="center"/>
              <w:rPr>
                <w:rFonts w:ascii="Times" w:hAnsi="Times"/>
              </w:rPr>
            </w:pPr>
            <w:r w:rsidRPr="00E04E16">
              <w:t>7.680616</w:t>
            </w:r>
          </w:p>
        </w:tc>
        <w:tc>
          <w:tcPr>
            <w:tcW w:w="1274" w:type="pct"/>
            <w:vAlign w:val="center"/>
          </w:tcPr>
          <w:p w:rsidR="00D710C7" w:rsidRPr="00E04E16" w:rsidRDefault="00D710C7" w:rsidP="00856DE8">
            <w:pPr>
              <w:pStyle w:val="TableText"/>
              <w:keepNext w:val="0"/>
              <w:jc w:val="center"/>
              <w:rPr>
                <w:rFonts w:ascii="Times" w:hAnsi="Times"/>
              </w:rPr>
            </w:pPr>
            <w:r w:rsidRPr="00E04E16">
              <w:t>7.518747</w:t>
            </w:r>
          </w:p>
        </w:tc>
        <w:tc>
          <w:tcPr>
            <w:tcW w:w="838" w:type="pct"/>
            <w:vAlign w:val="center"/>
          </w:tcPr>
          <w:p w:rsidR="00D710C7" w:rsidRPr="00E04E16" w:rsidRDefault="00D710C7" w:rsidP="00856DE8">
            <w:pPr>
              <w:pStyle w:val="TableText"/>
              <w:keepNext w:val="0"/>
              <w:jc w:val="center"/>
            </w:pPr>
            <w:r w:rsidRPr="00E04E16">
              <w:t>0.061870</w:t>
            </w:r>
          </w:p>
        </w:tc>
      </w:tr>
      <w:tr w:rsidR="00D710C7" w:rsidRPr="00E04E16" w:rsidTr="00856DE8">
        <w:tc>
          <w:tcPr>
            <w:tcW w:w="4162" w:type="pct"/>
            <w:gridSpan w:val="3"/>
            <w:vAlign w:val="center"/>
          </w:tcPr>
          <w:p w:rsidR="00D710C7" w:rsidRPr="00E04E16" w:rsidRDefault="00D710C7" w:rsidP="00856DE8">
            <w:pPr>
              <w:pStyle w:val="TableText"/>
              <w:keepNext w:val="0"/>
              <w:rPr>
                <w:rFonts w:ascii="Times" w:hAnsi="Times"/>
                <w:b/>
              </w:rPr>
            </w:pPr>
            <w:r w:rsidRPr="00E04E16">
              <w:rPr>
                <w:b/>
              </w:rPr>
              <w:t>Incremental cost/life year gained</w:t>
            </w:r>
          </w:p>
        </w:tc>
        <w:tc>
          <w:tcPr>
            <w:tcW w:w="838" w:type="pct"/>
            <w:vAlign w:val="center"/>
          </w:tcPr>
          <w:p w:rsidR="00D710C7" w:rsidRPr="00D84D21" w:rsidRDefault="00D710C7" w:rsidP="00856DE8">
            <w:pPr>
              <w:pStyle w:val="TableText"/>
              <w:keepNext w:val="0"/>
              <w:jc w:val="center"/>
              <w:rPr>
                <w:b/>
                <w:vertAlign w:val="superscript"/>
              </w:rPr>
            </w:pPr>
            <w:r w:rsidRPr="00E04E16">
              <w:rPr>
                <w:b/>
              </w:rPr>
              <w:t>$</w:t>
            </w:r>
            <w:r w:rsidR="004E288B">
              <w:rPr>
                <w:b/>
                <w:noProof/>
                <w:color w:val="000000"/>
                <w:highlight w:val="black"/>
              </w:rPr>
              <w:t>'''''''''''''</w:t>
            </w:r>
            <w:r w:rsidR="00BD211E" w:rsidRPr="00BD211E">
              <w:rPr>
                <w:vertAlign w:val="superscript"/>
              </w:rPr>
              <w:t>5</w:t>
            </w:r>
          </w:p>
        </w:tc>
      </w:tr>
      <w:tr w:rsidR="00D710C7" w:rsidRPr="00E04E16" w:rsidTr="00856DE8">
        <w:tc>
          <w:tcPr>
            <w:tcW w:w="5000" w:type="pct"/>
            <w:gridSpan w:val="4"/>
            <w:vAlign w:val="center"/>
          </w:tcPr>
          <w:p w:rsidR="00D710C7" w:rsidRPr="00E04E16" w:rsidRDefault="00D710C7" w:rsidP="00D710C7">
            <w:pPr>
              <w:pStyle w:val="Tableheadingrow"/>
              <w:keepNext w:val="0"/>
              <w:rPr>
                <w:lang w:val="en-AU"/>
              </w:rPr>
            </w:pPr>
            <w:r w:rsidRPr="00E04E16">
              <w:rPr>
                <w:lang w:val="en-AU"/>
              </w:rPr>
              <w:t xml:space="preserve">Step 5: Modelled efficacy (based on OPAL-HK and CPRD analysis); CKD and CV transitions; patiromer discontinuation based on US claims data; patiromer  and RAASi drug costs only; </w:t>
            </w:r>
            <w:r w:rsidRPr="00E04E16">
              <w:rPr>
                <w:u w:val="single"/>
                <w:lang w:val="en-AU"/>
              </w:rPr>
              <w:t>health state costs</w:t>
            </w:r>
            <w:r w:rsidRPr="00E04E16">
              <w:rPr>
                <w:b w:val="0"/>
                <w:vertAlign w:val="superscript"/>
                <w:lang w:val="en-AU"/>
              </w:rPr>
              <w:t>2</w:t>
            </w:r>
            <w:r w:rsidRPr="00E04E16">
              <w:rPr>
                <w:lang w:val="en-AU"/>
              </w:rPr>
              <w:t>; no utility adjustments (outcome life years); time horizon 35 years</w:t>
            </w:r>
          </w:p>
        </w:tc>
      </w:tr>
      <w:tr w:rsidR="00D710C7" w:rsidRPr="00E04E16" w:rsidTr="00856DE8">
        <w:tc>
          <w:tcPr>
            <w:tcW w:w="1529" w:type="pct"/>
            <w:vAlign w:val="center"/>
          </w:tcPr>
          <w:p w:rsidR="00D710C7" w:rsidRPr="00E04E16" w:rsidRDefault="00D710C7" w:rsidP="00856DE8">
            <w:pPr>
              <w:pStyle w:val="TableText"/>
              <w:keepNext w:val="0"/>
              <w:rPr>
                <w:rFonts w:ascii="Times" w:hAnsi="Times"/>
              </w:rPr>
            </w:pPr>
            <w:r w:rsidRPr="00E04E16">
              <w:t>Costs</w:t>
            </w:r>
          </w:p>
        </w:tc>
        <w:tc>
          <w:tcPr>
            <w:tcW w:w="1359" w:type="pct"/>
            <w:vAlign w:val="center"/>
          </w:tcPr>
          <w:p w:rsidR="00D710C7" w:rsidRPr="00E04E16" w:rsidRDefault="00D710C7" w:rsidP="00856DE8">
            <w:pPr>
              <w:pStyle w:val="TableText"/>
              <w:keepNext w:val="0"/>
              <w:jc w:val="center"/>
            </w:pPr>
            <w:r w:rsidRPr="00E04E16">
              <w:t>$</w:t>
            </w:r>
            <w:r w:rsidR="004E288B">
              <w:rPr>
                <w:noProof/>
                <w:color w:val="000000"/>
                <w:highlight w:val="black"/>
              </w:rPr>
              <w:t>''''''''''''''''''</w:t>
            </w:r>
          </w:p>
        </w:tc>
        <w:tc>
          <w:tcPr>
            <w:tcW w:w="1274" w:type="pct"/>
            <w:vAlign w:val="center"/>
          </w:tcPr>
          <w:p w:rsidR="00D710C7" w:rsidRPr="00E04E16" w:rsidRDefault="00D710C7" w:rsidP="00856DE8">
            <w:pPr>
              <w:pStyle w:val="TableText"/>
              <w:keepNext w:val="0"/>
              <w:jc w:val="center"/>
            </w:pPr>
            <w:r w:rsidRPr="00E04E16">
              <w:t>$32,057</w:t>
            </w:r>
          </w:p>
        </w:tc>
        <w:tc>
          <w:tcPr>
            <w:tcW w:w="838" w:type="pct"/>
            <w:vAlign w:val="center"/>
          </w:tcPr>
          <w:p w:rsidR="00D710C7" w:rsidRPr="00E04E16" w:rsidRDefault="00D710C7" w:rsidP="00856DE8">
            <w:pPr>
              <w:pStyle w:val="TableText"/>
              <w:keepNext w:val="0"/>
              <w:jc w:val="center"/>
            </w:pPr>
            <w:r w:rsidRPr="00E04E16">
              <w:t>$</w:t>
            </w:r>
            <w:r w:rsidR="004E288B">
              <w:rPr>
                <w:noProof/>
                <w:color w:val="000000"/>
                <w:highlight w:val="black"/>
              </w:rPr>
              <w:t>'''''''''''''</w:t>
            </w:r>
          </w:p>
        </w:tc>
      </w:tr>
      <w:tr w:rsidR="00D710C7" w:rsidRPr="00E04E16" w:rsidTr="00856DE8">
        <w:tc>
          <w:tcPr>
            <w:tcW w:w="1529" w:type="pct"/>
            <w:vAlign w:val="center"/>
          </w:tcPr>
          <w:p w:rsidR="00D710C7" w:rsidRPr="00E04E16" w:rsidRDefault="00D710C7" w:rsidP="00856DE8">
            <w:pPr>
              <w:pStyle w:val="TableText"/>
              <w:keepNext w:val="0"/>
              <w:rPr>
                <w:rFonts w:ascii="Times" w:hAnsi="Times"/>
              </w:rPr>
            </w:pPr>
            <w:r w:rsidRPr="00E04E16">
              <w:t>Life years</w:t>
            </w:r>
          </w:p>
        </w:tc>
        <w:tc>
          <w:tcPr>
            <w:tcW w:w="1359" w:type="pct"/>
            <w:vAlign w:val="center"/>
          </w:tcPr>
          <w:p w:rsidR="00D710C7" w:rsidRPr="00E04E16" w:rsidRDefault="00D710C7" w:rsidP="00856DE8">
            <w:pPr>
              <w:pStyle w:val="TableText"/>
              <w:keepNext w:val="0"/>
              <w:jc w:val="center"/>
              <w:rPr>
                <w:rFonts w:ascii="Times" w:hAnsi="Times"/>
              </w:rPr>
            </w:pPr>
            <w:r w:rsidRPr="00E04E16">
              <w:t>7.680616</w:t>
            </w:r>
          </w:p>
        </w:tc>
        <w:tc>
          <w:tcPr>
            <w:tcW w:w="1274" w:type="pct"/>
            <w:vAlign w:val="center"/>
          </w:tcPr>
          <w:p w:rsidR="00D710C7" w:rsidRPr="00E04E16" w:rsidRDefault="00D710C7" w:rsidP="00856DE8">
            <w:pPr>
              <w:pStyle w:val="TableText"/>
              <w:keepNext w:val="0"/>
              <w:jc w:val="center"/>
              <w:rPr>
                <w:rFonts w:ascii="Times" w:hAnsi="Times"/>
              </w:rPr>
            </w:pPr>
            <w:r w:rsidRPr="00E04E16">
              <w:t>7.518747</w:t>
            </w:r>
          </w:p>
        </w:tc>
        <w:tc>
          <w:tcPr>
            <w:tcW w:w="838" w:type="pct"/>
            <w:vAlign w:val="center"/>
          </w:tcPr>
          <w:p w:rsidR="00D710C7" w:rsidRPr="00E04E16" w:rsidRDefault="00D710C7" w:rsidP="00856DE8">
            <w:pPr>
              <w:pStyle w:val="TableText"/>
              <w:keepNext w:val="0"/>
              <w:jc w:val="center"/>
            </w:pPr>
            <w:r w:rsidRPr="00E04E16">
              <w:t>0.061870</w:t>
            </w:r>
          </w:p>
        </w:tc>
      </w:tr>
      <w:tr w:rsidR="00D710C7" w:rsidRPr="00E04E16" w:rsidTr="00856DE8">
        <w:tc>
          <w:tcPr>
            <w:tcW w:w="4162" w:type="pct"/>
            <w:gridSpan w:val="3"/>
            <w:vAlign w:val="center"/>
          </w:tcPr>
          <w:p w:rsidR="00D710C7" w:rsidRPr="00E04E16" w:rsidRDefault="00D710C7" w:rsidP="00856DE8">
            <w:pPr>
              <w:pStyle w:val="TableText"/>
              <w:keepNext w:val="0"/>
              <w:rPr>
                <w:rFonts w:ascii="Times" w:hAnsi="Times"/>
                <w:b/>
              </w:rPr>
            </w:pPr>
            <w:r w:rsidRPr="00E04E16">
              <w:rPr>
                <w:b/>
              </w:rPr>
              <w:t>Incremental cost/life year gained</w:t>
            </w:r>
          </w:p>
        </w:tc>
        <w:tc>
          <w:tcPr>
            <w:tcW w:w="838" w:type="pct"/>
            <w:vAlign w:val="center"/>
          </w:tcPr>
          <w:p w:rsidR="00D710C7" w:rsidRPr="00D84D21" w:rsidRDefault="00D710C7" w:rsidP="00E10EC7">
            <w:pPr>
              <w:pStyle w:val="TableText"/>
              <w:keepNext w:val="0"/>
              <w:jc w:val="center"/>
              <w:rPr>
                <w:b/>
                <w:vertAlign w:val="superscript"/>
              </w:rPr>
            </w:pPr>
            <w:r w:rsidRPr="00E04E16">
              <w:rPr>
                <w:b/>
              </w:rPr>
              <w:t>$</w:t>
            </w:r>
            <w:r w:rsidR="004E288B">
              <w:rPr>
                <w:b/>
                <w:noProof/>
                <w:color w:val="000000"/>
                <w:highlight w:val="black"/>
              </w:rPr>
              <w:t>'''''''''''''</w:t>
            </w:r>
            <w:r w:rsidR="00BD211E" w:rsidRPr="00BD211E">
              <w:rPr>
                <w:vertAlign w:val="superscript"/>
              </w:rPr>
              <w:t>5</w:t>
            </w:r>
          </w:p>
        </w:tc>
      </w:tr>
      <w:tr w:rsidR="00D710C7" w:rsidRPr="00E04E16" w:rsidTr="0082114B">
        <w:trPr>
          <w:trHeight w:val="690"/>
        </w:trPr>
        <w:tc>
          <w:tcPr>
            <w:tcW w:w="5000" w:type="pct"/>
            <w:gridSpan w:val="4"/>
            <w:vAlign w:val="center"/>
          </w:tcPr>
          <w:p w:rsidR="00D710C7" w:rsidRPr="00E04E16" w:rsidRDefault="00D710C7" w:rsidP="0082114B">
            <w:pPr>
              <w:pStyle w:val="Tableheadingrow"/>
              <w:keepNext w:val="0"/>
              <w:spacing w:after="20"/>
              <w:rPr>
                <w:lang w:val="en-AU"/>
              </w:rPr>
            </w:pPr>
            <w:r w:rsidRPr="00E04E16">
              <w:rPr>
                <w:lang w:val="en-AU"/>
              </w:rPr>
              <w:t xml:space="preserve">Step 6: Modelled efficacy (based on OPAL-HK and CPRD analysis); CKD and CV transitions; patiromer discontinuation based on US claims data; patiromer  and RAASi drug costs only; health state costs; </w:t>
            </w:r>
            <w:r w:rsidRPr="00E04E16">
              <w:rPr>
                <w:u w:val="single"/>
                <w:lang w:val="en-AU"/>
              </w:rPr>
              <w:t>acute event costs</w:t>
            </w:r>
            <w:r w:rsidRPr="00E04E16">
              <w:rPr>
                <w:lang w:val="en-AU"/>
              </w:rPr>
              <w:t>; no utility adjustments (outcome life years); time horizon 35 years</w:t>
            </w:r>
          </w:p>
        </w:tc>
      </w:tr>
      <w:tr w:rsidR="00D710C7" w:rsidRPr="00E04E16" w:rsidTr="00856DE8">
        <w:tc>
          <w:tcPr>
            <w:tcW w:w="1529" w:type="pct"/>
            <w:vAlign w:val="center"/>
          </w:tcPr>
          <w:p w:rsidR="00D710C7" w:rsidRPr="00E04E16" w:rsidRDefault="00D710C7" w:rsidP="00856DE8">
            <w:pPr>
              <w:pStyle w:val="TableText"/>
              <w:keepNext w:val="0"/>
              <w:rPr>
                <w:rFonts w:ascii="Times" w:hAnsi="Times"/>
              </w:rPr>
            </w:pPr>
            <w:r w:rsidRPr="00E04E16">
              <w:t>Costs</w:t>
            </w:r>
          </w:p>
        </w:tc>
        <w:tc>
          <w:tcPr>
            <w:tcW w:w="1359" w:type="pct"/>
            <w:vAlign w:val="center"/>
          </w:tcPr>
          <w:p w:rsidR="00D710C7" w:rsidRPr="00E04E16" w:rsidRDefault="00D710C7" w:rsidP="00856DE8">
            <w:pPr>
              <w:pStyle w:val="TableText"/>
              <w:keepNext w:val="0"/>
              <w:jc w:val="center"/>
              <w:rPr>
                <w:rFonts w:ascii="Times" w:hAnsi="Times"/>
              </w:rPr>
            </w:pPr>
            <w:r w:rsidRPr="00E04E16">
              <w:t>$</w:t>
            </w:r>
            <w:r w:rsidR="004E288B">
              <w:rPr>
                <w:noProof/>
                <w:color w:val="000000"/>
                <w:highlight w:val="black"/>
              </w:rPr>
              <w:t>'''''''''''''''</w:t>
            </w:r>
          </w:p>
        </w:tc>
        <w:tc>
          <w:tcPr>
            <w:tcW w:w="1274" w:type="pct"/>
            <w:vAlign w:val="center"/>
          </w:tcPr>
          <w:p w:rsidR="00D710C7" w:rsidRPr="00E04E16" w:rsidRDefault="00D710C7" w:rsidP="00856DE8">
            <w:pPr>
              <w:pStyle w:val="TableText"/>
              <w:keepNext w:val="0"/>
              <w:jc w:val="center"/>
              <w:rPr>
                <w:rFonts w:ascii="Times" w:hAnsi="Times"/>
              </w:rPr>
            </w:pPr>
            <w:r w:rsidRPr="00E04E16">
              <w:t>$38,353</w:t>
            </w:r>
          </w:p>
        </w:tc>
        <w:tc>
          <w:tcPr>
            <w:tcW w:w="838" w:type="pct"/>
            <w:vAlign w:val="center"/>
          </w:tcPr>
          <w:p w:rsidR="00D710C7" w:rsidRPr="00E04E16" w:rsidRDefault="00D710C7" w:rsidP="00856DE8">
            <w:pPr>
              <w:pStyle w:val="TableText"/>
              <w:keepNext w:val="0"/>
              <w:jc w:val="center"/>
            </w:pPr>
            <w:r w:rsidRPr="00E04E16">
              <w:t>$</w:t>
            </w:r>
            <w:r w:rsidR="004E288B">
              <w:rPr>
                <w:noProof/>
                <w:color w:val="000000"/>
                <w:highlight w:val="black"/>
              </w:rPr>
              <w:t>''''''''''''''</w:t>
            </w:r>
          </w:p>
        </w:tc>
      </w:tr>
      <w:tr w:rsidR="00D710C7" w:rsidRPr="00E04E16" w:rsidTr="00856DE8">
        <w:tc>
          <w:tcPr>
            <w:tcW w:w="1529" w:type="pct"/>
            <w:vAlign w:val="center"/>
          </w:tcPr>
          <w:p w:rsidR="00D710C7" w:rsidRPr="00E04E16" w:rsidRDefault="00D710C7" w:rsidP="00856DE8">
            <w:pPr>
              <w:pStyle w:val="TableText"/>
              <w:keepNext w:val="0"/>
              <w:rPr>
                <w:rFonts w:ascii="Times" w:hAnsi="Times"/>
              </w:rPr>
            </w:pPr>
            <w:r w:rsidRPr="00E04E16">
              <w:t>Life years</w:t>
            </w:r>
          </w:p>
        </w:tc>
        <w:tc>
          <w:tcPr>
            <w:tcW w:w="1359" w:type="pct"/>
            <w:vAlign w:val="center"/>
          </w:tcPr>
          <w:p w:rsidR="00D710C7" w:rsidRPr="00E04E16" w:rsidRDefault="00D710C7" w:rsidP="00856DE8">
            <w:pPr>
              <w:pStyle w:val="TableText"/>
              <w:keepNext w:val="0"/>
              <w:jc w:val="center"/>
            </w:pPr>
            <w:r w:rsidRPr="00D84D21">
              <w:t>7.680616</w:t>
            </w:r>
          </w:p>
        </w:tc>
        <w:tc>
          <w:tcPr>
            <w:tcW w:w="1274" w:type="pct"/>
            <w:vAlign w:val="center"/>
          </w:tcPr>
          <w:p w:rsidR="00D710C7" w:rsidRPr="00E04E16" w:rsidRDefault="00D710C7" w:rsidP="00856DE8">
            <w:pPr>
              <w:pStyle w:val="TableText"/>
              <w:keepNext w:val="0"/>
              <w:jc w:val="center"/>
            </w:pPr>
            <w:r w:rsidRPr="00E04E16">
              <w:t>7.518747</w:t>
            </w:r>
          </w:p>
        </w:tc>
        <w:tc>
          <w:tcPr>
            <w:tcW w:w="838" w:type="pct"/>
            <w:vAlign w:val="center"/>
          </w:tcPr>
          <w:p w:rsidR="00D710C7" w:rsidRPr="00E04E16" w:rsidRDefault="00D710C7" w:rsidP="00856DE8">
            <w:pPr>
              <w:pStyle w:val="TableText"/>
              <w:keepNext w:val="0"/>
              <w:jc w:val="center"/>
            </w:pPr>
            <w:r w:rsidRPr="00D84D21">
              <w:t>0.061870</w:t>
            </w:r>
          </w:p>
        </w:tc>
      </w:tr>
      <w:tr w:rsidR="00D710C7" w:rsidRPr="00E04E16" w:rsidTr="00856DE8">
        <w:tc>
          <w:tcPr>
            <w:tcW w:w="4162" w:type="pct"/>
            <w:gridSpan w:val="3"/>
            <w:vAlign w:val="center"/>
          </w:tcPr>
          <w:p w:rsidR="00D710C7" w:rsidRPr="00E04E16" w:rsidRDefault="00D710C7" w:rsidP="00856DE8">
            <w:pPr>
              <w:pStyle w:val="TableText"/>
              <w:keepNext w:val="0"/>
              <w:rPr>
                <w:rFonts w:ascii="Times" w:hAnsi="Times"/>
                <w:b/>
              </w:rPr>
            </w:pPr>
            <w:r w:rsidRPr="00E04E16">
              <w:rPr>
                <w:b/>
              </w:rPr>
              <w:t>Incremental cost/life year gained</w:t>
            </w:r>
          </w:p>
        </w:tc>
        <w:tc>
          <w:tcPr>
            <w:tcW w:w="838" w:type="pct"/>
            <w:vAlign w:val="center"/>
          </w:tcPr>
          <w:p w:rsidR="00D710C7" w:rsidRPr="00D84D21" w:rsidRDefault="00D710C7" w:rsidP="00E10EC7">
            <w:pPr>
              <w:pStyle w:val="TableText"/>
              <w:keepNext w:val="0"/>
              <w:jc w:val="center"/>
              <w:rPr>
                <w:b/>
                <w:vertAlign w:val="superscript"/>
              </w:rPr>
            </w:pPr>
            <w:r w:rsidRPr="00E04E16">
              <w:rPr>
                <w:b/>
              </w:rPr>
              <w:t>$</w:t>
            </w:r>
            <w:r w:rsidR="004E288B">
              <w:rPr>
                <w:b/>
                <w:noProof/>
                <w:color w:val="000000"/>
                <w:highlight w:val="black"/>
              </w:rPr>
              <w:t>'''''''''''''</w:t>
            </w:r>
            <w:r w:rsidR="00BD211E" w:rsidRPr="00BD211E">
              <w:rPr>
                <w:vertAlign w:val="superscript"/>
              </w:rPr>
              <w:t>6</w:t>
            </w:r>
          </w:p>
        </w:tc>
      </w:tr>
      <w:tr w:rsidR="00D710C7" w:rsidRPr="00E04E16" w:rsidTr="0082114B">
        <w:trPr>
          <w:trHeight w:val="698"/>
        </w:trPr>
        <w:tc>
          <w:tcPr>
            <w:tcW w:w="5000" w:type="pct"/>
            <w:gridSpan w:val="4"/>
            <w:vAlign w:val="center"/>
          </w:tcPr>
          <w:p w:rsidR="00D710C7" w:rsidRPr="00E04E16" w:rsidRDefault="00D710C7" w:rsidP="0075338A">
            <w:pPr>
              <w:pStyle w:val="Tableheadingrow"/>
              <w:keepLines/>
              <w:rPr>
                <w:lang w:val="en-AU"/>
              </w:rPr>
            </w:pPr>
            <w:r w:rsidRPr="00E04E16">
              <w:rPr>
                <w:lang w:val="en-AU"/>
              </w:rPr>
              <w:t xml:space="preserve">Step 7: Modelled efficacy (based on OPAL-HK and CPRD analysis); ; CKD and CV transitions; patiromer discontinuation based on US claims data; patiromer  and RAASi drug costs only; health state costs; acute event costs; </w:t>
            </w:r>
            <w:r w:rsidRPr="00E04E16">
              <w:rPr>
                <w:u w:val="single"/>
                <w:lang w:val="en-AU"/>
              </w:rPr>
              <w:t>utility adjustments for health states and acute events (outcome QALYs)</w:t>
            </w:r>
            <w:r w:rsidRPr="00E04E16">
              <w:rPr>
                <w:lang w:val="en-AU"/>
              </w:rPr>
              <w:t>; time horizon 35 years</w:t>
            </w:r>
          </w:p>
        </w:tc>
      </w:tr>
      <w:tr w:rsidR="00D710C7" w:rsidRPr="00E04E16" w:rsidTr="00856DE8">
        <w:tc>
          <w:tcPr>
            <w:tcW w:w="1529" w:type="pct"/>
            <w:vAlign w:val="center"/>
          </w:tcPr>
          <w:p w:rsidR="00D710C7" w:rsidRPr="00E04E16" w:rsidRDefault="00D710C7" w:rsidP="00856DE8">
            <w:pPr>
              <w:pStyle w:val="TableText"/>
              <w:keepNext w:val="0"/>
              <w:rPr>
                <w:rFonts w:ascii="Times" w:hAnsi="Times"/>
              </w:rPr>
            </w:pPr>
            <w:r w:rsidRPr="00E04E16">
              <w:t>Costs</w:t>
            </w:r>
          </w:p>
        </w:tc>
        <w:tc>
          <w:tcPr>
            <w:tcW w:w="1359" w:type="pct"/>
            <w:vAlign w:val="center"/>
          </w:tcPr>
          <w:p w:rsidR="00D710C7" w:rsidRPr="00E04E16" w:rsidRDefault="00D710C7" w:rsidP="0075338A">
            <w:pPr>
              <w:pStyle w:val="TableText"/>
              <w:keepLines/>
              <w:jc w:val="center"/>
            </w:pPr>
            <w:r w:rsidRPr="00E04E16">
              <w:t>$</w:t>
            </w:r>
            <w:r w:rsidR="004E288B">
              <w:rPr>
                <w:noProof/>
                <w:color w:val="000000"/>
                <w:highlight w:val="black"/>
              </w:rPr>
              <w:t>'''''''''''''''''</w:t>
            </w:r>
          </w:p>
        </w:tc>
        <w:tc>
          <w:tcPr>
            <w:tcW w:w="1274" w:type="pct"/>
            <w:vAlign w:val="center"/>
          </w:tcPr>
          <w:p w:rsidR="00D710C7" w:rsidRPr="00E04E16" w:rsidRDefault="00D710C7" w:rsidP="0075338A">
            <w:pPr>
              <w:pStyle w:val="TableText"/>
              <w:keepLines/>
              <w:jc w:val="center"/>
            </w:pPr>
            <w:r w:rsidRPr="00E04E16">
              <w:t>$38,353</w:t>
            </w:r>
          </w:p>
        </w:tc>
        <w:tc>
          <w:tcPr>
            <w:tcW w:w="838" w:type="pct"/>
            <w:vAlign w:val="center"/>
          </w:tcPr>
          <w:p w:rsidR="00D710C7" w:rsidRPr="00E04E16" w:rsidRDefault="00D710C7" w:rsidP="0075338A">
            <w:pPr>
              <w:pStyle w:val="TableText"/>
              <w:keepLines/>
              <w:jc w:val="center"/>
            </w:pPr>
            <w:r w:rsidRPr="00E04E16">
              <w:t>$</w:t>
            </w:r>
            <w:r w:rsidR="004E288B">
              <w:rPr>
                <w:noProof/>
                <w:color w:val="000000"/>
                <w:highlight w:val="black"/>
              </w:rPr>
              <w:t>'''''''''''''</w:t>
            </w:r>
          </w:p>
        </w:tc>
      </w:tr>
      <w:tr w:rsidR="00D710C7" w:rsidRPr="00E04E16" w:rsidTr="00856DE8">
        <w:tc>
          <w:tcPr>
            <w:tcW w:w="1529" w:type="pct"/>
            <w:vAlign w:val="center"/>
          </w:tcPr>
          <w:p w:rsidR="00D710C7" w:rsidRPr="00E04E16" w:rsidRDefault="00D710C7" w:rsidP="00856DE8">
            <w:pPr>
              <w:pStyle w:val="TableText"/>
              <w:keepNext w:val="0"/>
              <w:rPr>
                <w:rFonts w:ascii="Times" w:hAnsi="Times"/>
              </w:rPr>
            </w:pPr>
            <w:r w:rsidRPr="00E04E16">
              <w:t>QALYs</w:t>
            </w:r>
          </w:p>
        </w:tc>
        <w:tc>
          <w:tcPr>
            <w:tcW w:w="1359" w:type="pct"/>
            <w:vAlign w:val="center"/>
          </w:tcPr>
          <w:p w:rsidR="00D710C7" w:rsidRPr="00E04E16" w:rsidRDefault="00D710C7" w:rsidP="0075338A">
            <w:pPr>
              <w:pStyle w:val="TableText"/>
              <w:keepLines/>
              <w:jc w:val="center"/>
            </w:pPr>
            <w:r w:rsidRPr="00E04E16">
              <w:t>5.655502</w:t>
            </w:r>
          </w:p>
        </w:tc>
        <w:tc>
          <w:tcPr>
            <w:tcW w:w="1274" w:type="pct"/>
            <w:vAlign w:val="center"/>
          </w:tcPr>
          <w:p w:rsidR="00D710C7" w:rsidRPr="00E04E16" w:rsidRDefault="00D710C7" w:rsidP="0075338A">
            <w:pPr>
              <w:pStyle w:val="TableText"/>
              <w:keepLines/>
              <w:jc w:val="center"/>
            </w:pPr>
            <w:r w:rsidRPr="00E04E16">
              <w:t>5.602200</w:t>
            </w:r>
          </w:p>
        </w:tc>
        <w:tc>
          <w:tcPr>
            <w:tcW w:w="838" w:type="pct"/>
            <w:vAlign w:val="center"/>
          </w:tcPr>
          <w:p w:rsidR="00D710C7" w:rsidRPr="00E04E16" w:rsidRDefault="00D710C7" w:rsidP="0075338A">
            <w:pPr>
              <w:pStyle w:val="TableText"/>
              <w:keepLines/>
              <w:jc w:val="center"/>
            </w:pPr>
            <w:r w:rsidRPr="00E04E16">
              <w:t>0.053302</w:t>
            </w:r>
          </w:p>
        </w:tc>
      </w:tr>
      <w:tr w:rsidR="00D710C7" w:rsidRPr="00E04E16" w:rsidTr="00856DE8">
        <w:tc>
          <w:tcPr>
            <w:tcW w:w="4162" w:type="pct"/>
            <w:gridSpan w:val="3"/>
            <w:vAlign w:val="center"/>
          </w:tcPr>
          <w:p w:rsidR="00D710C7" w:rsidRPr="00E04E16" w:rsidRDefault="00D710C7" w:rsidP="0075338A">
            <w:pPr>
              <w:pStyle w:val="TableText"/>
              <w:keepLines/>
              <w:rPr>
                <w:rFonts w:ascii="Times" w:hAnsi="Times"/>
                <w:b/>
              </w:rPr>
            </w:pPr>
            <w:r w:rsidRPr="00E04E16">
              <w:rPr>
                <w:b/>
              </w:rPr>
              <w:t>Incremental cost/extra QALY gained (base case)</w:t>
            </w:r>
          </w:p>
        </w:tc>
        <w:tc>
          <w:tcPr>
            <w:tcW w:w="838" w:type="pct"/>
            <w:vAlign w:val="center"/>
          </w:tcPr>
          <w:p w:rsidR="00D710C7" w:rsidRPr="00D84D21" w:rsidRDefault="00D710C7" w:rsidP="00E10EC7">
            <w:pPr>
              <w:pStyle w:val="TableText"/>
              <w:keepLines/>
              <w:jc w:val="center"/>
              <w:rPr>
                <w:b/>
                <w:vertAlign w:val="superscript"/>
              </w:rPr>
            </w:pPr>
            <w:r w:rsidRPr="00E04E16">
              <w:rPr>
                <w:b/>
              </w:rPr>
              <w:t>$</w:t>
            </w:r>
            <w:r w:rsidR="004E288B">
              <w:rPr>
                <w:b/>
                <w:noProof/>
                <w:color w:val="000000"/>
                <w:highlight w:val="black"/>
              </w:rPr>
              <w:t>''''''''''''''</w:t>
            </w:r>
            <w:r w:rsidR="00BD211E" w:rsidRPr="00BD211E">
              <w:rPr>
                <w:vertAlign w:val="superscript"/>
              </w:rPr>
              <w:t>5</w:t>
            </w:r>
          </w:p>
        </w:tc>
      </w:tr>
    </w:tbl>
    <w:p w:rsidR="00D710C7" w:rsidRPr="00E04E16" w:rsidRDefault="00D710C7" w:rsidP="00D710C7">
      <w:pPr>
        <w:pStyle w:val="TableFigureFooter"/>
      </w:pPr>
      <w:r w:rsidRPr="00E04E16">
        <w:t>Source: Table 3.8.1, p125 of the resubmission and ATTACHMENT 7 - Cost Effectiveness Model Excel spreadsheet provided with the resubmission</w:t>
      </w:r>
    </w:p>
    <w:p w:rsidR="00D710C7" w:rsidRPr="00E04E16" w:rsidRDefault="00D710C7" w:rsidP="00D710C7">
      <w:pPr>
        <w:pStyle w:val="TableFigureFooter"/>
        <w:spacing w:after="0"/>
      </w:pPr>
      <w:r w:rsidRPr="00E04E16">
        <w:t>Abbreviations: CKD, chronic kidney disease; CV, cardiovascular; QALY, quality adjusted life year; RAASi, renin-angiotensin-aldosterone inhibitor</w:t>
      </w:r>
    </w:p>
    <w:p w:rsidR="00D710C7" w:rsidRPr="00E04E16" w:rsidRDefault="00D710C7" w:rsidP="00D710C7">
      <w:pPr>
        <w:contextualSpacing/>
        <w:rPr>
          <w:rFonts w:ascii="Arial Narrow" w:hAnsi="Arial Narrow"/>
          <w:sz w:val="18"/>
        </w:rPr>
      </w:pPr>
      <w:r w:rsidRPr="00E04E16">
        <w:rPr>
          <w:rFonts w:ascii="Arial Narrow" w:hAnsi="Arial Narrow"/>
          <w:sz w:val="18"/>
        </w:rPr>
        <w:t>Note: The results are based on an updated model, corrected for errors in the initial health state transitions and in the cost of the post-CV health state</w:t>
      </w:r>
      <w:r w:rsidR="002841DC" w:rsidRPr="00E04E16">
        <w:rPr>
          <w:rFonts w:ascii="Arial Narrow" w:hAnsi="Arial Narrow"/>
          <w:sz w:val="18"/>
        </w:rPr>
        <w:t xml:space="preserve">. </w:t>
      </w:r>
      <w:r w:rsidR="001D4345" w:rsidRPr="00E04E16">
        <w:rPr>
          <w:rFonts w:ascii="Arial Narrow" w:hAnsi="Arial Narrow"/>
          <w:sz w:val="18"/>
        </w:rPr>
        <w:t>The price of p</w:t>
      </w:r>
      <w:r w:rsidRPr="00E04E16">
        <w:rPr>
          <w:rFonts w:ascii="Arial Narrow" w:hAnsi="Arial Narrow"/>
          <w:sz w:val="18"/>
        </w:rPr>
        <w:t>atiromer</w:t>
      </w:r>
      <w:r w:rsidR="001D4345" w:rsidRPr="00E04E16">
        <w:rPr>
          <w:rFonts w:ascii="Arial Narrow" w:hAnsi="Arial Narrow"/>
          <w:sz w:val="18"/>
        </w:rPr>
        <w:t xml:space="preserve"> w</w:t>
      </w:r>
      <w:r w:rsidRPr="00E04E16">
        <w:rPr>
          <w:rFonts w:ascii="Arial Narrow" w:hAnsi="Arial Narrow"/>
          <w:sz w:val="18"/>
        </w:rPr>
        <w:t>as updated to incorporate the 1 July increase in fees and mark-ups</w:t>
      </w:r>
    </w:p>
    <w:p w:rsidR="00D710C7" w:rsidRPr="00E04E16" w:rsidRDefault="00D710C7" w:rsidP="00D710C7">
      <w:pPr>
        <w:pStyle w:val="TableFigureFooter"/>
        <w:spacing w:after="0"/>
        <w:contextualSpacing w:val="0"/>
      </w:pPr>
      <w:r w:rsidRPr="00E04E16">
        <w:rPr>
          <w:vertAlign w:val="superscript"/>
        </w:rPr>
        <w:t>1</w:t>
      </w:r>
      <w:r w:rsidRPr="00E04E16">
        <w:t>Does not include patients with CKD 5 (who are not separated into serum potassium levels). Assuming 50% of ESRD patients have serum potassium &lt;6.0 mmol/L (based on the resubmission’s assumption that 50% of CKD 5 patients receive full RAASi dose) has little impact on cost-effectiveness</w:t>
      </w:r>
    </w:p>
    <w:p w:rsidR="00D84D21" w:rsidRDefault="00D710C7" w:rsidP="00D84D21">
      <w:pPr>
        <w:pStyle w:val="TableFigureFooter"/>
        <w:keepNext/>
        <w:keepLines/>
        <w:spacing w:after="240"/>
      </w:pPr>
      <w:r w:rsidRPr="00E04E16">
        <w:rPr>
          <w:vertAlign w:val="superscript"/>
        </w:rPr>
        <w:t>2</w:t>
      </w:r>
      <w:r w:rsidRPr="00E04E16">
        <w:t>The cost of the Post-CV state was included in Step 4 in the resubmission as a drug cost, however given it includes non-drug costs, this cost was included in Step 5 in the commentary, with other health state costs.</w:t>
      </w:r>
    </w:p>
    <w:p w:rsidR="00BD211E" w:rsidRDefault="00D84D21" w:rsidP="00D84D21">
      <w:pPr>
        <w:pStyle w:val="TableFigureFooter"/>
        <w:keepNext/>
        <w:keepLines/>
        <w:spacing w:after="240"/>
        <w:rPr>
          <w:i/>
        </w:rPr>
      </w:pPr>
      <w:r w:rsidRPr="00806E45">
        <w:rPr>
          <w:i/>
        </w:rPr>
        <w:t>The redacted values correspond to the following ranges:</w:t>
      </w:r>
    </w:p>
    <w:p w:rsidR="00D84D21" w:rsidRDefault="00BD211E" w:rsidP="00D84D21">
      <w:pPr>
        <w:pStyle w:val="TableFigureFooter"/>
        <w:keepNext/>
        <w:keepLines/>
        <w:spacing w:after="240"/>
        <w:rPr>
          <w:i/>
        </w:rPr>
      </w:pPr>
      <w:r>
        <w:rPr>
          <w:i/>
          <w:vertAlign w:val="superscript"/>
        </w:rPr>
        <w:t>3</w:t>
      </w:r>
      <w:r w:rsidR="00D84D21">
        <w:rPr>
          <w:i/>
        </w:rPr>
        <w:t>$15,000 to &lt;$25,000/QALY gained</w:t>
      </w:r>
    </w:p>
    <w:p w:rsidR="00D84D21" w:rsidRDefault="00BD211E" w:rsidP="00D84D21">
      <w:pPr>
        <w:pStyle w:val="TableFigureFooter"/>
        <w:keepNext/>
        <w:keepLines/>
        <w:spacing w:after="240"/>
        <w:rPr>
          <w:i/>
        </w:rPr>
      </w:pPr>
      <w:r>
        <w:rPr>
          <w:i/>
          <w:vertAlign w:val="superscript"/>
        </w:rPr>
        <w:t>4</w:t>
      </w:r>
      <w:r w:rsidR="00D84D21">
        <w:rPr>
          <w:i/>
        </w:rPr>
        <w:t>&gt;$1,055,000/QALY gained</w:t>
      </w:r>
    </w:p>
    <w:p w:rsidR="00D84D21" w:rsidRDefault="00BD211E" w:rsidP="00D84D21">
      <w:pPr>
        <w:pStyle w:val="TableFigureFooter"/>
        <w:keepNext/>
        <w:keepLines/>
        <w:spacing w:after="240"/>
        <w:rPr>
          <w:i/>
        </w:rPr>
      </w:pPr>
      <w:r>
        <w:rPr>
          <w:i/>
          <w:vertAlign w:val="superscript"/>
        </w:rPr>
        <w:t>5</w:t>
      </w:r>
      <w:r w:rsidR="00D84D21">
        <w:rPr>
          <w:i/>
        </w:rPr>
        <w:t>$35,000 to &lt;$45,000/QALY gained</w:t>
      </w:r>
    </w:p>
    <w:p w:rsidR="00D84D21" w:rsidRPr="003E6E01" w:rsidRDefault="00BD211E" w:rsidP="00D84D21">
      <w:pPr>
        <w:pStyle w:val="TableFigureFooter"/>
        <w:keepNext/>
        <w:keepLines/>
        <w:spacing w:after="240"/>
        <w:rPr>
          <w:i/>
        </w:rPr>
      </w:pPr>
      <w:r>
        <w:rPr>
          <w:i/>
          <w:vertAlign w:val="superscript"/>
        </w:rPr>
        <w:t>6</w:t>
      </w:r>
      <w:r w:rsidR="00D84D21">
        <w:rPr>
          <w:i/>
        </w:rPr>
        <w:t>$25,000 to &lt;$35,000/QALY gained</w:t>
      </w:r>
    </w:p>
    <w:p w:rsidR="00D84D21" w:rsidRPr="00E04E16" w:rsidRDefault="00D84D21" w:rsidP="00BB546F">
      <w:pPr>
        <w:pStyle w:val="TableFigureFooter"/>
        <w:keepNext/>
        <w:keepLines/>
        <w:spacing w:after="240"/>
      </w:pPr>
    </w:p>
    <w:p w:rsidR="00066B6D" w:rsidRPr="00E04E16" w:rsidRDefault="00D710C7" w:rsidP="00D710C7">
      <w:pPr>
        <w:pStyle w:val="ExecSumBodyText"/>
      </w:pPr>
      <w:r w:rsidRPr="00E04E16">
        <w:t>The time horizon (extrapolation to 35 years) and inclusion of patiromer treatment discontinuation based on US claims data had the largest impact on the stepped economic evaluation.</w:t>
      </w:r>
    </w:p>
    <w:p w:rsidR="00066B6D" w:rsidRPr="00E04E16" w:rsidRDefault="007A2B03" w:rsidP="00066B6D">
      <w:pPr>
        <w:pStyle w:val="ExecSumBodyText"/>
      </w:pPr>
      <w:r w:rsidRPr="00E04E16">
        <w:lastRenderedPageBreak/>
        <w:t xml:space="preserve">Based on the economic model, treatment with patiromer plus </w:t>
      </w:r>
      <w:r w:rsidR="00B11691" w:rsidRPr="00E04E16">
        <w:t>standard</w:t>
      </w:r>
      <w:r w:rsidRPr="00E04E16">
        <w:t xml:space="preserve"> care versus </w:t>
      </w:r>
      <w:r w:rsidR="00B11691" w:rsidRPr="00E04E16">
        <w:t>standard</w:t>
      </w:r>
      <w:r w:rsidRPr="00E04E16">
        <w:t xml:space="preserve"> care was associated with a cost per QALY gained of $</w:t>
      </w:r>
      <w:r w:rsidR="007009A1">
        <w:t>35,000 to &lt;$45,000</w:t>
      </w:r>
      <w:r w:rsidRPr="00E04E16">
        <w:t xml:space="preserve"> in patients with chronic/recurrent hyperkalaemia (based on the corrected model; the original estimate in the resubmission was $</w:t>
      </w:r>
      <w:r w:rsidR="007009A1">
        <w:t>35,000 to &lt;$45,000/QALY gained</w:t>
      </w:r>
      <w:r w:rsidRPr="00E04E16">
        <w:t>).</w:t>
      </w:r>
    </w:p>
    <w:p w:rsidR="00066B6D" w:rsidRPr="00E04E16" w:rsidRDefault="00066B6D" w:rsidP="00066B6D">
      <w:pPr>
        <w:pStyle w:val="ExecSumBodyText"/>
      </w:pPr>
      <w:r w:rsidRPr="00E04E16">
        <w:t xml:space="preserve">The </w:t>
      </w:r>
      <w:r w:rsidR="001D4345" w:rsidRPr="00E04E16">
        <w:t>evaluation and the ESC consider</w:t>
      </w:r>
      <w:r w:rsidR="00897A1A" w:rsidRPr="00E04E16">
        <w:t>e</w:t>
      </w:r>
      <w:r w:rsidR="001D4345" w:rsidRPr="00E04E16">
        <w:t xml:space="preserve">d that the </w:t>
      </w:r>
      <w:r w:rsidRPr="00E04E16">
        <w:t>results of the model should not be considered reliable for the following reasons:</w:t>
      </w:r>
    </w:p>
    <w:p w:rsidR="00805A4D" w:rsidRPr="00E04E16" w:rsidRDefault="00805A4D" w:rsidP="00054EC2">
      <w:pPr>
        <w:pStyle w:val="ExecSumBodyText"/>
        <w:numPr>
          <w:ilvl w:val="0"/>
          <w:numId w:val="13"/>
        </w:numPr>
        <w:contextualSpacing/>
      </w:pPr>
      <w:r w:rsidRPr="00E04E16">
        <w:t>The economic model assumed a median duration of patiromer treatment of 3 months and a maximum of 12 months</w:t>
      </w:r>
      <w:r w:rsidR="002F12DF">
        <w:rPr>
          <w:rStyle w:val="FootnoteReference"/>
        </w:rPr>
        <w:footnoteReference w:id="4"/>
      </w:r>
      <w:r w:rsidRPr="00E04E16">
        <w:t>. The ESC considered that short-term or intermittent patiromer use would be unlikely to lead to long-term maintenance or optimisation of RAASi therapy, and hence the modelled gains in cardiovascular outcomes were unlikely to be realised.</w:t>
      </w:r>
    </w:p>
    <w:p w:rsidR="00066B6D" w:rsidRPr="00E04E16" w:rsidRDefault="00066B6D" w:rsidP="00054EC2">
      <w:pPr>
        <w:pStyle w:val="ExecSumBodyText"/>
        <w:numPr>
          <w:ilvl w:val="0"/>
          <w:numId w:val="13"/>
        </w:numPr>
        <w:ind w:left="1077" w:hanging="357"/>
        <w:contextualSpacing/>
      </w:pPr>
      <w:r w:rsidRPr="00E04E16">
        <w:t>The submission assumed that the difference in the proportion of patients with hyperkalaemia between the trial population and the CPRD analysis was solely attributable to patiromer. This assumption was not reasonable given differences in population characteristics and settings between the studies.</w:t>
      </w:r>
    </w:p>
    <w:p w:rsidR="00066B6D" w:rsidRPr="00E04E16" w:rsidRDefault="00066B6D" w:rsidP="00054EC2">
      <w:pPr>
        <w:pStyle w:val="ExecSumBodyText"/>
        <w:numPr>
          <w:ilvl w:val="0"/>
          <w:numId w:val="13"/>
        </w:numPr>
        <w:ind w:left="1077" w:hanging="357"/>
        <w:contextualSpacing/>
      </w:pPr>
      <w:r w:rsidRPr="00E04E16">
        <w:t>The model structure assumes that changing RAASi dose has no independent effect on potassium levels, inconsistent with available clinical data.</w:t>
      </w:r>
    </w:p>
    <w:p w:rsidR="00054EC2" w:rsidRPr="00E04E16" w:rsidRDefault="00054EC2" w:rsidP="00054EC2">
      <w:pPr>
        <w:pStyle w:val="ExecSumBodyText"/>
        <w:numPr>
          <w:ilvl w:val="0"/>
          <w:numId w:val="13"/>
        </w:numPr>
        <w:contextualSpacing/>
      </w:pPr>
      <w:r w:rsidRPr="00E04E16">
        <w:t xml:space="preserve">The data presented did not support the assumption that all patients with hyperkalaemia will discontinue RAASi therapy and the assumption that RAASi dose changes are the only way to change potassium levels in clinical practice. </w:t>
      </w:r>
    </w:p>
    <w:p w:rsidR="00054EC2" w:rsidRPr="00E04E16" w:rsidRDefault="00054EC2" w:rsidP="00054EC2">
      <w:pPr>
        <w:pStyle w:val="ExecSumBodyText"/>
        <w:numPr>
          <w:ilvl w:val="0"/>
          <w:numId w:val="13"/>
        </w:numPr>
        <w:ind w:left="1077" w:hanging="357"/>
        <w:contextualSpacing/>
      </w:pPr>
      <w:r w:rsidRPr="00E04E16">
        <w:t>The model did not allow patients to reinitiate patiromer treatment, which is possible and highly likely to occur under the requested restriction and would be consistent with an episodic disease course.</w:t>
      </w:r>
    </w:p>
    <w:p w:rsidR="00066B6D" w:rsidRPr="00E04E16" w:rsidRDefault="00066B6D" w:rsidP="00054EC2">
      <w:pPr>
        <w:pStyle w:val="ExecSumBodyText"/>
        <w:numPr>
          <w:ilvl w:val="0"/>
          <w:numId w:val="13"/>
        </w:numPr>
        <w:contextualSpacing/>
      </w:pPr>
      <w:r w:rsidRPr="00E04E16">
        <w:t>The model assumes that RAASi therapy is the only effective therapy to treat cardiovascular disease and CKD in these patients. This assumption was not reasonable as there are multiple treatment options for this patient population.</w:t>
      </w:r>
      <w:r w:rsidR="003E7BE4" w:rsidRPr="00E04E16">
        <w:t xml:space="preserve"> The ESC noted that the results of the systematic review by Xie et al, 2016 did not demonstrate a statistically significant difference in cardiovascular events or death for patients treated with RAASi therapies compared to other active treatments.</w:t>
      </w:r>
    </w:p>
    <w:p w:rsidR="00066B6D" w:rsidRPr="00E04E16" w:rsidRDefault="00066B6D" w:rsidP="00054EC2">
      <w:pPr>
        <w:pStyle w:val="ExecSumBodyText"/>
        <w:numPr>
          <w:ilvl w:val="0"/>
          <w:numId w:val="13"/>
        </w:numPr>
        <w:ind w:left="1077" w:hanging="357"/>
        <w:contextualSpacing/>
      </w:pPr>
      <w:r w:rsidRPr="00E04E16">
        <w:t xml:space="preserve">The benefits of patiromer is ultimately derived from a large difference in RAASi dosing after the first cycle, which converges over time. This incremental difference in RAASi dosing is converted to small reductions in CKD progression and cardiovascular </w:t>
      </w:r>
      <w:r w:rsidR="006B4573" w:rsidRPr="00E04E16">
        <w:t>disease, which</w:t>
      </w:r>
      <w:r w:rsidRPr="00E04E16">
        <w:t xml:space="preserve"> is maintained over the duration of the model.</w:t>
      </w:r>
    </w:p>
    <w:p w:rsidR="00054EC2" w:rsidRPr="00E04E16" w:rsidRDefault="00054EC2" w:rsidP="00054EC2">
      <w:pPr>
        <w:pStyle w:val="ExecSumBodyText"/>
        <w:numPr>
          <w:ilvl w:val="0"/>
          <w:numId w:val="13"/>
        </w:numPr>
        <w:ind w:left="1077" w:hanging="357"/>
        <w:contextualSpacing/>
      </w:pPr>
      <w:r w:rsidRPr="00E04E16">
        <w:t>The submission assumed that the same treatment effect for patiromer would be observed with lower modelled doses compared to trial doses. There was no evidence to support this assumption.</w:t>
      </w:r>
    </w:p>
    <w:p w:rsidR="00846C68" w:rsidRPr="00E04E16" w:rsidRDefault="00846C68" w:rsidP="00054EC2">
      <w:pPr>
        <w:pStyle w:val="ExecSumBodyText"/>
        <w:numPr>
          <w:ilvl w:val="0"/>
          <w:numId w:val="13"/>
        </w:numPr>
        <w:ind w:left="1077" w:hanging="357"/>
      </w:pPr>
      <w:r w:rsidRPr="00E04E16">
        <w:t xml:space="preserve">The ESC considered the utility values for CV events, especially the post-CV event </w:t>
      </w:r>
      <w:r w:rsidR="00A4017B" w:rsidRPr="00E04E16">
        <w:t>utility</w:t>
      </w:r>
      <w:r w:rsidR="00FD0396" w:rsidRPr="00E04E16">
        <w:t xml:space="preserve"> (of 0.643, based on a utility of 0.706 for post-MI and 0.527 for post-stroke, </w:t>
      </w:r>
      <w:r w:rsidR="00FD0396" w:rsidRPr="00E04E16">
        <w:lastRenderedPageBreak/>
        <w:t xml:space="preserve">weighted 65%:35%, respectively), were not adequately justified given that multiple sources would likely be available. </w:t>
      </w:r>
    </w:p>
    <w:p w:rsidR="00A86E8B" w:rsidRPr="00E04E16" w:rsidRDefault="00D23D11" w:rsidP="00BB732D">
      <w:pPr>
        <w:pStyle w:val="ExecSumBodyText"/>
      </w:pPr>
      <w:r w:rsidRPr="00E04E16">
        <w:t>The results of key sensitivity analyses are summarised below.</w:t>
      </w:r>
      <w:r w:rsidR="0021491D" w:rsidRPr="00E04E16">
        <w:rPr>
          <w:color w:val="0066FF"/>
        </w:rPr>
        <w:t xml:space="preserve"> </w:t>
      </w:r>
    </w:p>
    <w:p w:rsidR="0021491D" w:rsidRPr="00E04E16" w:rsidRDefault="0021491D" w:rsidP="0076760E">
      <w:pPr>
        <w:pStyle w:val="TableFigureCaption"/>
        <w:keepLines/>
      </w:pPr>
      <w:r w:rsidRPr="00E04E16">
        <w:t xml:space="preserve">Table </w:t>
      </w:r>
      <w:r w:rsidR="00293567" w:rsidRPr="00E04E16">
        <w:t>1</w:t>
      </w:r>
      <w:r w:rsidR="00494BDB" w:rsidRPr="00E04E16">
        <w:t>6</w:t>
      </w:r>
      <w:r w:rsidRPr="00E04E16">
        <w:t>: Results of sensitivity analyses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59"/>
        <w:gridCol w:w="4714"/>
        <w:gridCol w:w="1108"/>
        <w:gridCol w:w="1107"/>
        <w:gridCol w:w="1829"/>
      </w:tblGrid>
      <w:tr w:rsidR="005967E5" w:rsidRPr="00E04E16" w:rsidTr="004219D2">
        <w:trPr>
          <w:tblHeader/>
        </w:trPr>
        <w:tc>
          <w:tcPr>
            <w:tcW w:w="259" w:type="dxa"/>
            <w:vAlign w:val="center"/>
          </w:tcPr>
          <w:p w:rsidR="005967E5" w:rsidRPr="00E04E16" w:rsidRDefault="009D376D" w:rsidP="0076760E">
            <w:pPr>
              <w:pStyle w:val="Tableheadingrow"/>
              <w:keepLines/>
              <w:rPr>
                <w:lang w:val="en-AU"/>
              </w:rPr>
            </w:pPr>
            <w:r w:rsidRPr="00E04E16">
              <w:rPr>
                <w:lang w:val="en-AU"/>
              </w:rPr>
              <w:t>#</w:t>
            </w:r>
          </w:p>
        </w:tc>
        <w:tc>
          <w:tcPr>
            <w:tcW w:w="4714" w:type="dxa"/>
            <w:vAlign w:val="center"/>
          </w:tcPr>
          <w:p w:rsidR="005967E5" w:rsidRPr="00E04E16" w:rsidRDefault="005967E5" w:rsidP="0076760E">
            <w:pPr>
              <w:pStyle w:val="Tableheadingrow"/>
              <w:keepLines/>
              <w:rPr>
                <w:lang w:val="en-AU"/>
              </w:rPr>
            </w:pPr>
            <w:r w:rsidRPr="00E04E16">
              <w:rPr>
                <w:lang w:val="en-AU"/>
              </w:rPr>
              <w:t>Analysis</w:t>
            </w:r>
          </w:p>
        </w:tc>
        <w:tc>
          <w:tcPr>
            <w:tcW w:w="1108" w:type="dxa"/>
            <w:vAlign w:val="center"/>
          </w:tcPr>
          <w:p w:rsidR="005967E5" w:rsidRPr="00E04E16" w:rsidRDefault="005967E5" w:rsidP="0076760E">
            <w:pPr>
              <w:pStyle w:val="Tableheadingrow"/>
              <w:keepLines/>
              <w:jc w:val="center"/>
              <w:rPr>
                <w:lang w:val="en-AU"/>
              </w:rPr>
            </w:pPr>
            <w:r w:rsidRPr="00E04E16">
              <w:rPr>
                <w:lang w:val="en-AU"/>
              </w:rPr>
              <w:t>Incremental cost</w:t>
            </w:r>
          </w:p>
        </w:tc>
        <w:tc>
          <w:tcPr>
            <w:tcW w:w="1107" w:type="dxa"/>
            <w:vAlign w:val="center"/>
          </w:tcPr>
          <w:p w:rsidR="005967E5" w:rsidRPr="00E04E16" w:rsidRDefault="005967E5" w:rsidP="0076760E">
            <w:pPr>
              <w:pStyle w:val="Tableheadingrow"/>
              <w:keepLines/>
              <w:jc w:val="center"/>
              <w:rPr>
                <w:lang w:val="en-AU"/>
              </w:rPr>
            </w:pPr>
            <w:r w:rsidRPr="00E04E16">
              <w:rPr>
                <w:lang w:val="en-AU"/>
              </w:rPr>
              <w:t>Incremental QALYs</w:t>
            </w:r>
          </w:p>
        </w:tc>
        <w:tc>
          <w:tcPr>
            <w:tcW w:w="1829" w:type="dxa"/>
            <w:vAlign w:val="center"/>
          </w:tcPr>
          <w:p w:rsidR="005967E5" w:rsidRPr="00E04E16" w:rsidRDefault="005967E5" w:rsidP="0076760E">
            <w:pPr>
              <w:pStyle w:val="Tableheadingrow"/>
              <w:keepLines/>
              <w:jc w:val="center"/>
              <w:rPr>
                <w:lang w:val="en-AU"/>
              </w:rPr>
            </w:pPr>
            <w:r w:rsidRPr="00E04E16">
              <w:rPr>
                <w:lang w:val="en-AU"/>
              </w:rPr>
              <w:t>ICER</w:t>
            </w:r>
          </w:p>
        </w:tc>
      </w:tr>
      <w:tr w:rsidR="005967E5" w:rsidRPr="00E04E16" w:rsidTr="004219D2">
        <w:tc>
          <w:tcPr>
            <w:tcW w:w="259" w:type="dxa"/>
          </w:tcPr>
          <w:p w:rsidR="005967E5" w:rsidRPr="00E04E16" w:rsidRDefault="005967E5" w:rsidP="0076760E">
            <w:pPr>
              <w:pStyle w:val="TableText"/>
              <w:keepLines/>
              <w:rPr>
                <w:b/>
              </w:rPr>
            </w:pPr>
          </w:p>
        </w:tc>
        <w:tc>
          <w:tcPr>
            <w:tcW w:w="4714" w:type="dxa"/>
          </w:tcPr>
          <w:p w:rsidR="005967E5" w:rsidRPr="00E04E16" w:rsidRDefault="005967E5" w:rsidP="0076760E">
            <w:pPr>
              <w:pStyle w:val="TableText"/>
              <w:keepLines/>
              <w:rPr>
                <w:b/>
              </w:rPr>
            </w:pPr>
            <w:r w:rsidRPr="00E04E16">
              <w:rPr>
                <w:b/>
              </w:rPr>
              <w:t>Base case</w:t>
            </w:r>
          </w:p>
        </w:tc>
        <w:tc>
          <w:tcPr>
            <w:tcW w:w="1108" w:type="dxa"/>
          </w:tcPr>
          <w:p w:rsidR="005967E5" w:rsidRPr="00E04E16" w:rsidRDefault="005967E5" w:rsidP="0076760E">
            <w:pPr>
              <w:pStyle w:val="TableText"/>
              <w:keepLines/>
              <w:jc w:val="center"/>
              <w:rPr>
                <w:b/>
              </w:rPr>
            </w:pPr>
            <w:r w:rsidRPr="00E04E16">
              <w:rPr>
                <w:b/>
              </w:rPr>
              <w:t>$</w:t>
            </w:r>
            <w:r w:rsidR="004E288B">
              <w:rPr>
                <w:b/>
                <w:noProof/>
                <w:color w:val="000000"/>
                <w:highlight w:val="black"/>
              </w:rPr>
              <w:t>''''''''''''</w:t>
            </w:r>
          </w:p>
        </w:tc>
        <w:tc>
          <w:tcPr>
            <w:tcW w:w="1107" w:type="dxa"/>
          </w:tcPr>
          <w:p w:rsidR="005967E5" w:rsidRPr="00E04E16" w:rsidRDefault="005967E5" w:rsidP="0076760E">
            <w:pPr>
              <w:pStyle w:val="TableText"/>
              <w:keepLines/>
              <w:jc w:val="center"/>
              <w:rPr>
                <w:b/>
              </w:rPr>
            </w:pPr>
            <w:r w:rsidRPr="00E04E16">
              <w:rPr>
                <w:b/>
              </w:rPr>
              <w:t>0.0533</w:t>
            </w:r>
          </w:p>
        </w:tc>
        <w:tc>
          <w:tcPr>
            <w:tcW w:w="1829" w:type="dxa"/>
          </w:tcPr>
          <w:p w:rsidR="005967E5" w:rsidRPr="007009A1" w:rsidRDefault="005967E5" w:rsidP="0076760E">
            <w:pPr>
              <w:pStyle w:val="TableText"/>
              <w:keepLines/>
              <w:jc w:val="center"/>
              <w:rPr>
                <w:b/>
                <w:vertAlign w:val="superscript"/>
              </w:rPr>
            </w:pPr>
            <w:r w:rsidRPr="00E04E16">
              <w:rPr>
                <w:b/>
              </w:rPr>
              <w:t>$</w:t>
            </w:r>
            <w:r w:rsidR="004E288B">
              <w:rPr>
                <w:b/>
                <w:noProof/>
                <w:color w:val="000000"/>
                <w:highlight w:val="black"/>
              </w:rPr>
              <w:t>'''''''''''''</w:t>
            </w:r>
            <w:r w:rsidR="007009A1" w:rsidRPr="007009A1">
              <w:rPr>
                <w:b/>
                <w:vertAlign w:val="superscript"/>
              </w:rPr>
              <w:t>2</w:t>
            </w:r>
          </w:p>
        </w:tc>
      </w:tr>
      <w:tr w:rsidR="005967E5" w:rsidRPr="00E04E16" w:rsidTr="004219D2">
        <w:tc>
          <w:tcPr>
            <w:tcW w:w="259" w:type="dxa"/>
          </w:tcPr>
          <w:p w:rsidR="005967E5" w:rsidRPr="00E04E16" w:rsidRDefault="005967E5" w:rsidP="0076760E">
            <w:pPr>
              <w:pStyle w:val="TableText"/>
              <w:keepLines/>
              <w:rPr>
                <w:b/>
              </w:rPr>
            </w:pPr>
          </w:p>
        </w:tc>
        <w:tc>
          <w:tcPr>
            <w:tcW w:w="8758" w:type="dxa"/>
            <w:gridSpan w:val="4"/>
          </w:tcPr>
          <w:p w:rsidR="005967E5" w:rsidRPr="00E04E16" w:rsidRDefault="005967E5" w:rsidP="0076760E">
            <w:pPr>
              <w:pStyle w:val="TableText"/>
              <w:keepLines/>
            </w:pPr>
            <w:r w:rsidRPr="00E04E16">
              <w:rPr>
                <w:b/>
              </w:rPr>
              <w:t>Time horizon (base case: 35 years)</w:t>
            </w:r>
          </w:p>
        </w:tc>
      </w:tr>
      <w:tr w:rsidR="005967E5" w:rsidRPr="00E04E16" w:rsidTr="004219D2">
        <w:tc>
          <w:tcPr>
            <w:tcW w:w="259" w:type="dxa"/>
          </w:tcPr>
          <w:p w:rsidR="005967E5" w:rsidRPr="00E04E16" w:rsidRDefault="005967E5" w:rsidP="0076760E">
            <w:pPr>
              <w:pStyle w:val="TableText"/>
              <w:keepLines/>
            </w:pPr>
          </w:p>
        </w:tc>
        <w:tc>
          <w:tcPr>
            <w:tcW w:w="4714" w:type="dxa"/>
          </w:tcPr>
          <w:p w:rsidR="005967E5" w:rsidRPr="00E04E16" w:rsidRDefault="005967E5" w:rsidP="0076760E">
            <w:pPr>
              <w:pStyle w:val="TableText"/>
              <w:keepLines/>
            </w:pPr>
            <w:r w:rsidRPr="00E04E16">
              <w:t>5 years</w:t>
            </w:r>
          </w:p>
        </w:tc>
        <w:tc>
          <w:tcPr>
            <w:tcW w:w="1108" w:type="dxa"/>
          </w:tcPr>
          <w:p w:rsidR="005967E5" w:rsidRPr="00E04E16" w:rsidRDefault="005967E5" w:rsidP="0076760E">
            <w:pPr>
              <w:pStyle w:val="TableText"/>
              <w:keepLines/>
              <w:jc w:val="center"/>
            </w:pPr>
            <w:r w:rsidRPr="00E04E16">
              <w:t>$</w:t>
            </w:r>
            <w:r w:rsidR="004E288B">
              <w:rPr>
                <w:noProof/>
                <w:color w:val="000000"/>
                <w:highlight w:val="black"/>
              </w:rPr>
              <w:t>''''''''''''''</w:t>
            </w:r>
          </w:p>
        </w:tc>
        <w:tc>
          <w:tcPr>
            <w:tcW w:w="1107" w:type="dxa"/>
          </w:tcPr>
          <w:p w:rsidR="005967E5" w:rsidRPr="00E04E16" w:rsidRDefault="005967E5" w:rsidP="0076760E">
            <w:pPr>
              <w:pStyle w:val="TableText"/>
              <w:keepLines/>
              <w:jc w:val="center"/>
            </w:pPr>
            <w:r w:rsidRPr="00E04E16">
              <w:t>0.0192</w:t>
            </w:r>
          </w:p>
        </w:tc>
        <w:tc>
          <w:tcPr>
            <w:tcW w:w="1829" w:type="dxa"/>
          </w:tcPr>
          <w:p w:rsidR="005967E5" w:rsidRPr="00F31266" w:rsidRDefault="005967E5" w:rsidP="0076760E">
            <w:pPr>
              <w:pStyle w:val="TableText"/>
              <w:keepLines/>
              <w:jc w:val="center"/>
              <w:rPr>
                <w:vertAlign w:val="superscript"/>
              </w:rPr>
            </w:pPr>
            <w:r w:rsidRPr="00E04E16">
              <w:t>$</w:t>
            </w:r>
            <w:r w:rsidR="004E288B">
              <w:rPr>
                <w:noProof/>
                <w:color w:val="000000"/>
                <w:highlight w:val="black"/>
              </w:rPr>
              <w:t>'''''''''''''''''''</w:t>
            </w:r>
            <w:r w:rsidR="00F31266" w:rsidRPr="00F31266">
              <w:rPr>
                <w:vertAlign w:val="superscript"/>
              </w:rPr>
              <w:t>3</w:t>
            </w:r>
          </w:p>
        </w:tc>
      </w:tr>
      <w:tr w:rsidR="005967E5" w:rsidRPr="00E04E16" w:rsidTr="004219D2">
        <w:tc>
          <w:tcPr>
            <w:tcW w:w="259" w:type="dxa"/>
          </w:tcPr>
          <w:p w:rsidR="005967E5" w:rsidRPr="00E04E16" w:rsidRDefault="005967E5" w:rsidP="0076760E">
            <w:pPr>
              <w:pStyle w:val="TableText"/>
              <w:keepLines/>
            </w:pPr>
          </w:p>
        </w:tc>
        <w:tc>
          <w:tcPr>
            <w:tcW w:w="4714" w:type="dxa"/>
          </w:tcPr>
          <w:p w:rsidR="005967E5" w:rsidRPr="00E04E16" w:rsidRDefault="005967E5" w:rsidP="0076760E">
            <w:pPr>
              <w:pStyle w:val="TableText"/>
              <w:keepLines/>
            </w:pPr>
            <w:r w:rsidRPr="00E04E16">
              <w:t>10 years</w:t>
            </w:r>
          </w:p>
        </w:tc>
        <w:tc>
          <w:tcPr>
            <w:tcW w:w="1108" w:type="dxa"/>
          </w:tcPr>
          <w:p w:rsidR="005967E5" w:rsidRPr="00E04E16" w:rsidRDefault="005967E5" w:rsidP="0076760E">
            <w:pPr>
              <w:pStyle w:val="TableText"/>
              <w:keepLines/>
              <w:jc w:val="center"/>
            </w:pPr>
            <w:r w:rsidRPr="00E04E16">
              <w:t>$</w:t>
            </w:r>
            <w:r w:rsidR="004E288B">
              <w:rPr>
                <w:noProof/>
                <w:color w:val="000000"/>
                <w:highlight w:val="black"/>
              </w:rPr>
              <w:t>'''''''''''''''</w:t>
            </w:r>
          </w:p>
        </w:tc>
        <w:tc>
          <w:tcPr>
            <w:tcW w:w="1107" w:type="dxa"/>
          </w:tcPr>
          <w:p w:rsidR="005967E5" w:rsidRPr="00E04E16" w:rsidRDefault="005967E5" w:rsidP="0076760E">
            <w:pPr>
              <w:pStyle w:val="TableText"/>
              <w:keepLines/>
              <w:jc w:val="center"/>
            </w:pPr>
            <w:r w:rsidRPr="00E04E16">
              <w:t>0.0363</w:t>
            </w:r>
          </w:p>
        </w:tc>
        <w:tc>
          <w:tcPr>
            <w:tcW w:w="1829" w:type="dxa"/>
          </w:tcPr>
          <w:p w:rsidR="005967E5" w:rsidRPr="00F31266" w:rsidRDefault="005967E5" w:rsidP="0076760E">
            <w:pPr>
              <w:pStyle w:val="TableText"/>
              <w:keepLines/>
              <w:jc w:val="center"/>
              <w:rPr>
                <w:vertAlign w:val="superscript"/>
              </w:rPr>
            </w:pPr>
            <w:r w:rsidRPr="00E04E16">
              <w:t>$</w:t>
            </w:r>
            <w:r w:rsidR="004E288B">
              <w:rPr>
                <w:noProof/>
                <w:color w:val="000000"/>
                <w:highlight w:val="black"/>
              </w:rPr>
              <w:t>'''''''''''''''''</w:t>
            </w:r>
            <w:r w:rsidR="00F31266" w:rsidRPr="00F31266">
              <w:rPr>
                <w:vertAlign w:val="superscript"/>
              </w:rPr>
              <w:t>4</w:t>
            </w:r>
          </w:p>
        </w:tc>
      </w:tr>
      <w:tr w:rsidR="005967E5" w:rsidRPr="00E04E16" w:rsidTr="004219D2">
        <w:tc>
          <w:tcPr>
            <w:tcW w:w="259" w:type="dxa"/>
          </w:tcPr>
          <w:p w:rsidR="005967E5" w:rsidRPr="00E04E16" w:rsidRDefault="005967E5" w:rsidP="0076760E">
            <w:pPr>
              <w:pStyle w:val="TableText"/>
              <w:keepLines/>
            </w:pPr>
          </w:p>
        </w:tc>
        <w:tc>
          <w:tcPr>
            <w:tcW w:w="4714" w:type="dxa"/>
          </w:tcPr>
          <w:p w:rsidR="005967E5" w:rsidRPr="00E04E16" w:rsidRDefault="005967E5" w:rsidP="0076760E">
            <w:pPr>
              <w:pStyle w:val="TableText"/>
              <w:keepLines/>
            </w:pPr>
            <w:r w:rsidRPr="00E04E16">
              <w:t>20 years</w:t>
            </w:r>
          </w:p>
        </w:tc>
        <w:tc>
          <w:tcPr>
            <w:tcW w:w="1108" w:type="dxa"/>
          </w:tcPr>
          <w:p w:rsidR="005967E5" w:rsidRPr="00E04E16" w:rsidRDefault="005967E5" w:rsidP="0076760E">
            <w:pPr>
              <w:pStyle w:val="TableText"/>
              <w:keepLines/>
              <w:jc w:val="center"/>
            </w:pPr>
            <w:r w:rsidRPr="00E04E16">
              <w:t>$</w:t>
            </w:r>
            <w:r w:rsidR="004E288B">
              <w:rPr>
                <w:noProof/>
                <w:color w:val="000000"/>
                <w:highlight w:val="black"/>
              </w:rPr>
              <w:t>''''''''''''''</w:t>
            </w:r>
          </w:p>
        </w:tc>
        <w:tc>
          <w:tcPr>
            <w:tcW w:w="1107" w:type="dxa"/>
          </w:tcPr>
          <w:p w:rsidR="005967E5" w:rsidRPr="00E04E16" w:rsidRDefault="005967E5" w:rsidP="0076760E">
            <w:pPr>
              <w:pStyle w:val="TableText"/>
              <w:keepLines/>
              <w:jc w:val="center"/>
            </w:pPr>
            <w:r w:rsidRPr="00E04E16">
              <w:t>0.0516</w:t>
            </w:r>
          </w:p>
        </w:tc>
        <w:tc>
          <w:tcPr>
            <w:tcW w:w="1829" w:type="dxa"/>
          </w:tcPr>
          <w:p w:rsidR="005967E5" w:rsidRPr="00F31266" w:rsidRDefault="005967E5" w:rsidP="0076760E">
            <w:pPr>
              <w:pStyle w:val="TableText"/>
              <w:keepLines/>
              <w:jc w:val="center"/>
              <w:rPr>
                <w:vertAlign w:val="superscript"/>
              </w:rPr>
            </w:pPr>
            <w:r w:rsidRPr="00E04E16">
              <w:t>$</w:t>
            </w:r>
            <w:r w:rsidR="004E288B">
              <w:rPr>
                <w:noProof/>
                <w:color w:val="000000"/>
                <w:highlight w:val="black"/>
              </w:rPr>
              <w:t>'''''''''''''''''</w:t>
            </w:r>
            <w:r w:rsidR="00F31266" w:rsidRPr="00F31266">
              <w:rPr>
                <w:vertAlign w:val="superscript"/>
              </w:rPr>
              <w:t>2</w:t>
            </w:r>
          </w:p>
        </w:tc>
      </w:tr>
      <w:tr w:rsidR="005967E5" w:rsidRPr="00E04E16" w:rsidTr="004219D2">
        <w:tc>
          <w:tcPr>
            <w:tcW w:w="259" w:type="dxa"/>
          </w:tcPr>
          <w:p w:rsidR="005967E5" w:rsidRPr="00E04E16" w:rsidRDefault="005967E5" w:rsidP="0076760E">
            <w:pPr>
              <w:pStyle w:val="TableText"/>
              <w:keepLines/>
              <w:rPr>
                <w:b/>
              </w:rPr>
            </w:pPr>
          </w:p>
        </w:tc>
        <w:tc>
          <w:tcPr>
            <w:tcW w:w="8758" w:type="dxa"/>
            <w:gridSpan w:val="4"/>
          </w:tcPr>
          <w:p w:rsidR="005967E5" w:rsidRPr="00E04E16" w:rsidRDefault="005967E5" w:rsidP="0076760E">
            <w:pPr>
              <w:pStyle w:val="TableText"/>
              <w:keepLines/>
              <w:rPr>
                <w:b/>
              </w:rPr>
            </w:pPr>
            <w:r w:rsidRPr="00E04E16">
              <w:rPr>
                <w:b/>
              </w:rPr>
              <w:t>Patiromer circumstances of use (base case: assumed dose 8.4 g or 16.8 g/day [$14.16]; treatment discontinuation based on US claims data log-normal extrapolation; maximum treatment duration one year)</w:t>
            </w:r>
          </w:p>
        </w:tc>
      </w:tr>
      <w:tr w:rsidR="005967E5" w:rsidRPr="00E04E16" w:rsidTr="004219D2">
        <w:tc>
          <w:tcPr>
            <w:tcW w:w="259" w:type="dxa"/>
          </w:tcPr>
          <w:p w:rsidR="005967E5" w:rsidRPr="00E04E16" w:rsidRDefault="005967E5" w:rsidP="0076760E">
            <w:pPr>
              <w:pStyle w:val="TableText"/>
              <w:keepLines/>
            </w:pPr>
          </w:p>
        </w:tc>
        <w:tc>
          <w:tcPr>
            <w:tcW w:w="4714" w:type="dxa"/>
          </w:tcPr>
          <w:p w:rsidR="005967E5" w:rsidRPr="00E04E16" w:rsidRDefault="005967E5" w:rsidP="0076760E">
            <w:pPr>
              <w:pStyle w:val="TableText"/>
              <w:keepLines/>
            </w:pPr>
            <w:r w:rsidRPr="00E04E16">
              <w:t>Dose 21 g/day; $21.24 (median dose from OPAL-HK)</w:t>
            </w:r>
          </w:p>
        </w:tc>
        <w:tc>
          <w:tcPr>
            <w:tcW w:w="1108" w:type="dxa"/>
          </w:tcPr>
          <w:p w:rsidR="005967E5" w:rsidRPr="00E04E16" w:rsidRDefault="005967E5" w:rsidP="0076760E">
            <w:pPr>
              <w:pStyle w:val="TableText"/>
              <w:keepLines/>
              <w:jc w:val="center"/>
            </w:pPr>
            <w:r w:rsidRPr="00E04E16">
              <w:t>$</w:t>
            </w:r>
            <w:r w:rsidR="004E288B">
              <w:rPr>
                <w:noProof/>
                <w:color w:val="000000"/>
                <w:highlight w:val="black"/>
              </w:rPr>
              <w:t>''''''''''''</w:t>
            </w:r>
          </w:p>
        </w:tc>
        <w:tc>
          <w:tcPr>
            <w:tcW w:w="1107" w:type="dxa"/>
          </w:tcPr>
          <w:p w:rsidR="005967E5" w:rsidRPr="00E04E16" w:rsidRDefault="005967E5" w:rsidP="0076760E">
            <w:pPr>
              <w:pStyle w:val="TableText"/>
              <w:keepLines/>
              <w:jc w:val="center"/>
            </w:pPr>
            <w:r w:rsidRPr="00E04E16">
              <w:t>0.0533</w:t>
            </w:r>
          </w:p>
        </w:tc>
        <w:tc>
          <w:tcPr>
            <w:tcW w:w="1829" w:type="dxa"/>
          </w:tcPr>
          <w:p w:rsidR="005967E5" w:rsidRPr="00F31266" w:rsidRDefault="005967E5" w:rsidP="0076760E">
            <w:pPr>
              <w:pStyle w:val="TableText"/>
              <w:keepLines/>
              <w:jc w:val="center"/>
              <w:rPr>
                <w:vertAlign w:val="superscript"/>
              </w:rPr>
            </w:pPr>
            <w:r w:rsidRPr="00E04E16">
              <w:t>$</w:t>
            </w:r>
            <w:r w:rsidR="004E288B">
              <w:rPr>
                <w:noProof/>
                <w:color w:val="000000"/>
                <w:highlight w:val="black"/>
              </w:rPr>
              <w:t>''''''''''''''''''</w:t>
            </w:r>
            <w:r w:rsidR="00F31266" w:rsidRPr="00F31266">
              <w:rPr>
                <w:vertAlign w:val="superscript"/>
              </w:rPr>
              <w:t>5</w:t>
            </w:r>
          </w:p>
        </w:tc>
      </w:tr>
      <w:tr w:rsidR="005967E5" w:rsidRPr="00E04E16" w:rsidTr="004219D2">
        <w:tc>
          <w:tcPr>
            <w:tcW w:w="259" w:type="dxa"/>
          </w:tcPr>
          <w:p w:rsidR="005967E5" w:rsidRPr="00E04E16" w:rsidRDefault="005967E5" w:rsidP="0076760E">
            <w:pPr>
              <w:pStyle w:val="TableText"/>
              <w:keepLines/>
              <w:rPr>
                <w:b/>
              </w:rPr>
            </w:pPr>
            <w:r w:rsidRPr="00E04E16">
              <w:rPr>
                <w:b/>
              </w:rPr>
              <w:t>A</w:t>
            </w:r>
          </w:p>
        </w:tc>
        <w:tc>
          <w:tcPr>
            <w:tcW w:w="4714" w:type="dxa"/>
          </w:tcPr>
          <w:p w:rsidR="005967E5" w:rsidRPr="00E04E16" w:rsidRDefault="005967E5" w:rsidP="00843D24">
            <w:pPr>
              <w:pStyle w:val="TableText"/>
              <w:keepLines/>
            </w:pPr>
            <w:r w:rsidRPr="00E04E16">
              <w:t xml:space="preserve">Dose based on median and interquartile range from OPAL-HK; $25.24 (25% of patients require 1 script; 75% of patients require 2 </w:t>
            </w:r>
            <w:r w:rsidR="00843D24" w:rsidRPr="00E04E16">
              <w:t>scripts</w:t>
            </w:r>
            <w:r w:rsidRPr="00E04E16">
              <w:t>)</w:t>
            </w:r>
          </w:p>
        </w:tc>
        <w:tc>
          <w:tcPr>
            <w:tcW w:w="1108" w:type="dxa"/>
            <w:vAlign w:val="center"/>
          </w:tcPr>
          <w:p w:rsidR="005967E5" w:rsidRPr="00E04E16" w:rsidRDefault="005967E5" w:rsidP="0076760E">
            <w:pPr>
              <w:pStyle w:val="TableText"/>
              <w:keepLines/>
              <w:jc w:val="center"/>
            </w:pPr>
            <w:r w:rsidRPr="00E04E16">
              <w:t>$</w:t>
            </w:r>
            <w:r w:rsidR="004E288B">
              <w:rPr>
                <w:noProof/>
                <w:color w:val="000000"/>
                <w:highlight w:val="black"/>
              </w:rPr>
              <w:t>'''''''''''''</w:t>
            </w:r>
          </w:p>
        </w:tc>
        <w:tc>
          <w:tcPr>
            <w:tcW w:w="1107" w:type="dxa"/>
            <w:vAlign w:val="center"/>
          </w:tcPr>
          <w:p w:rsidR="005967E5" w:rsidRPr="00E04E16" w:rsidRDefault="005967E5" w:rsidP="0076760E">
            <w:pPr>
              <w:pStyle w:val="TableText"/>
              <w:keepLines/>
              <w:jc w:val="center"/>
            </w:pPr>
            <w:r w:rsidRPr="00E04E16">
              <w:t>0.0533</w:t>
            </w:r>
          </w:p>
        </w:tc>
        <w:tc>
          <w:tcPr>
            <w:tcW w:w="1829" w:type="dxa"/>
            <w:vAlign w:val="center"/>
          </w:tcPr>
          <w:p w:rsidR="005967E5" w:rsidRPr="00E04E16" w:rsidRDefault="005967E5" w:rsidP="0076760E">
            <w:pPr>
              <w:pStyle w:val="TableText"/>
              <w:keepLines/>
              <w:jc w:val="center"/>
            </w:pPr>
            <w:r w:rsidRPr="00E04E16">
              <w:t>$</w:t>
            </w:r>
            <w:r w:rsidR="004E288B">
              <w:rPr>
                <w:noProof/>
                <w:color w:val="000000"/>
                <w:highlight w:val="black"/>
              </w:rPr>
              <w:t>'''''''''''''''</w:t>
            </w:r>
            <w:r w:rsidR="00F31266" w:rsidRPr="00F31266">
              <w:rPr>
                <w:vertAlign w:val="superscript"/>
              </w:rPr>
              <w:t>5</w:t>
            </w:r>
          </w:p>
        </w:tc>
      </w:tr>
      <w:tr w:rsidR="005967E5" w:rsidRPr="00E04E16" w:rsidTr="004219D2">
        <w:tc>
          <w:tcPr>
            <w:tcW w:w="259" w:type="dxa"/>
          </w:tcPr>
          <w:p w:rsidR="005967E5" w:rsidRPr="00E04E16" w:rsidRDefault="005967E5" w:rsidP="0076760E">
            <w:pPr>
              <w:pStyle w:val="TableText"/>
              <w:keepLines/>
            </w:pPr>
          </w:p>
        </w:tc>
        <w:tc>
          <w:tcPr>
            <w:tcW w:w="4714" w:type="dxa"/>
          </w:tcPr>
          <w:p w:rsidR="005967E5" w:rsidRPr="00E04E16" w:rsidRDefault="005967E5" w:rsidP="0076760E">
            <w:pPr>
              <w:pStyle w:val="TableText"/>
              <w:keepLines/>
            </w:pPr>
            <w:r w:rsidRPr="00E04E16">
              <w:t>Treatment discontinuation based on AMETHYST-DN study, log-normal extrapolation (constant monthly discontinuation applied within each year)</w:t>
            </w:r>
          </w:p>
        </w:tc>
        <w:tc>
          <w:tcPr>
            <w:tcW w:w="1108" w:type="dxa"/>
            <w:vAlign w:val="center"/>
          </w:tcPr>
          <w:p w:rsidR="005967E5" w:rsidRPr="00E04E16" w:rsidRDefault="005967E5" w:rsidP="0076760E">
            <w:pPr>
              <w:pStyle w:val="TableText"/>
              <w:keepLines/>
              <w:jc w:val="center"/>
            </w:pPr>
            <w:r w:rsidRPr="00E04E16">
              <w:t>$</w:t>
            </w:r>
            <w:r w:rsidR="004E288B">
              <w:rPr>
                <w:noProof/>
                <w:color w:val="000000"/>
                <w:highlight w:val="black"/>
              </w:rPr>
              <w:t>'''''''''''''</w:t>
            </w:r>
          </w:p>
        </w:tc>
        <w:tc>
          <w:tcPr>
            <w:tcW w:w="1107" w:type="dxa"/>
            <w:vAlign w:val="center"/>
          </w:tcPr>
          <w:p w:rsidR="005967E5" w:rsidRPr="00E04E16" w:rsidRDefault="005967E5" w:rsidP="0076760E">
            <w:pPr>
              <w:pStyle w:val="TableText"/>
              <w:keepLines/>
              <w:jc w:val="center"/>
            </w:pPr>
            <w:r w:rsidRPr="00E04E16">
              <w:t>0.0538</w:t>
            </w:r>
          </w:p>
        </w:tc>
        <w:tc>
          <w:tcPr>
            <w:tcW w:w="1829" w:type="dxa"/>
            <w:vAlign w:val="center"/>
          </w:tcPr>
          <w:p w:rsidR="005967E5" w:rsidRPr="00F31266" w:rsidRDefault="005967E5" w:rsidP="0076760E">
            <w:pPr>
              <w:pStyle w:val="TableText"/>
              <w:keepLines/>
              <w:jc w:val="center"/>
              <w:rPr>
                <w:vertAlign w:val="superscript"/>
              </w:rPr>
            </w:pPr>
            <w:r w:rsidRPr="00E04E16">
              <w:t>$</w:t>
            </w:r>
            <w:r w:rsidR="004E288B">
              <w:rPr>
                <w:noProof/>
                <w:color w:val="000000"/>
                <w:highlight w:val="black"/>
              </w:rPr>
              <w:t>'''''''''''''''</w:t>
            </w:r>
            <w:r w:rsidR="00F31266" w:rsidRPr="00F31266">
              <w:rPr>
                <w:vertAlign w:val="superscript"/>
              </w:rPr>
              <w:t>6</w:t>
            </w:r>
          </w:p>
        </w:tc>
      </w:tr>
      <w:tr w:rsidR="005967E5" w:rsidRPr="00E04E16" w:rsidTr="004219D2">
        <w:tc>
          <w:tcPr>
            <w:tcW w:w="259" w:type="dxa"/>
          </w:tcPr>
          <w:p w:rsidR="005967E5" w:rsidRPr="00E04E16" w:rsidRDefault="005967E5" w:rsidP="0076760E">
            <w:pPr>
              <w:pStyle w:val="TableText"/>
              <w:keepLines/>
            </w:pPr>
          </w:p>
        </w:tc>
        <w:tc>
          <w:tcPr>
            <w:tcW w:w="4714" w:type="dxa"/>
          </w:tcPr>
          <w:p w:rsidR="005967E5" w:rsidRPr="00E04E16" w:rsidRDefault="005967E5" w:rsidP="0076760E">
            <w:pPr>
              <w:pStyle w:val="TableText"/>
              <w:keepLines/>
            </w:pPr>
            <w:r w:rsidRPr="00E04E16">
              <w:t>Maximum treatment duration 5 years</w:t>
            </w:r>
          </w:p>
        </w:tc>
        <w:tc>
          <w:tcPr>
            <w:tcW w:w="1108" w:type="dxa"/>
          </w:tcPr>
          <w:p w:rsidR="005967E5" w:rsidRPr="00E04E16" w:rsidRDefault="005967E5" w:rsidP="0076760E">
            <w:pPr>
              <w:pStyle w:val="TableText"/>
              <w:keepLines/>
              <w:jc w:val="center"/>
            </w:pPr>
            <w:r w:rsidRPr="00E04E16">
              <w:t>$</w:t>
            </w:r>
            <w:r w:rsidR="004E288B">
              <w:rPr>
                <w:noProof/>
                <w:color w:val="000000"/>
                <w:highlight w:val="black"/>
              </w:rPr>
              <w:t>'''''''''''''</w:t>
            </w:r>
          </w:p>
        </w:tc>
        <w:tc>
          <w:tcPr>
            <w:tcW w:w="1107" w:type="dxa"/>
          </w:tcPr>
          <w:p w:rsidR="005967E5" w:rsidRPr="00E04E16" w:rsidRDefault="005967E5" w:rsidP="0076760E">
            <w:pPr>
              <w:pStyle w:val="TableText"/>
              <w:keepLines/>
              <w:jc w:val="center"/>
            </w:pPr>
            <w:r w:rsidRPr="00E04E16">
              <w:t>0.0534</w:t>
            </w:r>
          </w:p>
        </w:tc>
        <w:tc>
          <w:tcPr>
            <w:tcW w:w="1829" w:type="dxa"/>
          </w:tcPr>
          <w:p w:rsidR="005967E5" w:rsidRPr="00F31266" w:rsidRDefault="005967E5" w:rsidP="0076760E">
            <w:pPr>
              <w:pStyle w:val="TableText"/>
              <w:keepLines/>
              <w:jc w:val="center"/>
              <w:rPr>
                <w:vertAlign w:val="superscript"/>
              </w:rPr>
            </w:pPr>
            <w:r w:rsidRPr="00E04E16">
              <w:t>$</w:t>
            </w:r>
            <w:r w:rsidR="004E288B">
              <w:rPr>
                <w:noProof/>
                <w:color w:val="000000"/>
                <w:highlight w:val="black"/>
              </w:rPr>
              <w:t>''''''''''''''''</w:t>
            </w:r>
            <w:r w:rsidR="00F31266" w:rsidRPr="00F31266">
              <w:rPr>
                <w:vertAlign w:val="superscript"/>
              </w:rPr>
              <w:t>4</w:t>
            </w:r>
          </w:p>
        </w:tc>
      </w:tr>
      <w:tr w:rsidR="005967E5" w:rsidRPr="00E04E16" w:rsidTr="004219D2">
        <w:tc>
          <w:tcPr>
            <w:tcW w:w="259" w:type="dxa"/>
          </w:tcPr>
          <w:p w:rsidR="005967E5" w:rsidRPr="00E04E16" w:rsidRDefault="005967E5" w:rsidP="0076760E">
            <w:pPr>
              <w:pStyle w:val="TableText"/>
              <w:keepLines/>
            </w:pPr>
          </w:p>
        </w:tc>
        <w:tc>
          <w:tcPr>
            <w:tcW w:w="4714" w:type="dxa"/>
          </w:tcPr>
          <w:p w:rsidR="005967E5" w:rsidRPr="00E04E16" w:rsidRDefault="005967E5" w:rsidP="0076760E">
            <w:pPr>
              <w:pStyle w:val="TableText"/>
              <w:keepLines/>
            </w:pPr>
            <w:r w:rsidRPr="00E04E16">
              <w:t>Maximum treatment duration 35 years</w:t>
            </w:r>
          </w:p>
        </w:tc>
        <w:tc>
          <w:tcPr>
            <w:tcW w:w="1108" w:type="dxa"/>
          </w:tcPr>
          <w:p w:rsidR="005967E5" w:rsidRPr="00E04E16" w:rsidRDefault="005967E5" w:rsidP="0076760E">
            <w:pPr>
              <w:pStyle w:val="TableText"/>
              <w:keepLines/>
              <w:jc w:val="center"/>
            </w:pPr>
            <w:r w:rsidRPr="00E04E16">
              <w:t>$</w:t>
            </w:r>
            <w:r w:rsidR="004E288B">
              <w:rPr>
                <w:noProof/>
                <w:color w:val="000000"/>
                <w:highlight w:val="black"/>
              </w:rPr>
              <w:t>''''''''''''</w:t>
            </w:r>
          </w:p>
        </w:tc>
        <w:tc>
          <w:tcPr>
            <w:tcW w:w="1107" w:type="dxa"/>
          </w:tcPr>
          <w:p w:rsidR="005967E5" w:rsidRPr="00E04E16" w:rsidRDefault="005967E5" w:rsidP="0076760E">
            <w:pPr>
              <w:pStyle w:val="TableText"/>
              <w:keepLines/>
              <w:jc w:val="center"/>
            </w:pPr>
            <w:r w:rsidRPr="00E04E16">
              <w:t>0.0534</w:t>
            </w:r>
          </w:p>
        </w:tc>
        <w:tc>
          <w:tcPr>
            <w:tcW w:w="1829" w:type="dxa"/>
          </w:tcPr>
          <w:p w:rsidR="005967E5" w:rsidRPr="00F31266" w:rsidRDefault="005967E5" w:rsidP="0076760E">
            <w:pPr>
              <w:pStyle w:val="TableText"/>
              <w:keepLines/>
              <w:jc w:val="center"/>
              <w:rPr>
                <w:vertAlign w:val="superscript"/>
              </w:rPr>
            </w:pPr>
            <w:r w:rsidRPr="00E04E16">
              <w:t>$</w:t>
            </w:r>
            <w:r w:rsidR="004E288B">
              <w:rPr>
                <w:noProof/>
                <w:color w:val="000000"/>
                <w:highlight w:val="black"/>
              </w:rPr>
              <w:t>'''''''''''''''''</w:t>
            </w:r>
            <w:r w:rsidR="00F31266" w:rsidRPr="00F31266">
              <w:rPr>
                <w:vertAlign w:val="superscript"/>
              </w:rPr>
              <w:t>4</w:t>
            </w:r>
          </w:p>
        </w:tc>
      </w:tr>
      <w:tr w:rsidR="005967E5" w:rsidRPr="00E04E16" w:rsidTr="004219D2">
        <w:tc>
          <w:tcPr>
            <w:tcW w:w="259" w:type="dxa"/>
          </w:tcPr>
          <w:p w:rsidR="005967E5" w:rsidRPr="00E04E16" w:rsidRDefault="005967E5" w:rsidP="0076760E">
            <w:pPr>
              <w:pStyle w:val="TableText"/>
              <w:keepLines/>
              <w:rPr>
                <w:rFonts w:cs="Times New Roman"/>
                <w:b/>
              </w:rPr>
            </w:pPr>
          </w:p>
        </w:tc>
        <w:tc>
          <w:tcPr>
            <w:tcW w:w="8758" w:type="dxa"/>
            <w:gridSpan w:val="4"/>
          </w:tcPr>
          <w:p w:rsidR="005967E5" w:rsidRPr="00E04E16" w:rsidRDefault="005967E5" w:rsidP="0076760E">
            <w:pPr>
              <w:pStyle w:val="TableText"/>
              <w:keepLines/>
            </w:pPr>
            <w:r w:rsidRPr="00E04E16">
              <w:rPr>
                <w:rFonts w:cs="Times New Roman"/>
                <w:b/>
              </w:rPr>
              <w:t>Cardiovascular events (base case: absolute risk 0.0063 per month, relative risk of 0.8036 with RAASi treatment vs placebo; 33.85% of cardiovascular events were fatal; relative risk for cardiovascular mortality was 0.9497 with RAASi treatment vs placebo)</w:t>
            </w:r>
          </w:p>
        </w:tc>
      </w:tr>
      <w:tr w:rsidR="004219D2" w:rsidRPr="00E04E16" w:rsidTr="004219D2">
        <w:tc>
          <w:tcPr>
            <w:tcW w:w="259" w:type="dxa"/>
          </w:tcPr>
          <w:p w:rsidR="004219D2" w:rsidRPr="00E04E16" w:rsidRDefault="004219D2" w:rsidP="0076760E">
            <w:pPr>
              <w:pStyle w:val="TableText"/>
              <w:keepLines/>
            </w:pPr>
          </w:p>
        </w:tc>
        <w:tc>
          <w:tcPr>
            <w:tcW w:w="4714" w:type="dxa"/>
          </w:tcPr>
          <w:p w:rsidR="004219D2" w:rsidRPr="00E04E16" w:rsidRDefault="004219D2" w:rsidP="0076760E">
            <w:pPr>
              <w:pStyle w:val="TableText"/>
              <w:keepLines/>
            </w:pPr>
            <w:r w:rsidRPr="00E04E16">
              <w:t>Increase absolute risk of CV events by 50% (0.0094)</w:t>
            </w:r>
          </w:p>
        </w:tc>
        <w:tc>
          <w:tcPr>
            <w:tcW w:w="1108" w:type="dxa"/>
          </w:tcPr>
          <w:p w:rsidR="004219D2" w:rsidRPr="00E04E16" w:rsidRDefault="004219D2" w:rsidP="0076760E">
            <w:pPr>
              <w:pStyle w:val="TableText"/>
              <w:keepLines/>
              <w:jc w:val="center"/>
              <w:rPr>
                <w:i/>
              </w:rPr>
            </w:pPr>
            <w:r w:rsidRPr="00E04E16">
              <w:rPr>
                <w:i/>
              </w:rPr>
              <w:t>$</w:t>
            </w:r>
            <w:r w:rsidR="004E288B">
              <w:rPr>
                <w:i/>
                <w:noProof/>
                <w:color w:val="000000"/>
                <w:highlight w:val="black"/>
              </w:rPr>
              <w:t>''''''''''''</w:t>
            </w:r>
          </w:p>
        </w:tc>
        <w:tc>
          <w:tcPr>
            <w:tcW w:w="1107" w:type="dxa"/>
          </w:tcPr>
          <w:p w:rsidR="004219D2" w:rsidRPr="00E04E16" w:rsidRDefault="004219D2" w:rsidP="0076760E">
            <w:pPr>
              <w:pStyle w:val="TableText"/>
              <w:keepLines/>
              <w:jc w:val="center"/>
              <w:rPr>
                <w:i/>
              </w:rPr>
            </w:pPr>
            <w:r w:rsidRPr="00E04E16">
              <w:rPr>
                <w:i/>
              </w:rPr>
              <w:t>0.0548</w:t>
            </w:r>
          </w:p>
        </w:tc>
        <w:tc>
          <w:tcPr>
            <w:tcW w:w="1829" w:type="dxa"/>
          </w:tcPr>
          <w:p w:rsidR="004219D2" w:rsidRPr="00F31266" w:rsidRDefault="004219D2" w:rsidP="0076760E">
            <w:pPr>
              <w:pStyle w:val="TableText"/>
              <w:keepLines/>
              <w:jc w:val="center"/>
              <w:rPr>
                <w:vertAlign w:val="superscript"/>
              </w:rPr>
            </w:pPr>
            <w:r w:rsidRPr="00E04E16">
              <w:rPr>
                <w:i/>
              </w:rPr>
              <w:t>$</w:t>
            </w:r>
            <w:r w:rsidR="004E288B">
              <w:rPr>
                <w:i/>
                <w:noProof/>
                <w:color w:val="000000"/>
                <w:highlight w:val="black"/>
              </w:rPr>
              <w:t>'''''''''''''''''</w:t>
            </w:r>
            <w:r w:rsidR="00F31266" w:rsidRPr="00F31266">
              <w:rPr>
                <w:i/>
                <w:vertAlign w:val="superscript"/>
              </w:rPr>
              <w:t>7</w:t>
            </w:r>
          </w:p>
        </w:tc>
      </w:tr>
      <w:tr w:rsidR="004219D2" w:rsidRPr="00E04E16" w:rsidTr="004219D2">
        <w:tc>
          <w:tcPr>
            <w:tcW w:w="259" w:type="dxa"/>
          </w:tcPr>
          <w:p w:rsidR="004219D2" w:rsidRPr="00E04E16" w:rsidRDefault="004219D2" w:rsidP="0076760E">
            <w:pPr>
              <w:pStyle w:val="TableText"/>
              <w:keepLines/>
            </w:pPr>
          </w:p>
        </w:tc>
        <w:tc>
          <w:tcPr>
            <w:tcW w:w="4714" w:type="dxa"/>
            <w:shd w:val="clear" w:color="auto" w:fill="auto"/>
          </w:tcPr>
          <w:p w:rsidR="004219D2" w:rsidRPr="00E04E16" w:rsidRDefault="004219D2" w:rsidP="0076760E">
            <w:pPr>
              <w:pStyle w:val="TableText"/>
              <w:keepLines/>
            </w:pPr>
            <w:r w:rsidRPr="00E04E16">
              <w:t>Decrease absolute risk of CV events by 50% (0.0031)</w:t>
            </w:r>
          </w:p>
        </w:tc>
        <w:tc>
          <w:tcPr>
            <w:tcW w:w="1108" w:type="dxa"/>
            <w:shd w:val="clear" w:color="auto" w:fill="auto"/>
          </w:tcPr>
          <w:p w:rsidR="004219D2" w:rsidRPr="00E04E16" w:rsidRDefault="004219D2" w:rsidP="0076760E">
            <w:pPr>
              <w:pStyle w:val="TableText"/>
              <w:keepLines/>
              <w:jc w:val="center"/>
            </w:pPr>
            <w:r w:rsidRPr="00E04E16">
              <w:rPr>
                <w:i/>
              </w:rPr>
              <w:t>$</w:t>
            </w:r>
            <w:r w:rsidR="004E288B">
              <w:rPr>
                <w:i/>
                <w:noProof/>
                <w:color w:val="000000"/>
                <w:highlight w:val="black"/>
              </w:rPr>
              <w:t>''''''''''''</w:t>
            </w:r>
          </w:p>
        </w:tc>
        <w:tc>
          <w:tcPr>
            <w:tcW w:w="1107" w:type="dxa"/>
            <w:shd w:val="clear" w:color="auto" w:fill="auto"/>
          </w:tcPr>
          <w:p w:rsidR="004219D2" w:rsidRPr="00E04E16" w:rsidRDefault="004219D2" w:rsidP="0076760E">
            <w:pPr>
              <w:pStyle w:val="TableText"/>
              <w:keepLines/>
              <w:jc w:val="center"/>
            </w:pPr>
            <w:r w:rsidRPr="00E04E16">
              <w:rPr>
                <w:i/>
              </w:rPr>
              <w:t>0.0502</w:t>
            </w:r>
          </w:p>
        </w:tc>
        <w:tc>
          <w:tcPr>
            <w:tcW w:w="1829" w:type="dxa"/>
            <w:shd w:val="clear" w:color="auto" w:fill="auto"/>
          </w:tcPr>
          <w:p w:rsidR="004219D2" w:rsidRPr="00E04E16" w:rsidRDefault="004219D2" w:rsidP="0076760E">
            <w:pPr>
              <w:pStyle w:val="TableText"/>
              <w:keepLines/>
              <w:jc w:val="center"/>
            </w:pPr>
            <w:r w:rsidRPr="00E04E16">
              <w:rPr>
                <w:i/>
              </w:rPr>
              <w:t>$</w:t>
            </w:r>
            <w:r w:rsidR="004E288B">
              <w:rPr>
                <w:i/>
                <w:noProof/>
                <w:color w:val="000000"/>
                <w:highlight w:val="black"/>
              </w:rPr>
              <w:t>''''''''''''''</w:t>
            </w:r>
            <w:r w:rsidR="00F31266" w:rsidRPr="00F31266">
              <w:rPr>
                <w:i/>
                <w:vertAlign w:val="superscript"/>
              </w:rPr>
              <w:t>2</w:t>
            </w:r>
          </w:p>
        </w:tc>
      </w:tr>
      <w:tr w:rsidR="005967E5" w:rsidRPr="00E04E16" w:rsidTr="004219D2">
        <w:tc>
          <w:tcPr>
            <w:tcW w:w="259" w:type="dxa"/>
          </w:tcPr>
          <w:p w:rsidR="005967E5" w:rsidRPr="00E04E16" w:rsidRDefault="005967E5" w:rsidP="0076760E">
            <w:pPr>
              <w:pStyle w:val="TableText"/>
              <w:keepLines/>
              <w:rPr>
                <w:b/>
              </w:rPr>
            </w:pPr>
            <w:r w:rsidRPr="00E04E16">
              <w:rPr>
                <w:b/>
              </w:rPr>
              <w:t>B</w:t>
            </w:r>
          </w:p>
        </w:tc>
        <w:tc>
          <w:tcPr>
            <w:tcW w:w="4714" w:type="dxa"/>
          </w:tcPr>
          <w:p w:rsidR="005967E5" w:rsidRPr="00E04E16" w:rsidRDefault="005967E5" w:rsidP="0076760E">
            <w:pPr>
              <w:pStyle w:val="TableText"/>
              <w:keepLines/>
            </w:pPr>
            <w:r w:rsidRPr="00E04E16">
              <w:t xml:space="preserve">No treatment effect on CV events for RAASi treatment (based on NMA of RAASi therapy versus active treatment) </w:t>
            </w:r>
          </w:p>
        </w:tc>
        <w:tc>
          <w:tcPr>
            <w:tcW w:w="1108" w:type="dxa"/>
            <w:vAlign w:val="center"/>
          </w:tcPr>
          <w:p w:rsidR="005967E5" w:rsidRPr="00E04E16" w:rsidRDefault="005967E5" w:rsidP="0076760E">
            <w:pPr>
              <w:pStyle w:val="TableText"/>
              <w:keepLines/>
              <w:jc w:val="center"/>
            </w:pPr>
            <w:r w:rsidRPr="00E04E16">
              <w:t>$</w:t>
            </w:r>
            <w:r w:rsidR="004E288B">
              <w:rPr>
                <w:noProof/>
                <w:color w:val="000000"/>
                <w:highlight w:val="black"/>
              </w:rPr>
              <w:t>''''''''''''''</w:t>
            </w:r>
          </w:p>
        </w:tc>
        <w:tc>
          <w:tcPr>
            <w:tcW w:w="1107" w:type="dxa"/>
            <w:vAlign w:val="center"/>
          </w:tcPr>
          <w:p w:rsidR="005967E5" w:rsidRPr="00E04E16" w:rsidRDefault="005967E5" w:rsidP="0076760E">
            <w:pPr>
              <w:pStyle w:val="TableText"/>
              <w:keepLines/>
              <w:jc w:val="center"/>
            </w:pPr>
            <w:r w:rsidRPr="00E04E16">
              <w:t>0.0250</w:t>
            </w:r>
          </w:p>
        </w:tc>
        <w:tc>
          <w:tcPr>
            <w:tcW w:w="1829" w:type="dxa"/>
            <w:vAlign w:val="center"/>
          </w:tcPr>
          <w:p w:rsidR="005967E5" w:rsidRPr="00F31266" w:rsidRDefault="005967E5" w:rsidP="0076760E">
            <w:pPr>
              <w:pStyle w:val="TableText"/>
              <w:keepLines/>
              <w:jc w:val="center"/>
              <w:rPr>
                <w:vertAlign w:val="superscript"/>
              </w:rPr>
            </w:pPr>
            <w:r w:rsidRPr="00E04E16">
              <w:t>$</w:t>
            </w:r>
            <w:r w:rsidR="004E288B">
              <w:rPr>
                <w:noProof/>
                <w:color w:val="000000"/>
                <w:highlight w:val="black"/>
              </w:rPr>
              <w:t>''''''''''''''''''</w:t>
            </w:r>
            <w:r w:rsidR="00F31266" w:rsidRPr="00F31266">
              <w:rPr>
                <w:vertAlign w:val="superscript"/>
              </w:rPr>
              <w:t>6</w:t>
            </w:r>
          </w:p>
        </w:tc>
      </w:tr>
      <w:tr w:rsidR="005967E5" w:rsidRPr="00E04E16" w:rsidTr="004219D2">
        <w:tc>
          <w:tcPr>
            <w:tcW w:w="259" w:type="dxa"/>
          </w:tcPr>
          <w:p w:rsidR="005967E5" w:rsidRPr="00E04E16" w:rsidRDefault="005967E5" w:rsidP="0076760E">
            <w:pPr>
              <w:pStyle w:val="TableText"/>
              <w:keepLines/>
              <w:rPr>
                <w:b/>
              </w:rPr>
            </w:pPr>
            <w:r w:rsidRPr="00E04E16">
              <w:rPr>
                <w:b/>
              </w:rPr>
              <w:t>C</w:t>
            </w:r>
          </w:p>
        </w:tc>
        <w:tc>
          <w:tcPr>
            <w:tcW w:w="4714" w:type="dxa"/>
          </w:tcPr>
          <w:p w:rsidR="005967E5" w:rsidRPr="00E04E16" w:rsidRDefault="005967E5" w:rsidP="0076760E">
            <w:pPr>
              <w:pStyle w:val="TableText"/>
              <w:keepLines/>
            </w:pPr>
            <w:r w:rsidRPr="00E04E16">
              <w:t>No treatment effect on CV mortality for RAASi treatment (based on NMA of RAASi therapy versus active treatment)</w:t>
            </w:r>
          </w:p>
        </w:tc>
        <w:tc>
          <w:tcPr>
            <w:tcW w:w="1108" w:type="dxa"/>
            <w:vAlign w:val="center"/>
          </w:tcPr>
          <w:p w:rsidR="005967E5" w:rsidRPr="00E04E16" w:rsidRDefault="005967E5" w:rsidP="0076760E">
            <w:pPr>
              <w:pStyle w:val="TableText"/>
              <w:keepLines/>
              <w:jc w:val="center"/>
            </w:pPr>
            <w:r w:rsidRPr="00E04E16">
              <w:t>$</w:t>
            </w:r>
            <w:r w:rsidR="004E288B">
              <w:rPr>
                <w:noProof/>
                <w:color w:val="000000"/>
                <w:highlight w:val="black"/>
              </w:rPr>
              <w:t>''''''''''''''</w:t>
            </w:r>
          </w:p>
        </w:tc>
        <w:tc>
          <w:tcPr>
            <w:tcW w:w="1107" w:type="dxa"/>
            <w:vAlign w:val="center"/>
          </w:tcPr>
          <w:p w:rsidR="005967E5" w:rsidRPr="00E04E16" w:rsidRDefault="005967E5" w:rsidP="0076760E">
            <w:pPr>
              <w:pStyle w:val="TableText"/>
              <w:keepLines/>
              <w:jc w:val="center"/>
            </w:pPr>
            <w:r w:rsidRPr="00E04E16">
              <w:t>0.0499</w:t>
            </w:r>
          </w:p>
        </w:tc>
        <w:tc>
          <w:tcPr>
            <w:tcW w:w="1829" w:type="dxa"/>
            <w:vAlign w:val="center"/>
          </w:tcPr>
          <w:p w:rsidR="005967E5" w:rsidRPr="00F31266" w:rsidRDefault="005967E5" w:rsidP="0076760E">
            <w:pPr>
              <w:pStyle w:val="TableText"/>
              <w:keepLines/>
              <w:jc w:val="center"/>
              <w:rPr>
                <w:vertAlign w:val="superscript"/>
              </w:rPr>
            </w:pPr>
            <w:r w:rsidRPr="00E04E16">
              <w:t>$</w:t>
            </w:r>
            <w:r w:rsidR="004E288B">
              <w:rPr>
                <w:noProof/>
                <w:color w:val="000000"/>
                <w:highlight w:val="black"/>
              </w:rPr>
              <w:t>''''''''''''''''</w:t>
            </w:r>
            <w:r w:rsidR="00F31266" w:rsidRPr="00F31266">
              <w:rPr>
                <w:vertAlign w:val="superscript"/>
              </w:rPr>
              <w:t>2</w:t>
            </w:r>
          </w:p>
        </w:tc>
      </w:tr>
      <w:tr w:rsidR="005967E5" w:rsidRPr="00E04E16" w:rsidTr="004219D2">
        <w:tc>
          <w:tcPr>
            <w:tcW w:w="259" w:type="dxa"/>
          </w:tcPr>
          <w:p w:rsidR="005967E5" w:rsidRPr="00E04E16" w:rsidRDefault="005967E5" w:rsidP="0076760E">
            <w:pPr>
              <w:pStyle w:val="TableText"/>
              <w:keepLines/>
              <w:rPr>
                <w:rFonts w:cs="Times New Roman"/>
                <w:b/>
              </w:rPr>
            </w:pPr>
          </w:p>
        </w:tc>
        <w:tc>
          <w:tcPr>
            <w:tcW w:w="8758" w:type="dxa"/>
            <w:gridSpan w:val="4"/>
          </w:tcPr>
          <w:p w:rsidR="005967E5" w:rsidRPr="00E04E16" w:rsidRDefault="005967E5" w:rsidP="0076760E">
            <w:pPr>
              <w:pStyle w:val="TableText"/>
              <w:keepLines/>
            </w:pPr>
            <w:r w:rsidRPr="00E04E16">
              <w:rPr>
                <w:rFonts w:cs="Times New Roman"/>
                <w:b/>
              </w:rPr>
              <w:t>Chronic kidney disease progression (base case: absolute risk 0.0055 per month; relative risk of 0.6374 with RAASi treatment vs placebo; CKD mortality estimated based on Australian life tables with additional mortality multipliers for each CKD stage)</w:t>
            </w:r>
          </w:p>
        </w:tc>
      </w:tr>
      <w:tr w:rsidR="005967E5" w:rsidRPr="00E04E16" w:rsidTr="004219D2">
        <w:tc>
          <w:tcPr>
            <w:tcW w:w="259" w:type="dxa"/>
          </w:tcPr>
          <w:p w:rsidR="005967E5" w:rsidRPr="00E04E16" w:rsidRDefault="005967E5" w:rsidP="0076760E">
            <w:pPr>
              <w:pStyle w:val="TableText"/>
              <w:keepLines/>
            </w:pPr>
          </w:p>
        </w:tc>
        <w:tc>
          <w:tcPr>
            <w:tcW w:w="4714" w:type="dxa"/>
          </w:tcPr>
          <w:p w:rsidR="005967E5" w:rsidRPr="00E04E16" w:rsidRDefault="005967E5" w:rsidP="0076760E">
            <w:pPr>
              <w:pStyle w:val="TableText"/>
              <w:keepLines/>
            </w:pPr>
            <w:r w:rsidRPr="00E04E16">
              <w:t>Increase absolute risk of CKD progression by 50% (0.0082)</w:t>
            </w:r>
          </w:p>
        </w:tc>
        <w:tc>
          <w:tcPr>
            <w:tcW w:w="1108" w:type="dxa"/>
            <w:vAlign w:val="center"/>
          </w:tcPr>
          <w:p w:rsidR="005967E5" w:rsidRPr="00E04E16" w:rsidRDefault="005967E5" w:rsidP="0076760E">
            <w:pPr>
              <w:pStyle w:val="TableText"/>
              <w:keepLines/>
              <w:jc w:val="center"/>
            </w:pPr>
            <w:r w:rsidRPr="00E04E16">
              <w:t>$</w:t>
            </w:r>
            <w:r w:rsidR="004E288B">
              <w:rPr>
                <w:noProof/>
                <w:color w:val="000000"/>
                <w:highlight w:val="black"/>
              </w:rPr>
              <w:t>'''''''''''''</w:t>
            </w:r>
          </w:p>
        </w:tc>
        <w:tc>
          <w:tcPr>
            <w:tcW w:w="1107" w:type="dxa"/>
            <w:vAlign w:val="center"/>
          </w:tcPr>
          <w:p w:rsidR="005967E5" w:rsidRPr="00E04E16" w:rsidRDefault="005967E5" w:rsidP="0076760E">
            <w:pPr>
              <w:pStyle w:val="TableText"/>
              <w:keepLines/>
              <w:jc w:val="center"/>
            </w:pPr>
            <w:r w:rsidRPr="00E04E16">
              <w:t>0.0731</w:t>
            </w:r>
          </w:p>
        </w:tc>
        <w:tc>
          <w:tcPr>
            <w:tcW w:w="1829" w:type="dxa"/>
            <w:vAlign w:val="center"/>
          </w:tcPr>
          <w:p w:rsidR="005967E5" w:rsidRPr="00F31266" w:rsidRDefault="005967E5" w:rsidP="0076760E">
            <w:pPr>
              <w:pStyle w:val="TableText"/>
              <w:keepLines/>
              <w:jc w:val="center"/>
              <w:rPr>
                <w:vertAlign w:val="superscript"/>
              </w:rPr>
            </w:pPr>
            <w:r w:rsidRPr="00E04E16">
              <w:t>$</w:t>
            </w:r>
            <w:r w:rsidR="004E288B">
              <w:rPr>
                <w:noProof/>
                <w:color w:val="000000"/>
                <w:highlight w:val="black"/>
              </w:rPr>
              <w:t>'''''''''''''''</w:t>
            </w:r>
            <w:r w:rsidR="00F31266" w:rsidRPr="00F31266">
              <w:rPr>
                <w:vertAlign w:val="superscript"/>
              </w:rPr>
              <w:t>8</w:t>
            </w:r>
          </w:p>
        </w:tc>
      </w:tr>
      <w:tr w:rsidR="005967E5" w:rsidRPr="00E04E16" w:rsidTr="004219D2">
        <w:tc>
          <w:tcPr>
            <w:tcW w:w="259" w:type="dxa"/>
          </w:tcPr>
          <w:p w:rsidR="005967E5" w:rsidRPr="00E04E16" w:rsidRDefault="005967E5" w:rsidP="0076760E">
            <w:pPr>
              <w:pStyle w:val="TableText"/>
              <w:keepLines/>
            </w:pPr>
          </w:p>
        </w:tc>
        <w:tc>
          <w:tcPr>
            <w:tcW w:w="4714" w:type="dxa"/>
          </w:tcPr>
          <w:p w:rsidR="005967E5" w:rsidRPr="00E04E16" w:rsidRDefault="005967E5" w:rsidP="0076760E">
            <w:pPr>
              <w:pStyle w:val="TableText"/>
              <w:keepLines/>
            </w:pPr>
            <w:r w:rsidRPr="00E04E16">
              <w:t>Decrease absolute risk of CKD progression by 50% (0.0027)</w:t>
            </w:r>
          </w:p>
        </w:tc>
        <w:tc>
          <w:tcPr>
            <w:tcW w:w="1108" w:type="dxa"/>
            <w:vAlign w:val="center"/>
          </w:tcPr>
          <w:p w:rsidR="005967E5" w:rsidRPr="00E04E16" w:rsidRDefault="005967E5" w:rsidP="0076760E">
            <w:pPr>
              <w:pStyle w:val="TableText"/>
              <w:keepLines/>
              <w:jc w:val="center"/>
            </w:pPr>
            <w:r w:rsidRPr="00E04E16">
              <w:t>$</w:t>
            </w:r>
            <w:r w:rsidR="004E288B">
              <w:rPr>
                <w:noProof/>
                <w:color w:val="000000"/>
                <w:highlight w:val="black"/>
              </w:rPr>
              <w:t>''''''''''''''</w:t>
            </w:r>
          </w:p>
        </w:tc>
        <w:tc>
          <w:tcPr>
            <w:tcW w:w="1107" w:type="dxa"/>
            <w:vAlign w:val="center"/>
          </w:tcPr>
          <w:p w:rsidR="005967E5" w:rsidRPr="00E04E16" w:rsidRDefault="005967E5" w:rsidP="0076760E">
            <w:pPr>
              <w:pStyle w:val="TableText"/>
              <w:keepLines/>
              <w:jc w:val="center"/>
            </w:pPr>
            <w:r w:rsidRPr="00E04E16">
              <w:t>0.0329</w:t>
            </w:r>
          </w:p>
        </w:tc>
        <w:tc>
          <w:tcPr>
            <w:tcW w:w="1829" w:type="dxa"/>
            <w:vAlign w:val="center"/>
          </w:tcPr>
          <w:p w:rsidR="005967E5" w:rsidRPr="00F31266" w:rsidRDefault="005967E5" w:rsidP="0076760E">
            <w:pPr>
              <w:pStyle w:val="TableText"/>
              <w:keepLines/>
              <w:jc w:val="center"/>
              <w:rPr>
                <w:vertAlign w:val="superscript"/>
              </w:rPr>
            </w:pPr>
            <w:r w:rsidRPr="00E04E16">
              <w:t>$</w:t>
            </w:r>
            <w:r w:rsidR="004E288B">
              <w:rPr>
                <w:noProof/>
                <w:color w:val="000000"/>
                <w:highlight w:val="black"/>
              </w:rPr>
              <w:t>''''''''''''''''''</w:t>
            </w:r>
            <w:r w:rsidR="00F31266" w:rsidRPr="00F31266">
              <w:rPr>
                <w:vertAlign w:val="superscript"/>
              </w:rPr>
              <w:t>5</w:t>
            </w:r>
          </w:p>
        </w:tc>
      </w:tr>
      <w:tr w:rsidR="005967E5" w:rsidRPr="00E04E16" w:rsidTr="004219D2">
        <w:tc>
          <w:tcPr>
            <w:tcW w:w="259" w:type="dxa"/>
          </w:tcPr>
          <w:p w:rsidR="005967E5" w:rsidRPr="00E04E16" w:rsidRDefault="005967E5" w:rsidP="0076760E">
            <w:pPr>
              <w:pStyle w:val="TableText"/>
              <w:keepLines/>
              <w:rPr>
                <w:b/>
              </w:rPr>
            </w:pPr>
          </w:p>
        </w:tc>
        <w:tc>
          <w:tcPr>
            <w:tcW w:w="8758" w:type="dxa"/>
            <w:gridSpan w:val="4"/>
          </w:tcPr>
          <w:p w:rsidR="005967E5" w:rsidRPr="00E04E16" w:rsidRDefault="005967E5" w:rsidP="0076760E">
            <w:pPr>
              <w:pStyle w:val="TableText"/>
              <w:keepLines/>
              <w:rPr>
                <w:b/>
              </w:rPr>
            </w:pPr>
            <w:r w:rsidRPr="00E04E16">
              <w:rPr>
                <w:b/>
              </w:rPr>
              <w:t>Patiromer treatment effect (base case: first cycle: 100% patiromer CKD 3 and 4 patients achieve serum potassium &lt;5.5 versus 11.05% for standard care CKD 3 and 7.41% for standard care CKD 4 patients; subsequent cycles: serum potassium progression with patiromer vs placebo HR 0.1809)</w:t>
            </w:r>
          </w:p>
        </w:tc>
      </w:tr>
      <w:tr w:rsidR="005967E5" w:rsidRPr="00E04E16" w:rsidTr="004219D2">
        <w:tc>
          <w:tcPr>
            <w:tcW w:w="259" w:type="dxa"/>
          </w:tcPr>
          <w:p w:rsidR="005967E5" w:rsidRPr="00E04E16" w:rsidRDefault="009D376D" w:rsidP="0076760E">
            <w:pPr>
              <w:pStyle w:val="TableText"/>
              <w:keepLines/>
              <w:rPr>
                <w:b/>
              </w:rPr>
            </w:pPr>
            <w:r w:rsidRPr="00E04E16">
              <w:rPr>
                <w:b/>
              </w:rPr>
              <w:t>D</w:t>
            </w:r>
          </w:p>
        </w:tc>
        <w:tc>
          <w:tcPr>
            <w:tcW w:w="4714" w:type="dxa"/>
          </w:tcPr>
          <w:p w:rsidR="005967E5" w:rsidRPr="00E04E16" w:rsidRDefault="005967E5" w:rsidP="0076760E">
            <w:pPr>
              <w:pStyle w:val="TableText"/>
              <w:keepLines/>
            </w:pPr>
            <w:r w:rsidRPr="00E04E16">
              <w:t>First cycle: Patiromer unchanged; standard care 53.4% &lt;5.5/10.0% 5.5-6.0/36.6% &gt;6.0 mmol/L (based on Jun 2019 assuming estimates ≤210 days apply to first cycle)</w:t>
            </w:r>
          </w:p>
        </w:tc>
        <w:tc>
          <w:tcPr>
            <w:tcW w:w="1108" w:type="dxa"/>
            <w:vAlign w:val="center"/>
          </w:tcPr>
          <w:p w:rsidR="005967E5" w:rsidRPr="00E04E16" w:rsidRDefault="005967E5" w:rsidP="0076760E">
            <w:pPr>
              <w:pStyle w:val="TableText"/>
              <w:keepLines/>
              <w:jc w:val="center"/>
            </w:pPr>
            <w:r w:rsidRPr="00E04E16">
              <w:t>$</w:t>
            </w:r>
            <w:r w:rsidR="004E288B">
              <w:rPr>
                <w:noProof/>
                <w:color w:val="000000"/>
                <w:highlight w:val="black"/>
              </w:rPr>
              <w:t>'''''''''''''</w:t>
            </w:r>
          </w:p>
        </w:tc>
        <w:tc>
          <w:tcPr>
            <w:tcW w:w="1107" w:type="dxa"/>
            <w:vAlign w:val="center"/>
          </w:tcPr>
          <w:p w:rsidR="005967E5" w:rsidRPr="00E04E16" w:rsidRDefault="005967E5" w:rsidP="0076760E">
            <w:pPr>
              <w:pStyle w:val="TableText"/>
              <w:keepLines/>
              <w:jc w:val="center"/>
            </w:pPr>
            <w:r w:rsidRPr="00E04E16">
              <w:t>0.0247</w:t>
            </w:r>
          </w:p>
        </w:tc>
        <w:tc>
          <w:tcPr>
            <w:tcW w:w="1829" w:type="dxa"/>
            <w:vAlign w:val="center"/>
          </w:tcPr>
          <w:p w:rsidR="005967E5" w:rsidRPr="00F31266" w:rsidRDefault="005967E5" w:rsidP="0076760E">
            <w:pPr>
              <w:pStyle w:val="TableText"/>
              <w:keepLines/>
              <w:jc w:val="center"/>
              <w:rPr>
                <w:vertAlign w:val="superscript"/>
              </w:rPr>
            </w:pPr>
            <w:r w:rsidRPr="00E04E16">
              <w:t>$</w:t>
            </w:r>
            <w:r w:rsidR="004E288B">
              <w:rPr>
                <w:noProof/>
                <w:color w:val="000000"/>
                <w:highlight w:val="black"/>
              </w:rPr>
              <w:t>''''''''''''''''''</w:t>
            </w:r>
            <w:r w:rsidR="00F31266" w:rsidRPr="00F31266">
              <w:rPr>
                <w:vertAlign w:val="superscript"/>
              </w:rPr>
              <w:t>6</w:t>
            </w:r>
          </w:p>
        </w:tc>
      </w:tr>
      <w:tr w:rsidR="004219D2" w:rsidRPr="00E04E16" w:rsidTr="00CD1345">
        <w:tc>
          <w:tcPr>
            <w:tcW w:w="9017" w:type="dxa"/>
            <w:gridSpan w:val="5"/>
          </w:tcPr>
          <w:p w:rsidR="004219D2" w:rsidRPr="00E04E16" w:rsidRDefault="004219D2" w:rsidP="0076760E">
            <w:pPr>
              <w:pStyle w:val="TableText"/>
              <w:keepLines/>
            </w:pPr>
            <w:r w:rsidRPr="00E04E16">
              <w:rPr>
                <w:b/>
              </w:rPr>
              <w:t>Cycle 2+ transition probabilities between serum potassium/RAASi dose intensity health states (base case: see Table 13</w:t>
            </w:r>
            <w:r w:rsidR="004A1B48" w:rsidRPr="00E04E16">
              <w:rPr>
                <w:b/>
              </w:rPr>
              <w:t xml:space="preserve">, noting </w:t>
            </w:r>
            <w:r w:rsidR="00EC2CB3" w:rsidRPr="00E04E16">
              <w:rPr>
                <w:b/>
              </w:rPr>
              <w:t xml:space="preserve">most base case </w:t>
            </w:r>
            <w:r w:rsidR="004A1B48" w:rsidRPr="00E04E16">
              <w:rPr>
                <w:b/>
              </w:rPr>
              <w:t xml:space="preserve">transition probabilities </w:t>
            </w:r>
            <w:r w:rsidR="00EC2CB3" w:rsidRPr="00E04E16">
              <w:rPr>
                <w:b/>
              </w:rPr>
              <w:t xml:space="preserve">for worsening </w:t>
            </w:r>
            <w:r w:rsidR="00825521" w:rsidRPr="00E04E16">
              <w:rPr>
                <w:b/>
              </w:rPr>
              <w:t xml:space="preserve">serum potassium states were </w:t>
            </w:r>
            <w:r w:rsidR="004A1B48" w:rsidRPr="00E04E16">
              <w:rPr>
                <w:b/>
              </w:rPr>
              <w:t>&lt;1%</w:t>
            </w:r>
            <w:r w:rsidRPr="00E04E16">
              <w:rPr>
                <w:b/>
              </w:rPr>
              <w:t>)</w:t>
            </w:r>
          </w:p>
        </w:tc>
      </w:tr>
      <w:tr w:rsidR="004219D2" w:rsidRPr="00E04E16" w:rsidTr="004219D2">
        <w:tc>
          <w:tcPr>
            <w:tcW w:w="259" w:type="dxa"/>
          </w:tcPr>
          <w:p w:rsidR="004219D2" w:rsidRPr="00E04E16" w:rsidRDefault="004219D2" w:rsidP="0076760E">
            <w:pPr>
              <w:pStyle w:val="TableText"/>
              <w:keepLines/>
            </w:pPr>
          </w:p>
        </w:tc>
        <w:tc>
          <w:tcPr>
            <w:tcW w:w="4714" w:type="dxa"/>
          </w:tcPr>
          <w:p w:rsidR="004219D2" w:rsidRPr="00E04E16" w:rsidRDefault="004219D2" w:rsidP="0076760E">
            <w:pPr>
              <w:pStyle w:val="TableText"/>
              <w:keepLines/>
              <w:rPr>
                <w:vertAlign w:val="superscript"/>
              </w:rPr>
            </w:pPr>
            <w:r w:rsidRPr="00E04E16">
              <w:t xml:space="preserve">All transition probabilities </w:t>
            </w:r>
            <w:r w:rsidR="0076760E" w:rsidRPr="00E04E16">
              <w:t xml:space="preserve">= </w:t>
            </w:r>
            <w:r w:rsidRPr="00E04E16">
              <w:t>10%</w:t>
            </w:r>
            <w:r w:rsidR="00AA4D65" w:rsidRPr="00E04E16">
              <w:t xml:space="preserve"> </w:t>
            </w:r>
            <w:r w:rsidR="00AA4D65" w:rsidRPr="00E04E16">
              <w:rPr>
                <w:vertAlign w:val="superscript"/>
              </w:rPr>
              <w:t>a</w:t>
            </w:r>
          </w:p>
        </w:tc>
        <w:tc>
          <w:tcPr>
            <w:tcW w:w="1108" w:type="dxa"/>
          </w:tcPr>
          <w:p w:rsidR="004219D2" w:rsidRPr="00E04E16" w:rsidRDefault="004219D2" w:rsidP="0076760E">
            <w:pPr>
              <w:pStyle w:val="TableText"/>
              <w:keepLines/>
              <w:jc w:val="center"/>
            </w:pPr>
            <w:r w:rsidRPr="00E04E16">
              <w:t>$</w:t>
            </w:r>
            <w:r w:rsidR="004E288B">
              <w:rPr>
                <w:noProof/>
                <w:color w:val="000000"/>
                <w:highlight w:val="black"/>
              </w:rPr>
              <w:t>''''''''''''''</w:t>
            </w:r>
          </w:p>
        </w:tc>
        <w:tc>
          <w:tcPr>
            <w:tcW w:w="1107" w:type="dxa"/>
          </w:tcPr>
          <w:p w:rsidR="004219D2" w:rsidRPr="00E04E16" w:rsidRDefault="004219D2" w:rsidP="0076760E">
            <w:pPr>
              <w:pStyle w:val="TableText"/>
              <w:keepLines/>
              <w:jc w:val="center"/>
            </w:pPr>
            <w:r w:rsidRPr="00E04E16">
              <w:t>0.0483</w:t>
            </w:r>
          </w:p>
        </w:tc>
        <w:tc>
          <w:tcPr>
            <w:tcW w:w="1829" w:type="dxa"/>
          </w:tcPr>
          <w:p w:rsidR="004219D2" w:rsidRPr="00F31266" w:rsidRDefault="004219D2" w:rsidP="0076760E">
            <w:pPr>
              <w:pStyle w:val="TableText"/>
              <w:keepLines/>
              <w:jc w:val="center"/>
              <w:rPr>
                <w:vertAlign w:val="superscript"/>
              </w:rPr>
            </w:pPr>
            <w:r w:rsidRPr="00E04E16">
              <w:t>$</w:t>
            </w:r>
            <w:r w:rsidR="004E288B">
              <w:rPr>
                <w:noProof/>
                <w:color w:val="000000"/>
                <w:highlight w:val="black"/>
              </w:rPr>
              <w:t>'''''''''''''''''</w:t>
            </w:r>
            <w:r w:rsidR="00F31266" w:rsidRPr="00F31266">
              <w:rPr>
                <w:vertAlign w:val="superscript"/>
              </w:rPr>
              <w:t>2</w:t>
            </w:r>
          </w:p>
        </w:tc>
      </w:tr>
      <w:tr w:rsidR="004219D2" w:rsidRPr="00E04E16" w:rsidTr="004219D2">
        <w:tc>
          <w:tcPr>
            <w:tcW w:w="259" w:type="dxa"/>
          </w:tcPr>
          <w:p w:rsidR="004219D2" w:rsidRPr="00E04E16" w:rsidRDefault="00B163FB" w:rsidP="0076760E">
            <w:pPr>
              <w:pStyle w:val="TableText"/>
              <w:keepLines/>
              <w:rPr>
                <w:b/>
              </w:rPr>
            </w:pPr>
            <w:r w:rsidRPr="00E04E16">
              <w:rPr>
                <w:b/>
              </w:rPr>
              <w:t>E</w:t>
            </w:r>
          </w:p>
        </w:tc>
        <w:tc>
          <w:tcPr>
            <w:tcW w:w="4714" w:type="dxa"/>
          </w:tcPr>
          <w:p w:rsidR="004219D2" w:rsidRPr="00E04E16" w:rsidRDefault="004219D2" w:rsidP="0076760E">
            <w:pPr>
              <w:pStyle w:val="TableText"/>
              <w:keepLines/>
              <w:rPr>
                <w:vertAlign w:val="superscript"/>
              </w:rPr>
            </w:pPr>
            <w:r w:rsidRPr="00E04E16">
              <w:t xml:space="preserve">All transition probabilities </w:t>
            </w:r>
            <w:r w:rsidR="0076760E" w:rsidRPr="00E04E16">
              <w:t xml:space="preserve">= </w:t>
            </w:r>
            <w:r w:rsidRPr="00E04E16">
              <w:t>15%</w:t>
            </w:r>
            <w:r w:rsidR="00AA4D65" w:rsidRPr="00E04E16">
              <w:t xml:space="preserve"> </w:t>
            </w:r>
            <w:r w:rsidR="00AA4D65" w:rsidRPr="00E04E16">
              <w:rPr>
                <w:vertAlign w:val="superscript"/>
              </w:rPr>
              <w:t>a</w:t>
            </w:r>
          </w:p>
        </w:tc>
        <w:tc>
          <w:tcPr>
            <w:tcW w:w="1108" w:type="dxa"/>
          </w:tcPr>
          <w:p w:rsidR="004219D2" w:rsidRPr="00E04E16" w:rsidRDefault="004219D2" w:rsidP="0076760E">
            <w:pPr>
              <w:pStyle w:val="TableText"/>
              <w:keepLines/>
              <w:jc w:val="center"/>
            </w:pPr>
            <w:r w:rsidRPr="00E04E16">
              <w:t>$</w:t>
            </w:r>
            <w:r w:rsidR="004E288B">
              <w:rPr>
                <w:noProof/>
                <w:color w:val="000000"/>
                <w:highlight w:val="black"/>
              </w:rPr>
              <w:t>'''''''''''''</w:t>
            </w:r>
          </w:p>
        </w:tc>
        <w:tc>
          <w:tcPr>
            <w:tcW w:w="1107" w:type="dxa"/>
          </w:tcPr>
          <w:p w:rsidR="004219D2" w:rsidRPr="00E04E16" w:rsidRDefault="004219D2" w:rsidP="0076760E">
            <w:pPr>
              <w:pStyle w:val="TableText"/>
              <w:keepLines/>
              <w:jc w:val="center"/>
            </w:pPr>
            <w:r w:rsidRPr="00E04E16">
              <w:t>0.0359</w:t>
            </w:r>
          </w:p>
        </w:tc>
        <w:tc>
          <w:tcPr>
            <w:tcW w:w="1829" w:type="dxa"/>
          </w:tcPr>
          <w:p w:rsidR="004219D2" w:rsidRPr="00F31266" w:rsidRDefault="004219D2" w:rsidP="0076760E">
            <w:pPr>
              <w:pStyle w:val="TableText"/>
              <w:keepLines/>
              <w:jc w:val="center"/>
              <w:rPr>
                <w:vertAlign w:val="superscript"/>
              </w:rPr>
            </w:pPr>
            <w:r w:rsidRPr="00E04E16">
              <w:t>$</w:t>
            </w:r>
            <w:r w:rsidR="004E288B">
              <w:rPr>
                <w:noProof/>
                <w:color w:val="000000"/>
                <w:highlight w:val="black"/>
              </w:rPr>
              <w:t>''''''''''''''''''</w:t>
            </w:r>
            <w:r w:rsidR="00F31266" w:rsidRPr="00F31266">
              <w:rPr>
                <w:vertAlign w:val="superscript"/>
              </w:rPr>
              <w:t>5</w:t>
            </w:r>
          </w:p>
        </w:tc>
      </w:tr>
      <w:tr w:rsidR="00AA4D65" w:rsidRPr="00E04E16" w:rsidTr="00B35138">
        <w:tc>
          <w:tcPr>
            <w:tcW w:w="9017" w:type="dxa"/>
            <w:gridSpan w:val="5"/>
          </w:tcPr>
          <w:p w:rsidR="00AA4D65" w:rsidRPr="00E04E16" w:rsidRDefault="00AA4D65" w:rsidP="0076760E">
            <w:pPr>
              <w:pStyle w:val="TableText"/>
              <w:keepLines/>
              <w:rPr>
                <w:b/>
              </w:rPr>
            </w:pPr>
            <w:r w:rsidRPr="00E04E16">
              <w:rPr>
                <w:b/>
              </w:rPr>
              <w:t>Post-CV event utilities (Base case: 0.643)</w:t>
            </w:r>
          </w:p>
        </w:tc>
      </w:tr>
      <w:tr w:rsidR="00AA4D65" w:rsidRPr="00E04E16" w:rsidTr="004219D2">
        <w:tc>
          <w:tcPr>
            <w:tcW w:w="259" w:type="dxa"/>
          </w:tcPr>
          <w:p w:rsidR="00AA4D65" w:rsidRPr="00E04E16" w:rsidRDefault="00AA4D65" w:rsidP="0076760E">
            <w:pPr>
              <w:pStyle w:val="TableText"/>
              <w:keepLines/>
              <w:rPr>
                <w:b/>
              </w:rPr>
            </w:pPr>
          </w:p>
        </w:tc>
        <w:tc>
          <w:tcPr>
            <w:tcW w:w="4714" w:type="dxa"/>
          </w:tcPr>
          <w:p w:rsidR="00AA4D65" w:rsidRPr="00E04E16" w:rsidRDefault="00AA4D65" w:rsidP="0076760E">
            <w:pPr>
              <w:pStyle w:val="TableText"/>
              <w:keepLines/>
              <w:rPr>
                <w:vertAlign w:val="superscript"/>
              </w:rPr>
            </w:pPr>
            <w:r w:rsidRPr="00E04E16">
              <w:t xml:space="preserve">Increased by 15% (0.740) </w:t>
            </w:r>
            <w:r w:rsidRPr="00E04E16">
              <w:rPr>
                <w:vertAlign w:val="superscript"/>
              </w:rPr>
              <w:t>a</w:t>
            </w:r>
          </w:p>
        </w:tc>
        <w:tc>
          <w:tcPr>
            <w:tcW w:w="1108" w:type="dxa"/>
          </w:tcPr>
          <w:p w:rsidR="00AA4D65" w:rsidRPr="00E04E16" w:rsidRDefault="00AA4D65" w:rsidP="0076760E">
            <w:pPr>
              <w:pStyle w:val="TableText"/>
              <w:keepLines/>
              <w:jc w:val="center"/>
            </w:pPr>
            <w:r w:rsidRPr="00E04E16">
              <w:t>$</w:t>
            </w:r>
            <w:r w:rsidR="004E288B">
              <w:rPr>
                <w:noProof/>
                <w:color w:val="000000"/>
                <w:highlight w:val="black"/>
              </w:rPr>
              <w:t>''''''''''''''</w:t>
            </w:r>
          </w:p>
        </w:tc>
        <w:tc>
          <w:tcPr>
            <w:tcW w:w="1107" w:type="dxa"/>
          </w:tcPr>
          <w:p w:rsidR="00AA4D65" w:rsidRPr="00E04E16" w:rsidRDefault="00AA4D65" w:rsidP="0076760E">
            <w:pPr>
              <w:pStyle w:val="TableText"/>
              <w:keepLines/>
              <w:jc w:val="center"/>
            </w:pPr>
            <w:r w:rsidRPr="00E04E16">
              <w:t>0.0509</w:t>
            </w:r>
          </w:p>
        </w:tc>
        <w:tc>
          <w:tcPr>
            <w:tcW w:w="1829" w:type="dxa"/>
          </w:tcPr>
          <w:p w:rsidR="00AA4D65" w:rsidRPr="00F31266" w:rsidRDefault="00AA4D65" w:rsidP="0076760E">
            <w:pPr>
              <w:pStyle w:val="TableText"/>
              <w:keepLines/>
              <w:jc w:val="center"/>
              <w:rPr>
                <w:vertAlign w:val="superscript"/>
              </w:rPr>
            </w:pPr>
            <w:r w:rsidRPr="00E04E16">
              <w:t>$</w:t>
            </w:r>
            <w:r w:rsidR="004E288B">
              <w:rPr>
                <w:noProof/>
                <w:color w:val="000000"/>
                <w:highlight w:val="black"/>
              </w:rPr>
              <w:t>''''''''''''''''</w:t>
            </w:r>
            <w:r w:rsidR="00F31266" w:rsidRPr="00F31266">
              <w:rPr>
                <w:vertAlign w:val="superscript"/>
              </w:rPr>
              <w:t>2</w:t>
            </w:r>
          </w:p>
        </w:tc>
      </w:tr>
    </w:tbl>
    <w:p w:rsidR="0021491D" w:rsidRPr="00E04E16" w:rsidRDefault="0021491D" w:rsidP="0076760E">
      <w:pPr>
        <w:pStyle w:val="TableFigureFooter"/>
        <w:keepNext/>
        <w:keepLines/>
      </w:pPr>
      <w:r w:rsidRPr="00E04E16">
        <w:t>Source: Table 3.9.1, pp127-128 of the resubmission and additional analyses conducted during the evaluation using ATTACHMENT 7 - Cost Effectiveness Model Excel spreadsheet provided with the resubmission</w:t>
      </w:r>
    </w:p>
    <w:p w:rsidR="0021491D" w:rsidRPr="00E04E16" w:rsidRDefault="0021491D" w:rsidP="0021491D">
      <w:pPr>
        <w:pStyle w:val="TableFigureFooter"/>
      </w:pPr>
      <w:r w:rsidRPr="00E04E16">
        <w:t>Abbreviations: ACE, angiotensin-converting-enzyme; ARB, angiotensin receptor blocker; CL, confidence limit; CKD, chronic kidney disease; CV, cardiovascular; HR, hazard ratio; ICER, incremental cost effectiveness ratio; QALY, quality adjusted life year, RAASi, renin-angiotensin-aldosterone inhibitor; RR, relative risk</w:t>
      </w:r>
    </w:p>
    <w:p w:rsidR="00F31266" w:rsidRPr="00E04E16" w:rsidRDefault="0021491D" w:rsidP="0021491D">
      <w:pPr>
        <w:pStyle w:val="TableFigureFooter"/>
      </w:pPr>
      <w:r w:rsidRPr="00F31266">
        <w:lastRenderedPageBreak/>
        <w:t>1</w:t>
      </w:r>
      <w:r w:rsidRPr="00E04E16">
        <w:t>There was an error in the resubmission’s calculation of the numbers of patients with CKD Stages 3 and 4 based on Jun 2019</w:t>
      </w:r>
    </w:p>
    <w:p w:rsidR="009D376D" w:rsidRPr="00E04E16" w:rsidRDefault="009D376D" w:rsidP="00BB546F">
      <w:pPr>
        <w:pStyle w:val="TableFigureFooter"/>
        <w:keepNext/>
        <w:keepLines/>
        <w:spacing w:after="240"/>
      </w:pPr>
      <w:r w:rsidRPr="00E04E16">
        <w:t># column references are used in</w:t>
      </w:r>
      <w:r w:rsidR="00FC62DC" w:rsidRPr="00E04E16">
        <w:t xml:space="preserve"> multivariate </w:t>
      </w:r>
      <w:r w:rsidR="006B4573" w:rsidRPr="00E04E16">
        <w:t>sensitivity</w:t>
      </w:r>
      <w:r w:rsidR="00FC62DC" w:rsidRPr="00E04E16">
        <w:t xml:space="preserve"> analyses in </w:t>
      </w:r>
      <w:r w:rsidRPr="00E04E16">
        <w:t>Table 1</w:t>
      </w:r>
      <w:r w:rsidR="00494BDB" w:rsidRPr="00E04E16">
        <w:t>7</w:t>
      </w:r>
      <w:r w:rsidRPr="00E04E16">
        <w:t xml:space="preserve"> below</w:t>
      </w:r>
    </w:p>
    <w:p w:rsidR="00F31266" w:rsidRPr="00F31266" w:rsidRDefault="00AA4D65" w:rsidP="00F31266">
      <w:pPr>
        <w:pStyle w:val="TableFigureFooter"/>
        <w:rPr>
          <w:i/>
        </w:rPr>
      </w:pPr>
      <w:r w:rsidRPr="00E04E16">
        <w:rPr>
          <w:vertAlign w:val="superscript"/>
        </w:rPr>
        <w:t>a</w:t>
      </w:r>
      <w:r w:rsidRPr="00E04E16">
        <w:t xml:space="preserve"> In the absence of plausible alternative values, arbitrary values were used to test the sensitivity of the model to changes in these parameters.</w:t>
      </w:r>
      <w:r w:rsidR="00F31266" w:rsidRPr="00F31266">
        <w:rPr>
          <w:i/>
        </w:rPr>
        <w:t xml:space="preserve"> The redacted values correspond to the following ranges:</w:t>
      </w:r>
    </w:p>
    <w:p w:rsidR="00F31266" w:rsidRPr="00F31266" w:rsidRDefault="00F31266" w:rsidP="00F31266">
      <w:pPr>
        <w:pStyle w:val="TableFigureFooter"/>
        <w:rPr>
          <w:i/>
        </w:rPr>
      </w:pPr>
      <w:r w:rsidRPr="00F31266">
        <w:rPr>
          <w:i/>
          <w:vertAlign w:val="superscript"/>
        </w:rPr>
        <w:t>2</w:t>
      </w:r>
      <w:r w:rsidRPr="00F31266">
        <w:rPr>
          <w:i/>
        </w:rPr>
        <w:t>$35,000 to &lt;$45,000/QALY gained</w:t>
      </w:r>
    </w:p>
    <w:p w:rsidR="00F31266" w:rsidRPr="00F31266" w:rsidRDefault="00F31266" w:rsidP="00F31266">
      <w:pPr>
        <w:pStyle w:val="TableFigureFooter"/>
        <w:rPr>
          <w:i/>
        </w:rPr>
      </w:pPr>
      <w:r w:rsidRPr="00F31266">
        <w:rPr>
          <w:i/>
          <w:vertAlign w:val="superscript"/>
        </w:rPr>
        <w:t>3</w:t>
      </w:r>
      <w:r w:rsidRPr="00F31266">
        <w:rPr>
          <w:i/>
        </w:rPr>
        <w:t>$95,000 to &lt;$115,000/QALY gained</w:t>
      </w:r>
    </w:p>
    <w:p w:rsidR="00F31266" w:rsidRPr="00F31266" w:rsidRDefault="00F31266" w:rsidP="00F31266">
      <w:pPr>
        <w:pStyle w:val="TableFigureFooter"/>
        <w:rPr>
          <w:i/>
        </w:rPr>
      </w:pPr>
      <w:r w:rsidRPr="00F31266">
        <w:rPr>
          <w:i/>
          <w:vertAlign w:val="superscript"/>
        </w:rPr>
        <w:t>4</w:t>
      </w:r>
      <w:r w:rsidRPr="00F31266">
        <w:rPr>
          <w:i/>
        </w:rPr>
        <w:t>$45,000 to &lt;$55,000/QALY gained</w:t>
      </w:r>
    </w:p>
    <w:p w:rsidR="00F31266" w:rsidRPr="00F31266" w:rsidRDefault="00F31266" w:rsidP="00F31266">
      <w:pPr>
        <w:pStyle w:val="TableFigureFooter"/>
        <w:rPr>
          <w:i/>
        </w:rPr>
      </w:pPr>
      <w:r w:rsidRPr="00F31266">
        <w:rPr>
          <w:i/>
          <w:vertAlign w:val="superscript"/>
        </w:rPr>
        <w:t>5</w:t>
      </w:r>
      <w:r w:rsidRPr="00F31266">
        <w:rPr>
          <w:i/>
        </w:rPr>
        <w:t>$55,000 to &lt;$75,000/QALY gained</w:t>
      </w:r>
    </w:p>
    <w:p w:rsidR="00F31266" w:rsidRPr="00F31266" w:rsidRDefault="00F31266" w:rsidP="00F31266">
      <w:pPr>
        <w:pStyle w:val="TableFigureFooter"/>
        <w:rPr>
          <w:i/>
        </w:rPr>
      </w:pPr>
      <w:r w:rsidRPr="00F31266">
        <w:rPr>
          <w:i/>
          <w:vertAlign w:val="superscript"/>
        </w:rPr>
        <w:t>6</w:t>
      </w:r>
      <w:r w:rsidRPr="00F31266">
        <w:rPr>
          <w:i/>
        </w:rPr>
        <w:t>$75,000 to &lt;$95,000/QALY gained</w:t>
      </w:r>
    </w:p>
    <w:p w:rsidR="00F31266" w:rsidRPr="00F31266" w:rsidRDefault="00F31266" w:rsidP="00F31266">
      <w:pPr>
        <w:pStyle w:val="TableFigureFooter"/>
        <w:rPr>
          <w:i/>
        </w:rPr>
      </w:pPr>
      <w:r w:rsidRPr="00F31266">
        <w:rPr>
          <w:i/>
          <w:vertAlign w:val="superscript"/>
        </w:rPr>
        <w:t>7</w:t>
      </w:r>
      <w:r w:rsidRPr="00F31266">
        <w:rPr>
          <w:i/>
        </w:rPr>
        <w:t>$25,000 to &lt;$35,000/QALY gained</w:t>
      </w:r>
    </w:p>
    <w:p w:rsidR="00F31266" w:rsidRPr="00F31266" w:rsidRDefault="00F31266" w:rsidP="00F31266">
      <w:pPr>
        <w:pStyle w:val="TableFigureFooter"/>
        <w:rPr>
          <w:i/>
        </w:rPr>
      </w:pPr>
      <w:r w:rsidRPr="00F31266">
        <w:rPr>
          <w:i/>
          <w:vertAlign w:val="superscript"/>
        </w:rPr>
        <w:t>8</w:t>
      </w:r>
      <w:r w:rsidRPr="00F31266">
        <w:rPr>
          <w:i/>
        </w:rPr>
        <w:t>$15,000 to &lt;$25,000/QALY gained</w:t>
      </w:r>
    </w:p>
    <w:p w:rsidR="00AA4D65" w:rsidRPr="00E04E16" w:rsidRDefault="00AA4D65" w:rsidP="00BB546F">
      <w:pPr>
        <w:pStyle w:val="TableFigureFooter"/>
        <w:keepNext/>
        <w:keepLines/>
        <w:spacing w:after="240"/>
      </w:pPr>
    </w:p>
    <w:p w:rsidR="004C0920" w:rsidRPr="00E04E16" w:rsidRDefault="0021491D" w:rsidP="004C0920">
      <w:pPr>
        <w:pStyle w:val="ExecSumBodyText"/>
      </w:pPr>
      <w:r w:rsidRPr="00E04E16">
        <w:t>The results of the sensitivity analyses indicate</w:t>
      </w:r>
      <w:r w:rsidR="00546406" w:rsidRPr="00E04E16">
        <w:t>d</w:t>
      </w:r>
      <w:r w:rsidRPr="00E04E16">
        <w:t xml:space="preserve"> that the </w:t>
      </w:r>
      <w:r w:rsidR="000A79CB" w:rsidRPr="00E04E16">
        <w:t xml:space="preserve">ICER </w:t>
      </w:r>
      <w:r w:rsidRPr="00E04E16">
        <w:t xml:space="preserve">is most sensitive to the incremental benefit of patiromer treatment in the initial cycle of the model, the time horizon, the average patiromer dose, and patiromer treatment discontinuation. </w:t>
      </w:r>
      <w:r w:rsidR="000A79CB" w:rsidRPr="00E04E16">
        <w:t xml:space="preserve">The ICER is also moderately sensitive to the treatment effect of patiromer beyond the first cycle. </w:t>
      </w:r>
      <w:r w:rsidRPr="00E04E16">
        <w:t xml:space="preserve">The </w:t>
      </w:r>
      <w:r w:rsidR="00FD0396" w:rsidRPr="00E04E16">
        <w:t xml:space="preserve">ICER </w:t>
      </w:r>
      <w:r w:rsidRPr="00E04E16">
        <w:t>was not sensitive to the health state costs or utilities.</w:t>
      </w:r>
      <w:r w:rsidR="000A79CB" w:rsidRPr="00E04E16">
        <w:t xml:space="preserve"> </w:t>
      </w:r>
    </w:p>
    <w:p w:rsidR="004C0920" w:rsidRPr="00E04E16" w:rsidRDefault="004C0920" w:rsidP="004C0920">
      <w:pPr>
        <w:pStyle w:val="ExecSumBodyText"/>
      </w:pPr>
      <w:r w:rsidRPr="00E04E16">
        <w:t xml:space="preserve">Multivariate sensitivity analyses were conducted during the evaluation adjusting for </w:t>
      </w:r>
      <w:r w:rsidR="00546406" w:rsidRPr="00E04E16">
        <w:t xml:space="preserve">the </w:t>
      </w:r>
      <w:r w:rsidRPr="00E04E16">
        <w:t xml:space="preserve">favourable assumptions used in the model (see Table </w:t>
      </w:r>
      <w:r w:rsidR="00293567" w:rsidRPr="00E04E16">
        <w:t>1</w:t>
      </w:r>
      <w:r w:rsidR="00494BDB" w:rsidRPr="00E04E16">
        <w:t>7</w:t>
      </w:r>
      <w:r w:rsidRPr="00E04E16">
        <w:t>).</w:t>
      </w:r>
      <w:r w:rsidR="009D376D" w:rsidRPr="00E04E16">
        <w:t xml:space="preserve"> The multivariate sensitivity analyses were all based on an ‘alternative scenario’ in which: the cost of patiromer was based on the median dose and interquartile range from OPAL-HK ($</w:t>
      </w:r>
      <w:r w:rsidR="004E288B">
        <w:rPr>
          <w:noProof/>
          <w:color w:val="000000"/>
          <w:highlight w:val="black"/>
        </w:rPr>
        <w:t>''''''''''''</w:t>
      </w:r>
      <w:r w:rsidR="009D376D" w:rsidRPr="00E04E16">
        <w:t>, rather than an assumed dose of 8.4 g or 16.8 g per day); and RAASi therapy was assumed to have no treatment effect on CV events or CV mortality (based on</w:t>
      </w:r>
      <w:r w:rsidR="00F96860" w:rsidRPr="00E04E16">
        <w:t xml:space="preserve"> an</w:t>
      </w:r>
      <w:r w:rsidR="009D376D" w:rsidRPr="00E04E16">
        <w:t xml:space="preserve"> active comparison</w:t>
      </w:r>
      <w:r w:rsidR="00FC62DC" w:rsidRPr="00E04E16">
        <w:t>).</w:t>
      </w:r>
    </w:p>
    <w:p w:rsidR="004C0920" w:rsidRPr="00E04E16" w:rsidRDefault="004C0920" w:rsidP="004219D2">
      <w:pPr>
        <w:keepNext/>
        <w:keepLines/>
        <w:rPr>
          <w:rFonts w:ascii="Arial Narrow" w:hAnsi="Arial Narrow"/>
          <w:b/>
          <w:sz w:val="20"/>
        </w:rPr>
      </w:pPr>
      <w:r w:rsidRPr="00E04E16">
        <w:rPr>
          <w:rFonts w:ascii="Arial Narrow" w:hAnsi="Arial Narrow"/>
          <w:b/>
          <w:sz w:val="20"/>
        </w:rPr>
        <w:lastRenderedPageBreak/>
        <w:t xml:space="preserve">Table </w:t>
      </w:r>
      <w:r w:rsidR="00293567" w:rsidRPr="00E04E16">
        <w:rPr>
          <w:rFonts w:ascii="Arial Narrow" w:hAnsi="Arial Narrow"/>
          <w:b/>
          <w:sz w:val="20"/>
        </w:rPr>
        <w:t>1</w:t>
      </w:r>
      <w:r w:rsidR="00494BDB" w:rsidRPr="00E04E16">
        <w:rPr>
          <w:rFonts w:ascii="Arial Narrow" w:hAnsi="Arial Narrow"/>
          <w:b/>
          <w:sz w:val="20"/>
        </w:rPr>
        <w:t>7</w:t>
      </w:r>
      <w:r w:rsidRPr="00E04E16">
        <w:rPr>
          <w:rFonts w:ascii="Arial Narrow" w:hAnsi="Arial Narrow"/>
          <w:b/>
          <w:sz w:val="20"/>
        </w:rPr>
        <w:t>: Multivariate sensitivity analyses conducted during the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305"/>
        <w:gridCol w:w="1271"/>
        <w:gridCol w:w="1270"/>
        <w:gridCol w:w="1171"/>
      </w:tblGrid>
      <w:tr w:rsidR="004C0920" w:rsidRPr="00E04E16" w:rsidTr="00111B9F">
        <w:tc>
          <w:tcPr>
            <w:tcW w:w="5305" w:type="dxa"/>
            <w:vAlign w:val="center"/>
          </w:tcPr>
          <w:p w:rsidR="004C0920" w:rsidRPr="00E04E16" w:rsidRDefault="004C0920" w:rsidP="004219D2">
            <w:pPr>
              <w:pStyle w:val="Tableheadingrow"/>
              <w:keepLines/>
              <w:rPr>
                <w:lang w:val="en-AU"/>
              </w:rPr>
            </w:pPr>
            <w:r w:rsidRPr="00E04E16">
              <w:rPr>
                <w:lang w:val="en-AU"/>
              </w:rPr>
              <w:t>Analys</w:t>
            </w:r>
            <w:r w:rsidR="007A2B03" w:rsidRPr="00E04E16">
              <w:rPr>
                <w:lang w:val="en-AU"/>
              </w:rPr>
              <w:t>i</w:t>
            </w:r>
            <w:r w:rsidRPr="00E04E16">
              <w:rPr>
                <w:lang w:val="en-AU"/>
              </w:rPr>
              <w:t>s</w:t>
            </w:r>
          </w:p>
        </w:tc>
        <w:tc>
          <w:tcPr>
            <w:tcW w:w="1271" w:type="dxa"/>
            <w:vAlign w:val="center"/>
          </w:tcPr>
          <w:p w:rsidR="004C0920" w:rsidRPr="00E04E16" w:rsidRDefault="004C0920" w:rsidP="004219D2">
            <w:pPr>
              <w:pStyle w:val="Tableheadingrow"/>
              <w:keepLines/>
              <w:jc w:val="center"/>
              <w:rPr>
                <w:lang w:val="en-AU"/>
              </w:rPr>
            </w:pPr>
            <w:r w:rsidRPr="00E04E16">
              <w:rPr>
                <w:lang w:val="en-AU"/>
              </w:rPr>
              <w:t>Incremental cost</w:t>
            </w:r>
          </w:p>
        </w:tc>
        <w:tc>
          <w:tcPr>
            <w:tcW w:w="1270" w:type="dxa"/>
            <w:vAlign w:val="center"/>
          </w:tcPr>
          <w:p w:rsidR="004C0920" w:rsidRPr="00E04E16" w:rsidRDefault="004C0920" w:rsidP="004219D2">
            <w:pPr>
              <w:pStyle w:val="Tableheadingrow"/>
              <w:keepLines/>
              <w:jc w:val="center"/>
              <w:rPr>
                <w:lang w:val="en-AU"/>
              </w:rPr>
            </w:pPr>
            <w:r w:rsidRPr="00E04E16">
              <w:rPr>
                <w:lang w:val="en-AU"/>
              </w:rPr>
              <w:t>Incremental QALYs</w:t>
            </w:r>
          </w:p>
        </w:tc>
        <w:tc>
          <w:tcPr>
            <w:tcW w:w="1171" w:type="dxa"/>
            <w:vAlign w:val="center"/>
          </w:tcPr>
          <w:p w:rsidR="004C0920" w:rsidRPr="00E04E16" w:rsidRDefault="004C0920" w:rsidP="004219D2">
            <w:pPr>
              <w:pStyle w:val="Tableheadingrow"/>
              <w:keepLines/>
              <w:jc w:val="center"/>
              <w:rPr>
                <w:lang w:val="en-AU"/>
              </w:rPr>
            </w:pPr>
            <w:r w:rsidRPr="00E04E16">
              <w:rPr>
                <w:lang w:val="en-AU"/>
              </w:rPr>
              <w:t>ICER</w:t>
            </w:r>
          </w:p>
        </w:tc>
      </w:tr>
      <w:tr w:rsidR="004C0920" w:rsidRPr="00E04E16" w:rsidTr="00111B9F">
        <w:tc>
          <w:tcPr>
            <w:tcW w:w="5305" w:type="dxa"/>
          </w:tcPr>
          <w:p w:rsidR="004C0920" w:rsidRPr="00E04E16" w:rsidRDefault="004C0920" w:rsidP="004219D2">
            <w:pPr>
              <w:pStyle w:val="TableText"/>
              <w:keepLines/>
              <w:rPr>
                <w:b/>
              </w:rPr>
            </w:pPr>
            <w:r w:rsidRPr="00E04E16">
              <w:rPr>
                <w:b/>
              </w:rPr>
              <w:t>Base case</w:t>
            </w:r>
          </w:p>
        </w:tc>
        <w:tc>
          <w:tcPr>
            <w:tcW w:w="1271" w:type="dxa"/>
            <w:vAlign w:val="center"/>
          </w:tcPr>
          <w:p w:rsidR="004C0920" w:rsidRPr="00E04E16" w:rsidRDefault="004C0920" w:rsidP="004219D2">
            <w:pPr>
              <w:pStyle w:val="TableText"/>
              <w:keepLines/>
              <w:jc w:val="center"/>
              <w:rPr>
                <w:b/>
              </w:rPr>
            </w:pPr>
            <w:r w:rsidRPr="00E04E16">
              <w:rPr>
                <w:b/>
              </w:rPr>
              <w:t>$</w:t>
            </w:r>
            <w:r w:rsidR="004E288B">
              <w:rPr>
                <w:b/>
                <w:noProof/>
                <w:color w:val="000000"/>
                <w:highlight w:val="black"/>
              </w:rPr>
              <w:t>''''''''''''</w:t>
            </w:r>
          </w:p>
        </w:tc>
        <w:tc>
          <w:tcPr>
            <w:tcW w:w="1270" w:type="dxa"/>
            <w:vAlign w:val="center"/>
          </w:tcPr>
          <w:p w:rsidR="004C0920" w:rsidRPr="00E04E16" w:rsidRDefault="004C0920" w:rsidP="004219D2">
            <w:pPr>
              <w:pStyle w:val="TableText"/>
              <w:keepLines/>
              <w:jc w:val="center"/>
              <w:rPr>
                <w:b/>
              </w:rPr>
            </w:pPr>
            <w:r w:rsidRPr="00E04E16">
              <w:rPr>
                <w:b/>
              </w:rPr>
              <w:t>0.0533</w:t>
            </w:r>
          </w:p>
        </w:tc>
        <w:tc>
          <w:tcPr>
            <w:tcW w:w="1171" w:type="dxa"/>
            <w:vAlign w:val="center"/>
          </w:tcPr>
          <w:p w:rsidR="004C0920" w:rsidRPr="00DC061F" w:rsidRDefault="004C0920" w:rsidP="004219D2">
            <w:pPr>
              <w:pStyle w:val="TableText"/>
              <w:keepLines/>
              <w:jc w:val="center"/>
              <w:rPr>
                <w:b/>
                <w:vertAlign w:val="superscript"/>
              </w:rPr>
            </w:pPr>
            <w:r w:rsidRPr="00E04E16">
              <w:rPr>
                <w:b/>
              </w:rPr>
              <w:t>$</w:t>
            </w:r>
            <w:r w:rsidR="004E288B">
              <w:rPr>
                <w:b/>
                <w:noProof/>
                <w:color w:val="000000"/>
                <w:highlight w:val="black"/>
              </w:rPr>
              <w:t>'''''''''''''''</w:t>
            </w:r>
            <w:r w:rsidR="00DC061F" w:rsidRPr="00DC061F">
              <w:rPr>
                <w:vertAlign w:val="superscript"/>
              </w:rPr>
              <w:t>1</w:t>
            </w:r>
          </w:p>
        </w:tc>
      </w:tr>
      <w:tr w:rsidR="004C0920" w:rsidRPr="00E04E16" w:rsidTr="00111B9F">
        <w:tc>
          <w:tcPr>
            <w:tcW w:w="5305" w:type="dxa"/>
          </w:tcPr>
          <w:p w:rsidR="004C0920" w:rsidRPr="00E04E16" w:rsidRDefault="005967E5" w:rsidP="004219D2">
            <w:pPr>
              <w:pStyle w:val="TableText"/>
              <w:keepLines/>
            </w:pPr>
            <w:r w:rsidRPr="00E04E16">
              <w:rPr>
                <w:b/>
              </w:rPr>
              <w:t>Alternative scenario</w:t>
            </w:r>
            <w:r w:rsidRPr="00E04E16">
              <w:t xml:space="preserve"> </w:t>
            </w:r>
            <w:r w:rsidRPr="00E04E16">
              <w:rPr>
                <w:b/>
              </w:rPr>
              <w:t>A + B</w:t>
            </w:r>
            <w:r w:rsidRPr="00E04E16">
              <w:t xml:space="preserve"> </w:t>
            </w:r>
            <w:r w:rsidRPr="00E04E16">
              <w:rPr>
                <w:b/>
              </w:rPr>
              <w:t>+ C</w:t>
            </w:r>
            <w:r w:rsidR="009D376D" w:rsidRPr="00E04E16">
              <w:rPr>
                <w:b/>
              </w:rPr>
              <w:t xml:space="preserve"> </w:t>
            </w:r>
            <w:r w:rsidRPr="00E04E16">
              <w:t xml:space="preserve"> </w:t>
            </w:r>
          </w:p>
        </w:tc>
        <w:tc>
          <w:tcPr>
            <w:tcW w:w="1271" w:type="dxa"/>
            <w:vAlign w:val="center"/>
          </w:tcPr>
          <w:p w:rsidR="004C0920" w:rsidRPr="00E04E16" w:rsidRDefault="004C0920" w:rsidP="004219D2">
            <w:pPr>
              <w:pStyle w:val="TableText"/>
              <w:keepLines/>
              <w:jc w:val="center"/>
            </w:pPr>
            <w:r w:rsidRPr="00E04E16">
              <w:t>$</w:t>
            </w:r>
            <w:r w:rsidR="004E288B">
              <w:rPr>
                <w:noProof/>
                <w:color w:val="000000"/>
                <w:highlight w:val="black"/>
              </w:rPr>
              <w:t>'''''''''''''</w:t>
            </w:r>
          </w:p>
        </w:tc>
        <w:tc>
          <w:tcPr>
            <w:tcW w:w="1270" w:type="dxa"/>
            <w:vAlign w:val="center"/>
          </w:tcPr>
          <w:p w:rsidR="004C0920" w:rsidRPr="00E04E16" w:rsidRDefault="004C0920" w:rsidP="004219D2">
            <w:pPr>
              <w:pStyle w:val="TableText"/>
              <w:keepLines/>
              <w:jc w:val="center"/>
            </w:pPr>
            <w:r w:rsidRPr="00E04E16">
              <w:t>0.02090</w:t>
            </w:r>
          </w:p>
        </w:tc>
        <w:tc>
          <w:tcPr>
            <w:tcW w:w="1171" w:type="dxa"/>
            <w:vAlign w:val="center"/>
          </w:tcPr>
          <w:p w:rsidR="004C0920" w:rsidRPr="00DC061F" w:rsidRDefault="004C0920" w:rsidP="004219D2">
            <w:pPr>
              <w:pStyle w:val="TableText"/>
              <w:keepLines/>
              <w:jc w:val="center"/>
              <w:rPr>
                <w:vertAlign w:val="superscript"/>
              </w:rPr>
            </w:pPr>
            <w:r w:rsidRPr="00E04E16">
              <w:t>$</w:t>
            </w:r>
            <w:r w:rsidR="004E288B">
              <w:rPr>
                <w:noProof/>
                <w:color w:val="000000"/>
                <w:highlight w:val="black"/>
              </w:rPr>
              <w:t>'''''''''''''''''''''</w:t>
            </w:r>
            <w:r w:rsidR="00DC061F">
              <w:rPr>
                <w:vertAlign w:val="superscript"/>
              </w:rPr>
              <w:t>2</w:t>
            </w:r>
          </w:p>
        </w:tc>
      </w:tr>
      <w:tr w:rsidR="004C0920" w:rsidRPr="00E04E16" w:rsidTr="00111B9F">
        <w:tc>
          <w:tcPr>
            <w:tcW w:w="5305" w:type="dxa"/>
          </w:tcPr>
          <w:p w:rsidR="004C0920" w:rsidRPr="00E04E16" w:rsidRDefault="009D376D" w:rsidP="004219D2">
            <w:pPr>
              <w:pStyle w:val="TableText"/>
              <w:keepLines/>
              <w:ind w:left="109"/>
            </w:pPr>
            <w:r w:rsidRPr="00E04E16">
              <w:t>+</w:t>
            </w:r>
            <w:r w:rsidR="004C0920" w:rsidRPr="00E04E16">
              <w:t xml:space="preserve"> time horizon 10 years</w:t>
            </w:r>
          </w:p>
        </w:tc>
        <w:tc>
          <w:tcPr>
            <w:tcW w:w="1271" w:type="dxa"/>
            <w:vAlign w:val="center"/>
          </w:tcPr>
          <w:p w:rsidR="004C0920" w:rsidRPr="00E04E16" w:rsidRDefault="004C0920" w:rsidP="004219D2">
            <w:pPr>
              <w:pStyle w:val="TableText"/>
              <w:keepLines/>
              <w:jc w:val="center"/>
            </w:pPr>
            <w:r w:rsidRPr="00E04E16">
              <w:t>$</w:t>
            </w:r>
            <w:r w:rsidR="004E288B">
              <w:rPr>
                <w:noProof/>
                <w:color w:val="000000"/>
                <w:highlight w:val="black"/>
              </w:rPr>
              <w:t>'''''''''''''</w:t>
            </w:r>
          </w:p>
        </w:tc>
        <w:tc>
          <w:tcPr>
            <w:tcW w:w="1270" w:type="dxa"/>
            <w:vAlign w:val="center"/>
          </w:tcPr>
          <w:p w:rsidR="004C0920" w:rsidRPr="00E04E16" w:rsidRDefault="004C0920" w:rsidP="004219D2">
            <w:pPr>
              <w:pStyle w:val="TableText"/>
              <w:keepLines/>
              <w:jc w:val="center"/>
            </w:pPr>
            <w:r w:rsidRPr="00E04E16">
              <w:t>0.0117</w:t>
            </w:r>
          </w:p>
        </w:tc>
        <w:tc>
          <w:tcPr>
            <w:tcW w:w="1171" w:type="dxa"/>
            <w:vAlign w:val="center"/>
          </w:tcPr>
          <w:p w:rsidR="004C0920" w:rsidRPr="0058692C" w:rsidRDefault="004C0920" w:rsidP="004219D2">
            <w:pPr>
              <w:pStyle w:val="TableText"/>
              <w:keepLines/>
              <w:jc w:val="center"/>
              <w:rPr>
                <w:vertAlign w:val="superscript"/>
              </w:rPr>
            </w:pPr>
            <w:r w:rsidRPr="00E04E16">
              <w:t>$</w:t>
            </w:r>
            <w:r w:rsidR="004E288B">
              <w:rPr>
                <w:noProof/>
                <w:color w:val="000000"/>
                <w:highlight w:val="black"/>
              </w:rPr>
              <w:t>''''''''''''''''''''</w:t>
            </w:r>
            <w:r w:rsidR="0058692C">
              <w:rPr>
                <w:vertAlign w:val="superscript"/>
              </w:rPr>
              <w:t>3</w:t>
            </w:r>
          </w:p>
        </w:tc>
      </w:tr>
      <w:tr w:rsidR="004C0920" w:rsidRPr="00E04E16" w:rsidTr="00111B9F">
        <w:tc>
          <w:tcPr>
            <w:tcW w:w="5305" w:type="dxa"/>
          </w:tcPr>
          <w:p w:rsidR="004C0920" w:rsidRPr="00E04E16" w:rsidRDefault="009D376D" w:rsidP="004219D2">
            <w:pPr>
              <w:pStyle w:val="TableText"/>
              <w:keepLines/>
              <w:ind w:left="109"/>
            </w:pPr>
            <w:r w:rsidRPr="00E04E16">
              <w:t>+</w:t>
            </w:r>
            <w:r w:rsidR="004C0920" w:rsidRPr="00E04E16">
              <w:t xml:space="preserve"> time horizon 20 years</w:t>
            </w:r>
          </w:p>
        </w:tc>
        <w:tc>
          <w:tcPr>
            <w:tcW w:w="1271" w:type="dxa"/>
            <w:vAlign w:val="center"/>
          </w:tcPr>
          <w:p w:rsidR="004C0920" w:rsidRPr="00E04E16" w:rsidRDefault="004C0920" w:rsidP="004219D2">
            <w:pPr>
              <w:pStyle w:val="TableText"/>
              <w:keepLines/>
              <w:jc w:val="center"/>
            </w:pPr>
            <w:r w:rsidRPr="00E04E16">
              <w:t>$</w:t>
            </w:r>
            <w:r w:rsidR="004E288B">
              <w:rPr>
                <w:noProof/>
                <w:color w:val="000000"/>
                <w:highlight w:val="black"/>
              </w:rPr>
              <w:t>'''''''''''''</w:t>
            </w:r>
          </w:p>
        </w:tc>
        <w:tc>
          <w:tcPr>
            <w:tcW w:w="1270" w:type="dxa"/>
            <w:vAlign w:val="center"/>
          </w:tcPr>
          <w:p w:rsidR="004C0920" w:rsidRPr="00E04E16" w:rsidRDefault="004C0920" w:rsidP="004219D2">
            <w:pPr>
              <w:pStyle w:val="TableText"/>
              <w:keepLines/>
              <w:jc w:val="center"/>
            </w:pPr>
            <w:r w:rsidRPr="00E04E16">
              <w:t>0.0198</w:t>
            </w:r>
          </w:p>
        </w:tc>
        <w:tc>
          <w:tcPr>
            <w:tcW w:w="1171" w:type="dxa"/>
            <w:vAlign w:val="center"/>
          </w:tcPr>
          <w:p w:rsidR="004C0920" w:rsidRPr="0058692C" w:rsidRDefault="004C0920" w:rsidP="004219D2">
            <w:pPr>
              <w:pStyle w:val="TableText"/>
              <w:keepLines/>
              <w:jc w:val="center"/>
              <w:rPr>
                <w:vertAlign w:val="superscript"/>
              </w:rPr>
            </w:pPr>
            <w:r w:rsidRPr="00E04E16">
              <w:t>$</w:t>
            </w:r>
            <w:r w:rsidR="004E288B">
              <w:rPr>
                <w:noProof/>
                <w:color w:val="000000"/>
                <w:highlight w:val="black"/>
              </w:rPr>
              <w:t>''''''''''''''''''</w:t>
            </w:r>
            <w:r w:rsidR="0058692C">
              <w:rPr>
                <w:vertAlign w:val="superscript"/>
              </w:rPr>
              <w:t>2</w:t>
            </w:r>
          </w:p>
        </w:tc>
      </w:tr>
      <w:tr w:rsidR="004C0920" w:rsidRPr="00E04E16" w:rsidTr="00111B9F">
        <w:tc>
          <w:tcPr>
            <w:tcW w:w="5305" w:type="dxa"/>
          </w:tcPr>
          <w:p w:rsidR="004C0920" w:rsidRPr="00E04E16" w:rsidRDefault="009D376D" w:rsidP="004219D2">
            <w:pPr>
              <w:pStyle w:val="TableText"/>
              <w:keepLines/>
              <w:ind w:left="109"/>
            </w:pPr>
            <w:r w:rsidRPr="00E04E16">
              <w:t xml:space="preserve">+ </w:t>
            </w:r>
            <w:r w:rsidR="004C0920" w:rsidRPr="00E04E16">
              <w:t>maximum duration of patiromer treatment 5 years</w:t>
            </w:r>
          </w:p>
        </w:tc>
        <w:tc>
          <w:tcPr>
            <w:tcW w:w="1271" w:type="dxa"/>
            <w:vAlign w:val="center"/>
          </w:tcPr>
          <w:p w:rsidR="004C0920" w:rsidRPr="00E04E16" w:rsidRDefault="004C0920" w:rsidP="004219D2">
            <w:pPr>
              <w:pStyle w:val="TableText"/>
              <w:keepLines/>
              <w:jc w:val="center"/>
            </w:pPr>
            <w:r w:rsidRPr="00E04E16">
              <w:t>$</w:t>
            </w:r>
            <w:r w:rsidR="004E288B">
              <w:rPr>
                <w:noProof/>
                <w:color w:val="000000"/>
                <w:highlight w:val="black"/>
              </w:rPr>
              <w:t>''''''''''''''</w:t>
            </w:r>
          </w:p>
        </w:tc>
        <w:tc>
          <w:tcPr>
            <w:tcW w:w="1270" w:type="dxa"/>
            <w:vAlign w:val="center"/>
          </w:tcPr>
          <w:p w:rsidR="004C0920" w:rsidRPr="00E04E16" w:rsidRDefault="004C0920" w:rsidP="004219D2">
            <w:pPr>
              <w:pStyle w:val="TableText"/>
              <w:keepLines/>
              <w:jc w:val="center"/>
            </w:pPr>
            <w:r w:rsidRPr="00E04E16">
              <w:t>0.02093</w:t>
            </w:r>
          </w:p>
        </w:tc>
        <w:tc>
          <w:tcPr>
            <w:tcW w:w="1171" w:type="dxa"/>
            <w:vAlign w:val="center"/>
          </w:tcPr>
          <w:p w:rsidR="004C0920" w:rsidRPr="0058692C" w:rsidRDefault="004C0920" w:rsidP="004219D2">
            <w:pPr>
              <w:pStyle w:val="TableText"/>
              <w:keepLines/>
              <w:jc w:val="center"/>
              <w:rPr>
                <w:vertAlign w:val="superscript"/>
              </w:rPr>
            </w:pPr>
            <w:r w:rsidRPr="00E04E16">
              <w:t>$</w:t>
            </w:r>
            <w:r w:rsidR="004E288B">
              <w:rPr>
                <w:noProof/>
                <w:color w:val="000000"/>
                <w:highlight w:val="black"/>
              </w:rPr>
              <w:t>'''''''''''''''''''''</w:t>
            </w:r>
            <w:r w:rsidR="0058692C">
              <w:rPr>
                <w:vertAlign w:val="superscript"/>
              </w:rPr>
              <w:t>2</w:t>
            </w:r>
          </w:p>
        </w:tc>
      </w:tr>
      <w:tr w:rsidR="004C0920" w:rsidRPr="00E04E16" w:rsidTr="00111B9F">
        <w:tc>
          <w:tcPr>
            <w:tcW w:w="5305" w:type="dxa"/>
          </w:tcPr>
          <w:p w:rsidR="004C0920" w:rsidRPr="00E04E16" w:rsidRDefault="009D376D" w:rsidP="004219D2">
            <w:pPr>
              <w:pStyle w:val="TableText"/>
              <w:keepLines/>
              <w:ind w:left="109"/>
            </w:pPr>
            <w:r w:rsidRPr="00E04E16">
              <w:t xml:space="preserve">+ </w:t>
            </w:r>
            <w:r w:rsidR="004C0920" w:rsidRPr="00E04E16">
              <w:t>maximum duration of patiromer treatment 35 years</w:t>
            </w:r>
          </w:p>
        </w:tc>
        <w:tc>
          <w:tcPr>
            <w:tcW w:w="1271" w:type="dxa"/>
            <w:vAlign w:val="center"/>
          </w:tcPr>
          <w:p w:rsidR="004C0920" w:rsidRPr="00E04E16" w:rsidRDefault="004C0920" w:rsidP="004219D2">
            <w:pPr>
              <w:pStyle w:val="TableText"/>
              <w:keepLines/>
              <w:jc w:val="center"/>
            </w:pPr>
            <w:r w:rsidRPr="00E04E16">
              <w:t>$</w:t>
            </w:r>
            <w:r w:rsidR="004E288B">
              <w:rPr>
                <w:noProof/>
                <w:color w:val="000000"/>
                <w:highlight w:val="black"/>
              </w:rPr>
              <w:t>''''''''''''''</w:t>
            </w:r>
          </w:p>
        </w:tc>
        <w:tc>
          <w:tcPr>
            <w:tcW w:w="1270" w:type="dxa"/>
            <w:vAlign w:val="center"/>
          </w:tcPr>
          <w:p w:rsidR="004C0920" w:rsidRPr="00E04E16" w:rsidRDefault="004C0920" w:rsidP="004219D2">
            <w:pPr>
              <w:pStyle w:val="TableText"/>
              <w:keepLines/>
              <w:jc w:val="center"/>
            </w:pPr>
            <w:r w:rsidRPr="00E04E16">
              <w:t>0.02094</w:t>
            </w:r>
          </w:p>
        </w:tc>
        <w:tc>
          <w:tcPr>
            <w:tcW w:w="1171" w:type="dxa"/>
            <w:vAlign w:val="center"/>
          </w:tcPr>
          <w:p w:rsidR="004C0920" w:rsidRPr="0058692C" w:rsidRDefault="004C0920" w:rsidP="004219D2">
            <w:pPr>
              <w:pStyle w:val="TableText"/>
              <w:keepLines/>
              <w:jc w:val="center"/>
              <w:rPr>
                <w:vertAlign w:val="superscript"/>
              </w:rPr>
            </w:pPr>
            <w:r w:rsidRPr="00E04E16">
              <w:t>$</w:t>
            </w:r>
            <w:r w:rsidR="004E288B">
              <w:rPr>
                <w:noProof/>
                <w:color w:val="000000"/>
                <w:highlight w:val="black"/>
              </w:rPr>
              <w:t>''''''''''''''''''</w:t>
            </w:r>
            <w:r w:rsidR="0058692C">
              <w:rPr>
                <w:vertAlign w:val="superscript"/>
              </w:rPr>
              <w:t>2</w:t>
            </w:r>
          </w:p>
        </w:tc>
      </w:tr>
      <w:tr w:rsidR="004C0920" w:rsidRPr="00E04E16" w:rsidTr="00111B9F">
        <w:tc>
          <w:tcPr>
            <w:tcW w:w="5305" w:type="dxa"/>
          </w:tcPr>
          <w:p w:rsidR="004C0920" w:rsidRPr="00E04E16" w:rsidRDefault="009D376D" w:rsidP="004219D2">
            <w:pPr>
              <w:pStyle w:val="TableText"/>
              <w:keepLines/>
              <w:ind w:left="109"/>
            </w:pPr>
            <w:r w:rsidRPr="00E04E16">
              <w:t>+</w:t>
            </w:r>
            <w:r w:rsidRPr="00E04E16">
              <w:rPr>
                <w:b/>
              </w:rPr>
              <w:t xml:space="preserve"> D</w:t>
            </w:r>
            <w:r w:rsidRPr="00E04E16">
              <w:t xml:space="preserve"> (</w:t>
            </w:r>
            <w:r w:rsidR="004C0920" w:rsidRPr="00E04E16">
              <w:t xml:space="preserve">first cycle transitions in </w:t>
            </w:r>
            <w:r w:rsidR="00276E8A" w:rsidRPr="00E04E16">
              <w:t>standard care</w:t>
            </w:r>
            <w:r w:rsidR="004C0920" w:rsidRPr="00E04E16">
              <w:t xml:space="preserve"> arm based on Jun 2019, assuming estimates </w:t>
            </w:r>
            <w:r w:rsidR="00D46224" w:rsidRPr="00E04E16">
              <w:t xml:space="preserve">based on </w:t>
            </w:r>
            <w:r w:rsidR="004C0920" w:rsidRPr="00E04E16">
              <w:t>210</w:t>
            </w:r>
            <w:r w:rsidR="00D46224" w:rsidRPr="00E04E16">
              <w:t xml:space="preserve"> day period</w:t>
            </w:r>
            <w:r w:rsidR="004C0920" w:rsidRPr="00E04E16">
              <w:t xml:space="preserve"> apply to first cycle</w:t>
            </w:r>
            <w:r w:rsidR="00111B9F" w:rsidRPr="00E04E16">
              <w:t>)</w:t>
            </w:r>
          </w:p>
        </w:tc>
        <w:tc>
          <w:tcPr>
            <w:tcW w:w="1271" w:type="dxa"/>
            <w:vAlign w:val="center"/>
          </w:tcPr>
          <w:p w:rsidR="004C0920" w:rsidRPr="00E04E16" w:rsidRDefault="004C0920" w:rsidP="004219D2">
            <w:pPr>
              <w:pStyle w:val="TableText"/>
              <w:keepLines/>
              <w:jc w:val="center"/>
            </w:pPr>
            <w:r w:rsidRPr="00E04E16">
              <w:t>$</w:t>
            </w:r>
            <w:r w:rsidR="004E288B">
              <w:rPr>
                <w:noProof/>
                <w:color w:val="000000"/>
                <w:highlight w:val="black"/>
              </w:rPr>
              <w:t>'''''''''''''''</w:t>
            </w:r>
          </w:p>
        </w:tc>
        <w:tc>
          <w:tcPr>
            <w:tcW w:w="1270" w:type="dxa"/>
            <w:vAlign w:val="center"/>
          </w:tcPr>
          <w:p w:rsidR="004C0920" w:rsidRPr="00E04E16" w:rsidRDefault="004C0920" w:rsidP="004219D2">
            <w:pPr>
              <w:pStyle w:val="TableText"/>
              <w:keepLines/>
              <w:jc w:val="center"/>
            </w:pPr>
            <w:r w:rsidRPr="00E04E16">
              <w:t>0.0097</w:t>
            </w:r>
          </w:p>
        </w:tc>
        <w:tc>
          <w:tcPr>
            <w:tcW w:w="1171" w:type="dxa"/>
            <w:vAlign w:val="center"/>
          </w:tcPr>
          <w:p w:rsidR="004C0920" w:rsidRPr="0058692C" w:rsidRDefault="004C0920" w:rsidP="004219D2">
            <w:pPr>
              <w:pStyle w:val="TableText"/>
              <w:keepLines/>
              <w:jc w:val="center"/>
              <w:rPr>
                <w:vertAlign w:val="superscript"/>
              </w:rPr>
            </w:pPr>
            <w:r w:rsidRPr="00E04E16">
              <w:t>$</w:t>
            </w:r>
            <w:r w:rsidR="004E288B">
              <w:rPr>
                <w:noProof/>
                <w:color w:val="000000"/>
                <w:highlight w:val="black"/>
              </w:rPr>
              <w:t>'''''''''''''''''''</w:t>
            </w:r>
            <w:r w:rsidR="0058692C">
              <w:rPr>
                <w:vertAlign w:val="superscript"/>
              </w:rPr>
              <w:t>4</w:t>
            </w:r>
          </w:p>
        </w:tc>
      </w:tr>
      <w:tr w:rsidR="00111B9F" w:rsidRPr="00E04E16" w:rsidTr="00111B9F">
        <w:tc>
          <w:tcPr>
            <w:tcW w:w="5305" w:type="dxa"/>
          </w:tcPr>
          <w:p w:rsidR="00111B9F" w:rsidRPr="00E04E16" w:rsidRDefault="00111B9F" w:rsidP="00B163FB">
            <w:pPr>
              <w:pStyle w:val="TableText"/>
              <w:keepLines/>
              <w:ind w:left="109"/>
              <w:rPr>
                <w:b/>
              </w:rPr>
            </w:pPr>
            <w:r w:rsidRPr="00E04E16">
              <w:rPr>
                <w:b/>
              </w:rPr>
              <w:t xml:space="preserve">+D + </w:t>
            </w:r>
            <w:r w:rsidR="00B163FB" w:rsidRPr="00E04E16">
              <w:rPr>
                <w:b/>
              </w:rPr>
              <w:t>E</w:t>
            </w:r>
            <w:r w:rsidRPr="00E04E16">
              <w:rPr>
                <w:b/>
              </w:rPr>
              <w:t xml:space="preserve"> (</w:t>
            </w:r>
            <w:r w:rsidRPr="00E04E16">
              <w:t>first cycle transitions in standard care arm based on Jun 2019, assuming estimates based on 210 day period apply to first cycle plus cycle 2+ serum potassium/RAASi dose intensity transition probabilities 15%</w:t>
            </w:r>
          </w:p>
        </w:tc>
        <w:tc>
          <w:tcPr>
            <w:tcW w:w="1271" w:type="dxa"/>
            <w:vAlign w:val="center"/>
          </w:tcPr>
          <w:p w:rsidR="00111B9F" w:rsidRPr="00E04E16" w:rsidRDefault="00111B9F" w:rsidP="00111B9F">
            <w:pPr>
              <w:pStyle w:val="TableText"/>
              <w:keepLines/>
              <w:jc w:val="center"/>
            </w:pPr>
            <w:r w:rsidRPr="00E04E16">
              <w:t>$</w:t>
            </w:r>
            <w:r w:rsidR="004E288B">
              <w:rPr>
                <w:noProof/>
                <w:color w:val="000000"/>
                <w:highlight w:val="black"/>
              </w:rPr>
              <w:t>'''''''''''''</w:t>
            </w:r>
          </w:p>
        </w:tc>
        <w:tc>
          <w:tcPr>
            <w:tcW w:w="1270" w:type="dxa"/>
            <w:vAlign w:val="center"/>
          </w:tcPr>
          <w:p w:rsidR="00111B9F" w:rsidRPr="00E04E16" w:rsidRDefault="00111B9F" w:rsidP="00111B9F">
            <w:pPr>
              <w:pStyle w:val="TableText"/>
              <w:keepLines/>
              <w:jc w:val="center"/>
            </w:pPr>
            <w:r w:rsidRPr="00E04E16">
              <w:t>0.0079</w:t>
            </w:r>
          </w:p>
        </w:tc>
        <w:tc>
          <w:tcPr>
            <w:tcW w:w="1171" w:type="dxa"/>
            <w:vAlign w:val="center"/>
          </w:tcPr>
          <w:p w:rsidR="00111B9F" w:rsidRPr="0058692C" w:rsidRDefault="00111B9F" w:rsidP="00111B9F">
            <w:pPr>
              <w:pStyle w:val="TableText"/>
              <w:keepLines/>
              <w:jc w:val="center"/>
              <w:rPr>
                <w:vertAlign w:val="superscript"/>
              </w:rPr>
            </w:pPr>
            <w:r w:rsidRPr="00E04E16">
              <w:t>$</w:t>
            </w:r>
            <w:r w:rsidR="004E288B">
              <w:rPr>
                <w:noProof/>
                <w:color w:val="000000"/>
                <w:highlight w:val="black"/>
              </w:rPr>
              <w:t>'''''''''''''''''''</w:t>
            </w:r>
            <w:r w:rsidR="0058692C">
              <w:rPr>
                <w:vertAlign w:val="superscript"/>
              </w:rPr>
              <w:t>5</w:t>
            </w:r>
          </w:p>
        </w:tc>
      </w:tr>
    </w:tbl>
    <w:p w:rsidR="004C0920" w:rsidRPr="00E04E16" w:rsidRDefault="004C0920" w:rsidP="004219D2">
      <w:pPr>
        <w:keepNext/>
        <w:keepLines/>
        <w:rPr>
          <w:rFonts w:ascii="Arial Narrow" w:hAnsi="Arial Narrow"/>
          <w:sz w:val="18"/>
        </w:rPr>
      </w:pPr>
      <w:r w:rsidRPr="00E04E16">
        <w:rPr>
          <w:rFonts w:ascii="Arial Narrow" w:hAnsi="Arial Narrow"/>
          <w:sz w:val="18"/>
        </w:rPr>
        <w:t>Source: constructed during the evaluation using ATTACHMENT 7 - Cost Effectiveness Model Excel spreadsheet provided with the resubmission</w:t>
      </w:r>
    </w:p>
    <w:p w:rsidR="004C0920" w:rsidRPr="00E04E16" w:rsidRDefault="004C0920" w:rsidP="004219D2">
      <w:pPr>
        <w:keepNext/>
        <w:keepLines/>
        <w:rPr>
          <w:rFonts w:ascii="Arial Narrow" w:hAnsi="Arial Narrow"/>
          <w:sz w:val="18"/>
        </w:rPr>
      </w:pPr>
      <w:r w:rsidRPr="00E04E16">
        <w:rPr>
          <w:rFonts w:ascii="Arial Narrow" w:hAnsi="Arial Narrow"/>
          <w:sz w:val="18"/>
        </w:rPr>
        <w:t>Abbreviations: CV, cardiovascular; RAASi, renin-angiotensin-aldosterone inhibitor</w:t>
      </w:r>
    </w:p>
    <w:p w:rsidR="004C0920" w:rsidRDefault="00FC62DC" w:rsidP="004219D2">
      <w:pPr>
        <w:keepNext/>
        <w:keepLines/>
        <w:spacing w:after="240"/>
        <w:contextualSpacing/>
        <w:rPr>
          <w:rFonts w:ascii="Arial Narrow" w:hAnsi="Arial Narrow"/>
          <w:sz w:val="18"/>
        </w:rPr>
      </w:pPr>
      <w:r w:rsidRPr="00E04E16">
        <w:rPr>
          <w:rFonts w:ascii="Arial Narrow" w:hAnsi="Arial Narrow"/>
          <w:sz w:val="18"/>
        </w:rPr>
        <w:t>Bold capitalised letters (</w:t>
      </w:r>
      <w:r w:rsidRPr="00E04E16">
        <w:rPr>
          <w:rFonts w:ascii="Arial Narrow" w:hAnsi="Arial Narrow"/>
          <w:b/>
          <w:sz w:val="18"/>
        </w:rPr>
        <w:t>A</w:t>
      </w:r>
      <w:r w:rsidRPr="00E04E16">
        <w:rPr>
          <w:rFonts w:ascii="Arial Narrow" w:hAnsi="Arial Narrow"/>
          <w:sz w:val="18"/>
        </w:rPr>
        <w:t xml:space="preserve">, </w:t>
      </w:r>
      <w:r w:rsidRPr="00E04E16">
        <w:rPr>
          <w:rFonts w:ascii="Arial Narrow" w:hAnsi="Arial Narrow"/>
          <w:b/>
          <w:sz w:val="18"/>
        </w:rPr>
        <w:t>B</w:t>
      </w:r>
      <w:r w:rsidRPr="00E04E16">
        <w:rPr>
          <w:rFonts w:ascii="Arial Narrow" w:hAnsi="Arial Narrow"/>
          <w:sz w:val="18"/>
        </w:rPr>
        <w:t xml:space="preserve">, </w:t>
      </w:r>
      <w:r w:rsidRPr="00E04E16">
        <w:rPr>
          <w:rFonts w:ascii="Arial Narrow" w:hAnsi="Arial Narrow"/>
          <w:b/>
          <w:sz w:val="18"/>
        </w:rPr>
        <w:t>C</w:t>
      </w:r>
      <w:r w:rsidRPr="00E04E16">
        <w:rPr>
          <w:rFonts w:ascii="Arial Narrow" w:hAnsi="Arial Narrow"/>
          <w:sz w:val="18"/>
        </w:rPr>
        <w:t xml:space="preserve">, </w:t>
      </w:r>
      <w:r w:rsidRPr="00E04E16">
        <w:rPr>
          <w:rFonts w:ascii="Arial Narrow" w:hAnsi="Arial Narrow"/>
          <w:b/>
          <w:sz w:val="18"/>
        </w:rPr>
        <w:t>D</w:t>
      </w:r>
      <w:r w:rsidRPr="00E04E16">
        <w:rPr>
          <w:rFonts w:ascii="Arial Narrow" w:hAnsi="Arial Narrow"/>
          <w:sz w:val="18"/>
        </w:rPr>
        <w:t xml:space="preserve"> and </w:t>
      </w:r>
      <w:r w:rsidRPr="00E04E16">
        <w:rPr>
          <w:rFonts w:ascii="Arial Narrow" w:hAnsi="Arial Narrow"/>
          <w:b/>
          <w:sz w:val="18"/>
        </w:rPr>
        <w:t>E</w:t>
      </w:r>
      <w:r w:rsidRPr="00E04E16">
        <w:rPr>
          <w:rFonts w:ascii="Arial Narrow" w:hAnsi="Arial Narrow"/>
          <w:sz w:val="18"/>
        </w:rPr>
        <w:t xml:space="preserve">) refer to the labelled univariate sensitivity analyses in Table </w:t>
      </w:r>
      <w:r w:rsidR="00F96860" w:rsidRPr="00E04E16">
        <w:rPr>
          <w:rFonts w:ascii="Arial Narrow" w:hAnsi="Arial Narrow"/>
          <w:sz w:val="18"/>
        </w:rPr>
        <w:t xml:space="preserve">16 </w:t>
      </w:r>
    </w:p>
    <w:p w:rsidR="00DC061F" w:rsidRPr="0058692C" w:rsidRDefault="00DC061F" w:rsidP="004219D2">
      <w:pPr>
        <w:keepNext/>
        <w:keepLines/>
        <w:spacing w:after="240"/>
        <w:contextualSpacing/>
        <w:rPr>
          <w:rFonts w:ascii="Arial Narrow" w:hAnsi="Arial Narrow"/>
          <w:i/>
          <w:sz w:val="18"/>
        </w:rPr>
      </w:pPr>
      <w:r w:rsidRPr="0058692C">
        <w:rPr>
          <w:rFonts w:ascii="Arial Narrow" w:hAnsi="Arial Narrow"/>
          <w:i/>
          <w:sz w:val="18"/>
        </w:rPr>
        <w:t>The redacted values correspond to the following ranges:</w:t>
      </w:r>
    </w:p>
    <w:p w:rsidR="00DC061F" w:rsidRPr="0058692C" w:rsidRDefault="00DC061F" w:rsidP="004219D2">
      <w:pPr>
        <w:keepNext/>
        <w:keepLines/>
        <w:spacing w:after="240"/>
        <w:contextualSpacing/>
        <w:rPr>
          <w:rFonts w:ascii="Arial Narrow" w:hAnsi="Arial Narrow"/>
          <w:i/>
          <w:sz w:val="18"/>
        </w:rPr>
      </w:pPr>
      <w:r w:rsidRPr="0058692C">
        <w:rPr>
          <w:rFonts w:ascii="Arial Narrow" w:hAnsi="Arial Narrow"/>
          <w:i/>
          <w:sz w:val="18"/>
          <w:vertAlign w:val="superscript"/>
        </w:rPr>
        <w:t>1</w:t>
      </w:r>
      <w:r w:rsidRPr="0058692C">
        <w:rPr>
          <w:rFonts w:ascii="Arial Narrow" w:hAnsi="Arial Narrow"/>
          <w:i/>
          <w:sz w:val="18"/>
        </w:rPr>
        <w:t>$35,000 to &lt;$45,000/QALY gained</w:t>
      </w:r>
    </w:p>
    <w:p w:rsidR="00DC061F" w:rsidRPr="0058692C" w:rsidRDefault="00DC061F" w:rsidP="004219D2">
      <w:pPr>
        <w:keepNext/>
        <w:keepLines/>
        <w:spacing w:after="240"/>
        <w:contextualSpacing/>
        <w:rPr>
          <w:rFonts w:ascii="Arial Narrow" w:hAnsi="Arial Narrow"/>
          <w:i/>
          <w:sz w:val="18"/>
        </w:rPr>
      </w:pPr>
      <w:r w:rsidRPr="0058692C">
        <w:rPr>
          <w:rFonts w:ascii="Arial Narrow" w:hAnsi="Arial Narrow"/>
          <w:i/>
          <w:sz w:val="18"/>
          <w:vertAlign w:val="superscript"/>
        </w:rPr>
        <w:t>2</w:t>
      </w:r>
      <w:r w:rsidRPr="0058692C">
        <w:rPr>
          <w:rFonts w:ascii="Arial Narrow" w:hAnsi="Arial Narrow"/>
          <w:i/>
          <w:sz w:val="18"/>
        </w:rPr>
        <w:t>$155,000 to &lt;$255,000/QALY gained</w:t>
      </w:r>
    </w:p>
    <w:p w:rsidR="00DC061F" w:rsidRPr="0058692C" w:rsidRDefault="00DC061F" w:rsidP="004219D2">
      <w:pPr>
        <w:keepNext/>
        <w:keepLines/>
        <w:spacing w:after="240"/>
        <w:contextualSpacing/>
        <w:rPr>
          <w:rFonts w:ascii="Arial Narrow" w:hAnsi="Arial Narrow"/>
          <w:i/>
          <w:sz w:val="18"/>
        </w:rPr>
      </w:pPr>
      <w:r w:rsidRPr="0058692C">
        <w:rPr>
          <w:rFonts w:ascii="Arial Narrow" w:hAnsi="Arial Narrow"/>
          <w:i/>
          <w:sz w:val="18"/>
          <w:vertAlign w:val="superscript"/>
        </w:rPr>
        <w:t>3</w:t>
      </w:r>
      <w:r w:rsidRPr="0058692C">
        <w:rPr>
          <w:rFonts w:ascii="Arial Narrow" w:hAnsi="Arial Narrow"/>
          <w:i/>
          <w:sz w:val="18"/>
        </w:rPr>
        <w:t>$255,000 to &lt;$355,000/QALY gained</w:t>
      </w:r>
    </w:p>
    <w:p w:rsidR="00DC061F" w:rsidRPr="0058692C" w:rsidRDefault="00DC061F" w:rsidP="004219D2">
      <w:pPr>
        <w:keepNext/>
        <w:keepLines/>
        <w:spacing w:after="240"/>
        <w:contextualSpacing/>
        <w:rPr>
          <w:rFonts w:ascii="Arial Narrow" w:hAnsi="Arial Narrow"/>
          <w:i/>
          <w:sz w:val="18"/>
        </w:rPr>
      </w:pPr>
      <w:r w:rsidRPr="0058692C">
        <w:rPr>
          <w:rFonts w:ascii="Arial Narrow" w:hAnsi="Arial Narrow"/>
          <w:i/>
          <w:sz w:val="18"/>
          <w:vertAlign w:val="superscript"/>
        </w:rPr>
        <w:t>4</w:t>
      </w:r>
      <w:r w:rsidRPr="0058692C">
        <w:rPr>
          <w:rFonts w:ascii="Arial Narrow" w:hAnsi="Arial Narrow"/>
          <w:i/>
          <w:sz w:val="18"/>
        </w:rPr>
        <w:t>$355,000 to &lt;$455,000/QALY gained</w:t>
      </w:r>
    </w:p>
    <w:p w:rsidR="00DC061F" w:rsidRPr="0058692C" w:rsidRDefault="00DC061F" w:rsidP="004219D2">
      <w:pPr>
        <w:keepNext/>
        <w:keepLines/>
        <w:spacing w:after="240"/>
        <w:contextualSpacing/>
        <w:rPr>
          <w:rFonts w:ascii="Arial Narrow" w:hAnsi="Arial Narrow"/>
          <w:i/>
          <w:sz w:val="18"/>
        </w:rPr>
      </w:pPr>
      <w:r w:rsidRPr="0058692C">
        <w:rPr>
          <w:rFonts w:ascii="Arial Narrow" w:hAnsi="Arial Narrow"/>
          <w:i/>
          <w:sz w:val="18"/>
          <w:vertAlign w:val="superscript"/>
        </w:rPr>
        <w:t>5</w:t>
      </w:r>
      <w:r w:rsidRPr="0058692C">
        <w:rPr>
          <w:rFonts w:ascii="Arial Narrow" w:hAnsi="Arial Narrow"/>
          <w:i/>
          <w:sz w:val="18"/>
        </w:rPr>
        <w:t>$455,000 to &lt;$555,000/QALY gained</w:t>
      </w:r>
    </w:p>
    <w:p w:rsidR="004C0920" w:rsidRPr="00E04E16" w:rsidRDefault="004C0920" w:rsidP="004C0920">
      <w:pPr>
        <w:pStyle w:val="ExecSumBodyText"/>
      </w:pPr>
      <w:r w:rsidRPr="00E04E16">
        <w:t xml:space="preserve">Based on the multivariate analyses conducted during the evaluation, adjusting for </w:t>
      </w:r>
      <w:r w:rsidR="00805A4D" w:rsidRPr="00E04E16">
        <w:t xml:space="preserve">optimistic </w:t>
      </w:r>
      <w:r w:rsidRPr="00E04E16">
        <w:t>assumptions included in the model base case</w:t>
      </w:r>
      <w:r w:rsidR="008731DC" w:rsidRPr="00E04E16">
        <w:t>, the</w:t>
      </w:r>
      <w:r w:rsidRPr="00E04E16">
        <w:t xml:space="preserve"> result</w:t>
      </w:r>
      <w:r w:rsidR="00066631" w:rsidRPr="00E04E16">
        <w:t>ing</w:t>
      </w:r>
      <w:r w:rsidRPr="00E04E16">
        <w:t xml:space="preserve"> ICERs exceed</w:t>
      </w:r>
      <w:r w:rsidR="008731DC" w:rsidRPr="00E04E16">
        <w:t>ed</w:t>
      </w:r>
      <w:r w:rsidRPr="00E04E16">
        <w:t xml:space="preserve"> $</w:t>
      </w:r>
      <w:r w:rsidR="0058692C">
        <w:t>155,000 to &lt;$255,000</w:t>
      </w:r>
      <w:r w:rsidRPr="00E04E16">
        <w:t xml:space="preserve"> per QALY gained.</w:t>
      </w:r>
    </w:p>
    <w:p w:rsidR="007C5EED" w:rsidRPr="00E04E16" w:rsidRDefault="007C5EED" w:rsidP="007C5EED">
      <w:pPr>
        <w:pStyle w:val="3-SubsectionHeading"/>
      </w:pPr>
      <w:bookmarkStart w:id="23" w:name="_Toc48561123"/>
      <w:bookmarkStart w:id="24" w:name="_Toc51063880"/>
      <w:bookmarkStart w:id="25" w:name="_Toc22897646"/>
      <w:r w:rsidRPr="00E04E16">
        <w:t>Patiromer cost/patient/year</w:t>
      </w:r>
      <w:bookmarkEnd w:id="23"/>
      <w:bookmarkEnd w:id="24"/>
    </w:p>
    <w:p w:rsidR="007C5EED" w:rsidRPr="00E04E16" w:rsidRDefault="007C5EED" w:rsidP="007C5EED">
      <w:pPr>
        <w:pStyle w:val="ExecSumBodyText"/>
        <w:numPr>
          <w:ilvl w:val="1"/>
          <w:numId w:val="1"/>
        </w:numPr>
      </w:pPr>
      <w:r w:rsidRPr="00E04E16">
        <w:t xml:space="preserve">The drug cost per patient for patiromer is summarised in the table below. The submission assumed </w:t>
      </w:r>
      <w:r w:rsidR="00546406" w:rsidRPr="00E04E16">
        <w:t xml:space="preserve">there would be </w:t>
      </w:r>
      <w:r w:rsidRPr="00E04E16">
        <w:t>no hyperkalaemia drug costs associated with standard care.</w:t>
      </w:r>
    </w:p>
    <w:p w:rsidR="007C5EED" w:rsidRPr="00E04E16" w:rsidRDefault="007C5EED" w:rsidP="00FD0396">
      <w:pPr>
        <w:pStyle w:val="TableHeading"/>
        <w:rPr>
          <w:rStyle w:val="CommentReference"/>
          <w:sz w:val="20"/>
        </w:rPr>
      </w:pPr>
      <w:r w:rsidRPr="00E04E16">
        <w:rPr>
          <w:rStyle w:val="CommentReference"/>
          <w:sz w:val="20"/>
        </w:rPr>
        <w:lastRenderedPageBreak/>
        <w:t xml:space="preserve">Table </w:t>
      </w:r>
      <w:r w:rsidR="00293567" w:rsidRPr="00E04E16">
        <w:rPr>
          <w:rStyle w:val="CommentReference"/>
          <w:sz w:val="20"/>
        </w:rPr>
        <w:t>1</w:t>
      </w:r>
      <w:r w:rsidR="00494BDB" w:rsidRPr="00E04E16">
        <w:rPr>
          <w:rStyle w:val="CommentReference"/>
          <w:sz w:val="20"/>
        </w:rPr>
        <w:t>8</w:t>
      </w:r>
      <w:r w:rsidRPr="00E04E16">
        <w:rPr>
          <w:rStyle w:val="CommentReference"/>
          <w:sz w:val="20"/>
        </w:rPr>
        <w:t>: Drug cost per patient for patiromer</w:t>
      </w:r>
    </w:p>
    <w:tbl>
      <w:tblPr>
        <w:tblStyle w:val="TableGrid"/>
        <w:tblW w:w="0" w:type="auto"/>
        <w:tblLook w:val="04A0" w:firstRow="1" w:lastRow="0" w:firstColumn="1" w:lastColumn="0" w:noHBand="0" w:noVBand="1"/>
        <w:tblCaption w:val="Table 18: Drug cost per patient for patiromer"/>
      </w:tblPr>
      <w:tblGrid>
        <w:gridCol w:w="1675"/>
        <w:gridCol w:w="1722"/>
        <w:gridCol w:w="1722"/>
        <w:gridCol w:w="1949"/>
        <w:gridCol w:w="1949"/>
      </w:tblGrid>
      <w:tr w:rsidR="007C5EED" w:rsidRPr="00E04E16" w:rsidTr="00E374F0">
        <w:tc>
          <w:tcPr>
            <w:tcW w:w="1675" w:type="dxa"/>
            <w:vAlign w:val="center"/>
          </w:tcPr>
          <w:p w:rsidR="007C5EED" w:rsidRPr="00E04E16" w:rsidRDefault="007C5EED" w:rsidP="0075338A">
            <w:pPr>
              <w:keepNext/>
              <w:keepLines/>
              <w:rPr>
                <w:rFonts w:ascii="Arial Narrow" w:hAnsi="Arial Narrow"/>
                <w:sz w:val="20"/>
              </w:rPr>
            </w:pPr>
          </w:p>
        </w:tc>
        <w:tc>
          <w:tcPr>
            <w:tcW w:w="1722" w:type="dxa"/>
            <w:vAlign w:val="center"/>
          </w:tcPr>
          <w:p w:rsidR="007C5EED" w:rsidRPr="00E04E16" w:rsidRDefault="007C5EED" w:rsidP="0075338A">
            <w:pPr>
              <w:keepNext/>
              <w:keepLines/>
              <w:jc w:val="center"/>
              <w:rPr>
                <w:rFonts w:ascii="Arial Narrow" w:hAnsi="Arial Narrow"/>
                <w:b/>
                <w:sz w:val="20"/>
              </w:rPr>
            </w:pPr>
            <w:r w:rsidRPr="00E04E16">
              <w:rPr>
                <w:rFonts w:ascii="Arial Narrow" w:hAnsi="Arial Narrow"/>
                <w:b/>
                <w:sz w:val="20"/>
              </w:rPr>
              <w:t>OPAL-HK Part B</w:t>
            </w:r>
          </w:p>
        </w:tc>
        <w:tc>
          <w:tcPr>
            <w:tcW w:w="1722" w:type="dxa"/>
            <w:vAlign w:val="center"/>
          </w:tcPr>
          <w:p w:rsidR="007C5EED" w:rsidRPr="00E04E16" w:rsidRDefault="007C5EED" w:rsidP="0075338A">
            <w:pPr>
              <w:keepNext/>
              <w:keepLines/>
              <w:jc w:val="center"/>
              <w:rPr>
                <w:rFonts w:ascii="Arial Narrow" w:hAnsi="Arial Narrow"/>
                <w:b/>
                <w:sz w:val="20"/>
              </w:rPr>
            </w:pPr>
            <w:r w:rsidRPr="00E04E16">
              <w:rPr>
                <w:rFonts w:ascii="Arial Narrow" w:hAnsi="Arial Narrow"/>
                <w:b/>
                <w:sz w:val="20"/>
              </w:rPr>
              <w:t>AMETHYST-DN long term</w:t>
            </w:r>
          </w:p>
        </w:tc>
        <w:tc>
          <w:tcPr>
            <w:tcW w:w="1949" w:type="dxa"/>
            <w:vAlign w:val="center"/>
          </w:tcPr>
          <w:p w:rsidR="007C5EED" w:rsidRPr="00E04E16" w:rsidRDefault="007C5EED" w:rsidP="0075338A">
            <w:pPr>
              <w:keepNext/>
              <w:keepLines/>
              <w:jc w:val="center"/>
              <w:rPr>
                <w:rFonts w:ascii="Arial Narrow" w:hAnsi="Arial Narrow"/>
                <w:b/>
                <w:sz w:val="20"/>
              </w:rPr>
            </w:pPr>
            <w:r w:rsidRPr="00E04E16">
              <w:rPr>
                <w:rFonts w:ascii="Arial Narrow" w:hAnsi="Arial Narrow"/>
                <w:b/>
                <w:sz w:val="20"/>
              </w:rPr>
              <w:t>Economic analysis</w:t>
            </w:r>
          </w:p>
        </w:tc>
        <w:tc>
          <w:tcPr>
            <w:tcW w:w="1949" w:type="dxa"/>
            <w:vAlign w:val="center"/>
          </w:tcPr>
          <w:p w:rsidR="007C5EED" w:rsidRPr="00E04E16" w:rsidRDefault="007C5EED" w:rsidP="0075338A">
            <w:pPr>
              <w:keepNext/>
              <w:keepLines/>
              <w:jc w:val="center"/>
              <w:rPr>
                <w:rFonts w:ascii="Arial Narrow" w:hAnsi="Arial Narrow"/>
                <w:b/>
                <w:sz w:val="20"/>
              </w:rPr>
            </w:pPr>
            <w:r w:rsidRPr="00E04E16">
              <w:rPr>
                <w:rFonts w:ascii="Arial Narrow" w:hAnsi="Arial Narrow"/>
                <w:b/>
                <w:sz w:val="20"/>
              </w:rPr>
              <w:t>Financial estimates</w:t>
            </w:r>
          </w:p>
        </w:tc>
      </w:tr>
      <w:tr w:rsidR="007C5EED" w:rsidRPr="00E04E16" w:rsidTr="00E374F0">
        <w:tc>
          <w:tcPr>
            <w:tcW w:w="1675" w:type="dxa"/>
            <w:vAlign w:val="center"/>
          </w:tcPr>
          <w:p w:rsidR="007C5EED" w:rsidRPr="00E04E16" w:rsidRDefault="007C5EED" w:rsidP="0075338A">
            <w:pPr>
              <w:keepNext/>
              <w:keepLines/>
              <w:rPr>
                <w:rFonts w:ascii="Arial Narrow" w:hAnsi="Arial Narrow"/>
                <w:sz w:val="20"/>
              </w:rPr>
            </w:pPr>
            <w:r w:rsidRPr="00E04E16">
              <w:rPr>
                <w:rFonts w:ascii="Arial Narrow" w:hAnsi="Arial Narrow"/>
                <w:sz w:val="20"/>
              </w:rPr>
              <w:t>Treatment regimen</w:t>
            </w:r>
          </w:p>
        </w:tc>
        <w:tc>
          <w:tcPr>
            <w:tcW w:w="1722" w:type="dxa"/>
            <w:vAlign w:val="center"/>
          </w:tcPr>
          <w:p w:rsidR="007C5EED" w:rsidRPr="00E04E16" w:rsidRDefault="007C5EED" w:rsidP="0075338A">
            <w:pPr>
              <w:keepNext/>
              <w:keepLines/>
              <w:jc w:val="center"/>
              <w:rPr>
                <w:rFonts w:ascii="Arial Narrow" w:hAnsi="Arial Narrow"/>
                <w:sz w:val="20"/>
              </w:rPr>
            </w:pPr>
            <w:r w:rsidRPr="00E04E16">
              <w:rPr>
                <w:rFonts w:ascii="Arial Narrow" w:hAnsi="Arial Narrow"/>
                <w:sz w:val="20"/>
              </w:rPr>
              <w:t>Titratable dose starting at 8.4 g/day or 16.8 g/day</w:t>
            </w:r>
          </w:p>
          <w:p w:rsidR="007C5EED" w:rsidRPr="00E04E16" w:rsidRDefault="007C5EED" w:rsidP="0075338A">
            <w:pPr>
              <w:keepNext/>
              <w:keepLines/>
              <w:jc w:val="center"/>
              <w:rPr>
                <w:rFonts w:ascii="Arial Narrow" w:hAnsi="Arial Narrow"/>
                <w:sz w:val="20"/>
              </w:rPr>
            </w:pPr>
          </w:p>
          <w:p w:rsidR="007C5EED" w:rsidRPr="00E04E16" w:rsidRDefault="007C5EED" w:rsidP="0075338A">
            <w:pPr>
              <w:keepNext/>
              <w:keepLines/>
              <w:jc w:val="center"/>
              <w:rPr>
                <w:rFonts w:ascii="Arial Narrow" w:hAnsi="Arial Narrow"/>
                <w:sz w:val="20"/>
                <w:vertAlign w:val="superscript"/>
              </w:rPr>
            </w:pPr>
            <w:r w:rsidRPr="00E04E16">
              <w:rPr>
                <w:rFonts w:ascii="Arial Narrow" w:hAnsi="Arial Narrow"/>
                <w:sz w:val="20"/>
              </w:rPr>
              <w:t>Median daily dose: 21.0 g/day</w:t>
            </w:r>
            <w:r w:rsidRPr="00E04E16">
              <w:rPr>
                <w:rFonts w:ascii="Arial Narrow" w:hAnsi="Arial Narrow"/>
                <w:sz w:val="20"/>
                <w:vertAlign w:val="superscript"/>
              </w:rPr>
              <w:t>a</w:t>
            </w:r>
          </w:p>
        </w:tc>
        <w:tc>
          <w:tcPr>
            <w:tcW w:w="1722" w:type="dxa"/>
            <w:vAlign w:val="center"/>
          </w:tcPr>
          <w:p w:rsidR="007C5EED" w:rsidRPr="00E04E16" w:rsidRDefault="007C5EED" w:rsidP="0075338A">
            <w:pPr>
              <w:keepNext/>
              <w:keepLines/>
              <w:jc w:val="center"/>
              <w:rPr>
                <w:rFonts w:ascii="Arial Narrow" w:hAnsi="Arial Narrow"/>
                <w:sz w:val="20"/>
              </w:rPr>
            </w:pPr>
            <w:r w:rsidRPr="00E04E16">
              <w:rPr>
                <w:rFonts w:ascii="Arial Narrow" w:hAnsi="Arial Narrow"/>
                <w:sz w:val="20"/>
              </w:rPr>
              <w:t>Titratable dose starting at 8.4 g/day, 16.8 g/day, 25.2 g/day or 33.6 g/day</w:t>
            </w:r>
          </w:p>
          <w:p w:rsidR="007C5EED" w:rsidRPr="00E04E16" w:rsidRDefault="007C5EED" w:rsidP="0075338A">
            <w:pPr>
              <w:keepNext/>
              <w:keepLines/>
              <w:jc w:val="center"/>
              <w:rPr>
                <w:rFonts w:ascii="Arial Narrow" w:hAnsi="Arial Narrow"/>
                <w:sz w:val="20"/>
              </w:rPr>
            </w:pPr>
          </w:p>
          <w:p w:rsidR="007C5EED" w:rsidRPr="00E04E16" w:rsidRDefault="007C5EED" w:rsidP="0075338A">
            <w:pPr>
              <w:keepNext/>
              <w:keepLines/>
              <w:jc w:val="center"/>
              <w:rPr>
                <w:rFonts w:ascii="Arial Narrow" w:hAnsi="Arial Narrow"/>
                <w:sz w:val="20"/>
              </w:rPr>
            </w:pPr>
            <w:r w:rsidRPr="00E04E16">
              <w:rPr>
                <w:rFonts w:ascii="Arial Narrow" w:hAnsi="Arial Narrow"/>
                <w:sz w:val="20"/>
              </w:rPr>
              <w:t>Median daily dose: 19.7 g/day</w:t>
            </w:r>
            <w:r w:rsidRPr="00E04E16">
              <w:rPr>
                <w:rFonts w:ascii="Arial Narrow" w:hAnsi="Arial Narrow"/>
                <w:sz w:val="20"/>
                <w:vertAlign w:val="superscript"/>
              </w:rPr>
              <w:t>a, b</w:t>
            </w:r>
          </w:p>
        </w:tc>
        <w:tc>
          <w:tcPr>
            <w:tcW w:w="1949" w:type="dxa"/>
            <w:vAlign w:val="center"/>
          </w:tcPr>
          <w:p w:rsidR="007C5EED" w:rsidRPr="002F12DF" w:rsidRDefault="003A36FA" w:rsidP="0075338A">
            <w:pPr>
              <w:keepNext/>
              <w:keepLines/>
              <w:jc w:val="center"/>
              <w:rPr>
                <w:rFonts w:ascii="Arial Narrow" w:hAnsi="Arial Narrow"/>
                <w:sz w:val="20"/>
              </w:rPr>
            </w:pPr>
            <w:r>
              <w:rPr>
                <w:rFonts w:ascii="Arial Narrow" w:hAnsi="Arial Narrow"/>
                <w:noProof/>
                <w:color w:val="000000"/>
                <w:sz w:val="20"/>
                <w:highlight w:val="black"/>
              </w:rPr>
              <w:t>''''''</w:t>
            </w:r>
            <w:r w:rsidR="007C5EED" w:rsidRPr="002F12DF">
              <w:rPr>
                <w:rFonts w:ascii="Arial Narrow" w:hAnsi="Arial Narrow"/>
                <w:sz w:val="20"/>
              </w:rPr>
              <w:t xml:space="preserve">% on 8.4 g/day </w:t>
            </w:r>
          </w:p>
          <w:p w:rsidR="007C5EED" w:rsidRPr="002F12DF" w:rsidRDefault="003A36FA" w:rsidP="0075338A">
            <w:pPr>
              <w:keepNext/>
              <w:keepLines/>
              <w:jc w:val="center"/>
              <w:rPr>
                <w:rFonts w:ascii="Arial Narrow" w:hAnsi="Arial Narrow"/>
                <w:sz w:val="20"/>
                <w:vertAlign w:val="superscript"/>
              </w:rPr>
            </w:pPr>
            <w:r>
              <w:rPr>
                <w:rFonts w:ascii="Arial Narrow" w:hAnsi="Arial Narrow"/>
                <w:noProof/>
                <w:color w:val="000000"/>
                <w:sz w:val="20"/>
                <w:highlight w:val="black"/>
              </w:rPr>
              <w:t>'''''''</w:t>
            </w:r>
            <w:r w:rsidR="007C5EED" w:rsidRPr="002F12DF">
              <w:rPr>
                <w:rFonts w:ascii="Arial Narrow" w:hAnsi="Arial Narrow"/>
                <w:sz w:val="20"/>
              </w:rPr>
              <w:t>% on 16.8 g/day</w:t>
            </w:r>
            <w:r w:rsidR="007C5EED" w:rsidRPr="002F12DF">
              <w:rPr>
                <w:rFonts w:ascii="Arial Narrow" w:hAnsi="Arial Narrow"/>
                <w:sz w:val="20"/>
                <w:vertAlign w:val="superscript"/>
              </w:rPr>
              <w:t>c</w:t>
            </w:r>
          </w:p>
        </w:tc>
        <w:tc>
          <w:tcPr>
            <w:tcW w:w="1949" w:type="dxa"/>
            <w:vAlign w:val="center"/>
          </w:tcPr>
          <w:p w:rsidR="007C5EED" w:rsidRPr="002F12DF" w:rsidRDefault="003A36FA" w:rsidP="0075338A">
            <w:pPr>
              <w:keepNext/>
              <w:keepLines/>
              <w:jc w:val="center"/>
              <w:rPr>
                <w:rFonts w:ascii="Arial Narrow" w:hAnsi="Arial Narrow"/>
                <w:sz w:val="20"/>
              </w:rPr>
            </w:pPr>
            <w:r>
              <w:rPr>
                <w:rFonts w:ascii="Arial Narrow" w:hAnsi="Arial Narrow"/>
                <w:noProof/>
                <w:color w:val="000000"/>
                <w:sz w:val="20"/>
                <w:highlight w:val="black"/>
              </w:rPr>
              <w:t>''''''</w:t>
            </w:r>
            <w:r w:rsidR="007C5EED" w:rsidRPr="002F12DF">
              <w:rPr>
                <w:rFonts w:ascii="Arial Narrow" w:hAnsi="Arial Narrow"/>
                <w:sz w:val="20"/>
              </w:rPr>
              <w:t xml:space="preserve">% on 8.4 g/day </w:t>
            </w:r>
          </w:p>
          <w:p w:rsidR="007C5EED" w:rsidRPr="002F12DF" w:rsidRDefault="003A36FA" w:rsidP="0075338A">
            <w:pPr>
              <w:keepNext/>
              <w:keepLines/>
              <w:jc w:val="center"/>
              <w:rPr>
                <w:rFonts w:ascii="Arial Narrow" w:hAnsi="Arial Narrow"/>
                <w:sz w:val="20"/>
                <w:vertAlign w:val="superscript"/>
              </w:rPr>
            </w:pPr>
            <w:r>
              <w:rPr>
                <w:rFonts w:ascii="Arial Narrow" w:hAnsi="Arial Narrow"/>
                <w:noProof/>
                <w:color w:val="000000"/>
                <w:sz w:val="20"/>
                <w:highlight w:val="black"/>
              </w:rPr>
              <w:t>'''''''</w:t>
            </w:r>
            <w:r w:rsidR="007C5EED" w:rsidRPr="002F12DF">
              <w:rPr>
                <w:rFonts w:ascii="Arial Narrow" w:hAnsi="Arial Narrow"/>
                <w:sz w:val="20"/>
              </w:rPr>
              <w:t>% on 16.8 g/day</w:t>
            </w:r>
            <w:r w:rsidR="007C5EED" w:rsidRPr="002F12DF">
              <w:rPr>
                <w:rFonts w:ascii="Arial Narrow" w:hAnsi="Arial Narrow"/>
                <w:sz w:val="20"/>
                <w:vertAlign w:val="superscript"/>
              </w:rPr>
              <w:t>c</w:t>
            </w:r>
          </w:p>
        </w:tc>
      </w:tr>
      <w:tr w:rsidR="007C5EED" w:rsidRPr="00E04E16" w:rsidTr="00E374F0">
        <w:tc>
          <w:tcPr>
            <w:tcW w:w="1675" w:type="dxa"/>
            <w:vAlign w:val="center"/>
          </w:tcPr>
          <w:p w:rsidR="007C5EED" w:rsidRPr="00E04E16" w:rsidRDefault="007C5EED" w:rsidP="0075338A">
            <w:pPr>
              <w:keepNext/>
              <w:keepLines/>
              <w:rPr>
                <w:rFonts w:ascii="Arial Narrow" w:hAnsi="Arial Narrow"/>
                <w:sz w:val="20"/>
              </w:rPr>
            </w:pPr>
            <w:r w:rsidRPr="00E04E16">
              <w:rPr>
                <w:rFonts w:ascii="Arial Narrow" w:hAnsi="Arial Narrow"/>
                <w:sz w:val="20"/>
              </w:rPr>
              <w:t>Adherence rate</w:t>
            </w:r>
          </w:p>
        </w:tc>
        <w:tc>
          <w:tcPr>
            <w:tcW w:w="1722" w:type="dxa"/>
            <w:vAlign w:val="center"/>
          </w:tcPr>
          <w:p w:rsidR="007C5EED" w:rsidRPr="00E04E16" w:rsidRDefault="007C5EED" w:rsidP="0075338A">
            <w:pPr>
              <w:keepNext/>
              <w:keepLines/>
              <w:jc w:val="center"/>
              <w:rPr>
                <w:rFonts w:ascii="Arial Narrow" w:hAnsi="Arial Narrow"/>
                <w:sz w:val="20"/>
                <w:vertAlign w:val="superscript"/>
              </w:rPr>
            </w:pPr>
            <w:r w:rsidRPr="00E04E16">
              <w:rPr>
                <w:rFonts w:ascii="Arial Narrow" w:hAnsi="Arial Narrow"/>
                <w:sz w:val="20"/>
              </w:rPr>
              <w:t>100.7%</w:t>
            </w:r>
            <w:r w:rsidRPr="00E04E16">
              <w:rPr>
                <w:rFonts w:ascii="Arial Narrow" w:hAnsi="Arial Narrow"/>
                <w:sz w:val="20"/>
                <w:vertAlign w:val="superscript"/>
              </w:rPr>
              <w:t>d</w:t>
            </w:r>
          </w:p>
        </w:tc>
        <w:tc>
          <w:tcPr>
            <w:tcW w:w="1722" w:type="dxa"/>
            <w:vAlign w:val="center"/>
          </w:tcPr>
          <w:p w:rsidR="007C5EED" w:rsidRPr="00E04E16" w:rsidRDefault="007C5EED" w:rsidP="0075338A">
            <w:pPr>
              <w:keepNext/>
              <w:keepLines/>
              <w:jc w:val="center"/>
              <w:rPr>
                <w:rFonts w:ascii="Arial Narrow" w:hAnsi="Arial Narrow"/>
                <w:sz w:val="20"/>
                <w:vertAlign w:val="superscript"/>
              </w:rPr>
            </w:pPr>
            <w:r w:rsidRPr="00E04E16">
              <w:rPr>
                <w:rFonts w:ascii="Arial Narrow" w:hAnsi="Arial Narrow"/>
                <w:sz w:val="20"/>
              </w:rPr>
              <w:t>96.6%</w:t>
            </w:r>
            <w:r w:rsidRPr="00E04E16">
              <w:rPr>
                <w:rFonts w:ascii="Arial Narrow" w:hAnsi="Arial Narrow"/>
                <w:sz w:val="20"/>
                <w:vertAlign w:val="superscript"/>
              </w:rPr>
              <w:t>d</w:t>
            </w:r>
          </w:p>
        </w:tc>
        <w:tc>
          <w:tcPr>
            <w:tcW w:w="1949" w:type="dxa"/>
            <w:vAlign w:val="center"/>
          </w:tcPr>
          <w:p w:rsidR="007C5EED" w:rsidRPr="00E04E16" w:rsidRDefault="007C5EED" w:rsidP="0075338A">
            <w:pPr>
              <w:keepNext/>
              <w:keepLines/>
              <w:jc w:val="center"/>
              <w:rPr>
                <w:rFonts w:ascii="Arial Narrow" w:hAnsi="Arial Narrow"/>
                <w:sz w:val="20"/>
                <w:vertAlign w:val="superscript"/>
              </w:rPr>
            </w:pPr>
            <w:r w:rsidRPr="00E04E16">
              <w:rPr>
                <w:rFonts w:ascii="Arial Narrow" w:hAnsi="Arial Narrow"/>
                <w:sz w:val="20"/>
              </w:rPr>
              <w:t>100%</w:t>
            </w:r>
          </w:p>
        </w:tc>
        <w:tc>
          <w:tcPr>
            <w:tcW w:w="1949" w:type="dxa"/>
            <w:vAlign w:val="center"/>
          </w:tcPr>
          <w:p w:rsidR="007C5EED" w:rsidRPr="00E04E16" w:rsidRDefault="007C5EED" w:rsidP="0075338A">
            <w:pPr>
              <w:keepNext/>
              <w:keepLines/>
              <w:jc w:val="center"/>
              <w:rPr>
                <w:rFonts w:ascii="Arial Narrow" w:hAnsi="Arial Narrow"/>
                <w:sz w:val="20"/>
              </w:rPr>
            </w:pPr>
            <w:r w:rsidRPr="00E04E16">
              <w:rPr>
                <w:rFonts w:ascii="Arial Narrow" w:hAnsi="Arial Narrow"/>
                <w:sz w:val="20"/>
              </w:rPr>
              <w:t>96.4%</w:t>
            </w:r>
            <w:r w:rsidRPr="00E04E16">
              <w:rPr>
                <w:rFonts w:ascii="Arial Narrow" w:hAnsi="Arial Narrow"/>
                <w:sz w:val="20"/>
                <w:vertAlign w:val="superscript"/>
              </w:rPr>
              <w:t xml:space="preserve"> e</w:t>
            </w:r>
          </w:p>
        </w:tc>
      </w:tr>
      <w:tr w:rsidR="007C5EED" w:rsidRPr="00E04E16" w:rsidTr="00E374F0">
        <w:tc>
          <w:tcPr>
            <w:tcW w:w="1675" w:type="dxa"/>
            <w:vAlign w:val="center"/>
          </w:tcPr>
          <w:p w:rsidR="007C5EED" w:rsidRPr="00E04E16" w:rsidRDefault="007C5EED" w:rsidP="0075338A">
            <w:pPr>
              <w:keepNext/>
              <w:keepLines/>
              <w:rPr>
                <w:rFonts w:ascii="Arial Narrow" w:hAnsi="Arial Narrow"/>
                <w:sz w:val="20"/>
              </w:rPr>
            </w:pPr>
            <w:r w:rsidRPr="00E04E16">
              <w:rPr>
                <w:rFonts w:ascii="Arial Narrow" w:hAnsi="Arial Narrow"/>
                <w:sz w:val="20"/>
              </w:rPr>
              <w:t>Cost/patient/day</w:t>
            </w:r>
          </w:p>
        </w:tc>
        <w:tc>
          <w:tcPr>
            <w:tcW w:w="1722" w:type="dxa"/>
            <w:vAlign w:val="center"/>
          </w:tcPr>
          <w:p w:rsidR="007C5EED" w:rsidRPr="00FD43C3" w:rsidRDefault="00A754C6" w:rsidP="0075338A">
            <w:pPr>
              <w:keepNext/>
              <w:keepLines/>
              <w:jc w:val="center"/>
              <w:rPr>
                <w:rFonts w:ascii="Arial Narrow" w:hAnsi="Arial Narrow"/>
                <w:sz w:val="20"/>
              </w:rPr>
            </w:pPr>
            <w:r w:rsidRPr="00FD43C3">
              <w:rPr>
                <w:rFonts w:ascii="Arial Narrow" w:hAnsi="Arial Narrow"/>
                <w:sz w:val="20"/>
              </w:rPr>
              <w:t>$</w:t>
            </w:r>
            <w:r w:rsidR="004E288B">
              <w:rPr>
                <w:rFonts w:ascii="Arial Narrow" w:hAnsi="Arial Narrow"/>
                <w:noProof/>
                <w:color w:val="000000"/>
                <w:sz w:val="20"/>
                <w:highlight w:val="black"/>
              </w:rPr>
              <w:t>''''''''''''''</w:t>
            </w:r>
            <w:r w:rsidRPr="00FD43C3">
              <w:rPr>
                <w:rFonts w:ascii="Arial Narrow" w:hAnsi="Arial Narrow"/>
                <w:sz w:val="20"/>
                <w:vertAlign w:val="superscript"/>
              </w:rPr>
              <w:t>f</w:t>
            </w:r>
            <w:r w:rsidRPr="00FD43C3">
              <w:rPr>
                <w:rFonts w:ascii="Arial Narrow" w:hAnsi="Arial Narrow"/>
                <w:sz w:val="20"/>
              </w:rPr>
              <w:t xml:space="preserve"> </w:t>
            </w:r>
          </w:p>
        </w:tc>
        <w:tc>
          <w:tcPr>
            <w:tcW w:w="1722" w:type="dxa"/>
            <w:vAlign w:val="center"/>
          </w:tcPr>
          <w:p w:rsidR="007C5EED" w:rsidRPr="00FD43C3" w:rsidRDefault="00A754C6" w:rsidP="0075338A">
            <w:pPr>
              <w:keepNext/>
              <w:keepLines/>
              <w:jc w:val="center"/>
              <w:rPr>
                <w:rFonts w:ascii="Arial Narrow" w:hAnsi="Arial Narrow"/>
                <w:sz w:val="20"/>
              </w:rPr>
            </w:pPr>
            <w:r w:rsidRPr="00FD43C3">
              <w:rPr>
                <w:rFonts w:ascii="Arial Narrow" w:hAnsi="Arial Narrow"/>
                <w:sz w:val="20"/>
              </w:rPr>
              <w:t>$</w:t>
            </w:r>
            <w:r w:rsidR="004E288B">
              <w:rPr>
                <w:rFonts w:ascii="Arial Narrow" w:hAnsi="Arial Narrow"/>
                <w:noProof/>
                <w:color w:val="000000"/>
                <w:sz w:val="20"/>
                <w:highlight w:val="black"/>
              </w:rPr>
              <w:t>'''''''''''''</w:t>
            </w:r>
            <w:r w:rsidRPr="00FD43C3">
              <w:rPr>
                <w:rFonts w:ascii="Arial Narrow" w:hAnsi="Arial Narrow"/>
                <w:sz w:val="20"/>
                <w:vertAlign w:val="superscript"/>
              </w:rPr>
              <w:t>g</w:t>
            </w:r>
          </w:p>
        </w:tc>
        <w:tc>
          <w:tcPr>
            <w:tcW w:w="1949" w:type="dxa"/>
            <w:vAlign w:val="center"/>
          </w:tcPr>
          <w:p w:rsidR="007C5EED" w:rsidRPr="00FD43C3" w:rsidRDefault="007C5EED" w:rsidP="0075338A">
            <w:pPr>
              <w:keepNext/>
              <w:keepLines/>
              <w:jc w:val="center"/>
              <w:rPr>
                <w:rFonts w:ascii="Arial Narrow" w:hAnsi="Arial Narrow"/>
                <w:sz w:val="20"/>
              </w:rPr>
            </w:pPr>
            <w:r w:rsidRPr="00FD43C3">
              <w:rPr>
                <w:rFonts w:ascii="Arial Narrow" w:hAnsi="Arial Narrow"/>
                <w:sz w:val="20"/>
              </w:rPr>
              <w:t>$</w:t>
            </w:r>
            <w:r w:rsidR="004E288B">
              <w:rPr>
                <w:rFonts w:ascii="Arial Narrow" w:hAnsi="Arial Narrow"/>
                <w:noProof/>
                <w:color w:val="000000"/>
                <w:sz w:val="20"/>
                <w:highlight w:val="black"/>
              </w:rPr>
              <w:t>'''''''''''''</w:t>
            </w:r>
          </w:p>
        </w:tc>
        <w:tc>
          <w:tcPr>
            <w:tcW w:w="1949" w:type="dxa"/>
            <w:vAlign w:val="center"/>
          </w:tcPr>
          <w:p w:rsidR="007C5EED" w:rsidRPr="00FD43C3" w:rsidRDefault="007C5EED" w:rsidP="0075338A">
            <w:pPr>
              <w:keepNext/>
              <w:keepLines/>
              <w:jc w:val="center"/>
              <w:rPr>
                <w:rFonts w:ascii="Arial Narrow" w:hAnsi="Arial Narrow"/>
                <w:sz w:val="20"/>
              </w:rPr>
            </w:pPr>
            <w:r w:rsidRPr="00FD43C3">
              <w:rPr>
                <w:rFonts w:ascii="Arial Narrow" w:hAnsi="Arial Narrow"/>
                <w:sz w:val="20"/>
              </w:rPr>
              <w:t>$</w:t>
            </w:r>
            <w:r w:rsidR="004E288B">
              <w:rPr>
                <w:rFonts w:ascii="Arial Narrow" w:hAnsi="Arial Narrow"/>
                <w:noProof/>
                <w:color w:val="000000"/>
                <w:sz w:val="20"/>
                <w:highlight w:val="black"/>
              </w:rPr>
              <w:t>''''''''''''''</w:t>
            </w:r>
          </w:p>
        </w:tc>
      </w:tr>
      <w:tr w:rsidR="007C5EED" w:rsidRPr="00E04E16" w:rsidTr="00E374F0">
        <w:tc>
          <w:tcPr>
            <w:tcW w:w="1675" w:type="dxa"/>
            <w:vAlign w:val="center"/>
          </w:tcPr>
          <w:p w:rsidR="007C5EED" w:rsidRPr="00E04E16" w:rsidRDefault="007C5EED" w:rsidP="0075338A">
            <w:pPr>
              <w:keepNext/>
              <w:keepLines/>
              <w:rPr>
                <w:rFonts w:ascii="Arial Narrow" w:hAnsi="Arial Narrow"/>
                <w:sz w:val="20"/>
              </w:rPr>
            </w:pPr>
            <w:r w:rsidRPr="00E04E16">
              <w:rPr>
                <w:rFonts w:ascii="Arial Narrow" w:hAnsi="Arial Narrow"/>
                <w:sz w:val="20"/>
              </w:rPr>
              <w:t>Cost/patient/month</w:t>
            </w:r>
          </w:p>
        </w:tc>
        <w:tc>
          <w:tcPr>
            <w:tcW w:w="1722" w:type="dxa"/>
            <w:vAlign w:val="center"/>
          </w:tcPr>
          <w:p w:rsidR="007C5EED" w:rsidRPr="00FD43C3" w:rsidRDefault="00A754C6" w:rsidP="0075338A">
            <w:pPr>
              <w:keepNext/>
              <w:keepLines/>
              <w:jc w:val="center"/>
              <w:rPr>
                <w:rFonts w:ascii="Arial Narrow" w:hAnsi="Arial Narrow"/>
                <w:sz w:val="20"/>
              </w:rPr>
            </w:pPr>
            <w:r w:rsidRPr="00FD43C3">
              <w:rPr>
                <w:rFonts w:ascii="Arial Narrow" w:hAnsi="Arial Narrow"/>
                <w:sz w:val="20"/>
              </w:rPr>
              <w:t>$</w:t>
            </w:r>
            <w:r w:rsidR="004E288B">
              <w:rPr>
                <w:rFonts w:ascii="Arial Narrow" w:hAnsi="Arial Narrow"/>
                <w:noProof/>
                <w:color w:val="000000"/>
                <w:sz w:val="20"/>
                <w:highlight w:val="black"/>
              </w:rPr>
              <w:t>'''''''''''''''</w:t>
            </w:r>
            <w:r w:rsidRPr="00FD43C3">
              <w:rPr>
                <w:rFonts w:ascii="Arial Narrow" w:hAnsi="Arial Narrow"/>
                <w:sz w:val="20"/>
                <w:vertAlign w:val="superscript"/>
              </w:rPr>
              <w:t>f</w:t>
            </w:r>
          </w:p>
        </w:tc>
        <w:tc>
          <w:tcPr>
            <w:tcW w:w="1722" w:type="dxa"/>
            <w:vAlign w:val="center"/>
          </w:tcPr>
          <w:p w:rsidR="007C5EED" w:rsidRPr="00FD43C3" w:rsidRDefault="00A754C6" w:rsidP="0075338A">
            <w:pPr>
              <w:keepNext/>
              <w:keepLines/>
              <w:jc w:val="center"/>
              <w:rPr>
                <w:rFonts w:ascii="Arial Narrow" w:hAnsi="Arial Narrow"/>
                <w:sz w:val="20"/>
              </w:rPr>
            </w:pPr>
            <w:r w:rsidRPr="00FD43C3">
              <w:rPr>
                <w:rFonts w:ascii="Arial Narrow" w:hAnsi="Arial Narrow"/>
                <w:sz w:val="20"/>
              </w:rPr>
              <w:t>$</w:t>
            </w:r>
            <w:r w:rsidR="004E288B">
              <w:rPr>
                <w:rFonts w:ascii="Arial Narrow" w:hAnsi="Arial Narrow"/>
                <w:noProof/>
                <w:color w:val="000000"/>
                <w:sz w:val="20"/>
                <w:highlight w:val="black"/>
              </w:rPr>
              <w:t>'''''''''''''''</w:t>
            </w:r>
            <w:r w:rsidRPr="00FD43C3">
              <w:rPr>
                <w:rFonts w:ascii="Arial Narrow" w:hAnsi="Arial Narrow"/>
                <w:sz w:val="20"/>
                <w:vertAlign w:val="superscript"/>
              </w:rPr>
              <w:t>g</w:t>
            </w:r>
          </w:p>
        </w:tc>
        <w:tc>
          <w:tcPr>
            <w:tcW w:w="1949" w:type="dxa"/>
            <w:vAlign w:val="center"/>
          </w:tcPr>
          <w:p w:rsidR="007C5EED" w:rsidRPr="00FD43C3" w:rsidRDefault="007C5EED" w:rsidP="0075338A">
            <w:pPr>
              <w:keepNext/>
              <w:keepLines/>
              <w:jc w:val="center"/>
              <w:rPr>
                <w:rFonts w:ascii="Arial Narrow" w:hAnsi="Arial Narrow"/>
                <w:sz w:val="20"/>
                <w:vertAlign w:val="superscript"/>
              </w:rPr>
            </w:pPr>
            <w:r w:rsidRPr="00FD43C3">
              <w:rPr>
                <w:rFonts w:ascii="Arial Narrow" w:hAnsi="Arial Narrow"/>
                <w:sz w:val="20"/>
              </w:rPr>
              <w:t>$</w:t>
            </w:r>
            <w:r w:rsidR="004E288B">
              <w:rPr>
                <w:rFonts w:ascii="Arial Narrow" w:hAnsi="Arial Narrow"/>
                <w:noProof/>
                <w:color w:val="000000"/>
                <w:sz w:val="20"/>
                <w:highlight w:val="black"/>
              </w:rPr>
              <w:t>'''''''''''''''</w:t>
            </w:r>
            <w:r w:rsidR="00A754C6" w:rsidRPr="00FD43C3">
              <w:rPr>
                <w:rFonts w:ascii="Arial Narrow" w:hAnsi="Arial Narrow"/>
                <w:sz w:val="20"/>
                <w:vertAlign w:val="superscript"/>
              </w:rPr>
              <w:t>h</w:t>
            </w:r>
          </w:p>
        </w:tc>
        <w:tc>
          <w:tcPr>
            <w:tcW w:w="1949" w:type="dxa"/>
            <w:vAlign w:val="center"/>
          </w:tcPr>
          <w:p w:rsidR="007C5EED" w:rsidRPr="00FD43C3" w:rsidRDefault="007C5EED" w:rsidP="0075338A">
            <w:pPr>
              <w:keepNext/>
              <w:keepLines/>
              <w:jc w:val="center"/>
              <w:rPr>
                <w:rFonts w:ascii="Arial Narrow" w:hAnsi="Arial Narrow"/>
                <w:sz w:val="20"/>
                <w:vertAlign w:val="superscript"/>
              </w:rPr>
            </w:pPr>
            <w:r w:rsidRPr="00FD43C3">
              <w:rPr>
                <w:rFonts w:ascii="Arial Narrow" w:hAnsi="Arial Narrow"/>
                <w:sz w:val="20"/>
              </w:rPr>
              <w:t>$</w:t>
            </w:r>
            <w:r w:rsidR="004E288B">
              <w:rPr>
                <w:rFonts w:ascii="Arial Narrow" w:hAnsi="Arial Narrow"/>
                <w:noProof/>
                <w:color w:val="000000"/>
                <w:sz w:val="20"/>
                <w:highlight w:val="black"/>
              </w:rPr>
              <w:t>'''''''''''''''</w:t>
            </w:r>
            <w:r w:rsidR="00A754C6" w:rsidRPr="00FD43C3">
              <w:rPr>
                <w:rFonts w:ascii="Arial Narrow" w:hAnsi="Arial Narrow"/>
                <w:sz w:val="20"/>
                <w:vertAlign w:val="superscript"/>
              </w:rPr>
              <w:t>i</w:t>
            </w:r>
          </w:p>
        </w:tc>
      </w:tr>
      <w:tr w:rsidR="007C5EED" w:rsidRPr="00E04E16" w:rsidTr="00E374F0">
        <w:tc>
          <w:tcPr>
            <w:tcW w:w="1675" w:type="dxa"/>
            <w:vAlign w:val="center"/>
          </w:tcPr>
          <w:p w:rsidR="007C5EED" w:rsidRPr="00E04E16" w:rsidRDefault="007C5EED" w:rsidP="0075338A">
            <w:pPr>
              <w:keepNext/>
              <w:keepLines/>
              <w:rPr>
                <w:rFonts w:ascii="Arial Narrow" w:hAnsi="Arial Narrow"/>
                <w:sz w:val="20"/>
              </w:rPr>
            </w:pPr>
            <w:r w:rsidRPr="00E04E16">
              <w:rPr>
                <w:rFonts w:ascii="Arial Narrow" w:hAnsi="Arial Narrow"/>
                <w:sz w:val="20"/>
              </w:rPr>
              <w:t>Persistence</w:t>
            </w:r>
          </w:p>
        </w:tc>
        <w:tc>
          <w:tcPr>
            <w:tcW w:w="1722" w:type="dxa"/>
            <w:vAlign w:val="center"/>
          </w:tcPr>
          <w:p w:rsidR="007C5EED" w:rsidRPr="00E04E16" w:rsidRDefault="007C5EED" w:rsidP="0075338A">
            <w:pPr>
              <w:keepNext/>
              <w:keepLines/>
              <w:jc w:val="center"/>
              <w:rPr>
                <w:rFonts w:ascii="Arial Narrow" w:hAnsi="Arial Narrow"/>
                <w:sz w:val="20"/>
              </w:rPr>
            </w:pPr>
            <w:r w:rsidRPr="00E04E16">
              <w:rPr>
                <w:rFonts w:ascii="Arial Narrow" w:hAnsi="Arial Narrow"/>
                <w:sz w:val="20"/>
              </w:rPr>
              <w:t>18% treatment discontinuation over 8 weeks</w:t>
            </w:r>
          </w:p>
        </w:tc>
        <w:tc>
          <w:tcPr>
            <w:tcW w:w="1722" w:type="dxa"/>
            <w:vAlign w:val="center"/>
          </w:tcPr>
          <w:p w:rsidR="007C5EED" w:rsidRPr="00E04E16" w:rsidRDefault="007C5EED" w:rsidP="0075338A">
            <w:pPr>
              <w:keepNext/>
              <w:keepLines/>
              <w:jc w:val="center"/>
              <w:rPr>
                <w:rFonts w:ascii="Arial Narrow" w:hAnsi="Arial Narrow"/>
                <w:sz w:val="20"/>
              </w:rPr>
            </w:pPr>
            <w:r w:rsidRPr="00E04E16">
              <w:rPr>
                <w:rFonts w:ascii="Arial Narrow" w:hAnsi="Arial Narrow"/>
                <w:sz w:val="20"/>
              </w:rPr>
              <w:t>31% treatment discontinuation over 52 weeks</w:t>
            </w:r>
          </w:p>
        </w:tc>
        <w:tc>
          <w:tcPr>
            <w:tcW w:w="1949" w:type="dxa"/>
            <w:vAlign w:val="center"/>
          </w:tcPr>
          <w:p w:rsidR="007C5EED" w:rsidRPr="002F12DF" w:rsidRDefault="007C5EED" w:rsidP="0075338A">
            <w:pPr>
              <w:keepNext/>
              <w:keepLines/>
              <w:jc w:val="center"/>
              <w:rPr>
                <w:rFonts w:ascii="Arial Narrow" w:hAnsi="Arial Narrow"/>
                <w:sz w:val="20"/>
              </w:rPr>
            </w:pPr>
            <w:r w:rsidRPr="002F12DF">
              <w:rPr>
                <w:rFonts w:ascii="Arial Narrow" w:hAnsi="Arial Narrow"/>
                <w:sz w:val="20"/>
              </w:rPr>
              <w:t xml:space="preserve">Year 1: </w:t>
            </w:r>
            <w:r w:rsidR="003A36FA">
              <w:rPr>
                <w:rFonts w:ascii="Arial Narrow" w:hAnsi="Arial Narrow"/>
                <w:noProof/>
                <w:color w:val="000000"/>
                <w:sz w:val="20"/>
                <w:highlight w:val="black"/>
              </w:rPr>
              <w:t>''''''''''</w:t>
            </w:r>
            <w:r w:rsidRPr="002F12DF">
              <w:rPr>
                <w:rFonts w:ascii="Arial Narrow" w:hAnsi="Arial Narrow"/>
                <w:sz w:val="20"/>
              </w:rPr>
              <w:t xml:space="preserve">% - </w:t>
            </w:r>
            <w:r w:rsidR="003A36FA">
              <w:rPr>
                <w:rFonts w:ascii="Arial Narrow" w:hAnsi="Arial Narrow"/>
                <w:noProof/>
                <w:color w:val="000000"/>
                <w:sz w:val="20"/>
                <w:highlight w:val="black"/>
              </w:rPr>
              <w:t>''''''''''</w:t>
            </w:r>
            <w:r w:rsidRPr="002F12DF">
              <w:rPr>
                <w:rFonts w:ascii="Arial Narrow" w:hAnsi="Arial Narrow"/>
                <w:sz w:val="20"/>
              </w:rPr>
              <w:t>%</w:t>
            </w:r>
            <w:r w:rsidR="0011135B" w:rsidRPr="002F12DF">
              <w:rPr>
                <w:rFonts w:ascii="Arial Narrow" w:hAnsi="Arial Narrow"/>
                <w:sz w:val="20"/>
                <w:vertAlign w:val="superscript"/>
              </w:rPr>
              <w:t>j</w:t>
            </w:r>
          </w:p>
          <w:p w:rsidR="007C5EED" w:rsidRPr="003A36FA" w:rsidRDefault="007C5EED" w:rsidP="0075338A">
            <w:pPr>
              <w:keepNext/>
              <w:keepLines/>
              <w:jc w:val="center"/>
              <w:rPr>
                <w:rFonts w:ascii="Arial Narrow" w:hAnsi="Arial Narrow"/>
                <w:sz w:val="20"/>
              </w:rPr>
            </w:pPr>
            <w:r w:rsidRPr="002F12DF">
              <w:rPr>
                <w:rFonts w:ascii="Arial Narrow" w:hAnsi="Arial Narrow"/>
                <w:sz w:val="20"/>
              </w:rPr>
              <w:t xml:space="preserve">Years 2: </w:t>
            </w:r>
            <w:r w:rsidR="003A36FA">
              <w:rPr>
                <w:rFonts w:ascii="Arial Narrow" w:hAnsi="Arial Narrow"/>
                <w:noProof/>
                <w:color w:val="000000"/>
                <w:sz w:val="20"/>
                <w:highlight w:val="black"/>
              </w:rPr>
              <w:t>'''</w:t>
            </w:r>
            <w:r w:rsidRPr="002F12DF">
              <w:rPr>
                <w:rFonts w:ascii="Arial Narrow" w:hAnsi="Arial Narrow"/>
                <w:sz w:val="20"/>
              </w:rPr>
              <w:t>%</w:t>
            </w:r>
            <w:r w:rsidRPr="002F12DF">
              <w:rPr>
                <w:rFonts w:ascii="Arial Narrow" w:hAnsi="Arial Narrow"/>
                <w:sz w:val="20"/>
                <w:vertAlign w:val="superscript"/>
              </w:rPr>
              <w:t>i</w:t>
            </w:r>
          </w:p>
          <w:p w:rsidR="007C5EED" w:rsidRPr="002F12DF" w:rsidRDefault="007C5EED" w:rsidP="0075338A">
            <w:pPr>
              <w:keepNext/>
              <w:keepLines/>
              <w:jc w:val="center"/>
              <w:rPr>
                <w:rFonts w:ascii="Arial Narrow" w:hAnsi="Arial Narrow"/>
                <w:sz w:val="20"/>
              </w:rPr>
            </w:pPr>
            <w:r w:rsidRPr="002F12DF">
              <w:rPr>
                <w:rFonts w:ascii="Arial Narrow" w:hAnsi="Arial Narrow"/>
                <w:sz w:val="20"/>
              </w:rPr>
              <w:t xml:space="preserve">Year 3: </w:t>
            </w:r>
            <w:r w:rsidR="003A36FA">
              <w:rPr>
                <w:rFonts w:ascii="Arial Narrow" w:hAnsi="Arial Narrow"/>
                <w:noProof/>
                <w:color w:val="000000"/>
                <w:sz w:val="20"/>
                <w:highlight w:val="black"/>
              </w:rPr>
              <w:t>'''</w:t>
            </w:r>
            <w:r w:rsidRPr="002F12DF">
              <w:rPr>
                <w:rFonts w:ascii="Arial Narrow" w:hAnsi="Arial Narrow"/>
                <w:sz w:val="20"/>
              </w:rPr>
              <w:t>%</w:t>
            </w:r>
          </w:p>
          <w:p w:rsidR="007C5EED" w:rsidRPr="002F12DF" w:rsidRDefault="007C5EED" w:rsidP="0075338A">
            <w:pPr>
              <w:keepNext/>
              <w:keepLines/>
              <w:jc w:val="center"/>
              <w:rPr>
                <w:rFonts w:ascii="Arial Narrow" w:hAnsi="Arial Narrow"/>
                <w:sz w:val="20"/>
              </w:rPr>
            </w:pPr>
            <w:r w:rsidRPr="002F12DF">
              <w:rPr>
                <w:rFonts w:ascii="Arial Narrow" w:hAnsi="Arial Narrow"/>
                <w:sz w:val="20"/>
              </w:rPr>
              <w:t xml:space="preserve">Year 4: </w:t>
            </w:r>
            <w:r w:rsidR="003A36FA">
              <w:rPr>
                <w:rFonts w:ascii="Arial Narrow" w:hAnsi="Arial Narrow"/>
                <w:noProof/>
                <w:color w:val="000000"/>
                <w:sz w:val="20"/>
                <w:highlight w:val="black"/>
              </w:rPr>
              <w:t>''''</w:t>
            </w:r>
            <w:r w:rsidRPr="002F12DF">
              <w:rPr>
                <w:rFonts w:ascii="Arial Narrow" w:hAnsi="Arial Narrow"/>
                <w:sz w:val="20"/>
              </w:rPr>
              <w:t>%</w:t>
            </w:r>
          </w:p>
          <w:p w:rsidR="007C5EED" w:rsidRPr="002F12DF" w:rsidRDefault="007C5EED" w:rsidP="0075338A">
            <w:pPr>
              <w:keepNext/>
              <w:keepLines/>
              <w:jc w:val="center"/>
              <w:rPr>
                <w:rFonts w:ascii="Arial Narrow" w:hAnsi="Arial Narrow"/>
                <w:sz w:val="20"/>
              </w:rPr>
            </w:pPr>
            <w:r w:rsidRPr="002F12DF">
              <w:rPr>
                <w:rFonts w:ascii="Arial Narrow" w:hAnsi="Arial Narrow"/>
                <w:sz w:val="20"/>
              </w:rPr>
              <w:t xml:space="preserve">Year 5: </w:t>
            </w:r>
            <w:r w:rsidR="003A36FA">
              <w:rPr>
                <w:rFonts w:ascii="Arial Narrow" w:hAnsi="Arial Narrow"/>
                <w:noProof/>
                <w:color w:val="000000"/>
                <w:sz w:val="20"/>
                <w:highlight w:val="black"/>
              </w:rPr>
              <w:t>''''</w:t>
            </w:r>
            <w:r w:rsidRPr="002F12DF">
              <w:rPr>
                <w:rFonts w:ascii="Arial Narrow" w:hAnsi="Arial Narrow"/>
                <w:sz w:val="20"/>
              </w:rPr>
              <w:t>%</w:t>
            </w:r>
          </w:p>
          <w:p w:rsidR="007C5EED" w:rsidRPr="002F12DF" w:rsidRDefault="007C5EED" w:rsidP="0075338A">
            <w:pPr>
              <w:keepNext/>
              <w:keepLines/>
              <w:jc w:val="center"/>
              <w:rPr>
                <w:rFonts w:ascii="Arial Narrow" w:hAnsi="Arial Narrow"/>
                <w:sz w:val="20"/>
              </w:rPr>
            </w:pPr>
            <w:r w:rsidRPr="002F12DF">
              <w:rPr>
                <w:rFonts w:ascii="Arial Narrow" w:hAnsi="Arial Narrow"/>
                <w:sz w:val="20"/>
              </w:rPr>
              <w:t xml:space="preserve">Year 6: </w:t>
            </w:r>
            <w:r w:rsidR="003A36FA">
              <w:rPr>
                <w:rFonts w:ascii="Arial Narrow" w:hAnsi="Arial Narrow"/>
                <w:noProof/>
                <w:color w:val="000000"/>
                <w:sz w:val="20"/>
                <w:highlight w:val="black"/>
              </w:rPr>
              <w:t>'''</w:t>
            </w:r>
            <w:r w:rsidRPr="002F12DF">
              <w:rPr>
                <w:rFonts w:ascii="Arial Narrow" w:hAnsi="Arial Narrow"/>
                <w:sz w:val="20"/>
              </w:rPr>
              <w:t>%</w:t>
            </w:r>
          </w:p>
        </w:tc>
        <w:tc>
          <w:tcPr>
            <w:tcW w:w="1949" w:type="dxa"/>
            <w:vAlign w:val="center"/>
          </w:tcPr>
          <w:p w:rsidR="007C5EED" w:rsidRPr="002F12DF" w:rsidRDefault="003A36FA" w:rsidP="0075338A">
            <w:pPr>
              <w:keepNext/>
              <w:keepLines/>
              <w:jc w:val="center"/>
              <w:rPr>
                <w:rFonts w:ascii="Arial Narrow" w:hAnsi="Arial Narrow"/>
                <w:sz w:val="20"/>
                <w:vertAlign w:val="superscript"/>
              </w:rPr>
            </w:pPr>
            <w:r>
              <w:rPr>
                <w:rFonts w:ascii="Arial Narrow" w:hAnsi="Arial Narrow"/>
                <w:sz w:val="20"/>
              </w:rPr>
              <w:t xml:space="preserve">Year 1: </w:t>
            </w:r>
            <w:r>
              <w:rPr>
                <w:rFonts w:ascii="Arial Narrow" w:hAnsi="Arial Narrow"/>
                <w:noProof/>
                <w:color w:val="000000"/>
                <w:sz w:val="20"/>
                <w:highlight w:val="black"/>
              </w:rPr>
              <w:t>''''''''''</w:t>
            </w:r>
            <w:r w:rsidR="007C5EED" w:rsidRPr="002F12DF">
              <w:rPr>
                <w:rFonts w:ascii="Arial Narrow" w:hAnsi="Arial Narrow"/>
                <w:sz w:val="20"/>
              </w:rPr>
              <w:t>%</w:t>
            </w:r>
            <w:r w:rsidR="0011135B" w:rsidRPr="002F12DF">
              <w:rPr>
                <w:rFonts w:ascii="Arial Narrow" w:hAnsi="Arial Narrow"/>
                <w:sz w:val="20"/>
                <w:vertAlign w:val="superscript"/>
              </w:rPr>
              <w:t>j</w:t>
            </w:r>
          </w:p>
          <w:p w:rsidR="007C5EED" w:rsidRPr="002F12DF" w:rsidRDefault="007C5EED" w:rsidP="0075338A">
            <w:pPr>
              <w:keepNext/>
              <w:keepLines/>
              <w:jc w:val="center"/>
              <w:rPr>
                <w:rFonts w:ascii="Arial Narrow" w:hAnsi="Arial Narrow"/>
                <w:sz w:val="20"/>
              </w:rPr>
            </w:pPr>
            <w:r w:rsidRPr="002F12DF">
              <w:rPr>
                <w:rFonts w:ascii="Arial Narrow" w:hAnsi="Arial Narrow"/>
                <w:sz w:val="20"/>
              </w:rPr>
              <w:t xml:space="preserve">Year 2: </w:t>
            </w:r>
            <w:r w:rsidR="003A36FA">
              <w:rPr>
                <w:rFonts w:ascii="Arial Narrow" w:hAnsi="Arial Narrow"/>
                <w:noProof/>
                <w:color w:val="000000"/>
                <w:sz w:val="20"/>
                <w:highlight w:val="black"/>
              </w:rPr>
              <w:t>'''''''''''</w:t>
            </w:r>
            <w:r w:rsidRPr="002F12DF">
              <w:rPr>
                <w:rFonts w:ascii="Arial Narrow" w:hAnsi="Arial Narrow"/>
                <w:sz w:val="20"/>
              </w:rPr>
              <w:t>%</w:t>
            </w:r>
          </w:p>
          <w:p w:rsidR="007C5EED" w:rsidRPr="002F12DF" w:rsidRDefault="007C5EED" w:rsidP="0075338A">
            <w:pPr>
              <w:keepNext/>
              <w:keepLines/>
              <w:jc w:val="center"/>
              <w:rPr>
                <w:rFonts w:ascii="Arial Narrow" w:hAnsi="Arial Narrow"/>
                <w:sz w:val="20"/>
              </w:rPr>
            </w:pPr>
            <w:r w:rsidRPr="002F12DF">
              <w:rPr>
                <w:rFonts w:ascii="Arial Narrow" w:hAnsi="Arial Narrow"/>
                <w:sz w:val="20"/>
              </w:rPr>
              <w:t>Year 3</w:t>
            </w:r>
            <w:r w:rsidR="003A36FA">
              <w:rPr>
                <w:rFonts w:ascii="Arial Narrow" w:hAnsi="Arial Narrow"/>
                <w:noProof/>
                <w:color w:val="000000"/>
                <w:sz w:val="20"/>
                <w:highlight w:val="black"/>
              </w:rPr>
              <w:t>'' '''''''</w:t>
            </w:r>
            <w:r w:rsidRPr="002F12DF">
              <w:rPr>
                <w:rFonts w:ascii="Arial Narrow" w:hAnsi="Arial Narrow"/>
                <w:sz w:val="20"/>
              </w:rPr>
              <w:t>%</w:t>
            </w:r>
          </w:p>
          <w:p w:rsidR="007C5EED" w:rsidRPr="002F12DF" w:rsidRDefault="007C5EED" w:rsidP="0075338A">
            <w:pPr>
              <w:keepNext/>
              <w:keepLines/>
              <w:jc w:val="center"/>
              <w:rPr>
                <w:rFonts w:ascii="Arial Narrow" w:hAnsi="Arial Narrow"/>
                <w:sz w:val="20"/>
              </w:rPr>
            </w:pPr>
            <w:r w:rsidRPr="002F12DF">
              <w:rPr>
                <w:rFonts w:ascii="Arial Narrow" w:hAnsi="Arial Narrow"/>
                <w:sz w:val="20"/>
              </w:rPr>
              <w:t xml:space="preserve">Year 4: </w:t>
            </w:r>
            <w:r w:rsidR="003A36FA">
              <w:rPr>
                <w:rFonts w:ascii="Arial Narrow" w:hAnsi="Arial Narrow"/>
                <w:noProof/>
                <w:color w:val="000000"/>
                <w:sz w:val="20"/>
                <w:highlight w:val="black"/>
              </w:rPr>
              <w:t>'''''''</w:t>
            </w:r>
            <w:r w:rsidRPr="002F12DF">
              <w:rPr>
                <w:rFonts w:ascii="Arial Narrow" w:hAnsi="Arial Narrow"/>
                <w:sz w:val="20"/>
              </w:rPr>
              <w:t>%</w:t>
            </w:r>
          </w:p>
          <w:p w:rsidR="007C5EED" w:rsidRPr="002F12DF" w:rsidRDefault="007C5EED" w:rsidP="0075338A">
            <w:pPr>
              <w:keepNext/>
              <w:keepLines/>
              <w:jc w:val="center"/>
              <w:rPr>
                <w:rFonts w:ascii="Arial Narrow" w:hAnsi="Arial Narrow"/>
                <w:sz w:val="20"/>
              </w:rPr>
            </w:pPr>
            <w:r w:rsidRPr="002F12DF">
              <w:rPr>
                <w:rFonts w:ascii="Arial Narrow" w:hAnsi="Arial Narrow"/>
                <w:sz w:val="20"/>
              </w:rPr>
              <w:t xml:space="preserve">Year 5: </w:t>
            </w:r>
            <w:r w:rsidR="003A36FA">
              <w:rPr>
                <w:rFonts w:ascii="Arial Narrow" w:hAnsi="Arial Narrow"/>
                <w:noProof/>
                <w:color w:val="000000"/>
                <w:sz w:val="20"/>
                <w:highlight w:val="black"/>
              </w:rPr>
              <w:t>'''''''</w:t>
            </w:r>
            <w:r w:rsidRPr="002F12DF">
              <w:rPr>
                <w:rFonts w:ascii="Arial Narrow" w:hAnsi="Arial Narrow"/>
                <w:sz w:val="20"/>
              </w:rPr>
              <w:t>%</w:t>
            </w:r>
          </w:p>
          <w:p w:rsidR="007C5EED" w:rsidRPr="002F12DF" w:rsidRDefault="007C5EED" w:rsidP="0075338A">
            <w:pPr>
              <w:keepNext/>
              <w:keepLines/>
              <w:jc w:val="center"/>
              <w:rPr>
                <w:rFonts w:ascii="Arial Narrow" w:hAnsi="Arial Narrow"/>
                <w:sz w:val="20"/>
              </w:rPr>
            </w:pPr>
            <w:r w:rsidRPr="002F12DF">
              <w:rPr>
                <w:rFonts w:ascii="Arial Narrow" w:hAnsi="Arial Narrow"/>
                <w:sz w:val="20"/>
              </w:rPr>
              <w:t xml:space="preserve">Year 6: </w:t>
            </w:r>
            <w:r w:rsidR="003A36FA">
              <w:rPr>
                <w:rFonts w:ascii="Arial Narrow" w:hAnsi="Arial Narrow"/>
                <w:noProof/>
                <w:color w:val="000000"/>
                <w:sz w:val="20"/>
                <w:highlight w:val="black"/>
              </w:rPr>
              <w:t>''''''''</w:t>
            </w:r>
            <w:r w:rsidRPr="002F12DF">
              <w:rPr>
                <w:rFonts w:ascii="Arial Narrow" w:hAnsi="Arial Narrow"/>
                <w:sz w:val="20"/>
              </w:rPr>
              <w:t>%</w:t>
            </w:r>
          </w:p>
        </w:tc>
      </w:tr>
      <w:tr w:rsidR="007C5EED" w:rsidRPr="00E04E16" w:rsidTr="00E374F0">
        <w:tc>
          <w:tcPr>
            <w:tcW w:w="1675" w:type="dxa"/>
            <w:vAlign w:val="center"/>
          </w:tcPr>
          <w:p w:rsidR="007C5EED" w:rsidRPr="00E04E16" w:rsidRDefault="007C5EED" w:rsidP="0075338A">
            <w:pPr>
              <w:keepNext/>
              <w:keepLines/>
              <w:rPr>
                <w:rFonts w:ascii="Arial Narrow" w:hAnsi="Arial Narrow"/>
                <w:sz w:val="20"/>
              </w:rPr>
            </w:pPr>
            <w:r w:rsidRPr="00E04E16">
              <w:rPr>
                <w:rFonts w:ascii="Arial Narrow" w:hAnsi="Arial Narrow"/>
                <w:sz w:val="20"/>
              </w:rPr>
              <w:t>Cost/patient/year</w:t>
            </w:r>
          </w:p>
        </w:tc>
        <w:tc>
          <w:tcPr>
            <w:tcW w:w="1722" w:type="dxa"/>
            <w:vAlign w:val="center"/>
          </w:tcPr>
          <w:p w:rsidR="007C5EED" w:rsidRPr="00E04E16" w:rsidRDefault="007C5EED" w:rsidP="0075338A">
            <w:pPr>
              <w:keepNext/>
              <w:keepLines/>
              <w:jc w:val="center"/>
              <w:rPr>
                <w:rFonts w:ascii="Arial Narrow" w:hAnsi="Arial Narrow"/>
                <w:sz w:val="20"/>
              </w:rPr>
            </w:pPr>
            <w:r w:rsidRPr="00E04E16">
              <w:rPr>
                <w:rFonts w:ascii="Arial Narrow" w:hAnsi="Arial Narrow"/>
                <w:sz w:val="20"/>
              </w:rPr>
              <w:t>-</w:t>
            </w:r>
          </w:p>
        </w:tc>
        <w:tc>
          <w:tcPr>
            <w:tcW w:w="1722" w:type="dxa"/>
            <w:vAlign w:val="center"/>
          </w:tcPr>
          <w:p w:rsidR="007C5EED" w:rsidRPr="00E04E16" w:rsidRDefault="007C5EED" w:rsidP="0075338A">
            <w:pPr>
              <w:keepNext/>
              <w:keepLines/>
              <w:jc w:val="center"/>
              <w:rPr>
                <w:rFonts w:ascii="Arial Narrow" w:hAnsi="Arial Narrow"/>
                <w:sz w:val="20"/>
              </w:rPr>
            </w:pPr>
            <w:r w:rsidRPr="00E04E16">
              <w:rPr>
                <w:rFonts w:ascii="Arial Narrow" w:hAnsi="Arial Narrow"/>
                <w:sz w:val="20"/>
              </w:rPr>
              <w:t>-</w:t>
            </w:r>
          </w:p>
        </w:tc>
        <w:tc>
          <w:tcPr>
            <w:tcW w:w="1949" w:type="dxa"/>
            <w:vAlign w:val="center"/>
          </w:tcPr>
          <w:p w:rsidR="007C5EED" w:rsidRPr="00E04E16" w:rsidRDefault="005967E5" w:rsidP="0075338A">
            <w:pPr>
              <w:keepNext/>
              <w:keepLines/>
              <w:jc w:val="center"/>
              <w:rPr>
                <w:rFonts w:ascii="Arial Narrow" w:hAnsi="Arial Narrow"/>
                <w:sz w:val="20"/>
              </w:rPr>
            </w:pPr>
            <w:r w:rsidRPr="00E04E16">
              <w:rPr>
                <w:rFonts w:ascii="Arial Narrow" w:hAnsi="Arial Narrow"/>
                <w:sz w:val="20"/>
              </w:rPr>
              <w:t xml:space="preserve"> </w:t>
            </w:r>
            <w:r w:rsidR="007C5EED" w:rsidRPr="00FD43C3">
              <w:rPr>
                <w:rFonts w:ascii="Arial Narrow" w:hAnsi="Arial Narrow"/>
                <w:sz w:val="20"/>
              </w:rPr>
              <w:t>Year 1: $</w:t>
            </w:r>
            <w:r w:rsidR="004E288B">
              <w:rPr>
                <w:rFonts w:ascii="Arial Narrow" w:hAnsi="Arial Narrow"/>
                <w:noProof/>
                <w:color w:val="000000"/>
                <w:sz w:val="20"/>
                <w:highlight w:val="black"/>
              </w:rPr>
              <w:t>''''''''''''''</w:t>
            </w:r>
            <w:r w:rsidR="007C5EED" w:rsidRPr="00FD43C3">
              <w:rPr>
                <w:rFonts w:ascii="Arial Narrow" w:hAnsi="Arial Narrow"/>
                <w:sz w:val="20"/>
                <w:vertAlign w:val="superscript"/>
              </w:rPr>
              <w:t xml:space="preserve"> </w:t>
            </w:r>
            <w:r w:rsidR="0011135B" w:rsidRPr="00FD43C3">
              <w:rPr>
                <w:rFonts w:ascii="Arial Narrow" w:hAnsi="Arial Narrow"/>
                <w:sz w:val="20"/>
                <w:vertAlign w:val="superscript"/>
              </w:rPr>
              <w:t>k</w:t>
            </w:r>
          </w:p>
        </w:tc>
        <w:tc>
          <w:tcPr>
            <w:tcW w:w="1949" w:type="dxa"/>
            <w:vAlign w:val="center"/>
          </w:tcPr>
          <w:p w:rsidR="007C5EED" w:rsidRPr="00FD43C3" w:rsidRDefault="007C5EED" w:rsidP="0075338A">
            <w:pPr>
              <w:keepNext/>
              <w:keepLines/>
              <w:jc w:val="center"/>
              <w:rPr>
                <w:rFonts w:ascii="Arial Narrow" w:hAnsi="Arial Narrow"/>
                <w:sz w:val="20"/>
                <w:vertAlign w:val="superscript"/>
              </w:rPr>
            </w:pPr>
            <w:r w:rsidRPr="00FD43C3">
              <w:rPr>
                <w:rFonts w:ascii="Arial Narrow" w:hAnsi="Arial Narrow"/>
                <w:sz w:val="20"/>
              </w:rPr>
              <w:t>Year 1: $</w:t>
            </w:r>
            <w:r w:rsidR="004E288B">
              <w:rPr>
                <w:rFonts w:ascii="Arial Narrow" w:hAnsi="Arial Narrow"/>
                <w:noProof/>
                <w:color w:val="000000"/>
                <w:sz w:val="20"/>
                <w:highlight w:val="black"/>
              </w:rPr>
              <w:t>''''''''''''''''''''''</w:t>
            </w:r>
            <w:r w:rsidRPr="00FD43C3">
              <w:rPr>
                <w:rFonts w:ascii="Arial Narrow" w:hAnsi="Arial Narrow"/>
                <w:sz w:val="20"/>
                <w:vertAlign w:val="superscript"/>
              </w:rPr>
              <w:t xml:space="preserve"> </w:t>
            </w:r>
            <w:r w:rsidR="0011135B" w:rsidRPr="00FD43C3">
              <w:rPr>
                <w:rFonts w:ascii="Arial Narrow" w:hAnsi="Arial Narrow"/>
                <w:sz w:val="20"/>
                <w:vertAlign w:val="superscript"/>
              </w:rPr>
              <w:t>l</w:t>
            </w:r>
          </w:p>
          <w:p w:rsidR="007C5EED" w:rsidRPr="00FD43C3" w:rsidRDefault="007C5EED" w:rsidP="0075338A">
            <w:pPr>
              <w:keepNext/>
              <w:keepLines/>
              <w:jc w:val="center"/>
              <w:rPr>
                <w:rFonts w:ascii="Arial Narrow" w:hAnsi="Arial Narrow"/>
                <w:sz w:val="20"/>
              </w:rPr>
            </w:pPr>
            <w:r w:rsidRPr="00FD43C3">
              <w:rPr>
                <w:rFonts w:ascii="Arial Narrow" w:hAnsi="Arial Narrow"/>
                <w:sz w:val="20"/>
              </w:rPr>
              <w:t>Year 2: $</w:t>
            </w:r>
            <w:r w:rsidR="004E288B">
              <w:rPr>
                <w:rFonts w:ascii="Arial Narrow" w:hAnsi="Arial Narrow"/>
                <w:noProof/>
                <w:color w:val="000000"/>
                <w:sz w:val="20"/>
                <w:highlight w:val="black"/>
              </w:rPr>
              <w:t>'''''''''''''''''</w:t>
            </w:r>
          </w:p>
          <w:p w:rsidR="007C5EED" w:rsidRPr="00FD43C3" w:rsidRDefault="007C5EED" w:rsidP="0075338A">
            <w:pPr>
              <w:keepNext/>
              <w:keepLines/>
              <w:jc w:val="center"/>
              <w:rPr>
                <w:rFonts w:ascii="Arial Narrow" w:hAnsi="Arial Narrow"/>
                <w:sz w:val="20"/>
              </w:rPr>
            </w:pPr>
            <w:r w:rsidRPr="00FD43C3">
              <w:rPr>
                <w:rFonts w:ascii="Arial Narrow" w:hAnsi="Arial Narrow"/>
                <w:sz w:val="20"/>
              </w:rPr>
              <w:t>Year 3: $</w:t>
            </w:r>
            <w:r w:rsidR="004E288B">
              <w:rPr>
                <w:rFonts w:ascii="Arial Narrow" w:hAnsi="Arial Narrow"/>
                <w:noProof/>
                <w:color w:val="000000"/>
                <w:sz w:val="20"/>
                <w:highlight w:val="black"/>
              </w:rPr>
              <w:t>''''''''''''''''</w:t>
            </w:r>
          </w:p>
          <w:p w:rsidR="007C5EED" w:rsidRPr="004E288B" w:rsidRDefault="007C5EED" w:rsidP="0075338A">
            <w:pPr>
              <w:keepNext/>
              <w:keepLines/>
              <w:jc w:val="center"/>
              <w:rPr>
                <w:rFonts w:ascii="Arial Narrow" w:hAnsi="Arial Narrow"/>
                <w:sz w:val="20"/>
              </w:rPr>
            </w:pPr>
            <w:r w:rsidRPr="00FD43C3">
              <w:rPr>
                <w:rFonts w:ascii="Arial Narrow" w:hAnsi="Arial Narrow"/>
                <w:sz w:val="20"/>
              </w:rPr>
              <w:t>Year 4: $</w:t>
            </w:r>
            <w:r w:rsidR="004E288B">
              <w:rPr>
                <w:rFonts w:ascii="Arial Narrow" w:hAnsi="Arial Narrow"/>
                <w:noProof/>
                <w:color w:val="000000"/>
                <w:sz w:val="20"/>
                <w:highlight w:val="black"/>
              </w:rPr>
              <w:t>''''''''''''''''</w:t>
            </w:r>
          </w:p>
          <w:p w:rsidR="007C5EED" w:rsidRPr="00FD43C3" w:rsidRDefault="007C5EED" w:rsidP="0075338A">
            <w:pPr>
              <w:keepNext/>
              <w:keepLines/>
              <w:jc w:val="center"/>
              <w:rPr>
                <w:rFonts w:ascii="Arial Narrow" w:hAnsi="Arial Narrow"/>
                <w:sz w:val="20"/>
              </w:rPr>
            </w:pPr>
            <w:r w:rsidRPr="00FD43C3">
              <w:rPr>
                <w:rFonts w:ascii="Arial Narrow" w:hAnsi="Arial Narrow"/>
                <w:sz w:val="20"/>
              </w:rPr>
              <w:t>Year 5: $</w:t>
            </w:r>
            <w:r w:rsidR="004E288B">
              <w:rPr>
                <w:rFonts w:ascii="Arial Narrow" w:hAnsi="Arial Narrow"/>
                <w:noProof/>
                <w:color w:val="000000"/>
                <w:sz w:val="20"/>
                <w:highlight w:val="black"/>
              </w:rPr>
              <w:t>''''''''''''''''</w:t>
            </w:r>
          </w:p>
          <w:p w:rsidR="007C5EED" w:rsidRPr="00E04E16" w:rsidRDefault="007C5EED" w:rsidP="0075338A">
            <w:pPr>
              <w:keepNext/>
              <w:keepLines/>
              <w:jc w:val="center"/>
              <w:rPr>
                <w:rFonts w:ascii="Arial Narrow" w:hAnsi="Arial Narrow"/>
                <w:sz w:val="20"/>
                <w:vertAlign w:val="superscript"/>
              </w:rPr>
            </w:pPr>
            <w:r w:rsidRPr="00FD43C3">
              <w:rPr>
                <w:rFonts w:ascii="Arial Narrow" w:hAnsi="Arial Narrow"/>
                <w:sz w:val="20"/>
              </w:rPr>
              <w:t>Year 6: $</w:t>
            </w:r>
            <w:r w:rsidR="004E288B">
              <w:rPr>
                <w:rFonts w:ascii="Arial Narrow" w:hAnsi="Arial Narrow"/>
                <w:noProof/>
                <w:color w:val="000000"/>
                <w:sz w:val="20"/>
                <w:highlight w:val="black"/>
              </w:rPr>
              <w:t>''''''''''''''''</w:t>
            </w:r>
          </w:p>
        </w:tc>
      </w:tr>
    </w:tbl>
    <w:p w:rsidR="007C5EED" w:rsidRPr="00E04E16" w:rsidRDefault="007C5EED" w:rsidP="007C5EED">
      <w:pPr>
        <w:pStyle w:val="TableFooter"/>
      </w:pPr>
      <w:r w:rsidRPr="00E04E16">
        <w:t>Source: compiled during the evaluation.</w:t>
      </w:r>
    </w:p>
    <w:p w:rsidR="007C5EED" w:rsidRPr="00E04E16" w:rsidRDefault="007C5EED" w:rsidP="007C5EED">
      <w:pPr>
        <w:pStyle w:val="TableFooter"/>
      </w:pPr>
      <w:r w:rsidRPr="00E04E16">
        <w:rPr>
          <w:vertAlign w:val="superscript"/>
        </w:rPr>
        <w:t>a</w:t>
      </w:r>
      <w:r w:rsidRPr="00E04E16">
        <w:t xml:space="preserve"> Based on treatment exposure data from the clinical study reports.</w:t>
      </w:r>
    </w:p>
    <w:p w:rsidR="007C5EED" w:rsidRPr="00E04E16" w:rsidRDefault="007C5EED" w:rsidP="007C5EED">
      <w:pPr>
        <w:pStyle w:val="TableFooter"/>
      </w:pPr>
      <w:r w:rsidRPr="00E04E16">
        <w:rPr>
          <w:vertAlign w:val="superscript"/>
        </w:rPr>
        <w:t>b</w:t>
      </w:r>
      <w:r w:rsidRPr="00E04E16">
        <w:t xml:space="preserve"> Weighted across both stratum 1 (17.6 g/day, n = 220) and stratum 2 (25.2 g/day, n = 84) based on number of patients in each stratum. </w:t>
      </w:r>
    </w:p>
    <w:p w:rsidR="007C5EED" w:rsidRPr="00E04E16" w:rsidRDefault="007C5EED" w:rsidP="007C5EED">
      <w:pPr>
        <w:pStyle w:val="TableFooter"/>
      </w:pPr>
      <w:r w:rsidRPr="00E04E16">
        <w:rPr>
          <w:vertAlign w:val="superscript"/>
        </w:rPr>
        <w:t>c</w:t>
      </w:r>
      <w:r w:rsidRPr="00E04E16">
        <w:t xml:space="preserve"> Assumed.</w:t>
      </w:r>
    </w:p>
    <w:p w:rsidR="007C5EED" w:rsidRPr="00E04E16" w:rsidRDefault="007C5EED" w:rsidP="007C5EED">
      <w:pPr>
        <w:pStyle w:val="TableFooter"/>
      </w:pPr>
      <w:r w:rsidRPr="00E04E16">
        <w:rPr>
          <w:vertAlign w:val="superscript"/>
        </w:rPr>
        <w:t>d</w:t>
      </w:r>
      <w:r w:rsidRPr="00E04E16">
        <w:t xml:space="preserve"> Based on treatment exposure data from the clinical study reports. </w:t>
      </w:r>
    </w:p>
    <w:p w:rsidR="007C5EED" w:rsidRPr="00E04E16" w:rsidRDefault="007C5EED" w:rsidP="007C5EED">
      <w:pPr>
        <w:pStyle w:val="TableFooter"/>
      </w:pPr>
      <w:r w:rsidRPr="00E04E16">
        <w:rPr>
          <w:vertAlign w:val="superscript"/>
        </w:rPr>
        <w:t>e</w:t>
      </w:r>
      <w:r w:rsidRPr="00E04E16">
        <w:t xml:space="preserve"> Based on whole study duration (8-week treatment initiation and 44-week long term maintenance period) from AMETHYST-DN. Weighted average adherence from patients in the 8.4 g and 16.8 g arms from Stratum 1 (serum K+ &gt; 5.0 to 5.5 mEq/L) and those in the 16.8 g and 25.2 g arms from Stratum 2 (serum K+ &gt; 5.5 to &lt; 6.0 mEq/L).</w:t>
      </w:r>
    </w:p>
    <w:p w:rsidR="00A754C6" w:rsidRPr="00E04E16" w:rsidRDefault="00A754C6" w:rsidP="007C5EED">
      <w:pPr>
        <w:pStyle w:val="TableFooter"/>
      </w:pPr>
      <w:r w:rsidRPr="00E04E16">
        <w:rPr>
          <w:vertAlign w:val="superscript"/>
        </w:rPr>
        <w:t xml:space="preserve">f </w:t>
      </w:r>
      <w:r w:rsidRPr="00E04E16">
        <w:t>Based on proposed DPMQ ($</w:t>
      </w:r>
      <w:r w:rsidR="004E288B">
        <w:rPr>
          <w:noProof/>
          <w:color w:val="000000"/>
          <w:highlight w:val="black"/>
        </w:rPr>
        <w:t>'''''''''''''''''</w:t>
      </w:r>
      <w:r w:rsidRPr="00E04E16">
        <w:t>) assuming 25% of patients require one script and 75% of patients require two scripts, based on median and interquartile range from OPAL-HK; with 100.7% adherence.</w:t>
      </w:r>
    </w:p>
    <w:p w:rsidR="00A754C6" w:rsidRPr="00E04E16" w:rsidRDefault="00A754C6" w:rsidP="007C5EED">
      <w:pPr>
        <w:pStyle w:val="TableFooter"/>
        <w:rPr>
          <w:vertAlign w:val="superscript"/>
        </w:rPr>
      </w:pPr>
      <w:r w:rsidRPr="00E04E16">
        <w:rPr>
          <w:vertAlign w:val="superscript"/>
        </w:rPr>
        <w:t xml:space="preserve">g </w:t>
      </w:r>
      <w:r w:rsidRPr="00E04E16">
        <w:t>Based on distribution of patients in dose groups (median doses generally consistent with starting dose); 143 patients require one script, 103 patients require two scripts, with 96.6% adherence.</w:t>
      </w:r>
    </w:p>
    <w:p w:rsidR="007C5EED" w:rsidRPr="00E04E16" w:rsidRDefault="00A754C6" w:rsidP="007C5EED">
      <w:pPr>
        <w:pStyle w:val="TableFooter"/>
      </w:pPr>
      <w:r w:rsidRPr="00E04E16">
        <w:rPr>
          <w:vertAlign w:val="superscript"/>
        </w:rPr>
        <w:t>h</w:t>
      </w:r>
      <w:r w:rsidRPr="00E04E16">
        <w:t xml:space="preserve"> </w:t>
      </w:r>
      <w:r w:rsidR="007C5EED" w:rsidRPr="00E04E16">
        <w:t>Based on proposed DPMQ for 8.4 g and 16.8 g sachets ($</w:t>
      </w:r>
      <w:r w:rsidR="004E288B">
        <w:rPr>
          <w:noProof/>
          <w:color w:val="000000"/>
          <w:highlight w:val="black"/>
        </w:rPr>
        <w:t>'''''''''''''''</w:t>
      </w:r>
      <w:r w:rsidR="007C5EED" w:rsidRPr="00E04E16">
        <w:t xml:space="preserve">), assuming </w:t>
      </w:r>
      <w:r w:rsidR="00A9167B" w:rsidRPr="00E04E16">
        <w:t xml:space="preserve">one script per patient per month and </w:t>
      </w:r>
      <w:r w:rsidR="007C5EED" w:rsidRPr="00E04E16">
        <w:t xml:space="preserve">100% adherence rate. </w:t>
      </w:r>
    </w:p>
    <w:p w:rsidR="007C5EED" w:rsidRPr="00E04E16" w:rsidRDefault="00A754C6" w:rsidP="007C5EED">
      <w:pPr>
        <w:pStyle w:val="TableFooter"/>
      </w:pPr>
      <w:r w:rsidRPr="00E04E16">
        <w:rPr>
          <w:vertAlign w:val="superscript"/>
        </w:rPr>
        <w:t>i</w:t>
      </w:r>
      <w:r w:rsidRPr="00E04E16">
        <w:t xml:space="preserve"> </w:t>
      </w:r>
      <w:r w:rsidR="007C5EED" w:rsidRPr="00E04E16">
        <w:t>Based on proposed DPMQ for 8.4 g and 16.8 g sachets ($</w:t>
      </w:r>
      <w:r w:rsidR="004E288B">
        <w:rPr>
          <w:noProof/>
          <w:color w:val="000000"/>
          <w:highlight w:val="black"/>
        </w:rPr>
        <w:t>'''''''''''''''''</w:t>
      </w:r>
      <w:r w:rsidR="007C5EED" w:rsidRPr="00E04E16">
        <w:t xml:space="preserve">), adjustment for </w:t>
      </w:r>
      <w:r w:rsidR="003D3B51" w:rsidRPr="00E04E16">
        <w:t>30-day</w:t>
      </w:r>
      <w:r w:rsidR="007C5EED" w:rsidRPr="00E04E16">
        <w:t xml:space="preserve"> coverage per script, 96.4% adherence rate (11.73 scripts/year)</w:t>
      </w:r>
      <w:r w:rsidR="00E07E0C" w:rsidRPr="00E04E16">
        <w:t xml:space="preserve">, assuming one script per patient per month </w:t>
      </w:r>
      <w:r w:rsidR="007C5EED" w:rsidRPr="00E04E16">
        <w:t>and 100% persistence.</w:t>
      </w:r>
    </w:p>
    <w:p w:rsidR="007C5EED" w:rsidRPr="00E04E16" w:rsidRDefault="00A754C6" w:rsidP="007C5EED">
      <w:pPr>
        <w:pStyle w:val="TableFooter"/>
      </w:pPr>
      <w:r w:rsidRPr="00E04E16">
        <w:rPr>
          <w:vertAlign w:val="superscript"/>
        </w:rPr>
        <w:t>j</w:t>
      </w:r>
      <w:r w:rsidRPr="00E04E16">
        <w:t xml:space="preserve"> </w:t>
      </w:r>
      <w:r w:rsidR="007C5EED" w:rsidRPr="00E04E16">
        <w:t>Persistence estimates based on a log-normal curve fitted to US claims data.</w:t>
      </w:r>
    </w:p>
    <w:p w:rsidR="007C5EED" w:rsidRPr="00E04E16" w:rsidRDefault="00A754C6" w:rsidP="007C5EED">
      <w:pPr>
        <w:pStyle w:val="TableFooter"/>
      </w:pPr>
      <w:r w:rsidRPr="00E04E16">
        <w:rPr>
          <w:vertAlign w:val="superscript"/>
        </w:rPr>
        <w:t>k</w:t>
      </w:r>
      <w:r w:rsidRPr="00E04E16">
        <w:t xml:space="preserve"> </w:t>
      </w:r>
      <w:r w:rsidR="007C5EED" w:rsidRPr="00E04E16">
        <w:t xml:space="preserve">Persistence truncated at 1 year. Monthly cost adjusted for 30.44 day cycle, 100% adherence and persistence based on a log-normal curve fitted to US claims data; [Monthly cost (unadjusted) × [365.25 / 12] × 12 × persistence]. </w:t>
      </w:r>
    </w:p>
    <w:p w:rsidR="007C5EED" w:rsidRPr="00E04E16" w:rsidRDefault="0011135B" w:rsidP="00BB546F">
      <w:pPr>
        <w:pStyle w:val="TableFooter"/>
        <w:keepNext/>
        <w:keepLines/>
        <w:widowControl/>
        <w:spacing w:after="240"/>
        <w:contextualSpacing/>
      </w:pPr>
      <w:r w:rsidRPr="00E04E16">
        <w:rPr>
          <w:vertAlign w:val="superscript"/>
        </w:rPr>
        <w:t>l</w:t>
      </w:r>
      <w:r w:rsidR="007C5EED" w:rsidRPr="00E04E16">
        <w:t xml:space="preserve"> Costs applied to incident population from Year 1, over 6 years [Monthly cost adjusted for</w:t>
      </w:r>
      <w:r w:rsidR="005E0297" w:rsidRPr="00E04E16">
        <w:t xml:space="preserve"> adherence × 12 × persistence].</w:t>
      </w:r>
    </w:p>
    <w:p w:rsidR="0011135B" w:rsidRPr="00E04E16" w:rsidRDefault="0011135B" w:rsidP="0011135B">
      <w:pPr>
        <w:pStyle w:val="ExecSumBodyText"/>
        <w:numPr>
          <w:ilvl w:val="1"/>
          <w:numId w:val="1"/>
        </w:numPr>
      </w:pPr>
      <w:r w:rsidRPr="00E04E16">
        <w:t xml:space="preserve">Estimates of treatment persistence were inconsistent between the economic and </w:t>
      </w:r>
      <w:r w:rsidR="00B631D8" w:rsidRPr="00E04E16">
        <w:t>financial estimates</w:t>
      </w:r>
      <w:r w:rsidRPr="00E04E16">
        <w:t xml:space="preserve">. The economic model applied monthly probabilities of continuing treatment, based on US claims data, with a maximum duration of patiromer of one year assumed. The </w:t>
      </w:r>
      <w:r w:rsidR="00B631D8" w:rsidRPr="00E04E16">
        <w:t xml:space="preserve">financial estimates </w:t>
      </w:r>
      <w:r w:rsidRPr="00E04E16">
        <w:t xml:space="preserve">assumed patients receive 12 scripts of patiromer in their first year (inconsistent with the US claims </w:t>
      </w:r>
      <w:r w:rsidR="009B42C5" w:rsidRPr="00E04E16">
        <w:t>data, which</w:t>
      </w:r>
      <w:r w:rsidRPr="00E04E16">
        <w:t xml:space="preserve"> indicated that the median persistence to patiromer therapy was approximately 3 months)</w:t>
      </w:r>
      <w:r w:rsidR="002F12DF">
        <w:rPr>
          <w:rStyle w:val="FootnoteReference"/>
        </w:rPr>
        <w:footnoteReference w:id="5"/>
      </w:r>
      <w:r w:rsidR="00EE45A7" w:rsidRPr="00E04E16">
        <w:t>,</w:t>
      </w:r>
      <w:r w:rsidRPr="00E04E16">
        <w:t xml:space="preserve"> with </w:t>
      </w:r>
      <w:r w:rsidRPr="00E04E16">
        <w:lastRenderedPageBreak/>
        <w:t>persistence beyond</w:t>
      </w:r>
      <w:r w:rsidR="009B42C5" w:rsidRPr="00E04E16">
        <w:t xml:space="preserve"> one year of treatment allowed, based</w:t>
      </w:r>
      <w:r w:rsidRPr="00E04E16">
        <w:t xml:space="preserve"> on US claims data.</w:t>
      </w:r>
      <w:r w:rsidR="00EE45A7" w:rsidRPr="00E04E16">
        <w:t xml:space="preserve"> No justification was provided in the resubmission for the inconsistent approach.</w:t>
      </w:r>
    </w:p>
    <w:p w:rsidR="007C5EED" w:rsidRPr="00E04E16" w:rsidRDefault="007C5EED" w:rsidP="007C5EED">
      <w:pPr>
        <w:pStyle w:val="3-SubsectionHeading"/>
      </w:pPr>
      <w:bookmarkStart w:id="26" w:name="_Toc48561124"/>
      <w:bookmarkStart w:id="27" w:name="_Toc51063881"/>
      <w:r w:rsidRPr="00E04E16">
        <w:t>Estimated PBS usage &amp; financial implications</w:t>
      </w:r>
      <w:bookmarkEnd w:id="26"/>
      <w:bookmarkEnd w:id="27"/>
    </w:p>
    <w:p w:rsidR="00F80AEF" w:rsidRPr="00E04E16" w:rsidRDefault="008A5995" w:rsidP="007C5EED">
      <w:pPr>
        <w:pStyle w:val="ExecSumBodyText"/>
        <w:numPr>
          <w:ilvl w:val="1"/>
          <w:numId w:val="1"/>
        </w:numPr>
      </w:pPr>
      <w:r w:rsidRPr="00E04E16">
        <w:t>This submission was not</w:t>
      </w:r>
      <w:r w:rsidR="007C5EED" w:rsidRPr="00E04E16">
        <w:t xml:space="preserve"> considered by DUSC</w:t>
      </w:r>
      <w:r w:rsidR="007C5EED" w:rsidRPr="00E04E16">
        <w:rPr>
          <w:color w:val="0070C0"/>
        </w:rPr>
        <w:t xml:space="preserve">. </w:t>
      </w:r>
    </w:p>
    <w:p w:rsidR="007C5EED" w:rsidRPr="00E04E16" w:rsidRDefault="007C5EED" w:rsidP="007C5EED">
      <w:pPr>
        <w:pStyle w:val="ExecSumBodyText"/>
        <w:numPr>
          <w:ilvl w:val="1"/>
          <w:numId w:val="1"/>
        </w:numPr>
      </w:pPr>
      <w:r w:rsidRPr="00E04E16">
        <w:t xml:space="preserve">The resubmission used an epidemiological approach to estimate the utilisation and financial impact for patiromer. </w:t>
      </w:r>
    </w:p>
    <w:p w:rsidR="007C5EED" w:rsidRPr="00E04E16" w:rsidRDefault="007C5EED" w:rsidP="007C5EED">
      <w:pPr>
        <w:pStyle w:val="ExecSumBodyText"/>
        <w:numPr>
          <w:ilvl w:val="1"/>
          <w:numId w:val="1"/>
        </w:numPr>
      </w:pPr>
      <w:r w:rsidRPr="00E04E16">
        <w:t>Key inputs for the financial estimates are summarised in the table below</w:t>
      </w:r>
      <w:r w:rsidR="00494BDB" w:rsidRPr="00E04E16">
        <w:t>.</w:t>
      </w:r>
    </w:p>
    <w:p w:rsidR="007C5EED" w:rsidRPr="00E04E16" w:rsidRDefault="007C5EED" w:rsidP="007C5EED">
      <w:pPr>
        <w:pStyle w:val="TableFigureCaption"/>
        <w:keepNext w:val="0"/>
        <w:widowControl w:val="0"/>
      </w:pPr>
      <w:r w:rsidRPr="00E04E16">
        <w:t xml:space="preserve">Table </w:t>
      </w:r>
      <w:r w:rsidR="00AF3112" w:rsidRPr="00E04E16">
        <w:t>1</w:t>
      </w:r>
      <w:r w:rsidR="00494BDB" w:rsidRPr="00E04E16">
        <w:t>9</w:t>
      </w:r>
      <w:r w:rsidRPr="00E04E16">
        <w:t xml:space="preserve">: Key inputs for the financial estimates </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1459"/>
        <w:gridCol w:w="2973"/>
        <w:gridCol w:w="3222"/>
      </w:tblGrid>
      <w:tr w:rsidR="007C5EED" w:rsidRPr="00E04E16" w:rsidTr="00E374F0">
        <w:trPr>
          <w:tblHeader/>
        </w:trPr>
        <w:tc>
          <w:tcPr>
            <w:tcW w:w="1526" w:type="dxa"/>
            <w:vAlign w:val="center"/>
          </w:tcPr>
          <w:p w:rsidR="007C5EED" w:rsidRPr="00E04E16" w:rsidRDefault="007C5EED" w:rsidP="00E374F0">
            <w:pPr>
              <w:pStyle w:val="Tableheadingrow"/>
              <w:keepNext w:val="0"/>
              <w:widowControl w:val="0"/>
              <w:jc w:val="center"/>
              <w:rPr>
                <w:lang w:val="en-AU"/>
              </w:rPr>
            </w:pPr>
            <w:r w:rsidRPr="00E04E16">
              <w:rPr>
                <w:lang w:val="en-AU"/>
              </w:rPr>
              <w:t>Data</w:t>
            </w:r>
          </w:p>
        </w:tc>
        <w:tc>
          <w:tcPr>
            <w:tcW w:w="1459" w:type="dxa"/>
            <w:vAlign w:val="center"/>
          </w:tcPr>
          <w:p w:rsidR="007C5EED" w:rsidRPr="00E04E16" w:rsidRDefault="007C5EED" w:rsidP="00E374F0">
            <w:pPr>
              <w:pStyle w:val="Tableheadingrow"/>
              <w:keepNext w:val="0"/>
              <w:widowControl w:val="0"/>
              <w:jc w:val="center"/>
              <w:rPr>
                <w:lang w:val="en-AU"/>
              </w:rPr>
            </w:pPr>
            <w:r w:rsidRPr="00E04E16">
              <w:rPr>
                <w:lang w:val="en-AU"/>
              </w:rPr>
              <w:t>Value</w:t>
            </w:r>
          </w:p>
        </w:tc>
        <w:tc>
          <w:tcPr>
            <w:tcW w:w="2973" w:type="dxa"/>
            <w:vAlign w:val="center"/>
          </w:tcPr>
          <w:p w:rsidR="007C5EED" w:rsidRPr="00E04E16" w:rsidRDefault="007C5EED" w:rsidP="00E374F0">
            <w:pPr>
              <w:pStyle w:val="Tableheadingrow"/>
              <w:keepNext w:val="0"/>
              <w:widowControl w:val="0"/>
              <w:jc w:val="center"/>
              <w:rPr>
                <w:lang w:val="en-AU"/>
              </w:rPr>
            </w:pPr>
            <w:r w:rsidRPr="00E04E16">
              <w:rPr>
                <w:lang w:val="en-AU"/>
              </w:rPr>
              <w:t>Source</w:t>
            </w:r>
          </w:p>
        </w:tc>
        <w:tc>
          <w:tcPr>
            <w:tcW w:w="3222" w:type="dxa"/>
            <w:vAlign w:val="center"/>
          </w:tcPr>
          <w:p w:rsidR="007C5EED" w:rsidRPr="00E04E16" w:rsidRDefault="007C5EED" w:rsidP="00E374F0">
            <w:pPr>
              <w:pStyle w:val="Tableheadingrow"/>
              <w:keepNext w:val="0"/>
              <w:widowControl w:val="0"/>
              <w:jc w:val="center"/>
              <w:rPr>
                <w:lang w:val="en-AU"/>
              </w:rPr>
            </w:pPr>
            <w:r w:rsidRPr="00E04E16">
              <w:rPr>
                <w:lang w:val="en-AU"/>
              </w:rPr>
              <w:t>Comment</w:t>
            </w:r>
          </w:p>
        </w:tc>
      </w:tr>
      <w:tr w:rsidR="007C5EED" w:rsidRPr="00E04E16" w:rsidTr="00E374F0">
        <w:tc>
          <w:tcPr>
            <w:tcW w:w="9180" w:type="dxa"/>
            <w:gridSpan w:val="4"/>
            <w:vAlign w:val="center"/>
          </w:tcPr>
          <w:p w:rsidR="007C5EED" w:rsidRPr="00E04E16" w:rsidRDefault="007C5EED" w:rsidP="00E374F0">
            <w:pPr>
              <w:pStyle w:val="TableText"/>
              <w:keepNext w:val="0"/>
              <w:widowControl w:val="0"/>
              <w:rPr>
                <w:b/>
              </w:rPr>
            </w:pPr>
            <w:r w:rsidRPr="00E04E16">
              <w:rPr>
                <w:b/>
              </w:rPr>
              <w:t>Patient population</w:t>
            </w:r>
          </w:p>
        </w:tc>
      </w:tr>
      <w:tr w:rsidR="007C5EED" w:rsidRPr="00E04E16" w:rsidTr="008A19B9">
        <w:trPr>
          <w:cantSplit/>
        </w:trPr>
        <w:tc>
          <w:tcPr>
            <w:tcW w:w="1526" w:type="dxa"/>
            <w:vAlign w:val="center"/>
          </w:tcPr>
          <w:p w:rsidR="007C5EED" w:rsidRPr="00E04E16" w:rsidRDefault="007C5EED" w:rsidP="00E374F0">
            <w:pPr>
              <w:pStyle w:val="TableText"/>
              <w:keepNext w:val="0"/>
              <w:widowControl w:val="0"/>
            </w:pPr>
            <w:r w:rsidRPr="00E04E16">
              <w:t>Proportion of population with CKD 3+ disease</w:t>
            </w:r>
          </w:p>
        </w:tc>
        <w:tc>
          <w:tcPr>
            <w:tcW w:w="1459" w:type="dxa"/>
            <w:vAlign w:val="center"/>
          </w:tcPr>
          <w:p w:rsidR="007C5EED" w:rsidRPr="00E04E16" w:rsidRDefault="007C5EED" w:rsidP="00E374F0">
            <w:pPr>
              <w:pStyle w:val="TableText"/>
              <w:keepNext w:val="0"/>
              <w:widowControl w:val="0"/>
            </w:pPr>
            <w:r w:rsidRPr="00E04E16">
              <w:t>Yr 1: 5.4%</w:t>
            </w:r>
          </w:p>
          <w:p w:rsidR="007C5EED" w:rsidRPr="00E04E16" w:rsidRDefault="007C5EED" w:rsidP="00E374F0">
            <w:pPr>
              <w:pStyle w:val="TableText"/>
              <w:keepNext w:val="0"/>
              <w:widowControl w:val="0"/>
            </w:pPr>
            <w:r w:rsidRPr="00E04E16">
              <w:t>Yr 2: 5.5%</w:t>
            </w:r>
          </w:p>
          <w:p w:rsidR="007C5EED" w:rsidRPr="00E04E16" w:rsidRDefault="007C5EED" w:rsidP="00E374F0">
            <w:pPr>
              <w:pStyle w:val="TableText"/>
              <w:keepNext w:val="0"/>
              <w:widowControl w:val="0"/>
            </w:pPr>
            <w:r w:rsidRPr="00E04E16">
              <w:t>Yr 3: 5.6%</w:t>
            </w:r>
          </w:p>
          <w:p w:rsidR="007C5EED" w:rsidRPr="00E04E16" w:rsidRDefault="007C5EED" w:rsidP="00E374F0">
            <w:pPr>
              <w:pStyle w:val="TableText"/>
              <w:keepNext w:val="0"/>
              <w:widowControl w:val="0"/>
            </w:pPr>
            <w:r w:rsidRPr="00E04E16">
              <w:t>Yr 4: 5.7%</w:t>
            </w:r>
          </w:p>
          <w:p w:rsidR="007C5EED" w:rsidRPr="00E04E16" w:rsidRDefault="007C5EED" w:rsidP="00E374F0">
            <w:pPr>
              <w:pStyle w:val="TableText"/>
              <w:keepNext w:val="0"/>
              <w:widowControl w:val="0"/>
            </w:pPr>
            <w:r w:rsidRPr="00E04E16">
              <w:t>Yr 5: 5.8%</w:t>
            </w:r>
          </w:p>
          <w:p w:rsidR="007C5EED" w:rsidRPr="00E04E16" w:rsidRDefault="007C5EED" w:rsidP="00E374F0">
            <w:pPr>
              <w:pStyle w:val="TableText"/>
              <w:keepNext w:val="0"/>
              <w:widowControl w:val="0"/>
            </w:pPr>
            <w:r w:rsidRPr="00E04E16">
              <w:t>Yr 6: 5.9%</w:t>
            </w:r>
          </w:p>
        </w:tc>
        <w:tc>
          <w:tcPr>
            <w:tcW w:w="2973" w:type="dxa"/>
            <w:vAlign w:val="center"/>
          </w:tcPr>
          <w:p w:rsidR="007C5EED" w:rsidRPr="00E04E16" w:rsidRDefault="007C5EED" w:rsidP="00E374F0">
            <w:pPr>
              <w:pStyle w:val="TableText"/>
              <w:keepNext w:val="0"/>
              <w:widowControl w:val="0"/>
            </w:pPr>
            <w:r w:rsidRPr="00E04E16">
              <w:t>Based on the prevalence reported in the 2011-2012 National Health Measurement Survey (AIHW 2018). Estimates were inflated based on an annual increase of 0.11% derived from the difference between the</w:t>
            </w:r>
            <w:r w:rsidR="00E04E16">
              <w:t xml:space="preserve"> </w:t>
            </w:r>
            <w:r w:rsidRPr="00E04E16">
              <w:t>1999–2000 Australian Diabetes, Obesity and Lifestyle Study and the 2011–2012 National Health Measurement Survey (AIHW 2018).</w:t>
            </w:r>
          </w:p>
        </w:tc>
        <w:tc>
          <w:tcPr>
            <w:tcW w:w="3222" w:type="dxa"/>
            <w:vAlign w:val="center"/>
          </w:tcPr>
          <w:p w:rsidR="007C5EED" w:rsidRPr="00E04E16" w:rsidRDefault="007C5EED" w:rsidP="00E374F0">
            <w:pPr>
              <w:pStyle w:val="TableText"/>
              <w:keepNext w:val="0"/>
              <w:widowControl w:val="0"/>
            </w:pPr>
            <w:r w:rsidRPr="00E04E16">
              <w:t>This estimate was reasonable.</w:t>
            </w:r>
          </w:p>
        </w:tc>
      </w:tr>
      <w:tr w:rsidR="007C5EED" w:rsidRPr="00E04E16" w:rsidTr="008A19B9">
        <w:trPr>
          <w:cantSplit/>
        </w:trPr>
        <w:tc>
          <w:tcPr>
            <w:tcW w:w="1526" w:type="dxa"/>
            <w:vAlign w:val="center"/>
          </w:tcPr>
          <w:p w:rsidR="007C5EED" w:rsidRPr="00E04E16" w:rsidRDefault="007C5EED" w:rsidP="00E374F0">
            <w:pPr>
              <w:pStyle w:val="TableText"/>
              <w:keepNext w:val="0"/>
              <w:widowControl w:val="0"/>
            </w:pPr>
            <w:r w:rsidRPr="00E04E16">
              <w:t>Proportion of CKD patients with a hyperkalaemia episode</w:t>
            </w:r>
          </w:p>
        </w:tc>
        <w:tc>
          <w:tcPr>
            <w:tcW w:w="1459" w:type="dxa"/>
            <w:vAlign w:val="center"/>
          </w:tcPr>
          <w:p w:rsidR="007C5EED" w:rsidRPr="00E04E16" w:rsidRDefault="007C5EED" w:rsidP="00E374F0">
            <w:pPr>
              <w:pStyle w:val="TableText"/>
              <w:keepNext w:val="0"/>
              <w:widowControl w:val="0"/>
            </w:pPr>
            <w:r w:rsidRPr="00E04E16">
              <w:t>3.1%</w:t>
            </w:r>
          </w:p>
        </w:tc>
        <w:tc>
          <w:tcPr>
            <w:tcW w:w="2973" w:type="dxa"/>
            <w:vAlign w:val="center"/>
          </w:tcPr>
          <w:p w:rsidR="007C5EED" w:rsidRPr="00E04E16" w:rsidRDefault="007C5EED" w:rsidP="00E374F0">
            <w:pPr>
              <w:pStyle w:val="TableText"/>
              <w:keepNext w:val="0"/>
              <w:widowControl w:val="0"/>
            </w:pPr>
            <w:r w:rsidRPr="00E04E16">
              <w:t>Jun (2019). Retrospective review of Australian general practice data (January 2013 to June 2017) to assess the incidence of hyperkalaemia in CKD patients using RAASi therapy as well as any changes in RAASi therapy (previously identified as NPS MedicineInsight Report).</w:t>
            </w:r>
          </w:p>
        </w:tc>
        <w:tc>
          <w:tcPr>
            <w:tcW w:w="3222" w:type="dxa"/>
            <w:vAlign w:val="center"/>
          </w:tcPr>
          <w:p w:rsidR="007C5EED" w:rsidRPr="00E04E16" w:rsidRDefault="007C5EED" w:rsidP="00E374F0">
            <w:pPr>
              <w:pStyle w:val="TableText"/>
              <w:keepNext w:val="0"/>
              <w:widowControl w:val="0"/>
            </w:pPr>
            <w:r w:rsidRPr="00E04E16">
              <w:t>The patient population in the study is not consistent with the requested population as it excluded patients unable to tolerate RAASi therapy and included patients with CKD stage 5 disease. Both of these factors may influence the incidence of hyperkalaemia. The publication also noted that results were highly dependent on monitoring frequency with much higher incidence in patients having 4 or more test per year (5.8-14%, Supplement 4 of publication).</w:t>
            </w:r>
          </w:p>
        </w:tc>
      </w:tr>
      <w:tr w:rsidR="007C5EED" w:rsidRPr="00E04E16" w:rsidTr="008A19B9">
        <w:trPr>
          <w:cantSplit/>
        </w:trPr>
        <w:tc>
          <w:tcPr>
            <w:tcW w:w="1526" w:type="dxa"/>
            <w:vAlign w:val="center"/>
          </w:tcPr>
          <w:p w:rsidR="007C5EED" w:rsidRPr="00E04E16" w:rsidRDefault="007C5EED" w:rsidP="00E374F0">
            <w:pPr>
              <w:pStyle w:val="TableText"/>
              <w:keepNext w:val="0"/>
              <w:widowControl w:val="0"/>
            </w:pPr>
            <w:r w:rsidRPr="00E04E16">
              <w:t>Proportion of hyperkalaemia patients with a subsequent episode in 12 months</w:t>
            </w:r>
          </w:p>
        </w:tc>
        <w:tc>
          <w:tcPr>
            <w:tcW w:w="1459" w:type="dxa"/>
            <w:vAlign w:val="center"/>
          </w:tcPr>
          <w:p w:rsidR="007C5EED" w:rsidRPr="00E04E16" w:rsidRDefault="007C5EED" w:rsidP="00E374F0">
            <w:pPr>
              <w:pStyle w:val="TableText"/>
              <w:keepNext w:val="0"/>
              <w:widowControl w:val="0"/>
            </w:pPr>
            <w:r w:rsidRPr="00E04E16">
              <w:t>29.8%</w:t>
            </w:r>
          </w:p>
        </w:tc>
        <w:tc>
          <w:tcPr>
            <w:tcW w:w="2973" w:type="dxa"/>
            <w:vAlign w:val="center"/>
          </w:tcPr>
          <w:p w:rsidR="007C5EED" w:rsidRPr="00E04E16" w:rsidRDefault="007C5EED" w:rsidP="00E374F0">
            <w:pPr>
              <w:pStyle w:val="TableText"/>
              <w:keepNext w:val="0"/>
              <w:widowControl w:val="0"/>
            </w:pPr>
            <w:r w:rsidRPr="00E04E16">
              <w:t>Kim (2019). Before-after cohort study of health resource use associated with hyperkalaemia using data linkage of medical records from Northern Demark (January 2005 to June 2011).</w:t>
            </w:r>
          </w:p>
          <w:p w:rsidR="007C5EED" w:rsidRPr="00E04E16" w:rsidRDefault="007C5EED" w:rsidP="00E374F0">
            <w:pPr>
              <w:pStyle w:val="TableText"/>
              <w:keepNext w:val="0"/>
              <w:widowControl w:val="0"/>
            </w:pPr>
            <w:r w:rsidRPr="00E04E16">
              <w:t>Recurrent event: 152.3 per 1,000 patient years / Incident event: 15.8 per 1,000 patient years = 9.6 risk multiplier. Risk multiplier applied to incident proportion to estimate recurrent proportion (9.6 x 3.1).</w:t>
            </w:r>
          </w:p>
        </w:tc>
        <w:tc>
          <w:tcPr>
            <w:tcW w:w="3222" w:type="dxa"/>
            <w:vAlign w:val="center"/>
          </w:tcPr>
          <w:p w:rsidR="007C5EED" w:rsidRPr="00E04E16" w:rsidRDefault="007C5EED" w:rsidP="00E374F0">
            <w:pPr>
              <w:pStyle w:val="TableText"/>
              <w:keepNext w:val="0"/>
              <w:widowControl w:val="0"/>
            </w:pPr>
            <w:r w:rsidRPr="00E04E16">
              <w:t>The estimates included patients with CKD stage 5 disease, which may influence the incidence of hyperkalaemia. Additionally, the publication noted that results were highly dependent of monitoring frequency. The applicability of this data to Australian clinical practice was unknown given the differences in healthcare systems.</w:t>
            </w:r>
          </w:p>
        </w:tc>
      </w:tr>
      <w:tr w:rsidR="007C5EED" w:rsidRPr="00E04E16" w:rsidTr="008A19B9">
        <w:trPr>
          <w:cantSplit/>
        </w:trPr>
        <w:tc>
          <w:tcPr>
            <w:tcW w:w="1526" w:type="dxa"/>
            <w:vAlign w:val="center"/>
          </w:tcPr>
          <w:p w:rsidR="007C5EED" w:rsidRPr="00E04E16" w:rsidRDefault="007C5EED" w:rsidP="00E374F0">
            <w:pPr>
              <w:pStyle w:val="TableText"/>
              <w:keepNext w:val="0"/>
              <w:widowControl w:val="0"/>
            </w:pPr>
            <w:r w:rsidRPr="00E04E16">
              <w:lastRenderedPageBreak/>
              <w:t>Patiromer uptake rate</w:t>
            </w:r>
          </w:p>
        </w:tc>
        <w:tc>
          <w:tcPr>
            <w:tcW w:w="1459" w:type="dxa"/>
            <w:vAlign w:val="center"/>
          </w:tcPr>
          <w:p w:rsidR="007C5EED" w:rsidRPr="00E04E16" w:rsidRDefault="007C5EED" w:rsidP="00E374F0">
            <w:pPr>
              <w:pStyle w:val="TableText"/>
              <w:keepNext w:val="0"/>
              <w:widowControl w:val="0"/>
            </w:pPr>
            <w:r w:rsidRPr="00E04E16">
              <w:t xml:space="preserve">Yr 1: </w:t>
            </w:r>
            <w:r w:rsidR="003A36FA">
              <w:rPr>
                <w:noProof/>
                <w:color w:val="000000"/>
                <w:highlight w:val="black"/>
              </w:rPr>
              <w:t>''''''</w:t>
            </w:r>
            <w:r w:rsidRPr="00E04E16">
              <w:t>%</w:t>
            </w:r>
          </w:p>
          <w:p w:rsidR="007C5EED" w:rsidRPr="00B762F2" w:rsidRDefault="007C5EED" w:rsidP="00E374F0">
            <w:pPr>
              <w:pStyle w:val="TableText"/>
              <w:keepNext w:val="0"/>
              <w:widowControl w:val="0"/>
            </w:pPr>
            <w:r w:rsidRPr="00B762F2">
              <w:t>Yr 2:</w:t>
            </w:r>
            <w:r w:rsidRPr="00703D96">
              <w:t xml:space="preserve"> </w:t>
            </w:r>
            <w:r w:rsidR="003A36FA">
              <w:rPr>
                <w:noProof/>
                <w:color w:val="000000"/>
                <w:highlight w:val="black"/>
              </w:rPr>
              <w:t>'''''''</w:t>
            </w:r>
            <w:r w:rsidRPr="00B762F2">
              <w:t>%</w:t>
            </w:r>
          </w:p>
          <w:p w:rsidR="007C5EED" w:rsidRPr="00B762F2" w:rsidRDefault="007C5EED" w:rsidP="00E374F0">
            <w:pPr>
              <w:pStyle w:val="TableText"/>
              <w:keepNext w:val="0"/>
              <w:widowControl w:val="0"/>
            </w:pPr>
            <w:r w:rsidRPr="00B762F2">
              <w:t xml:space="preserve">Yr 3: </w:t>
            </w:r>
            <w:r w:rsidR="003A36FA">
              <w:rPr>
                <w:noProof/>
                <w:color w:val="000000"/>
                <w:highlight w:val="black"/>
              </w:rPr>
              <w:t>'''''''</w:t>
            </w:r>
            <w:r w:rsidRPr="00B762F2">
              <w:t>%</w:t>
            </w:r>
          </w:p>
          <w:p w:rsidR="007C5EED" w:rsidRPr="00B762F2" w:rsidRDefault="007C5EED" w:rsidP="00E374F0">
            <w:pPr>
              <w:pStyle w:val="TableText"/>
              <w:keepNext w:val="0"/>
              <w:widowControl w:val="0"/>
            </w:pPr>
            <w:r w:rsidRPr="00B762F2">
              <w:t xml:space="preserve">Yr 4: </w:t>
            </w:r>
            <w:r w:rsidR="003A36FA">
              <w:rPr>
                <w:noProof/>
                <w:color w:val="000000"/>
                <w:highlight w:val="black"/>
              </w:rPr>
              <w:t>''''''</w:t>
            </w:r>
            <w:r w:rsidRPr="00B762F2">
              <w:t>%</w:t>
            </w:r>
          </w:p>
          <w:p w:rsidR="007C5EED" w:rsidRPr="00B762F2" w:rsidRDefault="007C5EED" w:rsidP="00E374F0">
            <w:pPr>
              <w:pStyle w:val="TableText"/>
              <w:keepNext w:val="0"/>
              <w:widowControl w:val="0"/>
            </w:pPr>
            <w:r w:rsidRPr="00B762F2">
              <w:t xml:space="preserve">Yr 5: </w:t>
            </w:r>
            <w:r w:rsidR="003A36FA">
              <w:rPr>
                <w:noProof/>
                <w:color w:val="000000"/>
                <w:highlight w:val="black"/>
              </w:rPr>
              <w:t>''''''''</w:t>
            </w:r>
            <w:r w:rsidRPr="00B762F2">
              <w:t>%</w:t>
            </w:r>
          </w:p>
          <w:p w:rsidR="007C5EED" w:rsidRPr="00E04E16" w:rsidRDefault="007C5EED" w:rsidP="00E374F0">
            <w:pPr>
              <w:pStyle w:val="TableText"/>
              <w:keepNext w:val="0"/>
              <w:widowControl w:val="0"/>
            </w:pPr>
            <w:r w:rsidRPr="00B762F2">
              <w:t xml:space="preserve">Yr 6: </w:t>
            </w:r>
            <w:r w:rsidR="003A36FA">
              <w:rPr>
                <w:noProof/>
                <w:color w:val="000000"/>
                <w:highlight w:val="black"/>
              </w:rPr>
              <w:t>''''''''''</w:t>
            </w:r>
            <w:r w:rsidRPr="00B762F2">
              <w:t>%</w:t>
            </w:r>
          </w:p>
        </w:tc>
        <w:tc>
          <w:tcPr>
            <w:tcW w:w="2973" w:type="dxa"/>
            <w:vAlign w:val="center"/>
          </w:tcPr>
          <w:p w:rsidR="007C5EED" w:rsidRPr="00B762F2" w:rsidRDefault="007C5EED" w:rsidP="00B70609">
            <w:pPr>
              <w:pStyle w:val="TableText"/>
              <w:keepNext w:val="0"/>
              <w:widowControl w:val="0"/>
            </w:pPr>
            <w:r w:rsidRPr="00B762F2">
              <w:t xml:space="preserve">Sponsor-commissioned physician survey of 11 Australian specialists. First year estimate </w:t>
            </w:r>
            <w:r w:rsidR="00E31155" w:rsidRPr="00B762F2">
              <w:t xml:space="preserve">was </w:t>
            </w:r>
            <w:r w:rsidRPr="00B762F2">
              <w:t xml:space="preserve">based on the reported mean patiromer uptake rate (60%). Estimates assumed to increase by </w:t>
            </w:r>
            <w:r w:rsidR="003A36FA">
              <w:rPr>
                <w:noProof/>
                <w:color w:val="000000"/>
                <w:highlight w:val="black"/>
              </w:rPr>
              <w:t>''''''</w:t>
            </w:r>
            <w:r w:rsidRPr="00B762F2">
              <w:t>% per year until they reach the reported maximum patiromer uptake rate (</w:t>
            </w:r>
            <w:r w:rsidR="003A36FA">
              <w:rPr>
                <w:noProof/>
                <w:color w:val="000000"/>
                <w:highlight w:val="black"/>
              </w:rPr>
              <w:t>''''''''''</w:t>
            </w:r>
            <w:r w:rsidRPr="00B762F2">
              <w:t>%).</w:t>
            </w:r>
          </w:p>
        </w:tc>
        <w:tc>
          <w:tcPr>
            <w:tcW w:w="3222" w:type="dxa"/>
            <w:vAlign w:val="center"/>
          </w:tcPr>
          <w:p w:rsidR="007C5EED" w:rsidRPr="00B762F2" w:rsidRDefault="007C5EED" w:rsidP="00E31155">
            <w:pPr>
              <w:pStyle w:val="TableText"/>
              <w:keepNext w:val="0"/>
              <w:widowControl w:val="0"/>
            </w:pPr>
            <w:r w:rsidRPr="00B762F2">
              <w:t xml:space="preserve">The responses suggest that patiromer may achieve an uptake rate of approximately 50% over time but do not support uptake rates of </w:t>
            </w:r>
            <w:r w:rsidR="003A36FA">
              <w:rPr>
                <w:noProof/>
                <w:color w:val="000000"/>
                <w:highlight w:val="black"/>
              </w:rPr>
              <w:t>'''''''''</w:t>
            </w:r>
            <w:r w:rsidRPr="00B762F2">
              <w:t>%. Additionally,</w:t>
            </w:r>
            <w:r w:rsidR="00E31155" w:rsidRPr="00B762F2">
              <w:t xml:space="preserve"> the evaluation and ESC considered that</w:t>
            </w:r>
            <w:r w:rsidRPr="00B762F2">
              <w:t xml:space="preserve"> it seem</w:t>
            </w:r>
            <w:r w:rsidR="00E31155" w:rsidRPr="00B762F2">
              <w:t>ed</w:t>
            </w:r>
            <w:r w:rsidRPr="00B762F2">
              <w:t xml:space="preserve"> </w:t>
            </w:r>
            <w:r w:rsidR="00B70609" w:rsidRPr="00B762F2">
              <w:t xml:space="preserve">implausible </w:t>
            </w:r>
            <w:r w:rsidRPr="00B762F2">
              <w:t xml:space="preserve">that patiromer will be used in </w:t>
            </w:r>
            <w:r w:rsidR="003A36FA">
              <w:rPr>
                <w:noProof/>
                <w:color w:val="000000"/>
                <w:highlight w:val="black"/>
              </w:rPr>
              <w:t>''''''''''</w:t>
            </w:r>
            <w:r w:rsidRPr="00B762F2">
              <w:t>% of hyperkalaemia patients given treatment burden (</w:t>
            </w:r>
            <w:r w:rsidR="00411765" w:rsidRPr="00B762F2">
              <w:t>6-hour</w:t>
            </w:r>
            <w:r w:rsidRPr="00B762F2">
              <w:t xml:space="preserve"> window when other drugs cannot be used), limited use of other similar products (SPS, CPS) and other methods of addressing hyperkalaemia (diet modification, treating underlying disease, modifying drug therapies </w:t>
            </w:r>
            <w:r w:rsidR="00411765" w:rsidRPr="00B762F2">
              <w:t>etc.</w:t>
            </w:r>
            <w:r w:rsidRPr="00B762F2">
              <w:t xml:space="preserve">). </w:t>
            </w:r>
          </w:p>
        </w:tc>
      </w:tr>
      <w:tr w:rsidR="007C5EED" w:rsidRPr="00E04E16" w:rsidTr="008A19B9">
        <w:trPr>
          <w:cantSplit/>
        </w:trPr>
        <w:tc>
          <w:tcPr>
            <w:tcW w:w="1526" w:type="dxa"/>
            <w:vAlign w:val="center"/>
          </w:tcPr>
          <w:p w:rsidR="007C5EED" w:rsidRPr="00E04E16" w:rsidRDefault="007C5EED" w:rsidP="00E374F0">
            <w:pPr>
              <w:pStyle w:val="TableText"/>
              <w:keepNext w:val="0"/>
              <w:widowControl w:val="0"/>
            </w:pPr>
            <w:r w:rsidRPr="00E04E16">
              <w:t>Patiromer treatment persistence</w:t>
            </w:r>
          </w:p>
        </w:tc>
        <w:tc>
          <w:tcPr>
            <w:tcW w:w="1459" w:type="dxa"/>
            <w:vAlign w:val="center"/>
          </w:tcPr>
          <w:p w:rsidR="007C5EED" w:rsidRPr="00E04E16" w:rsidRDefault="007C5EED" w:rsidP="00E374F0">
            <w:pPr>
              <w:pStyle w:val="TableText"/>
              <w:keepNext w:val="0"/>
              <w:widowControl w:val="0"/>
            </w:pPr>
            <w:r w:rsidRPr="00E04E16">
              <w:t>2</w:t>
            </w:r>
            <w:r w:rsidRPr="00E04E16">
              <w:rPr>
                <w:vertAlign w:val="superscript"/>
              </w:rPr>
              <w:t>nd</w:t>
            </w:r>
            <w:r w:rsidRPr="00E04E16">
              <w:t xml:space="preserve"> year: </w:t>
            </w:r>
            <w:r w:rsidR="003A36FA">
              <w:rPr>
                <w:noProof/>
                <w:color w:val="000000"/>
                <w:highlight w:val="black"/>
              </w:rPr>
              <w:t>'''''''''''</w:t>
            </w:r>
            <w:r w:rsidRPr="00E04E16">
              <w:t>%</w:t>
            </w:r>
          </w:p>
          <w:p w:rsidR="007C5EED" w:rsidRPr="00B762F2" w:rsidRDefault="007C5EED" w:rsidP="00E374F0">
            <w:pPr>
              <w:pStyle w:val="TableText"/>
              <w:keepNext w:val="0"/>
              <w:widowControl w:val="0"/>
            </w:pPr>
            <w:r w:rsidRPr="00E04E16">
              <w:t>3</w:t>
            </w:r>
            <w:r w:rsidRPr="00E04E16">
              <w:rPr>
                <w:vertAlign w:val="superscript"/>
              </w:rPr>
              <w:t>rd</w:t>
            </w:r>
            <w:r w:rsidRPr="00E04E16">
              <w:t xml:space="preserve"> year</w:t>
            </w:r>
            <w:r w:rsidRPr="00B762F2">
              <w:t xml:space="preserve">: </w:t>
            </w:r>
            <w:r w:rsidR="003A36FA">
              <w:rPr>
                <w:noProof/>
                <w:color w:val="000000"/>
                <w:highlight w:val="black"/>
              </w:rPr>
              <w:t>'''''''</w:t>
            </w:r>
            <w:r w:rsidRPr="00B762F2">
              <w:t>%</w:t>
            </w:r>
          </w:p>
          <w:p w:rsidR="007C5EED" w:rsidRPr="00B762F2" w:rsidRDefault="007C5EED" w:rsidP="00E374F0">
            <w:pPr>
              <w:pStyle w:val="TableText"/>
              <w:keepNext w:val="0"/>
              <w:widowControl w:val="0"/>
            </w:pPr>
            <w:r w:rsidRPr="00B762F2">
              <w:t>4</w:t>
            </w:r>
            <w:r w:rsidRPr="00B762F2">
              <w:rPr>
                <w:vertAlign w:val="superscript"/>
              </w:rPr>
              <w:t>th</w:t>
            </w:r>
            <w:r w:rsidRPr="00B762F2">
              <w:t xml:space="preserve"> year: </w:t>
            </w:r>
            <w:r w:rsidR="003A36FA">
              <w:rPr>
                <w:noProof/>
                <w:color w:val="000000"/>
                <w:highlight w:val="black"/>
              </w:rPr>
              <w:t>'''''''''''''</w:t>
            </w:r>
          </w:p>
          <w:p w:rsidR="007C5EED" w:rsidRPr="00B762F2" w:rsidRDefault="007C5EED" w:rsidP="00E374F0">
            <w:pPr>
              <w:pStyle w:val="TableText"/>
              <w:keepNext w:val="0"/>
              <w:widowControl w:val="0"/>
            </w:pPr>
            <w:r w:rsidRPr="00B762F2">
              <w:t>5</w:t>
            </w:r>
            <w:r w:rsidRPr="00B762F2">
              <w:rPr>
                <w:vertAlign w:val="superscript"/>
              </w:rPr>
              <w:t>th</w:t>
            </w:r>
            <w:r w:rsidRPr="00B762F2">
              <w:t xml:space="preserve"> year: </w:t>
            </w:r>
            <w:r w:rsidR="003A36FA">
              <w:rPr>
                <w:noProof/>
                <w:color w:val="000000"/>
                <w:highlight w:val="black"/>
              </w:rPr>
              <w:t>'''''''</w:t>
            </w:r>
            <w:r w:rsidRPr="00B762F2">
              <w:t>%</w:t>
            </w:r>
          </w:p>
          <w:p w:rsidR="007C5EED" w:rsidRPr="00E04E16" w:rsidRDefault="007C5EED" w:rsidP="00E374F0">
            <w:pPr>
              <w:pStyle w:val="TableText"/>
              <w:keepNext w:val="0"/>
              <w:widowControl w:val="0"/>
            </w:pPr>
            <w:r w:rsidRPr="00B762F2">
              <w:t>6</w:t>
            </w:r>
            <w:r w:rsidRPr="00B762F2">
              <w:rPr>
                <w:vertAlign w:val="superscript"/>
              </w:rPr>
              <w:t>th</w:t>
            </w:r>
            <w:r w:rsidRPr="00B762F2">
              <w:t xml:space="preserve"> year: </w:t>
            </w:r>
            <w:r w:rsidR="003A36FA">
              <w:rPr>
                <w:noProof/>
                <w:color w:val="000000"/>
                <w:highlight w:val="black"/>
              </w:rPr>
              <w:t>'''''''''</w:t>
            </w:r>
            <w:r w:rsidRPr="00B762F2">
              <w:t>%</w:t>
            </w:r>
          </w:p>
        </w:tc>
        <w:tc>
          <w:tcPr>
            <w:tcW w:w="2973" w:type="dxa"/>
            <w:vAlign w:val="center"/>
          </w:tcPr>
          <w:p w:rsidR="007C5EED" w:rsidRPr="00E04E16" w:rsidRDefault="007C5EED" w:rsidP="00E374F0">
            <w:pPr>
              <w:pStyle w:val="TableText"/>
              <w:keepNext w:val="0"/>
              <w:widowControl w:val="0"/>
            </w:pPr>
            <w:r w:rsidRPr="00E04E16">
              <w:t xml:space="preserve">Based on an unpublished analysis of US insurance claims data. </w:t>
            </w:r>
            <w:r w:rsidR="00411765" w:rsidRPr="00E04E16">
              <w:t>Long-term</w:t>
            </w:r>
            <w:r w:rsidRPr="00E04E16">
              <w:t xml:space="preserve"> persistence estimates extrapolated using a log-normal function.</w:t>
            </w:r>
          </w:p>
        </w:tc>
        <w:tc>
          <w:tcPr>
            <w:tcW w:w="3222" w:type="dxa"/>
            <w:vAlign w:val="center"/>
          </w:tcPr>
          <w:p w:rsidR="007C5EED" w:rsidRPr="00E04E16" w:rsidRDefault="007C5EED" w:rsidP="00E374F0">
            <w:pPr>
              <w:pStyle w:val="TableText"/>
              <w:keepNext w:val="0"/>
              <w:widowControl w:val="0"/>
            </w:pPr>
            <w:r w:rsidRPr="00E04E16">
              <w:t>There was insufficient information (regarding treatment rules, co-payments, patient characteristics and other factors) to assess the applicability of this data source.</w:t>
            </w:r>
          </w:p>
        </w:tc>
      </w:tr>
      <w:tr w:rsidR="007C5EED" w:rsidRPr="00E04E16" w:rsidTr="008A19B9">
        <w:trPr>
          <w:cantSplit/>
        </w:trPr>
        <w:tc>
          <w:tcPr>
            <w:tcW w:w="9180" w:type="dxa"/>
            <w:gridSpan w:val="4"/>
            <w:vAlign w:val="center"/>
          </w:tcPr>
          <w:p w:rsidR="007C5EED" w:rsidRPr="00E04E16" w:rsidRDefault="007C5EED" w:rsidP="00E374F0">
            <w:pPr>
              <w:pStyle w:val="TableText"/>
              <w:keepNext w:val="0"/>
              <w:widowControl w:val="0"/>
              <w:rPr>
                <w:b/>
              </w:rPr>
            </w:pPr>
            <w:r w:rsidRPr="00E04E16">
              <w:rPr>
                <w:b/>
              </w:rPr>
              <w:t>Utilisation</w:t>
            </w:r>
          </w:p>
        </w:tc>
      </w:tr>
      <w:tr w:rsidR="007C5EED" w:rsidRPr="00E04E16" w:rsidTr="008A19B9">
        <w:trPr>
          <w:cantSplit/>
        </w:trPr>
        <w:tc>
          <w:tcPr>
            <w:tcW w:w="1526" w:type="dxa"/>
            <w:vAlign w:val="center"/>
          </w:tcPr>
          <w:p w:rsidR="007C5EED" w:rsidRPr="00E04E16" w:rsidRDefault="007C5EED" w:rsidP="00E374F0">
            <w:pPr>
              <w:pStyle w:val="TableText"/>
              <w:keepNext w:val="0"/>
              <w:widowControl w:val="0"/>
            </w:pPr>
            <w:r w:rsidRPr="00E04E16">
              <w:t>Patiromer scripts per patient per year</w:t>
            </w:r>
          </w:p>
        </w:tc>
        <w:tc>
          <w:tcPr>
            <w:tcW w:w="1459" w:type="dxa"/>
            <w:vAlign w:val="center"/>
          </w:tcPr>
          <w:p w:rsidR="007C5EED" w:rsidRPr="00E04E16" w:rsidRDefault="007C5EED" w:rsidP="00E374F0">
            <w:pPr>
              <w:pStyle w:val="TableText"/>
              <w:keepNext w:val="0"/>
              <w:widowControl w:val="0"/>
            </w:pPr>
            <w:r w:rsidRPr="00E04E16">
              <w:t>11.7</w:t>
            </w:r>
          </w:p>
        </w:tc>
        <w:tc>
          <w:tcPr>
            <w:tcW w:w="2973" w:type="dxa"/>
            <w:vAlign w:val="center"/>
          </w:tcPr>
          <w:p w:rsidR="007C5EED" w:rsidRPr="00E04E16" w:rsidRDefault="007C5EED" w:rsidP="00E374F0">
            <w:pPr>
              <w:pStyle w:val="TableText"/>
              <w:keepNext w:val="0"/>
              <w:widowControl w:val="0"/>
            </w:pPr>
            <w:r w:rsidRPr="00E04E16">
              <w:t>Assumption of 12 scripts per year (perfect persistence) and adherence of 96.39% based on the average adherence to patiromer across all stratum of the AMETHYST-DN trial.</w:t>
            </w:r>
          </w:p>
        </w:tc>
        <w:tc>
          <w:tcPr>
            <w:tcW w:w="3222" w:type="dxa"/>
            <w:vAlign w:val="center"/>
          </w:tcPr>
          <w:p w:rsidR="007C5EED" w:rsidRPr="00E04E16" w:rsidRDefault="007C5EED" w:rsidP="0072427B">
            <w:pPr>
              <w:pStyle w:val="TableText"/>
              <w:keepNext w:val="0"/>
              <w:widowControl w:val="0"/>
            </w:pPr>
            <w:r w:rsidRPr="00E04E16">
              <w:t xml:space="preserve">The assumption of 12 scripts per year was inconsistent with the US claims </w:t>
            </w:r>
            <w:r w:rsidR="000D7EAC" w:rsidRPr="00E04E16">
              <w:t>data, which</w:t>
            </w:r>
            <w:r w:rsidRPr="00E04E16">
              <w:t xml:space="preserve"> indicated that the median persistence to patiromer therapy </w:t>
            </w:r>
            <w:r w:rsidR="0072427B" w:rsidRPr="00E04E16">
              <w:t xml:space="preserve">appears to be </w:t>
            </w:r>
            <w:r w:rsidRPr="00E04E16">
              <w:t>approximately 3 months. Additionally, the resubmission assumed adherence rates based on clinical trial data, which is likely to overestimate treatment adherence in clinical practice.</w:t>
            </w:r>
          </w:p>
        </w:tc>
      </w:tr>
      <w:tr w:rsidR="007C5EED" w:rsidRPr="00E04E16" w:rsidTr="008A19B9">
        <w:trPr>
          <w:cantSplit/>
        </w:trPr>
        <w:tc>
          <w:tcPr>
            <w:tcW w:w="1526" w:type="dxa"/>
            <w:vAlign w:val="center"/>
          </w:tcPr>
          <w:p w:rsidR="007C5EED" w:rsidRPr="00E04E16" w:rsidRDefault="007C5EED" w:rsidP="00E374F0">
            <w:pPr>
              <w:pStyle w:val="TableText"/>
              <w:keepNext w:val="0"/>
              <w:widowControl w:val="0"/>
            </w:pPr>
            <w:r w:rsidRPr="00E04E16">
              <w:t>Distribution of patiromer scripts</w:t>
            </w:r>
          </w:p>
        </w:tc>
        <w:tc>
          <w:tcPr>
            <w:tcW w:w="1459" w:type="dxa"/>
            <w:vAlign w:val="center"/>
          </w:tcPr>
          <w:p w:rsidR="007C5EED" w:rsidRPr="00B762F2" w:rsidRDefault="007C5EED" w:rsidP="00E374F0">
            <w:pPr>
              <w:pStyle w:val="TableText"/>
              <w:keepNext w:val="0"/>
              <w:widowControl w:val="0"/>
            </w:pPr>
            <w:r w:rsidRPr="00E04E16">
              <w:t xml:space="preserve">8.4 g: </w:t>
            </w:r>
            <w:r w:rsidR="003A36FA">
              <w:rPr>
                <w:noProof/>
                <w:color w:val="000000"/>
                <w:highlight w:val="black"/>
              </w:rPr>
              <w:t>''''''</w:t>
            </w:r>
            <w:r w:rsidRPr="00B762F2">
              <w:t>%</w:t>
            </w:r>
          </w:p>
          <w:p w:rsidR="007C5EED" w:rsidRPr="00E04E16" w:rsidRDefault="007C5EED" w:rsidP="00E374F0">
            <w:pPr>
              <w:pStyle w:val="TableText"/>
              <w:keepNext w:val="0"/>
              <w:widowControl w:val="0"/>
            </w:pPr>
            <w:r w:rsidRPr="00B762F2">
              <w:t xml:space="preserve">16.8 g: </w:t>
            </w:r>
            <w:r w:rsidR="003A36FA">
              <w:rPr>
                <w:noProof/>
                <w:color w:val="000000"/>
                <w:highlight w:val="black"/>
              </w:rPr>
              <w:t>''''''</w:t>
            </w:r>
            <w:r w:rsidRPr="00B762F2">
              <w:t>%</w:t>
            </w:r>
            <w:r w:rsidRPr="00E04E16">
              <w:t xml:space="preserve"> </w:t>
            </w:r>
          </w:p>
        </w:tc>
        <w:tc>
          <w:tcPr>
            <w:tcW w:w="2973" w:type="dxa"/>
            <w:vAlign w:val="center"/>
          </w:tcPr>
          <w:p w:rsidR="007C5EED" w:rsidRPr="00E04E16" w:rsidRDefault="007C5EED" w:rsidP="00E374F0">
            <w:pPr>
              <w:pStyle w:val="TableText"/>
              <w:keepNext w:val="0"/>
              <w:widowControl w:val="0"/>
            </w:pPr>
            <w:r w:rsidRPr="00E04E16">
              <w:t>Assumption.</w:t>
            </w:r>
          </w:p>
        </w:tc>
        <w:tc>
          <w:tcPr>
            <w:tcW w:w="3222" w:type="dxa"/>
            <w:vAlign w:val="center"/>
          </w:tcPr>
          <w:p w:rsidR="007C5EED" w:rsidRPr="00E04E16" w:rsidRDefault="007C5EED" w:rsidP="00E31155">
            <w:pPr>
              <w:pStyle w:val="TableText"/>
              <w:keepNext w:val="0"/>
              <w:widowControl w:val="0"/>
            </w:pPr>
            <w:r w:rsidRPr="00E04E16">
              <w:t xml:space="preserve">The resubmission assumed no use of the maximum approved dose (25.2 g per day) which was inconsistent with the trial data, which suggested that more than </w:t>
            </w:r>
            <w:r w:rsidR="00E31155" w:rsidRPr="00E04E16">
              <w:t>50</w:t>
            </w:r>
            <w:r w:rsidRPr="00E04E16">
              <w:t>% of patients required doses greater than 16.8 g per day (Table 14.5.1.3.1, p 568 of the O</w:t>
            </w:r>
            <w:r w:rsidR="0064628F" w:rsidRPr="00E04E16">
              <w:t>PAL</w:t>
            </w:r>
            <w:r w:rsidRPr="00E04E16">
              <w:t xml:space="preserve">-HK trial report). </w:t>
            </w:r>
          </w:p>
        </w:tc>
      </w:tr>
    </w:tbl>
    <w:p w:rsidR="007C5EED" w:rsidRPr="00E04E16" w:rsidRDefault="007C5EED" w:rsidP="007C5EED">
      <w:pPr>
        <w:pStyle w:val="TableFigureFooter"/>
        <w:widowControl w:val="0"/>
        <w:spacing w:after="0"/>
      </w:pPr>
      <w:r w:rsidRPr="00E04E16">
        <w:t>Source: Table 4.1.3, p.135, Table 4.2.1, p.137, Table 4.2.5, p.140, Table 4.3.1, p.142, Table 4.3.2, p.143 of the resubmission; Section 4 Financial and Cost Model Excel workbook.</w:t>
      </w:r>
    </w:p>
    <w:p w:rsidR="007C5EED" w:rsidRPr="00E04E16" w:rsidRDefault="007C5EED" w:rsidP="00BB546F">
      <w:pPr>
        <w:pStyle w:val="TableFooter"/>
        <w:keepNext/>
        <w:keepLines/>
        <w:widowControl/>
        <w:spacing w:after="240"/>
        <w:contextualSpacing/>
      </w:pPr>
      <w:r w:rsidRPr="00E04E16">
        <w:t xml:space="preserve">Abbreviations: ACEi, angiotensin-converting enzyme inhibitor; ARB, angiotensin receptor blocker; </w:t>
      </w:r>
      <w:r w:rsidR="0064628F" w:rsidRPr="00E04E16">
        <w:t xml:space="preserve">AIHW, Australian Institute of Health and Welfare;  CKD, chronic kidney disease; </w:t>
      </w:r>
      <w:r w:rsidRPr="00E04E16">
        <w:t>DPMA, dispensed price per maximum quantity; PBS, Pharmaceutical Benefits Scheme; RAASi, renin-angiotensin-aldosterone system inhibitor; RPBS, Repatriation Pharmaceutical Benefits Scheme.</w:t>
      </w:r>
    </w:p>
    <w:p w:rsidR="007C5EED" w:rsidRPr="00E04E16" w:rsidRDefault="007C5EED" w:rsidP="007C5EED">
      <w:pPr>
        <w:pStyle w:val="ExecSumBodyText"/>
        <w:numPr>
          <w:ilvl w:val="1"/>
          <w:numId w:val="1"/>
        </w:numPr>
      </w:pPr>
      <w:r w:rsidRPr="00E04E16">
        <w:t>The estimated utilisation and total cost of patiromer for the management of moderate-to-severe chronic kidney disease patients who have recurrent episodes of hyperkalaemia is summarised in the table below.</w:t>
      </w:r>
    </w:p>
    <w:p w:rsidR="007C5EED" w:rsidRPr="00E04E16" w:rsidRDefault="007C5EED" w:rsidP="00FD0396">
      <w:pPr>
        <w:pStyle w:val="TableHeading"/>
        <w:rPr>
          <w:rStyle w:val="CommentReference"/>
          <w:sz w:val="20"/>
        </w:rPr>
      </w:pPr>
      <w:r w:rsidRPr="00E04E16">
        <w:rPr>
          <w:rStyle w:val="CommentReference"/>
          <w:sz w:val="20"/>
        </w:rPr>
        <w:lastRenderedPageBreak/>
        <w:t>Table</w:t>
      </w:r>
      <w:r w:rsidR="00075D97" w:rsidRPr="00E04E16">
        <w:rPr>
          <w:rStyle w:val="CommentReference"/>
          <w:sz w:val="20"/>
        </w:rPr>
        <w:t xml:space="preserve"> </w:t>
      </w:r>
      <w:r w:rsidR="00494BDB" w:rsidRPr="00E04E16">
        <w:rPr>
          <w:rStyle w:val="CommentReference"/>
          <w:sz w:val="20"/>
        </w:rPr>
        <w:t>20</w:t>
      </w:r>
      <w:r w:rsidRPr="00E04E16">
        <w:rPr>
          <w:rStyle w:val="CommentReference"/>
          <w:sz w:val="20"/>
        </w:rPr>
        <w:t>:  Estimated use and financial implications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263"/>
        <w:gridCol w:w="1134"/>
        <w:gridCol w:w="1134"/>
        <w:gridCol w:w="1134"/>
        <w:gridCol w:w="1134"/>
        <w:gridCol w:w="1134"/>
        <w:gridCol w:w="1134"/>
      </w:tblGrid>
      <w:tr w:rsidR="007C5EED" w:rsidRPr="00E04E16" w:rsidTr="00E374F0">
        <w:trPr>
          <w:tblHeader/>
        </w:trPr>
        <w:tc>
          <w:tcPr>
            <w:tcW w:w="2263" w:type="dxa"/>
            <w:shd w:val="clear" w:color="auto" w:fill="auto"/>
            <w:vAlign w:val="center"/>
          </w:tcPr>
          <w:p w:rsidR="007C5EED" w:rsidRPr="00E04E16" w:rsidRDefault="007C5EED" w:rsidP="007C5EED">
            <w:pPr>
              <w:pStyle w:val="Tabletext0"/>
              <w:spacing w:before="0" w:after="0"/>
              <w:rPr>
                <w:b/>
              </w:rPr>
            </w:pPr>
          </w:p>
        </w:tc>
        <w:tc>
          <w:tcPr>
            <w:tcW w:w="1134" w:type="dxa"/>
            <w:shd w:val="clear" w:color="auto" w:fill="auto"/>
            <w:vAlign w:val="center"/>
          </w:tcPr>
          <w:p w:rsidR="007C5EED" w:rsidRPr="00E04E16" w:rsidRDefault="007C5EED" w:rsidP="007C5EED">
            <w:pPr>
              <w:pStyle w:val="Tabletext0"/>
              <w:spacing w:before="0" w:after="0"/>
              <w:jc w:val="center"/>
              <w:rPr>
                <w:b/>
              </w:rPr>
            </w:pPr>
            <w:r w:rsidRPr="00E04E16">
              <w:rPr>
                <w:b/>
              </w:rPr>
              <w:t>Year 1</w:t>
            </w:r>
          </w:p>
          <w:p w:rsidR="007C5EED" w:rsidRPr="00E04E16" w:rsidRDefault="007C5EED" w:rsidP="007C5EED">
            <w:pPr>
              <w:pStyle w:val="Tabletext0"/>
              <w:spacing w:before="0" w:after="0"/>
              <w:jc w:val="center"/>
              <w:rPr>
                <w:b/>
              </w:rPr>
            </w:pPr>
            <w:r w:rsidRPr="00E04E16">
              <w:rPr>
                <w:b/>
              </w:rPr>
              <w:t>(2021)</w:t>
            </w:r>
          </w:p>
        </w:tc>
        <w:tc>
          <w:tcPr>
            <w:tcW w:w="1134" w:type="dxa"/>
            <w:shd w:val="clear" w:color="auto" w:fill="auto"/>
            <w:vAlign w:val="center"/>
          </w:tcPr>
          <w:p w:rsidR="007C5EED" w:rsidRPr="00E04E16" w:rsidRDefault="007C5EED" w:rsidP="007C5EED">
            <w:pPr>
              <w:pStyle w:val="Tabletext0"/>
              <w:spacing w:before="0" w:after="0"/>
              <w:jc w:val="center"/>
              <w:rPr>
                <w:b/>
              </w:rPr>
            </w:pPr>
            <w:r w:rsidRPr="00E04E16">
              <w:rPr>
                <w:b/>
              </w:rPr>
              <w:t>Year 2</w:t>
            </w:r>
          </w:p>
          <w:p w:rsidR="007C5EED" w:rsidRPr="00E04E16" w:rsidRDefault="007C5EED" w:rsidP="007C5EED">
            <w:pPr>
              <w:pStyle w:val="Tabletext0"/>
              <w:spacing w:before="0" w:after="0"/>
              <w:jc w:val="center"/>
              <w:rPr>
                <w:b/>
              </w:rPr>
            </w:pPr>
            <w:r w:rsidRPr="00E04E16">
              <w:rPr>
                <w:b/>
              </w:rPr>
              <w:t>(2022)</w:t>
            </w:r>
          </w:p>
        </w:tc>
        <w:tc>
          <w:tcPr>
            <w:tcW w:w="1134" w:type="dxa"/>
            <w:shd w:val="clear" w:color="auto" w:fill="auto"/>
            <w:vAlign w:val="center"/>
          </w:tcPr>
          <w:p w:rsidR="007C5EED" w:rsidRPr="00E04E16" w:rsidRDefault="007C5EED" w:rsidP="007C5EED">
            <w:pPr>
              <w:pStyle w:val="Tabletext0"/>
              <w:spacing w:before="0" w:after="0"/>
              <w:jc w:val="center"/>
              <w:rPr>
                <w:b/>
              </w:rPr>
            </w:pPr>
            <w:r w:rsidRPr="00E04E16">
              <w:rPr>
                <w:b/>
              </w:rPr>
              <w:t xml:space="preserve">Year 3 </w:t>
            </w:r>
          </w:p>
          <w:p w:rsidR="007C5EED" w:rsidRPr="00E04E16" w:rsidRDefault="007C5EED" w:rsidP="007C5EED">
            <w:pPr>
              <w:pStyle w:val="Tabletext0"/>
              <w:spacing w:before="0" w:after="0"/>
              <w:jc w:val="center"/>
              <w:rPr>
                <w:b/>
              </w:rPr>
            </w:pPr>
            <w:r w:rsidRPr="00E04E16">
              <w:rPr>
                <w:b/>
              </w:rPr>
              <w:t>(2023)</w:t>
            </w:r>
          </w:p>
        </w:tc>
        <w:tc>
          <w:tcPr>
            <w:tcW w:w="1134" w:type="dxa"/>
            <w:shd w:val="clear" w:color="auto" w:fill="auto"/>
            <w:vAlign w:val="center"/>
          </w:tcPr>
          <w:p w:rsidR="007C5EED" w:rsidRPr="00E04E16" w:rsidRDefault="007C5EED" w:rsidP="007C5EED">
            <w:pPr>
              <w:pStyle w:val="Tabletext0"/>
              <w:spacing w:before="0" w:after="0"/>
              <w:jc w:val="center"/>
              <w:rPr>
                <w:b/>
              </w:rPr>
            </w:pPr>
            <w:r w:rsidRPr="00E04E16">
              <w:rPr>
                <w:b/>
              </w:rPr>
              <w:t xml:space="preserve">Year 4 </w:t>
            </w:r>
          </w:p>
          <w:p w:rsidR="007C5EED" w:rsidRPr="00E04E16" w:rsidRDefault="007C5EED" w:rsidP="007C5EED">
            <w:pPr>
              <w:pStyle w:val="Tabletext0"/>
              <w:spacing w:before="0" w:after="0"/>
              <w:jc w:val="center"/>
              <w:rPr>
                <w:b/>
              </w:rPr>
            </w:pPr>
            <w:r w:rsidRPr="00E04E16">
              <w:rPr>
                <w:b/>
              </w:rPr>
              <w:t>(2024)</w:t>
            </w:r>
          </w:p>
        </w:tc>
        <w:tc>
          <w:tcPr>
            <w:tcW w:w="1134" w:type="dxa"/>
            <w:shd w:val="clear" w:color="auto" w:fill="auto"/>
            <w:vAlign w:val="center"/>
          </w:tcPr>
          <w:p w:rsidR="007C5EED" w:rsidRPr="00E04E16" w:rsidRDefault="007C5EED" w:rsidP="007C5EED">
            <w:pPr>
              <w:pStyle w:val="Tabletext0"/>
              <w:spacing w:before="0" w:after="0"/>
              <w:jc w:val="center"/>
              <w:rPr>
                <w:b/>
              </w:rPr>
            </w:pPr>
            <w:r w:rsidRPr="00E04E16">
              <w:rPr>
                <w:b/>
              </w:rPr>
              <w:t xml:space="preserve">Year 5 </w:t>
            </w:r>
          </w:p>
          <w:p w:rsidR="007C5EED" w:rsidRPr="00E04E16" w:rsidRDefault="007C5EED" w:rsidP="007C5EED">
            <w:pPr>
              <w:pStyle w:val="Tabletext0"/>
              <w:spacing w:before="0" w:after="0"/>
              <w:jc w:val="center"/>
              <w:rPr>
                <w:b/>
              </w:rPr>
            </w:pPr>
            <w:r w:rsidRPr="00E04E16">
              <w:rPr>
                <w:b/>
              </w:rPr>
              <w:t>(2025)</w:t>
            </w:r>
          </w:p>
        </w:tc>
        <w:tc>
          <w:tcPr>
            <w:tcW w:w="1134" w:type="dxa"/>
            <w:shd w:val="clear" w:color="auto" w:fill="auto"/>
            <w:vAlign w:val="center"/>
          </w:tcPr>
          <w:p w:rsidR="007C5EED" w:rsidRPr="00E04E16" w:rsidRDefault="007C5EED" w:rsidP="007C5EED">
            <w:pPr>
              <w:pStyle w:val="Tabletext0"/>
              <w:spacing w:before="0" w:after="0"/>
              <w:jc w:val="center"/>
              <w:rPr>
                <w:b/>
              </w:rPr>
            </w:pPr>
            <w:r w:rsidRPr="00E04E16">
              <w:rPr>
                <w:b/>
              </w:rPr>
              <w:t xml:space="preserve">Year 6 </w:t>
            </w:r>
          </w:p>
          <w:p w:rsidR="007C5EED" w:rsidRPr="00E04E16" w:rsidRDefault="007C5EED" w:rsidP="007C5EED">
            <w:pPr>
              <w:pStyle w:val="Tabletext0"/>
              <w:spacing w:before="0" w:after="0"/>
              <w:jc w:val="center"/>
              <w:rPr>
                <w:b/>
              </w:rPr>
            </w:pPr>
            <w:r w:rsidRPr="00E04E16">
              <w:rPr>
                <w:b/>
              </w:rPr>
              <w:t>(2026)</w:t>
            </w:r>
          </w:p>
        </w:tc>
      </w:tr>
      <w:tr w:rsidR="007C5EED" w:rsidRPr="00E04E16" w:rsidTr="00E374F0">
        <w:tc>
          <w:tcPr>
            <w:tcW w:w="9067" w:type="dxa"/>
            <w:gridSpan w:val="7"/>
            <w:tcBorders>
              <w:right w:val="single" w:sz="4" w:space="0" w:color="auto"/>
            </w:tcBorders>
            <w:shd w:val="clear" w:color="auto" w:fill="auto"/>
            <w:vAlign w:val="center"/>
          </w:tcPr>
          <w:p w:rsidR="007C5EED" w:rsidRPr="00E04E16" w:rsidRDefault="007C5EED" w:rsidP="007C5EED">
            <w:pPr>
              <w:pStyle w:val="Tabletext0"/>
              <w:spacing w:before="0" w:after="0"/>
              <w:rPr>
                <w:b/>
              </w:rPr>
            </w:pPr>
            <w:r w:rsidRPr="00E04E16">
              <w:rPr>
                <w:b/>
              </w:rPr>
              <w:t>Estimated extent of use</w:t>
            </w:r>
          </w:p>
        </w:tc>
      </w:tr>
      <w:tr w:rsidR="007C5EED" w:rsidRPr="00E04E16" w:rsidTr="00E374F0">
        <w:tc>
          <w:tcPr>
            <w:tcW w:w="2263" w:type="dxa"/>
            <w:shd w:val="clear" w:color="auto" w:fill="auto"/>
            <w:vAlign w:val="center"/>
          </w:tcPr>
          <w:p w:rsidR="007C5EED" w:rsidRPr="00E04E16" w:rsidRDefault="007C5EED" w:rsidP="007C5EED">
            <w:pPr>
              <w:pStyle w:val="Tabletext0"/>
              <w:spacing w:before="0" w:after="0"/>
            </w:pPr>
            <w:r w:rsidRPr="00E04E16">
              <w:t>Number of patients treated</w:t>
            </w:r>
          </w:p>
        </w:tc>
        <w:tc>
          <w:tcPr>
            <w:tcW w:w="1134" w:type="dxa"/>
            <w:tcBorders>
              <w:top w:val="single" w:sz="4" w:space="0" w:color="auto"/>
              <w:left w:val="nil"/>
              <w:bottom w:val="single" w:sz="4" w:space="0" w:color="auto"/>
              <w:right w:val="single" w:sz="4" w:space="0" w:color="auto"/>
            </w:tcBorders>
            <w:shd w:val="clear" w:color="auto" w:fill="auto"/>
            <w:vAlign w:val="center"/>
          </w:tcPr>
          <w:p w:rsidR="007C5EED" w:rsidRPr="0058692C" w:rsidRDefault="004E288B" w:rsidP="007C5EED">
            <w:pPr>
              <w:pStyle w:val="Tabletext0"/>
              <w:spacing w:before="0" w:after="0"/>
              <w:jc w:val="center"/>
              <w:rPr>
                <w:vertAlign w:val="superscript"/>
              </w:rPr>
            </w:pPr>
            <w:r>
              <w:rPr>
                <w:noProof/>
                <w:color w:val="000000"/>
                <w:highlight w:val="black"/>
              </w:rPr>
              <w:t>''''''''''''''''</w:t>
            </w:r>
            <w:r w:rsidR="005167A3" w:rsidRPr="00E04E16">
              <w:rPr>
                <w:vertAlign w:val="superscript"/>
              </w:rPr>
              <w:t>a</w:t>
            </w:r>
            <w:r w:rsidR="0058692C">
              <w:rPr>
                <w:vertAlign w:val="superscript"/>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C5EED" w:rsidRPr="0058692C" w:rsidRDefault="004E288B" w:rsidP="007C5EED">
            <w:pPr>
              <w:pStyle w:val="Tabletext0"/>
              <w:spacing w:before="0" w:after="0"/>
              <w:jc w:val="center"/>
              <w:rPr>
                <w:vertAlign w:val="superscript"/>
              </w:rPr>
            </w:pPr>
            <w:r>
              <w:rPr>
                <w:noProof/>
                <w:color w:val="000000"/>
                <w:highlight w:val="black"/>
              </w:rPr>
              <w:t>'''''''''''''</w:t>
            </w:r>
            <w:r w:rsidR="0058692C">
              <w:rPr>
                <w:vertAlign w:val="superscript"/>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C5EED" w:rsidRPr="0058692C" w:rsidRDefault="004E288B" w:rsidP="007C5EED">
            <w:pPr>
              <w:pStyle w:val="Tabletext0"/>
              <w:spacing w:before="0" w:after="0"/>
              <w:jc w:val="center"/>
              <w:rPr>
                <w:vertAlign w:val="superscript"/>
              </w:rPr>
            </w:pPr>
            <w:r>
              <w:rPr>
                <w:noProof/>
                <w:color w:val="000000"/>
                <w:highlight w:val="black"/>
              </w:rPr>
              <w:t>'''''''''''''''</w:t>
            </w:r>
            <w:r w:rsidR="0058692C">
              <w:rPr>
                <w:vertAlign w:val="superscript"/>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C5EED" w:rsidRPr="00E04E16" w:rsidRDefault="004E288B" w:rsidP="007C5EED">
            <w:pPr>
              <w:pStyle w:val="Tabletext0"/>
              <w:spacing w:before="0" w:after="0"/>
              <w:jc w:val="center"/>
            </w:pPr>
            <w:r>
              <w:rPr>
                <w:noProof/>
                <w:color w:val="000000"/>
                <w:highlight w:val="black"/>
              </w:rPr>
              <w:t>'''''''''''''''''</w:t>
            </w:r>
            <w:r w:rsidR="0058692C">
              <w:rPr>
                <w:vertAlign w:val="superscript"/>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C5EED" w:rsidRPr="00E04E16" w:rsidRDefault="004E288B" w:rsidP="007C5EED">
            <w:pPr>
              <w:pStyle w:val="Tabletext0"/>
              <w:spacing w:before="0" w:after="0"/>
              <w:jc w:val="center"/>
            </w:pPr>
            <w:r>
              <w:rPr>
                <w:noProof/>
                <w:color w:val="000000"/>
                <w:highlight w:val="black"/>
              </w:rPr>
              <w:t>'''''''''''''''''</w:t>
            </w:r>
            <w:r w:rsidR="0058692C">
              <w:rPr>
                <w:vertAlign w:val="superscript"/>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C5EED" w:rsidRPr="00E04E16" w:rsidRDefault="004E288B" w:rsidP="007C5EED">
            <w:pPr>
              <w:pStyle w:val="Tabletext0"/>
              <w:spacing w:before="0" w:after="0"/>
              <w:jc w:val="center"/>
            </w:pPr>
            <w:r>
              <w:rPr>
                <w:noProof/>
                <w:color w:val="000000"/>
                <w:highlight w:val="black"/>
              </w:rPr>
              <w:t>'''''''''''''''''</w:t>
            </w:r>
            <w:r w:rsidR="0058692C">
              <w:rPr>
                <w:vertAlign w:val="superscript"/>
              </w:rPr>
              <w:t>1</w:t>
            </w:r>
          </w:p>
        </w:tc>
      </w:tr>
      <w:tr w:rsidR="007C5EED" w:rsidRPr="00E04E16" w:rsidTr="00E374F0">
        <w:tc>
          <w:tcPr>
            <w:tcW w:w="2263" w:type="dxa"/>
            <w:shd w:val="clear" w:color="auto" w:fill="auto"/>
            <w:vAlign w:val="center"/>
          </w:tcPr>
          <w:p w:rsidR="007C5EED" w:rsidRPr="00E04E16" w:rsidRDefault="007C5EED" w:rsidP="007C5EED">
            <w:pPr>
              <w:pStyle w:val="Tabletext0"/>
              <w:spacing w:before="0" w:after="0"/>
            </w:pPr>
            <w:r w:rsidRPr="00E04E16">
              <w:t>Number of scripts dispensed</w:t>
            </w:r>
            <w:r w:rsidR="005167A3" w:rsidRPr="00E04E16">
              <w:rPr>
                <w:vertAlign w:val="superscript"/>
              </w:rPr>
              <w:t>b</w:t>
            </w:r>
          </w:p>
        </w:tc>
        <w:tc>
          <w:tcPr>
            <w:tcW w:w="1134" w:type="dxa"/>
            <w:tcBorders>
              <w:top w:val="single" w:sz="4" w:space="0" w:color="auto"/>
              <w:left w:val="nil"/>
              <w:bottom w:val="single" w:sz="4" w:space="0" w:color="auto"/>
              <w:right w:val="single" w:sz="4" w:space="0" w:color="auto"/>
            </w:tcBorders>
            <w:shd w:val="clear" w:color="auto" w:fill="auto"/>
            <w:vAlign w:val="center"/>
          </w:tcPr>
          <w:p w:rsidR="007C5EED" w:rsidRPr="0058692C" w:rsidRDefault="004E288B" w:rsidP="007C5EED">
            <w:pPr>
              <w:pStyle w:val="Tabletext0"/>
              <w:spacing w:before="0" w:after="0"/>
              <w:jc w:val="center"/>
              <w:rPr>
                <w:vertAlign w:val="superscript"/>
              </w:rPr>
            </w:pPr>
            <w:r>
              <w:rPr>
                <w:noProof/>
                <w:color w:val="000000"/>
                <w:highlight w:val="black"/>
              </w:rPr>
              <w:t>''''''''''''''''''</w:t>
            </w:r>
            <w:r w:rsidR="0058692C">
              <w:rPr>
                <w:vertAlign w:val="superscript"/>
              </w:rP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C5EED" w:rsidRPr="00E04E16" w:rsidRDefault="004E288B" w:rsidP="007C5EED">
            <w:pPr>
              <w:pStyle w:val="Tabletext0"/>
              <w:spacing w:before="0" w:after="0"/>
              <w:jc w:val="center"/>
            </w:pPr>
            <w:r>
              <w:rPr>
                <w:noProof/>
                <w:color w:val="000000"/>
                <w:highlight w:val="black"/>
              </w:rPr>
              <w:t>''''''''''''''''''</w:t>
            </w:r>
            <w:r w:rsidR="0058692C">
              <w:rPr>
                <w:vertAlign w:val="superscript"/>
              </w:rP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C5EED" w:rsidRPr="00E04E16" w:rsidRDefault="004E288B" w:rsidP="007C5EED">
            <w:pPr>
              <w:pStyle w:val="Tabletext0"/>
              <w:spacing w:before="0" w:after="0"/>
              <w:jc w:val="center"/>
            </w:pPr>
            <w:r>
              <w:rPr>
                <w:noProof/>
                <w:color w:val="000000"/>
                <w:highlight w:val="black"/>
              </w:rPr>
              <w:t>''''''''''''''''''</w:t>
            </w:r>
            <w:r w:rsidR="0058692C">
              <w:rPr>
                <w:vertAlign w:val="superscript"/>
              </w:rP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C5EED" w:rsidRPr="00E04E16" w:rsidRDefault="004E288B" w:rsidP="007C5EED">
            <w:pPr>
              <w:pStyle w:val="Tabletext0"/>
              <w:spacing w:before="0" w:after="0"/>
              <w:jc w:val="center"/>
            </w:pPr>
            <w:r>
              <w:rPr>
                <w:noProof/>
                <w:color w:val="000000"/>
                <w:highlight w:val="black"/>
              </w:rPr>
              <w:t>''''''''''''''''''</w:t>
            </w:r>
            <w:r w:rsidR="0058692C">
              <w:rPr>
                <w:vertAlign w:val="superscript"/>
              </w:rP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C5EED" w:rsidRPr="00E04E16" w:rsidRDefault="004E288B" w:rsidP="007C5EED">
            <w:pPr>
              <w:pStyle w:val="Tabletext0"/>
              <w:spacing w:before="0" w:after="0"/>
              <w:jc w:val="center"/>
            </w:pPr>
            <w:r>
              <w:rPr>
                <w:noProof/>
                <w:color w:val="000000"/>
                <w:highlight w:val="black"/>
              </w:rPr>
              <w:t>'''''''''''''''''</w:t>
            </w:r>
            <w:r w:rsidR="0058692C">
              <w:rPr>
                <w:vertAlign w:val="superscript"/>
              </w:rP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C5EED" w:rsidRPr="00E04E16" w:rsidRDefault="004E288B" w:rsidP="007C5EED">
            <w:pPr>
              <w:pStyle w:val="Tabletext0"/>
              <w:spacing w:before="0" w:after="0"/>
              <w:jc w:val="center"/>
            </w:pPr>
            <w:r>
              <w:rPr>
                <w:noProof/>
                <w:color w:val="000000"/>
                <w:highlight w:val="black"/>
              </w:rPr>
              <w:t>''''''''''''''''''''</w:t>
            </w:r>
            <w:r w:rsidR="0058692C">
              <w:rPr>
                <w:vertAlign w:val="superscript"/>
              </w:rPr>
              <w:t>3</w:t>
            </w:r>
          </w:p>
        </w:tc>
      </w:tr>
      <w:tr w:rsidR="007C5EED" w:rsidRPr="00E04E16" w:rsidTr="00E374F0">
        <w:tc>
          <w:tcPr>
            <w:tcW w:w="9067" w:type="dxa"/>
            <w:gridSpan w:val="7"/>
            <w:tcBorders>
              <w:right w:val="single" w:sz="4" w:space="0" w:color="auto"/>
            </w:tcBorders>
            <w:shd w:val="clear" w:color="auto" w:fill="auto"/>
            <w:vAlign w:val="center"/>
          </w:tcPr>
          <w:p w:rsidR="007C5EED" w:rsidRPr="00E04E16" w:rsidRDefault="007C5EED" w:rsidP="007C5EED">
            <w:pPr>
              <w:pStyle w:val="Tabletext0"/>
              <w:spacing w:before="0" w:after="0"/>
              <w:rPr>
                <w:b/>
              </w:rPr>
            </w:pPr>
            <w:r w:rsidRPr="00E04E16">
              <w:rPr>
                <w:b/>
              </w:rPr>
              <w:t>Estimated financial implications</w:t>
            </w:r>
          </w:p>
        </w:tc>
      </w:tr>
      <w:tr w:rsidR="007C5EED" w:rsidRPr="00E04E16" w:rsidTr="00E374F0">
        <w:tc>
          <w:tcPr>
            <w:tcW w:w="2263" w:type="dxa"/>
            <w:tcBorders>
              <w:bottom w:val="single" w:sz="4" w:space="0" w:color="auto"/>
            </w:tcBorders>
            <w:shd w:val="clear" w:color="auto" w:fill="auto"/>
            <w:vAlign w:val="center"/>
          </w:tcPr>
          <w:p w:rsidR="007C5EED" w:rsidRPr="00E04E16" w:rsidRDefault="007C5EED" w:rsidP="007C5EED">
            <w:pPr>
              <w:pStyle w:val="Tabletext0"/>
              <w:spacing w:before="0" w:after="0"/>
            </w:pPr>
            <w:r w:rsidRPr="00E04E16">
              <w:t>Total cost of patiromer</w:t>
            </w:r>
          </w:p>
        </w:tc>
        <w:tc>
          <w:tcPr>
            <w:tcW w:w="1134" w:type="dxa"/>
            <w:tcBorders>
              <w:top w:val="single" w:sz="4" w:space="0" w:color="auto"/>
              <w:left w:val="nil"/>
              <w:bottom w:val="single" w:sz="4" w:space="0" w:color="auto"/>
              <w:right w:val="single" w:sz="4" w:space="0" w:color="auto"/>
            </w:tcBorders>
            <w:shd w:val="clear" w:color="auto" w:fill="auto"/>
            <w:vAlign w:val="center"/>
          </w:tcPr>
          <w:p w:rsidR="007C5EED" w:rsidRPr="0058692C" w:rsidRDefault="007C5EED" w:rsidP="007C5EED">
            <w:pPr>
              <w:pStyle w:val="Tabletext0"/>
              <w:spacing w:before="0" w:after="0"/>
              <w:jc w:val="center"/>
              <w:rPr>
                <w:rFonts w:cs="Arial"/>
                <w:vertAlign w:val="superscript"/>
              </w:rPr>
            </w:pPr>
            <w:r w:rsidRPr="00E04E16">
              <w:rPr>
                <w:rFonts w:cs="Arial"/>
              </w:rPr>
              <w:t>$</w:t>
            </w:r>
            <w:r w:rsidR="004E288B">
              <w:rPr>
                <w:rFonts w:cs="Arial"/>
                <w:noProof/>
                <w:color w:val="000000"/>
                <w:highlight w:val="black"/>
              </w:rPr>
              <w:t>'''''''''''''''''''''''''</w:t>
            </w:r>
            <w:r w:rsidR="0058692C">
              <w:rPr>
                <w:rFonts w:cs="Arial"/>
                <w:vertAlign w:val="superscript"/>
              </w:rPr>
              <w:t>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C5EED" w:rsidRPr="0058692C" w:rsidRDefault="007C5EED" w:rsidP="007C5EED">
            <w:pPr>
              <w:pStyle w:val="Tabletext0"/>
              <w:spacing w:before="0" w:after="0"/>
              <w:jc w:val="center"/>
              <w:rPr>
                <w:rFonts w:cs="Arial"/>
                <w:vertAlign w:val="superscript"/>
              </w:rPr>
            </w:pPr>
            <w:r w:rsidRPr="00E04E16">
              <w:rPr>
                <w:rFonts w:cs="Arial"/>
              </w:rPr>
              <w:t>$</w:t>
            </w:r>
            <w:r w:rsidR="004E288B">
              <w:rPr>
                <w:rFonts w:cs="Arial"/>
                <w:noProof/>
                <w:color w:val="000000"/>
                <w:highlight w:val="black"/>
              </w:rPr>
              <w:t>''''''''''''''''''''''''''</w:t>
            </w:r>
            <w:r w:rsidR="0058692C">
              <w:rPr>
                <w:rFonts w:cs="Arial"/>
                <w:vertAlign w:val="superscript"/>
              </w:rPr>
              <w:t>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C5EED" w:rsidRPr="00E04E16" w:rsidRDefault="007C5EED" w:rsidP="007C5EED">
            <w:pPr>
              <w:pStyle w:val="Tabletext0"/>
              <w:spacing w:before="0" w:after="0"/>
              <w:jc w:val="center"/>
              <w:rPr>
                <w:rFonts w:cs="Arial"/>
              </w:rPr>
            </w:pPr>
            <w:r w:rsidRPr="00E04E16">
              <w:rPr>
                <w:rFonts w:cs="Arial"/>
              </w:rPr>
              <w:t>$</w:t>
            </w:r>
            <w:r w:rsidR="004E288B">
              <w:rPr>
                <w:rFonts w:cs="Arial"/>
                <w:noProof/>
                <w:color w:val="000000"/>
                <w:highlight w:val="black"/>
              </w:rPr>
              <w:t>'''''''''''''''''''''''''''''</w:t>
            </w:r>
            <w:r w:rsidR="0058692C">
              <w:rPr>
                <w:rFonts w:cs="Arial"/>
                <w:vertAlign w:val="superscript"/>
              </w:rPr>
              <w:t>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C5EED" w:rsidRPr="0058692C" w:rsidRDefault="007C5EED" w:rsidP="007C5EED">
            <w:pPr>
              <w:pStyle w:val="Tabletext0"/>
              <w:spacing w:before="0" w:after="0"/>
              <w:jc w:val="center"/>
              <w:rPr>
                <w:rFonts w:cs="Arial"/>
                <w:vertAlign w:val="superscript"/>
              </w:rPr>
            </w:pPr>
            <w:r w:rsidRPr="00E04E16">
              <w:rPr>
                <w:rFonts w:cs="Arial"/>
              </w:rPr>
              <w:t>$</w:t>
            </w:r>
            <w:r w:rsidR="004E288B">
              <w:rPr>
                <w:rFonts w:cs="Arial"/>
                <w:noProof/>
                <w:color w:val="000000"/>
                <w:highlight w:val="black"/>
              </w:rPr>
              <w:t>''''''''''''''''''''''''''''</w:t>
            </w:r>
            <w:r w:rsidR="0058692C">
              <w:rPr>
                <w:rFonts w:cs="Arial"/>
                <w:vertAlign w:val="superscript"/>
              </w:rPr>
              <w:t>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C5EED" w:rsidRPr="0058692C" w:rsidRDefault="007C5EED" w:rsidP="007C5EED">
            <w:pPr>
              <w:pStyle w:val="Tabletext0"/>
              <w:spacing w:before="0" w:after="0"/>
              <w:jc w:val="center"/>
              <w:rPr>
                <w:rFonts w:cs="Arial"/>
                <w:vertAlign w:val="superscript"/>
              </w:rPr>
            </w:pPr>
            <w:r w:rsidRPr="00E04E16">
              <w:rPr>
                <w:rFonts w:cs="Arial"/>
              </w:rPr>
              <w:t>$</w:t>
            </w:r>
            <w:r w:rsidR="004E288B">
              <w:rPr>
                <w:rFonts w:cs="Arial"/>
                <w:noProof/>
                <w:color w:val="000000"/>
                <w:highlight w:val="black"/>
              </w:rPr>
              <w:t>'''''''''''''''''''''''''''''</w:t>
            </w:r>
            <w:r w:rsidR="0058692C">
              <w:rPr>
                <w:rFonts w:cs="Arial"/>
                <w:vertAlign w:val="superscript"/>
              </w:rPr>
              <w:t>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C5EED" w:rsidRPr="00E04E16" w:rsidRDefault="007C5EED" w:rsidP="007C5EED">
            <w:pPr>
              <w:pStyle w:val="Tabletext0"/>
              <w:spacing w:before="0" w:after="0"/>
              <w:jc w:val="center"/>
              <w:rPr>
                <w:rFonts w:cs="Arial"/>
              </w:rPr>
            </w:pPr>
            <w:r w:rsidRPr="00E04E16">
              <w:rPr>
                <w:rFonts w:cs="Arial"/>
              </w:rPr>
              <w:t>$</w:t>
            </w:r>
            <w:r w:rsidR="004E288B">
              <w:rPr>
                <w:rFonts w:cs="Arial"/>
                <w:noProof/>
                <w:color w:val="000000"/>
                <w:highlight w:val="black"/>
              </w:rPr>
              <w:t>'''''''''''''''''''''''''''</w:t>
            </w:r>
            <w:r w:rsidR="0058692C">
              <w:rPr>
                <w:rFonts w:cs="Arial"/>
                <w:vertAlign w:val="superscript"/>
              </w:rPr>
              <w:t>7</w:t>
            </w:r>
          </w:p>
        </w:tc>
      </w:tr>
      <w:tr w:rsidR="007C5EED" w:rsidRPr="00E04E16" w:rsidTr="00E374F0">
        <w:tc>
          <w:tcPr>
            <w:tcW w:w="2263" w:type="dxa"/>
            <w:tcBorders>
              <w:top w:val="single" w:sz="4" w:space="0" w:color="auto"/>
              <w:bottom w:val="single" w:sz="4" w:space="0" w:color="auto"/>
              <w:right w:val="single" w:sz="4" w:space="0" w:color="auto"/>
            </w:tcBorders>
            <w:shd w:val="clear" w:color="auto" w:fill="auto"/>
            <w:vAlign w:val="center"/>
          </w:tcPr>
          <w:p w:rsidR="007C5EED" w:rsidRPr="00E04E16" w:rsidRDefault="007C5EED" w:rsidP="007C5EED">
            <w:pPr>
              <w:pStyle w:val="Tabletext0"/>
              <w:spacing w:before="0" w:after="0"/>
            </w:pPr>
            <w:r w:rsidRPr="00E04E16">
              <w:t xml:space="preserve">Patient copayment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C5EED" w:rsidRPr="0058692C" w:rsidRDefault="007C5EED" w:rsidP="007C5EED">
            <w:pPr>
              <w:pStyle w:val="Tabletext0"/>
              <w:spacing w:before="0" w:after="0"/>
              <w:jc w:val="center"/>
              <w:rPr>
                <w:rFonts w:cs="Arial"/>
                <w:vertAlign w:val="superscript"/>
              </w:rPr>
            </w:pPr>
            <w:r w:rsidRPr="00E04E16">
              <w:rPr>
                <w:rFonts w:cs="Arial"/>
              </w:rPr>
              <w:t>-$</w:t>
            </w:r>
            <w:r w:rsidR="004E288B">
              <w:rPr>
                <w:rFonts w:cs="Arial"/>
                <w:noProof/>
                <w:color w:val="000000"/>
                <w:highlight w:val="black"/>
              </w:rPr>
              <w:t>'''''''''''''''''''''''</w:t>
            </w:r>
            <w:r w:rsidR="0058692C">
              <w:rPr>
                <w:rFonts w:cs="Arial"/>
                <w:vertAlign w:val="superscript"/>
              </w:rPr>
              <w:t>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C5EED" w:rsidRPr="00E04E16" w:rsidRDefault="007C5EED" w:rsidP="007C5EED">
            <w:pPr>
              <w:pStyle w:val="Tabletext0"/>
              <w:spacing w:before="0" w:after="0"/>
              <w:jc w:val="center"/>
              <w:rPr>
                <w:rFonts w:cs="Arial"/>
              </w:rPr>
            </w:pPr>
            <w:r w:rsidRPr="00E04E16">
              <w:rPr>
                <w:rFonts w:cs="Arial"/>
              </w:rPr>
              <w:t>-$</w:t>
            </w:r>
            <w:r w:rsidR="004E288B">
              <w:rPr>
                <w:rFonts w:cs="Arial"/>
                <w:noProof/>
                <w:color w:val="000000"/>
                <w:highlight w:val="black"/>
              </w:rPr>
              <w:t>''''''''''''''''''''''''</w:t>
            </w:r>
            <w:r w:rsidR="0058692C">
              <w:rPr>
                <w:rFonts w:cs="Arial"/>
                <w:vertAlign w:val="superscript"/>
              </w:rPr>
              <w:t>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C5EED" w:rsidRPr="00E04E16" w:rsidRDefault="007C5EED" w:rsidP="007C5EED">
            <w:pPr>
              <w:pStyle w:val="Tabletext0"/>
              <w:spacing w:before="0" w:after="0"/>
              <w:jc w:val="center"/>
              <w:rPr>
                <w:rFonts w:cs="Arial"/>
              </w:rPr>
            </w:pPr>
            <w:r w:rsidRPr="00E04E16">
              <w:rPr>
                <w:rFonts w:cs="Arial"/>
              </w:rPr>
              <w:t>-$</w:t>
            </w:r>
            <w:r w:rsidR="004E288B">
              <w:rPr>
                <w:rFonts w:cs="Arial"/>
                <w:noProof/>
                <w:color w:val="000000"/>
                <w:highlight w:val="black"/>
              </w:rPr>
              <w:t>''''''''''''''''''''''''</w:t>
            </w:r>
            <w:r w:rsidR="0058692C">
              <w:rPr>
                <w:rFonts w:cs="Arial"/>
                <w:vertAlign w:val="superscript"/>
              </w:rPr>
              <w:t>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C5EED" w:rsidRPr="00E04E16" w:rsidRDefault="007C5EED" w:rsidP="007C5EED">
            <w:pPr>
              <w:pStyle w:val="Tabletext0"/>
              <w:spacing w:before="0" w:after="0"/>
              <w:jc w:val="center"/>
              <w:rPr>
                <w:rFonts w:cs="Arial"/>
              </w:rPr>
            </w:pPr>
            <w:r w:rsidRPr="00E04E16">
              <w:rPr>
                <w:rFonts w:cs="Arial"/>
              </w:rPr>
              <w:t>-$</w:t>
            </w:r>
            <w:r w:rsidR="004E288B">
              <w:rPr>
                <w:rFonts w:cs="Arial"/>
                <w:noProof/>
                <w:color w:val="000000"/>
                <w:highlight w:val="black"/>
              </w:rPr>
              <w:t>''''''''''''''''''''''</w:t>
            </w:r>
            <w:r w:rsidR="0058692C">
              <w:rPr>
                <w:rFonts w:cs="Arial"/>
                <w:vertAlign w:val="superscript"/>
              </w:rPr>
              <w:t>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C5EED" w:rsidRPr="00E04E16" w:rsidRDefault="007C5EED" w:rsidP="007C5EED">
            <w:pPr>
              <w:pStyle w:val="Tabletext0"/>
              <w:spacing w:before="0" w:after="0"/>
              <w:jc w:val="center"/>
              <w:rPr>
                <w:rFonts w:cs="Arial"/>
              </w:rPr>
            </w:pPr>
            <w:r w:rsidRPr="00E04E16">
              <w:rPr>
                <w:rFonts w:cs="Arial"/>
              </w:rPr>
              <w:t>-$</w:t>
            </w:r>
            <w:r w:rsidR="004E288B">
              <w:rPr>
                <w:rFonts w:cs="Arial"/>
                <w:noProof/>
                <w:color w:val="000000"/>
                <w:highlight w:val="black"/>
              </w:rPr>
              <w:t>'''''''''''''''''''''''''</w:t>
            </w:r>
            <w:r w:rsidR="0058692C">
              <w:rPr>
                <w:rFonts w:cs="Arial"/>
                <w:vertAlign w:val="superscript"/>
              </w:rPr>
              <w:t>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C5EED" w:rsidRPr="00E04E16" w:rsidRDefault="007C5EED" w:rsidP="007C5EED">
            <w:pPr>
              <w:pStyle w:val="Tabletext0"/>
              <w:spacing w:before="0" w:after="0"/>
              <w:jc w:val="center"/>
              <w:rPr>
                <w:rFonts w:cs="Arial"/>
              </w:rPr>
            </w:pPr>
            <w:r w:rsidRPr="00E04E16">
              <w:rPr>
                <w:rFonts w:cs="Arial"/>
              </w:rPr>
              <w:t>-$</w:t>
            </w:r>
            <w:r w:rsidR="004E288B">
              <w:rPr>
                <w:rFonts w:cs="Arial"/>
                <w:noProof/>
                <w:color w:val="000000"/>
                <w:highlight w:val="black"/>
              </w:rPr>
              <w:t>'''''''''''''''''''''''</w:t>
            </w:r>
            <w:r w:rsidR="0058692C">
              <w:rPr>
                <w:rFonts w:cs="Arial"/>
                <w:vertAlign w:val="superscript"/>
              </w:rPr>
              <w:t>8</w:t>
            </w:r>
          </w:p>
        </w:tc>
      </w:tr>
      <w:tr w:rsidR="007C5EED" w:rsidRPr="00E04E16" w:rsidTr="00E374F0">
        <w:tc>
          <w:tcPr>
            <w:tcW w:w="2263" w:type="dxa"/>
            <w:tcBorders>
              <w:top w:val="single" w:sz="4" w:space="0" w:color="auto"/>
              <w:bottom w:val="single" w:sz="4" w:space="0" w:color="auto"/>
            </w:tcBorders>
            <w:shd w:val="clear" w:color="auto" w:fill="auto"/>
            <w:vAlign w:val="center"/>
          </w:tcPr>
          <w:p w:rsidR="007C5EED" w:rsidRPr="00E04E16" w:rsidRDefault="007C5EED" w:rsidP="007C5EED">
            <w:pPr>
              <w:pStyle w:val="Tabletext0"/>
              <w:spacing w:before="0" w:after="0"/>
            </w:pPr>
            <w:r w:rsidRPr="00E04E16">
              <w:t>Total cost less copay</w:t>
            </w:r>
          </w:p>
        </w:tc>
        <w:tc>
          <w:tcPr>
            <w:tcW w:w="1134" w:type="dxa"/>
            <w:tcBorders>
              <w:top w:val="single" w:sz="4" w:space="0" w:color="auto"/>
              <w:left w:val="nil"/>
              <w:bottom w:val="single" w:sz="4" w:space="0" w:color="auto"/>
              <w:right w:val="single" w:sz="4" w:space="0" w:color="auto"/>
            </w:tcBorders>
            <w:shd w:val="clear" w:color="auto" w:fill="auto"/>
            <w:vAlign w:val="center"/>
          </w:tcPr>
          <w:p w:rsidR="007C5EED" w:rsidRPr="00E04E16" w:rsidRDefault="007C5EED" w:rsidP="007C5EED">
            <w:pPr>
              <w:pStyle w:val="Tabletext0"/>
              <w:spacing w:before="0" w:after="0"/>
              <w:jc w:val="center"/>
              <w:rPr>
                <w:rFonts w:cs="Arial"/>
              </w:rPr>
            </w:pPr>
            <w:r w:rsidRPr="00E04E16">
              <w:rPr>
                <w:rFonts w:cs="Arial"/>
              </w:rPr>
              <w:t>$</w:t>
            </w:r>
            <w:r w:rsidR="004E288B">
              <w:rPr>
                <w:rFonts w:cs="Arial"/>
                <w:noProof/>
                <w:color w:val="000000"/>
                <w:highlight w:val="black"/>
              </w:rPr>
              <w:t>'''''''''''''''''''''''''</w:t>
            </w:r>
            <w:r w:rsidR="0058692C">
              <w:rPr>
                <w:rFonts w:cs="Arial"/>
                <w:vertAlign w:val="superscript"/>
              </w:rPr>
              <w:t>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C5EED" w:rsidRPr="00E04E16" w:rsidRDefault="007C5EED" w:rsidP="007C5EED">
            <w:pPr>
              <w:pStyle w:val="Tabletext0"/>
              <w:spacing w:before="0" w:after="0"/>
              <w:jc w:val="center"/>
              <w:rPr>
                <w:rFonts w:cs="Arial"/>
              </w:rPr>
            </w:pPr>
            <w:r w:rsidRPr="00E04E16">
              <w:rPr>
                <w:rFonts w:cs="Arial"/>
              </w:rPr>
              <w:t>$</w:t>
            </w:r>
            <w:r w:rsidR="004E288B">
              <w:rPr>
                <w:rFonts w:cs="Arial"/>
                <w:noProof/>
                <w:color w:val="000000"/>
                <w:highlight w:val="black"/>
              </w:rPr>
              <w:t>''''''''''''''''''''''''''''</w:t>
            </w:r>
            <w:r w:rsidR="0058692C">
              <w:rPr>
                <w:rFonts w:cs="Arial"/>
                <w:vertAlign w:val="superscript"/>
              </w:rPr>
              <w:t>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C5EED" w:rsidRPr="00E04E16" w:rsidRDefault="007C5EED" w:rsidP="007C5EED">
            <w:pPr>
              <w:pStyle w:val="Tabletext0"/>
              <w:spacing w:before="0" w:after="0"/>
              <w:jc w:val="center"/>
              <w:rPr>
                <w:rFonts w:cs="Arial"/>
              </w:rPr>
            </w:pPr>
            <w:r w:rsidRPr="00E04E16">
              <w:rPr>
                <w:rFonts w:cs="Arial"/>
              </w:rPr>
              <w:t>$</w:t>
            </w:r>
            <w:r w:rsidR="004E288B">
              <w:rPr>
                <w:rFonts w:cs="Arial"/>
                <w:noProof/>
                <w:color w:val="000000"/>
                <w:highlight w:val="black"/>
              </w:rPr>
              <w:t>''''''''''''''''''''''''''</w:t>
            </w:r>
            <w:r w:rsidR="0058692C">
              <w:rPr>
                <w:rFonts w:cs="Arial"/>
                <w:vertAlign w:val="superscript"/>
              </w:rPr>
              <w:t>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C5EED" w:rsidRPr="00E04E16" w:rsidRDefault="007C5EED" w:rsidP="007C5EED">
            <w:pPr>
              <w:pStyle w:val="Tabletext0"/>
              <w:spacing w:before="0" w:after="0"/>
              <w:jc w:val="center"/>
              <w:rPr>
                <w:rFonts w:cs="Arial"/>
              </w:rPr>
            </w:pPr>
            <w:r w:rsidRPr="00E04E16">
              <w:rPr>
                <w:rFonts w:cs="Arial"/>
              </w:rPr>
              <w:t>$</w:t>
            </w:r>
            <w:r w:rsidR="004E288B">
              <w:rPr>
                <w:rFonts w:cs="Arial"/>
                <w:noProof/>
                <w:color w:val="000000"/>
                <w:highlight w:val="black"/>
              </w:rPr>
              <w:t>'''''''''''''''''''''''''''</w:t>
            </w:r>
            <w:r w:rsidR="0058692C">
              <w:rPr>
                <w:rFonts w:cs="Arial"/>
                <w:vertAlign w:val="superscript"/>
              </w:rPr>
              <w:t>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C5EED" w:rsidRPr="00E04E16" w:rsidRDefault="007C5EED" w:rsidP="007C5EED">
            <w:pPr>
              <w:pStyle w:val="Tabletext0"/>
              <w:spacing w:before="0" w:after="0"/>
              <w:jc w:val="center"/>
              <w:rPr>
                <w:rFonts w:cs="Arial"/>
              </w:rPr>
            </w:pPr>
            <w:r w:rsidRPr="00E04E16">
              <w:rPr>
                <w:rFonts w:cs="Arial"/>
              </w:rPr>
              <w:t>$</w:t>
            </w:r>
            <w:r w:rsidR="004E288B">
              <w:rPr>
                <w:rFonts w:cs="Arial"/>
                <w:noProof/>
                <w:color w:val="000000"/>
                <w:highlight w:val="black"/>
              </w:rPr>
              <w:t>''''''''''''''''''''''''''''</w:t>
            </w:r>
            <w:r w:rsidR="0058692C">
              <w:rPr>
                <w:rFonts w:cs="Arial"/>
                <w:vertAlign w:val="superscript"/>
              </w:rPr>
              <w:t>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C5EED" w:rsidRPr="00E04E16" w:rsidRDefault="007C5EED" w:rsidP="007C5EED">
            <w:pPr>
              <w:pStyle w:val="Tabletext0"/>
              <w:spacing w:before="0" w:after="0"/>
              <w:jc w:val="center"/>
              <w:rPr>
                <w:rFonts w:cs="Arial"/>
              </w:rPr>
            </w:pPr>
            <w:r w:rsidRPr="00E04E16">
              <w:rPr>
                <w:rFonts w:cs="Arial"/>
              </w:rPr>
              <w:t>$</w:t>
            </w:r>
            <w:r w:rsidR="004E288B">
              <w:rPr>
                <w:rFonts w:cs="Arial"/>
                <w:noProof/>
                <w:color w:val="000000"/>
                <w:highlight w:val="black"/>
              </w:rPr>
              <w:t>''''''''''''''''''''''''''''</w:t>
            </w:r>
            <w:r w:rsidR="0058692C">
              <w:rPr>
                <w:rFonts w:cs="Arial"/>
                <w:vertAlign w:val="superscript"/>
              </w:rPr>
              <w:t>7</w:t>
            </w:r>
          </w:p>
        </w:tc>
      </w:tr>
      <w:tr w:rsidR="007C5EED" w:rsidRPr="00E04E16" w:rsidTr="00E374F0">
        <w:tc>
          <w:tcPr>
            <w:tcW w:w="2263" w:type="dxa"/>
            <w:tcBorders>
              <w:top w:val="single" w:sz="4" w:space="0" w:color="auto"/>
              <w:bottom w:val="single" w:sz="4" w:space="0" w:color="auto"/>
            </w:tcBorders>
            <w:shd w:val="clear" w:color="auto" w:fill="auto"/>
            <w:vAlign w:val="center"/>
          </w:tcPr>
          <w:p w:rsidR="007C5EED" w:rsidRPr="00E04E16" w:rsidRDefault="007C5EED" w:rsidP="007C5EED">
            <w:pPr>
              <w:pStyle w:val="Tabletext0"/>
              <w:spacing w:before="0" w:after="0"/>
            </w:pPr>
            <w:r w:rsidRPr="00E04E16">
              <w:t>Additional cost of RAASi therapy (DPMQ less copay)</w:t>
            </w:r>
          </w:p>
        </w:tc>
        <w:tc>
          <w:tcPr>
            <w:tcW w:w="1134" w:type="dxa"/>
            <w:tcBorders>
              <w:top w:val="single" w:sz="4" w:space="0" w:color="auto"/>
              <w:left w:val="nil"/>
              <w:bottom w:val="single" w:sz="4" w:space="0" w:color="auto"/>
              <w:right w:val="single" w:sz="4" w:space="0" w:color="auto"/>
            </w:tcBorders>
            <w:shd w:val="clear" w:color="auto" w:fill="auto"/>
            <w:vAlign w:val="center"/>
          </w:tcPr>
          <w:p w:rsidR="007C5EED" w:rsidRPr="00E04E16" w:rsidRDefault="007C5EED" w:rsidP="007C5EED">
            <w:pPr>
              <w:pStyle w:val="Tabletext0"/>
              <w:spacing w:before="0" w:after="0"/>
              <w:jc w:val="center"/>
              <w:rPr>
                <w:rFonts w:cs="Arial"/>
              </w:rPr>
            </w:pPr>
            <w:r w:rsidRPr="00E04E16">
              <w:rPr>
                <w:rFonts w:cs="Arial"/>
              </w:rPr>
              <w:t>$</w:t>
            </w:r>
            <w:r w:rsidR="004E288B">
              <w:rPr>
                <w:rFonts w:cs="Arial"/>
                <w:noProof/>
                <w:color w:val="000000"/>
                <w:highlight w:val="black"/>
              </w:rPr>
              <w:t>'''''''''''''''''</w:t>
            </w:r>
            <w:r w:rsidR="0058692C">
              <w:rPr>
                <w:rFonts w:cs="Arial"/>
                <w:vertAlign w:val="superscript"/>
              </w:rPr>
              <w:t>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C5EED" w:rsidRPr="00E04E16" w:rsidRDefault="007C5EED" w:rsidP="007C5EED">
            <w:pPr>
              <w:pStyle w:val="Tabletext0"/>
              <w:spacing w:before="0" w:after="0"/>
              <w:jc w:val="center"/>
              <w:rPr>
                <w:rFonts w:cs="Arial"/>
              </w:rPr>
            </w:pPr>
            <w:r w:rsidRPr="00E04E16">
              <w:rPr>
                <w:rFonts w:cs="Arial"/>
              </w:rPr>
              <w:t>$</w:t>
            </w:r>
            <w:r w:rsidR="004E288B">
              <w:rPr>
                <w:rFonts w:cs="Arial"/>
                <w:noProof/>
                <w:color w:val="000000"/>
                <w:highlight w:val="black"/>
              </w:rPr>
              <w:t>''''''''''''''''''''</w:t>
            </w:r>
            <w:r w:rsidR="0058692C">
              <w:rPr>
                <w:rFonts w:cs="Arial"/>
                <w:vertAlign w:val="superscript"/>
              </w:rPr>
              <w:t>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C5EED" w:rsidRPr="00E04E16" w:rsidRDefault="007C5EED" w:rsidP="007C5EED">
            <w:pPr>
              <w:pStyle w:val="Tabletext0"/>
              <w:spacing w:before="0" w:after="0"/>
              <w:jc w:val="center"/>
              <w:rPr>
                <w:rFonts w:cs="Arial"/>
              </w:rPr>
            </w:pPr>
            <w:r w:rsidRPr="00E04E16">
              <w:rPr>
                <w:rFonts w:cs="Arial"/>
              </w:rPr>
              <w:t>$</w:t>
            </w:r>
            <w:r w:rsidR="004E288B">
              <w:rPr>
                <w:rFonts w:cs="Arial"/>
                <w:noProof/>
                <w:color w:val="000000"/>
                <w:highlight w:val="black"/>
              </w:rPr>
              <w:t>''''''''''''''''''</w:t>
            </w:r>
            <w:r w:rsidR="0058692C">
              <w:rPr>
                <w:rFonts w:cs="Arial"/>
                <w:vertAlign w:val="superscript"/>
              </w:rPr>
              <w:t>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C5EED" w:rsidRPr="00E04E16" w:rsidRDefault="007C5EED" w:rsidP="007C5EED">
            <w:pPr>
              <w:pStyle w:val="Tabletext0"/>
              <w:spacing w:before="0" w:after="0"/>
              <w:jc w:val="center"/>
              <w:rPr>
                <w:rFonts w:cs="Arial"/>
              </w:rPr>
            </w:pPr>
            <w:r w:rsidRPr="00E04E16">
              <w:rPr>
                <w:rFonts w:cs="Arial"/>
              </w:rPr>
              <w:t>$</w:t>
            </w:r>
            <w:r w:rsidR="004E288B">
              <w:rPr>
                <w:rFonts w:cs="Arial"/>
                <w:noProof/>
                <w:color w:val="000000"/>
                <w:highlight w:val="black"/>
              </w:rPr>
              <w:t>''''''''''''''''''</w:t>
            </w:r>
            <w:r w:rsidR="0058692C">
              <w:rPr>
                <w:rFonts w:cs="Arial"/>
                <w:vertAlign w:val="superscript"/>
              </w:rPr>
              <w:t>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C5EED" w:rsidRPr="00E04E16" w:rsidRDefault="007C5EED" w:rsidP="007C5EED">
            <w:pPr>
              <w:pStyle w:val="Tabletext0"/>
              <w:spacing w:before="0" w:after="0"/>
              <w:jc w:val="center"/>
              <w:rPr>
                <w:rFonts w:cs="Arial"/>
              </w:rPr>
            </w:pPr>
            <w:r w:rsidRPr="00E04E16">
              <w:rPr>
                <w:rFonts w:cs="Arial"/>
              </w:rPr>
              <w:t>$</w:t>
            </w:r>
            <w:r w:rsidR="004E288B">
              <w:rPr>
                <w:rFonts w:cs="Arial"/>
                <w:noProof/>
                <w:color w:val="000000"/>
                <w:highlight w:val="black"/>
              </w:rPr>
              <w:t>''''''''''''''''''</w:t>
            </w:r>
            <w:r w:rsidR="0058692C">
              <w:rPr>
                <w:rFonts w:cs="Arial"/>
                <w:vertAlign w:val="superscript"/>
              </w:rPr>
              <w:t>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C5EED" w:rsidRPr="00E04E16" w:rsidRDefault="007C5EED" w:rsidP="007C5EED">
            <w:pPr>
              <w:pStyle w:val="Tabletext0"/>
              <w:spacing w:before="0" w:after="0"/>
              <w:jc w:val="center"/>
              <w:rPr>
                <w:rFonts w:cs="Arial"/>
              </w:rPr>
            </w:pPr>
            <w:r w:rsidRPr="00E04E16">
              <w:rPr>
                <w:rFonts w:cs="Arial"/>
              </w:rPr>
              <w:t>$</w:t>
            </w:r>
            <w:r w:rsidR="004E288B">
              <w:rPr>
                <w:rFonts w:cs="Arial"/>
                <w:noProof/>
                <w:color w:val="000000"/>
                <w:highlight w:val="black"/>
              </w:rPr>
              <w:t>''''''''''''''''''''</w:t>
            </w:r>
            <w:r w:rsidR="0058692C">
              <w:rPr>
                <w:rFonts w:cs="Arial"/>
                <w:vertAlign w:val="superscript"/>
              </w:rPr>
              <w:t>8</w:t>
            </w:r>
          </w:p>
        </w:tc>
      </w:tr>
      <w:tr w:rsidR="007C5EED" w:rsidRPr="00E04E16" w:rsidTr="00E374F0">
        <w:tc>
          <w:tcPr>
            <w:tcW w:w="2263" w:type="dxa"/>
            <w:tcBorders>
              <w:top w:val="single" w:sz="4" w:space="0" w:color="auto"/>
              <w:bottom w:val="single" w:sz="4" w:space="0" w:color="auto"/>
            </w:tcBorders>
            <w:shd w:val="clear" w:color="auto" w:fill="auto"/>
            <w:vAlign w:val="center"/>
          </w:tcPr>
          <w:p w:rsidR="007C5EED" w:rsidRPr="00E04E16" w:rsidRDefault="007C5EED" w:rsidP="007C5EED">
            <w:pPr>
              <w:pStyle w:val="Tabletext0"/>
              <w:spacing w:before="0" w:after="0"/>
              <w:rPr>
                <w:b/>
              </w:rPr>
            </w:pPr>
            <w:r w:rsidRPr="00E04E16">
              <w:rPr>
                <w:b/>
              </w:rPr>
              <w:t>Net cost to PBS/RPBS</w:t>
            </w:r>
          </w:p>
        </w:tc>
        <w:tc>
          <w:tcPr>
            <w:tcW w:w="1134" w:type="dxa"/>
            <w:tcBorders>
              <w:top w:val="single" w:sz="4" w:space="0" w:color="auto"/>
              <w:left w:val="nil"/>
              <w:bottom w:val="single" w:sz="4" w:space="0" w:color="auto"/>
              <w:right w:val="single" w:sz="4" w:space="0" w:color="auto"/>
            </w:tcBorders>
            <w:shd w:val="clear" w:color="auto" w:fill="auto"/>
            <w:vAlign w:val="center"/>
          </w:tcPr>
          <w:p w:rsidR="007C5EED" w:rsidRPr="00E04E16" w:rsidRDefault="007C5EED" w:rsidP="007C5EED">
            <w:pPr>
              <w:pStyle w:val="Tabletext0"/>
              <w:spacing w:before="0" w:after="0"/>
              <w:jc w:val="center"/>
              <w:rPr>
                <w:rFonts w:cs="Arial"/>
                <w:b/>
              </w:rPr>
            </w:pPr>
            <w:r w:rsidRPr="00E04E16">
              <w:rPr>
                <w:rFonts w:cs="Arial"/>
                <w:b/>
              </w:rPr>
              <w:t>$</w:t>
            </w:r>
            <w:r w:rsidR="004E288B">
              <w:rPr>
                <w:rFonts w:cs="Arial"/>
                <w:b/>
                <w:noProof/>
                <w:color w:val="000000"/>
                <w:highlight w:val="black"/>
              </w:rPr>
              <w:t>''''''''''''''''''''''</w:t>
            </w:r>
            <w:r w:rsidR="0058692C">
              <w:rPr>
                <w:rFonts w:cs="Arial"/>
                <w:vertAlign w:val="superscript"/>
              </w:rPr>
              <w:t>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C5EED" w:rsidRPr="00E04E16" w:rsidRDefault="007C5EED" w:rsidP="007C5EED">
            <w:pPr>
              <w:pStyle w:val="Tabletext0"/>
              <w:spacing w:before="0" w:after="0"/>
              <w:jc w:val="center"/>
              <w:rPr>
                <w:rFonts w:cs="Arial"/>
                <w:b/>
              </w:rPr>
            </w:pPr>
            <w:r w:rsidRPr="00E04E16">
              <w:rPr>
                <w:rFonts w:cs="Arial"/>
                <w:b/>
              </w:rPr>
              <w:t>$</w:t>
            </w:r>
            <w:r w:rsidR="003A36FA">
              <w:rPr>
                <w:rFonts w:cs="Arial"/>
                <w:b/>
                <w:noProof/>
                <w:color w:val="000000"/>
                <w:highlight w:val="black"/>
              </w:rPr>
              <w:t>'''''''''''''</w:t>
            </w:r>
            <w:r w:rsidR="004E288B">
              <w:rPr>
                <w:rFonts w:cs="Arial"/>
                <w:b/>
                <w:noProof/>
                <w:color w:val="000000"/>
                <w:highlight w:val="black"/>
              </w:rPr>
              <w:t>''''''''''</w:t>
            </w:r>
            <w:r w:rsidR="0058692C">
              <w:rPr>
                <w:rFonts w:cs="Arial"/>
                <w:vertAlign w:val="superscript"/>
              </w:rPr>
              <w:t>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C5EED" w:rsidRPr="00E04E16" w:rsidRDefault="007C5EED" w:rsidP="007C5EED">
            <w:pPr>
              <w:pStyle w:val="Tabletext0"/>
              <w:spacing w:before="0" w:after="0"/>
              <w:jc w:val="center"/>
              <w:rPr>
                <w:rFonts w:cs="Arial"/>
                <w:b/>
              </w:rPr>
            </w:pPr>
            <w:r w:rsidRPr="00E04E16">
              <w:rPr>
                <w:rFonts w:cs="Arial"/>
                <w:b/>
              </w:rPr>
              <w:t>$</w:t>
            </w:r>
            <w:r w:rsidR="004E288B">
              <w:rPr>
                <w:rFonts w:cs="Arial"/>
                <w:b/>
                <w:noProof/>
                <w:color w:val="000000"/>
                <w:highlight w:val="black"/>
              </w:rPr>
              <w:t>'''''''''''''''''''''</w:t>
            </w:r>
            <w:r w:rsidR="0058692C">
              <w:rPr>
                <w:rFonts w:cs="Arial"/>
                <w:vertAlign w:val="superscript"/>
              </w:rPr>
              <w:t>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C5EED" w:rsidRPr="00E04E16" w:rsidRDefault="007C5EED" w:rsidP="007C5EED">
            <w:pPr>
              <w:pStyle w:val="Tabletext0"/>
              <w:spacing w:before="0" w:after="0"/>
              <w:jc w:val="center"/>
              <w:rPr>
                <w:rFonts w:cs="Arial"/>
                <w:b/>
              </w:rPr>
            </w:pPr>
            <w:r w:rsidRPr="00E04E16">
              <w:rPr>
                <w:rFonts w:cs="Arial"/>
                <w:b/>
              </w:rPr>
              <w:t>$</w:t>
            </w:r>
            <w:r w:rsidR="004E288B">
              <w:rPr>
                <w:rFonts w:cs="Arial"/>
                <w:b/>
                <w:noProof/>
                <w:color w:val="000000"/>
                <w:highlight w:val="black"/>
              </w:rPr>
              <w:t>'''''''''''''''''''''''</w:t>
            </w:r>
            <w:r w:rsidR="0058692C">
              <w:rPr>
                <w:rFonts w:cs="Arial"/>
                <w:vertAlign w:val="superscript"/>
              </w:rPr>
              <w:t>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C5EED" w:rsidRPr="00E04E16" w:rsidRDefault="007C5EED" w:rsidP="007C5EED">
            <w:pPr>
              <w:pStyle w:val="Tabletext0"/>
              <w:spacing w:before="0" w:after="0"/>
              <w:jc w:val="center"/>
              <w:rPr>
                <w:rFonts w:cs="Arial"/>
                <w:b/>
              </w:rPr>
            </w:pPr>
            <w:r w:rsidRPr="00E04E16">
              <w:rPr>
                <w:rFonts w:cs="Arial"/>
                <w:b/>
              </w:rPr>
              <w:t>$</w:t>
            </w:r>
            <w:r w:rsidR="004E288B">
              <w:rPr>
                <w:rFonts w:cs="Arial"/>
                <w:b/>
                <w:noProof/>
                <w:color w:val="000000"/>
                <w:highlight w:val="black"/>
              </w:rPr>
              <w:t>''''''''''''''''''''</w:t>
            </w:r>
            <w:r w:rsidR="0058692C">
              <w:rPr>
                <w:rFonts w:cs="Arial"/>
                <w:vertAlign w:val="superscript"/>
              </w:rPr>
              <w:t>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C5EED" w:rsidRPr="00E04E16" w:rsidRDefault="007C5EED" w:rsidP="007C5EED">
            <w:pPr>
              <w:pStyle w:val="Tabletext0"/>
              <w:spacing w:before="0" w:after="0"/>
              <w:jc w:val="center"/>
              <w:rPr>
                <w:rFonts w:cs="Arial"/>
                <w:b/>
              </w:rPr>
            </w:pPr>
            <w:r w:rsidRPr="00E04E16">
              <w:rPr>
                <w:rFonts w:cs="Arial"/>
                <w:b/>
              </w:rPr>
              <w:t>$</w:t>
            </w:r>
            <w:r w:rsidR="004E288B">
              <w:rPr>
                <w:rFonts w:cs="Arial"/>
                <w:b/>
                <w:noProof/>
                <w:color w:val="000000"/>
                <w:highlight w:val="black"/>
              </w:rPr>
              <w:t>'''''''''''''''''''''''</w:t>
            </w:r>
            <w:r w:rsidR="0058692C">
              <w:rPr>
                <w:rFonts w:cs="Arial"/>
                <w:vertAlign w:val="superscript"/>
              </w:rPr>
              <w:t>7</w:t>
            </w:r>
          </w:p>
        </w:tc>
      </w:tr>
      <w:tr w:rsidR="007C5EED" w:rsidRPr="00E04E16" w:rsidTr="00E374F0">
        <w:tc>
          <w:tcPr>
            <w:tcW w:w="9067" w:type="dxa"/>
            <w:gridSpan w:val="7"/>
            <w:tcBorders>
              <w:top w:val="single" w:sz="4" w:space="0" w:color="auto"/>
              <w:right w:val="single" w:sz="4" w:space="0" w:color="auto"/>
            </w:tcBorders>
            <w:shd w:val="clear" w:color="auto" w:fill="DBE5F1" w:themeFill="accent1" w:themeFillTint="33"/>
            <w:vAlign w:val="center"/>
          </w:tcPr>
          <w:p w:rsidR="007C5EED" w:rsidRPr="00E04E16" w:rsidRDefault="007C5EED" w:rsidP="007C5EED">
            <w:pPr>
              <w:pStyle w:val="Tabletext0"/>
              <w:spacing w:before="0" w:after="0"/>
              <w:rPr>
                <w:rFonts w:cs="Arial"/>
                <w:b/>
              </w:rPr>
            </w:pPr>
            <w:r w:rsidRPr="00E04E16">
              <w:rPr>
                <w:rFonts w:cs="Arial"/>
                <w:b/>
              </w:rPr>
              <w:t>November 2019 submission</w:t>
            </w:r>
          </w:p>
        </w:tc>
      </w:tr>
      <w:tr w:rsidR="007C5EED" w:rsidRPr="00E04E16" w:rsidTr="00E374F0">
        <w:tc>
          <w:tcPr>
            <w:tcW w:w="2263" w:type="dxa"/>
            <w:tcBorders>
              <w:top w:val="single" w:sz="4" w:space="0" w:color="auto"/>
            </w:tcBorders>
            <w:shd w:val="clear" w:color="auto" w:fill="DBE5F1" w:themeFill="accent1" w:themeFillTint="33"/>
            <w:vAlign w:val="center"/>
          </w:tcPr>
          <w:p w:rsidR="007C5EED" w:rsidRPr="00E04E16" w:rsidRDefault="007C5EED" w:rsidP="007C5EED">
            <w:pPr>
              <w:pStyle w:val="Tabletext0"/>
              <w:spacing w:before="0" w:after="0"/>
              <w:rPr>
                <w:b/>
              </w:rPr>
            </w:pPr>
            <w:r w:rsidRPr="00E04E16">
              <w:rPr>
                <w:b/>
              </w:rPr>
              <w:t>Net cost to PBS/RPBS</w:t>
            </w:r>
          </w:p>
        </w:tc>
        <w:tc>
          <w:tcPr>
            <w:tcW w:w="1134" w:type="dxa"/>
            <w:tcBorders>
              <w:top w:val="single" w:sz="4" w:space="0" w:color="auto"/>
              <w:left w:val="nil"/>
              <w:bottom w:val="single" w:sz="4" w:space="0" w:color="auto"/>
              <w:right w:val="single" w:sz="4" w:space="0" w:color="auto"/>
            </w:tcBorders>
            <w:shd w:val="clear" w:color="auto" w:fill="DBE5F1" w:themeFill="accent1" w:themeFillTint="33"/>
          </w:tcPr>
          <w:p w:rsidR="007C5EED" w:rsidRPr="00835C44" w:rsidRDefault="007C5EED" w:rsidP="007C5EED">
            <w:pPr>
              <w:pStyle w:val="Tabletext0"/>
              <w:spacing w:before="0" w:after="0"/>
              <w:jc w:val="center"/>
              <w:rPr>
                <w:rFonts w:cs="Arial"/>
                <w:b/>
                <w:vertAlign w:val="superscript"/>
              </w:rPr>
            </w:pPr>
            <w:r w:rsidRPr="00E04E16">
              <w:rPr>
                <w:b/>
              </w:rPr>
              <w:t>$</w:t>
            </w:r>
            <w:r w:rsidR="004E288B">
              <w:rPr>
                <w:b/>
                <w:noProof/>
                <w:color w:val="000000"/>
                <w:highlight w:val="black"/>
              </w:rPr>
              <w:t>''''''''''''''''''''</w:t>
            </w:r>
            <w:r w:rsidR="00835C44" w:rsidRPr="00835C44">
              <w:rPr>
                <w:vertAlign w:val="superscript"/>
              </w:rPr>
              <w:t>9</w:t>
            </w:r>
          </w:p>
        </w:tc>
        <w:tc>
          <w:tcPr>
            <w:tcW w:w="113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7C5EED" w:rsidRPr="00E04E16" w:rsidRDefault="007C5EED" w:rsidP="007C5EED">
            <w:pPr>
              <w:pStyle w:val="Tabletext0"/>
              <w:spacing w:before="0" w:after="0"/>
              <w:jc w:val="center"/>
              <w:rPr>
                <w:rFonts w:cs="Arial"/>
                <w:b/>
              </w:rPr>
            </w:pPr>
            <w:r w:rsidRPr="00E04E16">
              <w:rPr>
                <w:b/>
              </w:rPr>
              <w:t>$</w:t>
            </w:r>
            <w:r w:rsidR="004E288B">
              <w:rPr>
                <w:b/>
                <w:noProof/>
                <w:color w:val="000000"/>
                <w:highlight w:val="black"/>
              </w:rPr>
              <w:t>''''''''''''''''''''''</w:t>
            </w:r>
            <w:r w:rsidR="0058692C">
              <w:rPr>
                <w:rFonts w:cs="Arial"/>
                <w:vertAlign w:val="superscript"/>
              </w:rPr>
              <w:t>6</w:t>
            </w:r>
          </w:p>
        </w:tc>
        <w:tc>
          <w:tcPr>
            <w:tcW w:w="113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7C5EED" w:rsidRPr="00835C44" w:rsidRDefault="007C5EED" w:rsidP="007C5EED">
            <w:pPr>
              <w:pStyle w:val="Tabletext0"/>
              <w:spacing w:before="0" w:after="0"/>
              <w:jc w:val="center"/>
              <w:rPr>
                <w:rFonts w:cs="Arial"/>
                <w:b/>
                <w:vertAlign w:val="superscript"/>
              </w:rPr>
            </w:pPr>
            <w:r w:rsidRPr="00E04E16">
              <w:rPr>
                <w:b/>
              </w:rPr>
              <w:t>$</w:t>
            </w:r>
            <w:r w:rsidR="003A36FA">
              <w:rPr>
                <w:b/>
                <w:noProof/>
                <w:color w:val="000000"/>
                <w:highlight w:val="black"/>
              </w:rPr>
              <w:t>''''''''''''</w:t>
            </w:r>
            <w:r w:rsidR="004E288B">
              <w:rPr>
                <w:b/>
                <w:noProof/>
                <w:color w:val="000000"/>
                <w:highlight w:val="black"/>
              </w:rPr>
              <w:t>''''''''''</w:t>
            </w:r>
            <w:r w:rsidR="00835C44" w:rsidRPr="00835C44">
              <w:rPr>
                <w:vertAlign w:val="superscript"/>
              </w:rPr>
              <w:t>10</w:t>
            </w:r>
          </w:p>
        </w:tc>
        <w:tc>
          <w:tcPr>
            <w:tcW w:w="113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7C5EED" w:rsidRPr="00835C44" w:rsidRDefault="007C5EED" w:rsidP="007C5EED">
            <w:pPr>
              <w:pStyle w:val="Tabletext0"/>
              <w:spacing w:before="0" w:after="0"/>
              <w:jc w:val="center"/>
              <w:rPr>
                <w:rFonts w:cs="Arial"/>
                <w:b/>
                <w:vertAlign w:val="superscript"/>
              </w:rPr>
            </w:pPr>
            <w:r w:rsidRPr="00E04E16">
              <w:rPr>
                <w:b/>
              </w:rPr>
              <w:t>$</w:t>
            </w:r>
            <w:r w:rsidR="003A36FA">
              <w:rPr>
                <w:b/>
                <w:noProof/>
                <w:color w:val="000000"/>
                <w:highlight w:val="black"/>
              </w:rPr>
              <w:t>'''''''''''''''''</w:t>
            </w:r>
            <w:r w:rsidR="004E288B">
              <w:rPr>
                <w:b/>
                <w:noProof/>
                <w:color w:val="000000"/>
                <w:highlight w:val="black"/>
              </w:rPr>
              <w:t>'''''</w:t>
            </w:r>
            <w:r w:rsidR="00835C44" w:rsidRPr="00835C44">
              <w:rPr>
                <w:vertAlign w:val="superscript"/>
              </w:rPr>
              <w:t>10</w:t>
            </w:r>
          </w:p>
        </w:tc>
        <w:tc>
          <w:tcPr>
            <w:tcW w:w="113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7C5EED" w:rsidRPr="00835C44" w:rsidRDefault="007C5EED" w:rsidP="007C5EED">
            <w:pPr>
              <w:pStyle w:val="Tabletext0"/>
              <w:spacing w:before="0" w:after="0"/>
              <w:jc w:val="center"/>
              <w:rPr>
                <w:rFonts w:cs="Arial"/>
                <w:b/>
                <w:vertAlign w:val="superscript"/>
              </w:rPr>
            </w:pPr>
            <w:r w:rsidRPr="00E04E16">
              <w:rPr>
                <w:b/>
              </w:rPr>
              <w:t>$</w:t>
            </w:r>
            <w:r w:rsidR="004E288B">
              <w:rPr>
                <w:b/>
                <w:noProof/>
                <w:color w:val="000000"/>
                <w:highlight w:val="black"/>
              </w:rPr>
              <w:t>'''''''''''''''''''''</w:t>
            </w:r>
            <w:r w:rsidR="00835C44" w:rsidRPr="00835C44">
              <w:rPr>
                <w:vertAlign w:val="superscript"/>
              </w:rPr>
              <w:t>11</w:t>
            </w:r>
          </w:p>
        </w:tc>
        <w:tc>
          <w:tcPr>
            <w:tcW w:w="113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7C5EED" w:rsidRPr="00835C44" w:rsidRDefault="007C5EED" w:rsidP="007C5EED">
            <w:pPr>
              <w:pStyle w:val="Tabletext0"/>
              <w:spacing w:before="0" w:after="0"/>
              <w:jc w:val="center"/>
              <w:rPr>
                <w:rFonts w:cs="Arial"/>
                <w:b/>
                <w:vertAlign w:val="superscript"/>
              </w:rPr>
            </w:pPr>
            <w:r w:rsidRPr="00E04E16">
              <w:rPr>
                <w:b/>
              </w:rPr>
              <w:t>$</w:t>
            </w:r>
            <w:r w:rsidR="004E288B">
              <w:rPr>
                <w:b/>
                <w:noProof/>
                <w:color w:val="000000"/>
                <w:highlight w:val="black"/>
              </w:rPr>
              <w:t>''''''''''''''''''''''</w:t>
            </w:r>
            <w:r w:rsidR="00835C44" w:rsidRPr="00835C44">
              <w:rPr>
                <w:vertAlign w:val="superscript"/>
              </w:rPr>
              <w:t>11</w:t>
            </w:r>
          </w:p>
        </w:tc>
      </w:tr>
    </w:tbl>
    <w:p w:rsidR="007C5EED" w:rsidRPr="00E04E16" w:rsidRDefault="007C5EED" w:rsidP="007C5EED">
      <w:pPr>
        <w:pStyle w:val="TableFooter"/>
      </w:pPr>
      <w:r w:rsidRPr="00E04E16">
        <w:t>Source: Table 4.2.2 (p 138), Table 4.2.3 (p 139), Table 4.2.4 (p 139) Table 4.2.5 (p 140) Table 4.2.6 (p 141), Table 4.3.1 (p 142), Table 4.3.2 (p 143), Table 4.3.3 (p 144), Table 4.3.4 (p 145-146), Table 4.4.1 (p 147) of the resubmission</w:t>
      </w:r>
    </w:p>
    <w:p w:rsidR="007C5EED" w:rsidRPr="00E04E16" w:rsidRDefault="007C5EED" w:rsidP="007C5EED">
      <w:pPr>
        <w:pStyle w:val="TableFooter"/>
      </w:pPr>
      <w:r w:rsidRPr="00E04E16">
        <w:t>Abbreviations: CKD, chronic kidney disease; DPMQ, dispensed price for maximum quantity; PBS, Pharmaceutical Benefits Scheme; RAASi, renin-angiotensin-aldosterone system inhibitor; RPBS, Repatriation Pharmaceutical Benefits Scheme</w:t>
      </w:r>
    </w:p>
    <w:p w:rsidR="005167A3" w:rsidRPr="00E04E16" w:rsidRDefault="005167A3" w:rsidP="007C5EED">
      <w:pPr>
        <w:pStyle w:val="TableFooter"/>
      </w:pPr>
      <w:r w:rsidRPr="00E04E16">
        <w:t>Note: Shaded rows summarise the net costs to the PBS/RPBS estimated in the November 2019 submission</w:t>
      </w:r>
    </w:p>
    <w:p w:rsidR="005167A3" w:rsidRPr="00E04E16" w:rsidRDefault="005167A3" w:rsidP="005167A3">
      <w:pPr>
        <w:pStyle w:val="TableFooter"/>
      </w:pPr>
      <w:r w:rsidRPr="00E04E16">
        <w:rPr>
          <w:vertAlign w:val="superscript"/>
        </w:rPr>
        <w:t>a</w:t>
      </w:r>
      <w:r w:rsidRPr="00E04E16">
        <w:t>The number of patients in the Year 1 includes patients eligible for treatment due to qualifying hyperkalaemia episodes in the previous year, as well as those with episodes in the current year.</w:t>
      </w:r>
    </w:p>
    <w:p w:rsidR="0058692C" w:rsidRDefault="005167A3" w:rsidP="0058692C">
      <w:pPr>
        <w:pStyle w:val="TableFooter"/>
      </w:pPr>
      <w:r w:rsidRPr="0058692C">
        <w:rPr>
          <w:vertAlign w:val="subscript"/>
        </w:rPr>
        <w:t>b</w:t>
      </w:r>
      <w:r w:rsidR="007C5EED" w:rsidRPr="0058692C">
        <w:t xml:space="preserve"> </w:t>
      </w:r>
      <w:r w:rsidR="007C5EED" w:rsidRPr="00E04E16">
        <w:t>Based on 11.7 script per patient per year as estimated by the resubmission</w:t>
      </w:r>
    </w:p>
    <w:p w:rsidR="0058692C" w:rsidRPr="00835C44" w:rsidRDefault="0058692C" w:rsidP="0058692C">
      <w:pPr>
        <w:pStyle w:val="TableFooter"/>
        <w:rPr>
          <w:i/>
        </w:rPr>
      </w:pPr>
      <w:r w:rsidRPr="00835C44">
        <w:rPr>
          <w:i/>
        </w:rPr>
        <w:t>The redacted values correspond to the following ranges:</w:t>
      </w:r>
    </w:p>
    <w:p w:rsidR="0058692C" w:rsidRPr="00835C44" w:rsidRDefault="0058692C" w:rsidP="0058692C">
      <w:pPr>
        <w:pStyle w:val="TableFooter"/>
        <w:rPr>
          <w:i/>
        </w:rPr>
      </w:pPr>
      <w:r w:rsidRPr="00835C44">
        <w:rPr>
          <w:i/>
          <w:vertAlign w:val="superscript"/>
        </w:rPr>
        <w:t>1</w:t>
      </w:r>
      <w:r w:rsidRPr="00835C44">
        <w:rPr>
          <w:i/>
        </w:rPr>
        <w:t>10,000 to &lt;20,000</w:t>
      </w:r>
    </w:p>
    <w:p w:rsidR="0058692C" w:rsidRPr="00835C44" w:rsidRDefault="0058692C" w:rsidP="0058692C">
      <w:pPr>
        <w:pStyle w:val="TableFooter"/>
        <w:rPr>
          <w:i/>
        </w:rPr>
      </w:pPr>
      <w:r w:rsidRPr="00835C44">
        <w:rPr>
          <w:i/>
          <w:vertAlign w:val="superscript"/>
        </w:rPr>
        <w:t>2</w:t>
      </w:r>
      <w:r w:rsidRPr="00835C44">
        <w:rPr>
          <w:i/>
        </w:rPr>
        <w:t>5,000 to &lt;10,000</w:t>
      </w:r>
    </w:p>
    <w:p w:rsidR="0058692C" w:rsidRPr="00835C44" w:rsidRDefault="0058692C" w:rsidP="0058692C">
      <w:pPr>
        <w:pStyle w:val="TableFooter"/>
        <w:rPr>
          <w:i/>
        </w:rPr>
      </w:pPr>
      <w:r w:rsidRPr="00835C44">
        <w:rPr>
          <w:i/>
          <w:vertAlign w:val="superscript"/>
        </w:rPr>
        <w:t>3</w:t>
      </w:r>
      <w:r w:rsidRPr="00835C44">
        <w:rPr>
          <w:i/>
        </w:rPr>
        <w:t>100,000 to &lt;200,000</w:t>
      </w:r>
    </w:p>
    <w:p w:rsidR="0058692C" w:rsidRPr="00835C44" w:rsidRDefault="0058692C" w:rsidP="0058692C">
      <w:pPr>
        <w:pStyle w:val="TableFooter"/>
        <w:rPr>
          <w:i/>
        </w:rPr>
      </w:pPr>
      <w:r w:rsidRPr="00835C44">
        <w:rPr>
          <w:i/>
          <w:vertAlign w:val="superscript"/>
        </w:rPr>
        <w:t>4</w:t>
      </w:r>
      <w:r w:rsidRPr="00835C44">
        <w:rPr>
          <w:i/>
        </w:rPr>
        <w:t>$50 to &lt;$60 million</w:t>
      </w:r>
    </w:p>
    <w:p w:rsidR="0058692C" w:rsidRPr="00835C44" w:rsidRDefault="0058692C" w:rsidP="0058692C">
      <w:pPr>
        <w:pStyle w:val="TableFooter"/>
        <w:rPr>
          <w:i/>
        </w:rPr>
      </w:pPr>
      <w:r w:rsidRPr="00835C44">
        <w:rPr>
          <w:i/>
          <w:vertAlign w:val="superscript"/>
        </w:rPr>
        <w:t>5</w:t>
      </w:r>
      <w:r w:rsidRPr="00835C44">
        <w:rPr>
          <w:i/>
        </w:rPr>
        <w:t>$40 to &lt;$50 million</w:t>
      </w:r>
    </w:p>
    <w:p w:rsidR="0058692C" w:rsidRPr="00835C44" w:rsidRDefault="0058692C" w:rsidP="0058692C">
      <w:pPr>
        <w:pStyle w:val="TableFooter"/>
        <w:rPr>
          <w:i/>
        </w:rPr>
      </w:pPr>
      <w:r w:rsidRPr="00835C44">
        <w:rPr>
          <w:i/>
          <w:vertAlign w:val="superscript"/>
        </w:rPr>
        <w:t>6</w:t>
      </w:r>
      <w:r w:rsidRPr="00835C44">
        <w:rPr>
          <w:i/>
        </w:rPr>
        <w:t>$60 to &lt;$70 million</w:t>
      </w:r>
    </w:p>
    <w:p w:rsidR="0058692C" w:rsidRPr="00835C44" w:rsidRDefault="0058692C" w:rsidP="0058692C">
      <w:pPr>
        <w:pStyle w:val="TableFooter"/>
        <w:rPr>
          <w:i/>
        </w:rPr>
      </w:pPr>
      <w:r w:rsidRPr="00835C44">
        <w:rPr>
          <w:i/>
          <w:vertAlign w:val="superscript"/>
        </w:rPr>
        <w:t>7</w:t>
      </w:r>
      <w:r w:rsidRPr="00835C44">
        <w:rPr>
          <w:i/>
          <w:vertAlign w:val="superscript"/>
        </w:rPr>
        <w:softHyphen/>
      </w:r>
      <w:r w:rsidRPr="00835C44">
        <w:rPr>
          <w:i/>
        </w:rPr>
        <w:t>$70 to &lt;$80 million</w:t>
      </w:r>
    </w:p>
    <w:p w:rsidR="0058692C" w:rsidRPr="00835C44" w:rsidRDefault="0058692C" w:rsidP="0058692C">
      <w:pPr>
        <w:pStyle w:val="TableFooter"/>
        <w:rPr>
          <w:i/>
        </w:rPr>
      </w:pPr>
      <w:r w:rsidRPr="00835C44">
        <w:rPr>
          <w:i/>
          <w:vertAlign w:val="superscript"/>
        </w:rPr>
        <w:t>8</w:t>
      </w:r>
      <w:r w:rsidRPr="00835C44">
        <w:rPr>
          <w:i/>
        </w:rPr>
        <w:t>$0 to &lt;$10 million</w:t>
      </w:r>
    </w:p>
    <w:p w:rsidR="00835C44" w:rsidRPr="00835C44" w:rsidRDefault="00835C44" w:rsidP="00835C44">
      <w:pPr>
        <w:pStyle w:val="TableFooter"/>
        <w:rPr>
          <w:i/>
        </w:rPr>
      </w:pPr>
      <w:r w:rsidRPr="00835C44">
        <w:rPr>
          <w:i/>
          <w:vertAlign w:val="superscript"/>
        </w:rPr>
        <w:t>9</w:t>
      </w:r>
      <w:r w:rsidRPr="00835C44">
        <w:rPr>
          <w:i/>
        </w:rPr>
        <w:t>$20 to &lt;$30 million</w:t>
      </w:r>
    </w:p>
    <w:p w:rsidR="00835C44" w:rsidRPr="00835C44" w:rsidRDefault="00835C44" w:rsidP="00835C44">
      <w:pPr>
        <w:pStyle w:val="TableFooter"/>
        <w:rPr>
          <w:i/>
        </w:rPr>
      </w:pPr>
      <w:r w:rsidRPr="00835C44">
        <w:rPr>
          <w:i/>
          <w:vertAlign w:val="superscript"/>
        </w:rPr>
        <w:t>10</w:t>
      </w:r>
      <w:r w:rsidRPr="00835C44">
        <w:rPr>
          <w:i/>
        </w:rPr>
        <w:t>$100 to &lt;$200 million</w:t>
      </w:r>
    </w:p>
    <w:p w:rsidR="00835C44" w:rsidRPr="00835C44" w:rsidRDefault="00835C44" w:rsidP="00835C44">
      <w:pPr>
        <w:pStyle w:val="TableFooter"/>
        <w:rPr>
          <w:i/>
        </w:rPr>
      </w:pPr>
      <w:r w:rsidRPr="00835C44">
        <w:rPr>
          <w:i/>
          <w:vertAlign w:val="superscript"/>
        </w:rPr>
        <w:t>11</w:t>
      </w:r>
      <w:r w:rsidRPr="00835C44">
        <w:rPr>
          <w:i/>
        </w:rPr>
        <w:t>$200 to &lt;$300 million</w:t>
      </w:r>
    </w:p>
    <w:p w:rsidR="0058692C" w:rsidRPr="00E04E16" w:rsidRDefault="0058692C" w:rsidP="000E45D3">
      <w:pPr>
        <w:pStyle w:val="TableFooter"/>
        <w:spacing w:after="120"/>
      </w:pPr>
    </w:p>
    <w:p w:rsidR="007C5EED" w:rsidRPr="00E04E16" w:rsidRDefault="007C5EED" w:rsidP="007C5EED">
      <w:pPr>
        <w:pStyle w:val="ExecSumBodyText"/>
        <w:numPr>
          <w:ilvl w:val="1"/>
          <w:numId w:val="1"/>
        </w:numPr>
      </w:pPr>
      <w:r w:rsidRPr="00E04E16">
        <w:t>The estimated net cost to the PBS/RPBS for patiromer was $</w:t>
      </w:r>
      <w:r w:rsidR="0022086E">
        <w:t xml:space="preserve">50 to &lt;$60 </w:t>
      </w:r>
      <w:r w:rsidRPr="00E04E16">
        <w:t>million in Year 1, increasing to $</w:t>
      </w:r>
      <w:r w:rsidR="0022086E">
        <w:t xml:space="preserve">70 to &lt;$80 </w:t>
      </w:r>
      <w:r w:rsidRPr="00E04E16">
        <w:t>million in Year 6, a total cost of $</w:t>
      </w:r>
      <w:r w:rsidR="0022086E">
        <w:t>300 to &lt;$400</w:t>
      </w:r>
      <w:r w:rsidRPr="00E04E16">
        <w:t xml:space="preserve"> million in the first 6 years of listing. Updating the prices of patiromer and RAASi therapies to account for the 1</w:t>
      </w:r>
      <w:r w:rsidR="00E31155" w:rsidRPr="00E04E16">
        <w:t> </w:t>
      </w:r>
      <w:r w:rsidRPr="00E04E16">
        <w:t>July increase in fees and mark-ups resulted in a net cost of $</w:t>
      </w:r>
      <w:r w:rsidR="0022086E">
        <w:t>50 to &lt;$60</w:t>
      </w:r>
      <w:r w:rsidRPr="00E04E16">
        <w:t xml:space="preserve"> million in Year 1, increasing to $</w:t>
      </w:r>
      <w:r w:rsidR="0022086E">
        <w:t>70 to &lt;$80</w:t>
      </w:r>
      <w:r w:rsidRPr="00E04E16">
        <w:t xml:space="preserve"> million in Year 6, a total cost of $</w:t>
      </w:r>
      <w:r w:rsidR="0022086E">
        <w:t>300 to &lt;$400</w:t>
      </w:r>
      <w:r w:rsidRPr="00E04E16">
        <w:t xml:space="preserve"> million in the first 6 years of listing.</w:t>
      </w:r>
    </w:p>
    <w:p w:rsidR="007C5EED" w:rsidRPr="00E04E16" w:rsidRDefault="007C5EED" w:rsidP="007C5EED">
      <w:pPr>
        <w:pStyle w:val="ExecSumBodyText"/>
        <w:numPr>
          <w:ilvl w:val="1"/>
          <w:numId w:val="1"/>
        </w:numPr>
      </w:pPr>
      <w:r w:rsidRPr="00E04E16">
        <w:t>The November 2019 submission estimated that listing patiromer would be associated with a cumulative cost of $</w:t>
      </w:r>
      <w:r w:rsidR="0022086E">
        <w:t>800 to &lt;$900</w:t>
      </w:r>
      <w:r w:rsidRPr="00E04E16">
        <w:t xml:space="preserve"> million over six years. The difference was primarily due to limiting the target population to patients with recurrent events, lower treatment persistence estimates as well as a lower requested price for both patiromer doses.</w:t>
      </w:r>
    </w:p>
    <w:p w:rsidR="0072427B" w:rsidRPr="00E04E16" w:rsidRDefault="007C5EED" w:rsidP="007C5EED">
      <w:pPr>
        <w:pStyle w:val="ExecSumBodyText"/>
        <w:numPr>
          <w:ilvl w:val="1"/>
          <w:numId w:val="1"/>
        </w:numPr>
      </w:pPr>
      <w:r w:rsidRPr="00E04E16">
        <w:t xml:space="preserve">The </w:t>
      </w:r>
      <w:r w:rsidR="00C90DEB" w:rsidRPr="00E04E16">
        <w:t xml:space="preserve">evaluation and the ESC considered that the </w:t>
      </w:r>
      <w:r w:rsidR="0072427B" w:rsidRPr="00E04E16">
        <w:t>financial</w:t>
      </w:r>
      <w:r w:rsidRPr="00E04E16">
        <w:t xml:space="preserve"> estimates were highly uncertain due to concerns regarding the</w:t>
      </w:r>
      <w:r w:rsidR="0072427B" w:rsidRPr="00E04E16">
        <w:t>:</w:t>
      </w:r>
    </w:p>
    <w:p w:rsidR="0072427B" w:rsidRPr="00E04E16" w:rsidRDefault="002B6278" w:rsidP="0072427B">
      <w:pPr>
        <w:pStyle w:val="ExecSumBodyText"/>
        <w:numPr>
          <w:ilvl w:val="0"/>
          <w:numId w:val="18"/>
        </w:numPr>
        <w:spacing w:after="0"/>
        <w:ind w:left="1276"/>
      </w:pPr>
      <w:r w:rsidRPr="00E04E16">
        <w:lastRenderedPageBreak/>
        <w:t xml:space="preserve">proportion </w:t>
      </w:r>
      <w:r w:rsidR="007C5EED" w:rsidRPr="00E04E16">
        <w:t xml:space="preserve">of </w:t>
      </w:r>
      <w:r w:rsidRPr="00E04E16">
        <w:t xml:space="preserve">patients with </w:t>
      </w:r>
      <w:r w:rsidR="007C5EED" w:rsidRPr="00E04E16">
        <w:t>incident</w:t>
      </w:r>
      <w:r w:rsidRPr="00E04E16">
        <w:t xml:space="preserve"> and </w:t>
      </w:r>
      <w:r w:rsidR="007C5EED" w:rsidRPr="00E04E16">
        <w:t>recurrent hyperkalaemia events</w:t>
      </w:r>
      <w:r w:rsidRPr="00E04E16">
        <w:t xml:space="preserve"> in patients with CKD (e.g. the source data included patients with CKD 5)</w:t>
      </w:r>
      <w:r w:rsidR="00C90DEB" w:rsidRPr="00E04E16">
        <w:t xml:space="preserve">. The ESC considered the assumed proportions may not reflect clinical practice given detection of events </w:t>
      </w:r>
      <w:r w:rsidRPr="00E04E16">
        <w:t>is highly dependent on monitoring frequency and patient follow-up;</w:t>
      </w:r>
    </w:p>
    <w:p w:rsidR="0072427B" w:rsidRPr="00E04E16" w:rsidRDefault="007C5EED" w:rsidP="00153A9B">
      <w:pPr>
        <w:pStyle w:val="ExecSumBodyText"/>
        <w:numPr>
          <w:ilvl w:val="0"/>
          <w:numId w:val="18"/>
        </w:numPr>
        <w:spacing w:after="0"/>
        <w:ind w:left="1276"/>
      </w:pPr>
      <w:r w:rsidRPr="00B762F2">
        <w:t>assumed high uptake rates</w:t>
      </w:r>
      <w:r w:rsidR="00153A9B" w:rsidRPr="00B762F2">
        <w:t xml:space="preserve">. </w:t>
      </w:r>
      <w:r w:rsidR="002B6278" w:rsidRPr="00B762F2">
        <w:t xml:space="preserve">The ESC considered that the assumed uptake rates of </w:t>
      </w:r>
      <w:r w:rsidR="003A36FA">
        <w:rPr>
          <w:noProof/>
          <w:color w:val="000000"/>
          <w:highlight w:val="black"/>
        </w:rPr>
        <w:t>'''''</w:t>
      </w:r>
      <w:r w:rsidR="002B6278" w:rsidRPr="00B762F2">
        <w:t xml:space="preserve">% in Year 1 increasing to </w:t>
      </w:r>
      <w:r w:rsidR="003A36FA">
        <w:rPr>
          <w:noProof/>
          <w:color w:val="000000"/>
          <w:highlight w:val="black"/>
        </w:rPr>
        <w:t>'''''''</w:t>
      </w:r>
      <w:r w:rsidR="002B6278" w:rsidRPr="00B762F2">
        <w:t>% in</w:t>
      </w:r>
      <w:r w:rsidR="002B6278" w:rsidRPr="00E04E16">
        <w:t xml:space="preserve"> Year 5 were highly implausible. The PSCR stated that the sponsor is willing to modify this assumption;</w:t>
      </w:r>
      <w:r w:rsidRPr="00E04E16">
        <w:t xml:space="preserve"> </w:t>
      </w:r>
    </w:p>
    <w:p w:rsidR="00C90DEB" w:rsidRPr="00E04E16" w:rsidRDefault="00C90DEB" w:rsidP="00C90DEB">
      <w:pPr>
        <w:pStyle w:val="ExecSumBodyText"/>
        <w:numPr>
          <w:ilvl w:val="0"/>
          <w:numId w:val="18"/>
        </w:numPr>
        <w:spacing w:after="0"/>
        <w:ind w:left="1276"/>
      </w:pPr>
      <w:r w:rsidRPr="00E04E16">
        <w:t>the resubmission’s estimates of the use of other therapies used to regulate serum potassium concentration (e.g. SPS and CPS resins, loop diuretics) or other measures used to correct the underlying cause of hyperkalaemia. The ESC considered use of other therapies and measures was likely underestimated.</w:t>
      </w:r>
    </w:p>
    <w:p w:rsidR="0072427B" w:rsidRPr="00E04E16" w:rsidRDefault="007C5EED" w:rsidP="0072427B">
      <w:pPr>
        <w:pStyle w:val="ExecSumBodyText"/>
        <w:numPr>
          <w:ilvl w:val="0"/>
          <w:numId w:val="18"/>
        </w:numPr>
        <w:spacing w:after="0"/>
        <w:ind w:left="1276"/>
      </w:pPr>
      <w:r w:rsidRPr="00E04E16">
        <w:t>low treatment persistence estimates based on US claims data</w:t>
      </w:r>
      <w:r w:rsidR="002B6278" w:rsidRPr="00E04E16">
        <w:t>. The ESC considered there were insufficient data to support the assumed persistence rates;</w:t>
      </w:r>
      <w:r w:rsidRPr="00E04E16">
        <w:t xml:space="preserve"> </w:t>
      </w:r>
    </w:p>
    <w:p w:rsidR="0072427B" w:rsidRPr="00E04E16" w:rsidRDefault="007C5EED" w:rsidP="002630D8">
      <w:pPr>
        <w:pStyle w:val="ExecSumBodyText"/>
        <w:numPr>
          <w:ilvl w:val="0"/>
          <w:numId w:val="18"/>
        </w:numPr>
        <w:spacing w:after="0"/>
        <w:ind w:left="1276"/>
      </w:pPr>
      <w:r w:rsidRPr="00E04E16">
        <w:t>assumption of a single course of therapy</w:t>
      </w:r>
      <w:r w:rsidR="00153A9B" w:rsidRPr="00E04E16">
        <w:t>, which the ESC considered was highly implausible</w:t>
      </w:r>
      <w:r w:rsidR="002630D8" w:rsidRPr="00E04E16">
        <w:t>. The pre-PBAC response stated that the financial analysis is based on patiromer uptake following all (qualifying) hyperkalaemia events occurring in each year, and thus the analysis includes potential subsequent courses of patiromer therapy</w:t>
      </w:r>
      <w:r w:rsidR="002B6278" w:rsidRPr="00E04E16">
        <w:t>;</w:t>
      </w:r>
      <w:r w:rsidRPr="00E04E16">
        <w:t xml:space="preserve"> </w:t>
      </w:r>
    </w:p>
    <w:p w:rsidR="0072427B" w:rsidRPr="00E04E16" w:rsidRDefault="007C5EED" w:rsidP="0072427B">
      <w:pPr>
        <w:pStyle w:val="ExecSumBodyText"/>
        <w:numPr>
          <w:ilvl w:val="0"/>
          <w:numId w:val="18"/>
        </w:numPr>
        <w:spacing w:after="0"/>
        <w:ind w:left="1276"/>
      </w:pPr>
      <w:r w:rsidRPr="00E04E16">
        <w:t>conflicting data on estimated scripts per year</w:t>
      </w:r>
      <w:r w:rsidR="002B6278" w:rsidRPr="00E04E16">
        <w:t>;</w:t>
      </w:r>
      <w:r w:rsidRPr="00E04E16">
        <w:t xml:space="preserve"> and </w:t>
      </w:r>
    </w:p>
    <w:p w:rsidR="007C5EED" w:rsidRPr="00E04E16" w:rsidRDefault="007C5EED" w:rsidP="00153A9B">
      <w:pPr>
        <w:pStyle w:val="ExecSumBodyText"/>
        <w:numPr>
          <w:ilvl w:val="0"/>
          <w:numId w:val="18"/>
        </w:numPr>
        <w:spacing w:after="0"/>
        <w:ind w:left="1276"/>
      </w:pPr>
      <w:r w:rsidRPr="00E04E16">
        <w:t>assumed lower doses in clinical practice compared to the clinical trial evidence.</w:t>
      </w:r>
      <w:r w:rsidR="002B6278" w:rsidRPr="00E04E16">
        <w:t xml:space="preserve"> The resubmission assumed no use of doses &gt;16.8 g (which would require 2 scripts of patiromer) despite at least 50% of patients using such doses in the OPAL-HK study.</w:t>
      </w:r>
      <w:r w:rsidR="00153A9B" w:rsidRPr="00E04E16">
        <w:t xml:space="preserve"> The ESC considered that a substantial proportion of patients may require multiple scripts to achieve target doses in clinical practice, at substantially higher cost.</w:t>
      </w:r>
      <w:r w:rsidR="00C417A6" w:rsidRPr="00E04E16">
        <w:t xml:space="preserve"> The ESC </w:t>
      </w:r>
      <w:r w:rsidR="000915E1" w:rsidRPr="00E04E16">
        <w:t>considered</w:t>
      </w:r>
      <w:r w:rsidR="00C417A6" w:rsidRPr="00E04E16">
        <w:t xml:space="preserve"> that this would need to be part of any Risk</w:t>
      </w:r>
      <w:r w:rsidR="000915E1" w:rsidRPr="00E04E16">
        <w:t xml:space="preserve"> </w:t>
      </w:r>
      <w:r w:rsidR="00C417A6" w:rsidRPr="00E04E16">
        <w:t>Shar</w:t>
      </w:r>
      <w:r w:rsidR="000915E1" w:rsidRPr="00E04E16">
        <w:t>ing</w:t>
      </w:r>
      <w:r w:rsidR="00C417A6" w:rsidRPr="00E04E16">
        <w:t xml:space="preserve"> A</w:t>
      </w:r>
      <w:r w:rsidR="000915E1" w:rsidRPr="00E04E16">
        <w:t>rrange</w:t>
      </w:r>
      <w:r w:rsidR="00C417A6" w:rsidRPr="00E04E16">
        <w:t>ment.</w:t>
      </w:r>
    </w:p>
    <w:p w:rsidR="007C5EED" w:rsidRPr="00E04E16" w:rsidRDefault="007C5EED" w:rsidP="007C5EED">
      <w:pPr>
        <w:pStyle w:val="3-SubsectionHeading"/>
      </w:pPr>
      <w:bookmarkStart w:id="28" w:name="_Toc48561125"/>
      <w:bookmarkStart w:id="29" w:name="_Toc51063882"/>
      <w:r w:rsidRPr="00E04E16">
        <w:t>Quality Use of Medicines</w:t>
      </w:r>
      <w:bookmarkEnd w:id="28"/>
      <w:bookmarkEnd w:id="29"/>
    </w:p>
    <w:p w:rsidR="007C5EED" w:rsidRPr="00E04E16" w:rsidRDefault="00FB38D7" w:rsidP="007C5EED">
      <w:pPr>
        <w:pStyle w:val="ExecSumBodyText"/>
        <w:numPr>
          <w:ilvl w:val="1"/>
          <w:numId w:val="1"/>
        </w:numPr>
      </w:pPr>
      <w:r w:rsidRPr="00E04E16">
        <w:t xml:space="preserve">At the November 2019 meeting the PBAC noted that patiromer may interfere with absorption of other medicines and should be taken at least three hours before or after other oral medications and considered that this would </w:t>
      </w:r>
      <w:r w:rsidR="00105D7E" w:rsidRPr="00E04E16">
        <w:t xml:space="preserve">very likely </w:t>
      </w:r>
      <w:r w:rsidRPr="00E04E16">
        <w:t>pose potential difficulties for patients on multiple other medications (as many patients with CKD and cardiovascular disease require) and could result in changes in the bioavailability of other medications (para 7.19, Patiromer Public Summary Document, November 2019 PBAC meeting)</w:t>
      </w:r>
      <w:r w:rsidR="007C5EED" w:rsidRPr="00E04E16">
        <w:t>.</w:t>
      </w:r>
      <w:r w:rsidRPr="00E04E16">
        <w:t xml:space="preserve"> The submission did not adequately address the potential</w:t>
      </w:r>
      <w:r w:rsidR="00BD3DC3" w:rsidRPr="00E04E16">
        <w:t xml:space="preserve"> that treatment with patiromer may </w:t>
      </w:r>
      <w:r w:rsidR="00411765" w:rsidRPr="00E04E16">
        <w:t>interfere</w:t>
      </w:r>
      <w:r w:rsidRPr="00E04E16">
        <w:t xml:space="preserve"> with </w:t>
      </w:r>
      <w:r w:rsidR="00BD3DC3" w:rsidRPr="00E04E16">
        <w:t xml:space="preserve">the use of </w:t>
      </w:r>
      <w:r w:rsidRPr="00E04E16">
        <w:t>other medicines in the eligible Australian population.</w:t>
      </w:r>
    </w:p>
    <w:p w:rsidR="000079DC" w:rsidRPr="00E04E16" w:rsidRDefault="00C57DA2" w:rsidP="004F3263">
      <w:pPr>
        <w:pStyle w:val="ExecSumBodyText"/>
        <w:numPr>
          <w:ilvl w:val="0"/>
          <w:numId w:val="0"/>
        </w:numPr>
        <w:ind w:left="720"/>
        <w:rPr>
          <w:i/>
        </w:rPr>
      </w:pPr>
      <w:r w:rsidRPr="00E04E16">
        <w:rPr>
          <w:i/>
        </w:rPr>
        <w:t>For more detail on PBAC’s view, see section 7 PBAC outcome.</w:t>
      </w:r>
      <w:bookmarkStart w:id="30" w:name="_Toc341702043"/>
      <w:bookmarkStart w:id="31" w:name="_Toc380742621"/>
      <w:bookmarkStart w:id="32" w:name="_Toc380746188"/>
      <w:bookmarkStart w:id="33" w:name="_Toc380746314"/>
      <w:bookmarkStart w:id="34" w:name="_Toc380746595"/>
      <w:bookmarkEnd w:id="25"/>
    </w:p>
    <w:p w:rsidR="004F3263" w:rsidRPr="00E04E16" w:rsidRDefault="004F3263" w:rsidP="00FB6AB4">
      <w:pPr>
        <w:keepNext/>
        <w:widowControl w:val="0"/>
        <w:numPr>
          <w:ilvl w:val="0"/>
          <w:numId w:val="1"/>
        </w:numPr>
        <w:spacing w:before="240" w:after="120"/>
        <w:outlineLvl w:val="0"/>
        <w:rPr>
          <w:rFonts w:asciiTheme="minorHAnsi" w:hAnsiTheme="minorHAnsi"/>
          <w:b/>
          <w:bCs/>
          <w:snapToGrid w:val="0"/>
          <w:sz w:val="32"/>
        </w:rPr>
      </w:pPr>
      <w:r w:rsidRPr="00E04E16">
        <w:rPr>
          <w:rFonts w:asciiTheme="minorHAnsi" w:hAnsiTheme="minorHAnsi"/>
          <w:b/>
          <w:bCs/>
          <w:snapToGrid w:val="0"/>
          <w:sz w:val="32"/>
        </w:rPr>
        <w:lastRenderedPageBreak/>
        <w:t>PBAC Outcome</w:t>
      </w:r>
    </w:p>
    <w:p w:rsidR="00E01B03" w:rsidRPr="00E04E16" w:rsidRDefault="007D2BF1" w:rsidP="004337E1">
      <w:pPr>
        <w:pStyle w:val="ExecSumBodyText"/>
      </w:pPr>
      <w:r w:rsidRPr="00E04E16">
        <w:rPr>
          <w:bCs/>
        </w:rPr>
        <w:t xml:space="preserve">The PBAC did not recommend </w:t>
      </w:r>
      <w:r w:rsidR="00FB6AB4" w:rsidRPr="00E04E16">
        <w:rPr>
          <w:bCs/>
        </w:rPr>
        <w:t xml:space="preserve">the listing of patiromer </w:t>
      </w:r>
      <w:r w:rsidR="0084559A" w:rsidRPr="00E04E16">
        <w:rPr>
          <w:bCs/>
        </w:rPr>
        <w:t>for the treatm</w:t>
      </w:r>
      <w:r w:rsidR="009E226B" w:rsidRPr="00E04E16">
        <w:rPr>
          <w:bCs/>
        </w:rPr>
        <w:t xml:space="preserve">ent of hyperkalaemia in patients </w:t>
      </w:r>
      <w:r w:rsidR="009E226B" w:rsidRPr="00E04E16">
        <w:t xml:space="preserve">with chronic kidney disease (CKD) Stage 3 </w:t>
      </w:r>
      <w:r w:rsidR="004F16B4" w:rsidRPr="00E04E16">
        <w:t>or</w:t>
      </w:r>
      <w:r w:rsidR="009E226B" w:rsidRPr="00E04E16">
        <w:rPr>
          <w:lang w:eastAsia="zh-CN"/>
        </w:rPr>
        <w:t xml:space="preserve"> </w:t>
      </w:r>
      <w:r w:rsidR="009E226B" w:rsidRPr="00E04E16">
        <w:t xml:space="preserve">4 </w:t>
      </w:r>
      <w:r w:rsidR="004F16B4" w:rsidRPr="00E04E16">
        <w:t>and</w:t>
      </w:r>
      <w:r w:rsidR="00F70942" w:rsidRPr="00E04E16">
        <w:t xml:space="preserve"> </w:t>
      </w:r>
      <w:r w:rsidR="009E226B" w:rsidRPr="00E04E16">
        <w:t>chronic hyperkalaemia</w:t>
      </w:r>
      <w:r w:rsidR="00F70942" w:rsidRPr="00E04E16">
        <w:t xml:space="preserve"> </w:t>
      </w:r>
      <w:r w:rsidR="004F16B4" w:rsidRPr="00E04E16">
        <w:t>who</w:t>
      </w:r>
      <w:r w:rsidR="009E226B" w:rsidRPr="00E04E16">
        <w:t xml:space="preserve"> are receiving </w:t>
      </w:r>
      <w:r w:rsidR="00FB6AB4" w:rsidRPr="00E04E16">
        <w:t xml:space="preserve">or indicated for RAASi therapy. </w:t>
      </w:r>
      <w:r w:rsidR="009E226B" w:rsidRPr="00E04E16">
        <w:rPr>
          <w:bCs/>
        </w:rPr>
        <w:t>The</w:t>
      </w:r>
      <w:r w:rsidR="007D54A4" w:rsidRPr="00E04E16">
        <w:rPr>
          <w:bCs/>
        </w:rPr>
        <w:t xml:space="preserve"> PBAC considered that </w:t>
      </w:r>
      <w:r w:rsidR="00B1394E" w:rsidRPr="00E04E16">
        <w:rPr>
          <w:bCs/>
        </w:rPr>
        <w:t>the</w:t>
      </w:r>
      <w:r w:rsidR="007D54A4" w:rsidRPr="00E04E16">
        <w:rPr>
          <w:bCs/>
        </w:rPr>
        <w:t xml:space="preserve"> </w:t>
      </w:r>
      <w:r w:rsidR="009E226B" w:rsidRPr="00E04E16">
        <w:rPr>
          <w:bCs/>
        </w:rPr>
        <w:t>benefit</w:t>
      </w:r>
      <w:r w:rsidR="00B1394E" w:rsidRPr="00E04E16">
        <w:rPr>
          <w:bCs/>
        </w:rPr>
        <w:t xml:space="preserve"> </w:t>
      </w:r>
      <w:r w:rsidR="00FB6AB4" w:rsidRPr="00E04E16">
        <w:rPr>
          <w:bCs/>
        </w:rPr>
        <w:t xml:space="preserve">in terms of </w:t>
      </w:r>
      <w:r w:rsidR="00A23A5C" w:rsidRPr="00E04E16">
        <w:rPr>
          <w:bCs/>
        </w:rPr>
        <w:t>patient-</w:t>
      </w:r>
      <w:r w:rsidR="00FB6AB4" w:rsidRPr="00E04E16">
        <w:rPr>
          <w:bCs/>
        </w:rPr>
        <w:t xml:space="preserve">relevant outcomes </w:t>
      </w:r>
      <w:r w:rsidR="009E226B" w:rsidRPr="00E04E16">
        <w:rPr>
          <w:bCs/>
        </w:rPr>
        <w:t>in the Australian setting</w:t>
      </w:r>
      <w:r w:rsidR="00B1394E" w:rsidRPr="00E04E16">
        <w:rPr>
          <w:bCs/>
        </w:rPr>
        <w:t xml:space="preserve"> was uncertain</w:t>
      </w:r>
      <w:r w:rsidR="009E226B" w:rsidRPr="00E04E16">
        <w:rPr>
          <w:bCs/>
        </w:rPr>
        <w:t xml:space="preserve">, </w:t>
      </w:r>
      <w:r w:rsidR="00B1394E" w:rsidRPr="00E04E16">
        <w:rPr>
          <w:bCs/>
        </w:rPr>
        <w:t xml:space="preserve">the resubmission had not adequately accounted for SPS and CPS resins as a comparator, the estimated ICER was </w:t>
      </w:r>
      <w:r w:rsidR="009E226B" w:rsidRPr="00E04E16">
        <w:rPr>
          <w:bCs/>
        </w:rPr>
        <w:t xml:space="preserve">uncertain and </w:t>
      </w:r>
      <w:r w:rsidR="004F16B4" w:rsidRPr="00E04E16">
        <w:rPr>
          <w:bCs/>
        </w:rPr>
        <w:t>significantly underestimated</w:t>
      </w:r>
      <w:r w:rsidR="009E226B" w:rsidRPr="00E04E16">
        <w:rPr>
          <w:bCs/>
        </w:rPr>
        <w:t xml:space="preserve">, and </w:t>
      </w:r>
      <w:r w:rsidR="004F16B4" w:rsidRPr="00E04E16">
        <w:rPr>
          <w:bCs/>
        </w:rPr>
        <w:t>the</w:t>
      </w:r>
      <w:r w:rsidR="009E226B" w:rsidRPr="00E04E16">
        <w:rPr>
          <w:bCs/>
        </w:rPr>
        <w:t xml:space="preserve"> total </w:t>
      </w:r>
      <w:r w:rsidR="00FB6AB4" w:rsidRPr="00E04E16">
        <w:rPr>
          <w:bCs/>
        </w:rPr>
        <w:t>financial impact</w:t>
      </w:r>
      <w:r w:rsidR="004F16B4" w:rsidRPr="00E04E16">
        <w:rPr>
          <w:bCs/>
        </w:rPr>
        <w:t xml:space="preserve"> was high</w:t>
      </w:r>
      <w:r w:rsidR="00ED29D8">
        <w:rPr>
          <w:bCs/>
        </w:rPr>
        <w:t xml:space="preserve"> and uncertain</w:t>
      </w:r>
      <w:r w:rsidR="00E04E16">
        <w:rPr>
          <w:bCs/>
        </w:rPr>
        <w:t xml:space="preserve">. </w:t>
      </w:r>
    </w:p>
    <w:p w:rsidR="004F3263" w:rsidRPr="00E04E16" w:rsidRDefault="00201BB9" w:rsidP="004F3263">
      <w:pPr>
        <w:widowControl w:val="0"/>
        <w:numPr>
          <w:ilvl w:val="1"/>
          <w:numId w:val="1"/>
        </w:numPr>
        <w:spacing w:after="120"/>
        <w:rPr>
          <w:rFonts w:asciiTheme="minorHAnsi" w:hAnsiTheme="minorHAnsi"/>
          <w:bCs/>
          <w:snapToGrid w:val="0"/>
        </w:rPr>
      </w:pPr>
      <w:r w:rsidRPr="00E04E16">
        <w:rPr>
          <w:rFonts w:asciiTheme="minorHAnsi" w:hAnsiTheme="minorHAnsi"/>
          <w:bCs/>
          <w:snapToGrid w:val="0"/>
        </w:rPr>
        <w:t xml:space="preserve">The </w:t>
      </w:r>
      <w:r w:rsidR="00637E16" w:rsidRPr="00E04E16">
        <w:rPr>
          <w:rFonts w:asciiTheme="minorHAnsi" w:hAnsiTheme="minorHAnsi"/>
          <w:bCs/>
          <w:snapToGrid w:val="0"/>
        </w:rPr>
        <w:t>resubmission nominated standard care (no active ongoing pharmacological treatment) as the comparator. S</w:t>
      </w:r>
      <w:r w:rsidR="00A612A6" w:rsidRPr="00E04E16">
        <w:rPr>
          <w:rFonts w:asciiTheme="minorHAnsi" w:hAnsiTheme="minorHAnsi"/>
          <w:bCs/>
          <w:snapToGrid w:val="0"/>
        </w:rPr>
        <w:t xml:space="preserve">tandard care includes modification of </w:t>
      </w:r>
      <w:r w:rsidR="00637E16" w:rsidRPr="00E04E16">
        <w:rPr>
          <w:rFonts w:asciiTheme="minorHAnsi" w:hAnsiTheme="minorHAnsi"/>
          <w:bCs/>
          <w:snapToGrid w:val="0"/>
        </w:rPr>
        <w:t>diet</w:t>
      </w:r>
      <w:r w:rsidR="00036C3C">
        <w:rPr>
          <w:rFonts w:asciiTheme="minorHAnsi" w:hAnsiTheme="minorHAnsi"/>
          <w:bCs/>
          <w:snapToGrid w:val="0"/>
        </w:rPr>
        <w:t xml:space="preserve"> and modification of</w:t>
      </w:r>
      <w:r w:rsidR="00637E16" w:rsidRPr="00E04E16">
        <w:rPr>
          <w:rFonts w:asciiTheme="minorHAnsi" w:hAnsiTheme="minorHAnsi"/>
          <w:bCs/>
          <w:snapToGrid w:val="0"/>
        </w:rPr>
        <w:t xml:space="preserve"> </w:t>
      </w:r>
      <w:r w:rsidR="00637E16" w:rsidRPr="00E04E16">
        <w:t xml:space="preserve">RAASi </w:t>
      </w:r>
      <w:r w:rsidR="00036C3C" w:rsidRPr="00401951">
        <w:t>dose</w:t>
      </w:r>
      <w:r w:rsidR="00A612A6" w:rsidRPr="00401951">
        <w:rPr>
          <w:rFonts w:asciiTheme="minorHAnsi" w:hAnsiTheme="minorHAnsi"/>
          <w:bCs/>
          <w:snapToGrid w:val="0"/>
        </w:rPr>
        <w:t xml:space="preserve">. </w:t>
      </w:r>
      <w:r w:rsidR="00974D46" w:rsidRPr="00401951">
        <w:rPr>
          <w:rFonts w:asciiTheme="minorHAnsi" w:hAnsiTheme="minorHAnsi"/>
          <w:bCs/>
          <w:snapToGrid w:val="0"/>
        </w:rPr>
        <w:t xml:space="preserve">The PBAC </w:t>
      </w:r>
      <w:r w:rsidR="00D575E1" w:rsidRPr="00401951">
        <w:t>maintained</w:t>
      </w:r>
      <w:r w:rsidR="00974D46" w:rsidRPr="00401951">
        <w:t xml:space="preserve"> that intermittent use of SPS </w:t>
      </w:r>
      <w:r w:rsidR="000450EA" w:rsidRPr="00401951">
        <w:t>or CPS resins are</w:t>
      </w:r>
      <w:r w:rsidR="00974D46" w:rsidRPr="00401951">
        <w:t xml:space="preserve"> a </w:t>
      </w:r>
      <w:r w:rsidR="00A23A5C" w:rsidRPr="00401951">
        <w:t xml:space="preserve">relevant </w:t>
      </w:r>
      <w:r w:rsidR="00974D46" w:rsidRPr="00401951">
        <w:t>comparator.</w:t>
      </w:r>
      <w:r w:rsidR="000450EA" w:rsidRPr="00401951">
        <w:t xml:space="preserve"> </w:t>
      </w:r>
      <w:r w:rsidR="000450EA" w:rsidRPr="00401951">
        <w:rPr>
          <w:rFonts w:cstheme="minorHAnsi"/>
        </w:rPr>
        <w:t xml:space="preserve">While </w:t>
      </w:r>
      <w:r w:rsidR="00A612A6" w:rsidRPr="00401951">
        <w:rPr>
          <w:rFonts w:cstheme="minorHAnsi"/>
        </w:rPr>
        <w:t>SPS/CPS resins</w:t>
      </w:r>
      <w:r w:rsidR="000450EA" w:rsidRPr="00401951">
        <w:rPr>
          <w:rFonts w:cstheme="minorHAnsi"/>
        </w:rPr>
        <w:t xml:space="preserve"> are used intermittently in the treatment of recurrent hyperkalaemia in some patients, patiromer also appears to be used predominantly as a short-term and intermittent treatment based on the persistence data presented in the resubmission</w:t>
      </w:r>
      <w:r w:rsidR="000450EA" w:rsidRPr="00401951">
        <w:rPr>
          <w:rFonts w:cstheme="minorHAnsi"/>
          <w:i/>
        </w:rPr>
        <w:t>.</w:t>
      </w:r>
    </w:p>
    <w:p w:rsidR="00D7592D" w:rsidRPr="00E04E16" w:rsidRDefault="003C7441" w:rsidP="00BD7F55">
      <w:pPr>
        <w:pStyle w:val="ExecSumBodyText"/>
      </w:pPr>
      <w:r w:rsidRPr="00E04E16">
        <w:t xml:space="preserve">The PBAC </w:t>
      </w:r>
      <w:r w:rsidR="000B2FFA" w:rsidRPr="00E04E16">
        <w:t xml:space="preserve">considered </w:t>
      </w:r>
      <w:r w:rsidRPr="00E04E16">
        <w:t xml:space="preserve">that </w:t>
      </w:r>
      <w:r w:rsidR="00C165B1" w:rsidRPr="00E04E16">
        <w:t xml:space="preserve">while the </w:t>
      </w:r>
      <w:r w:rsidR="000B2FFA" w:rsidRPr="00E04E16">
        <w:t xml:space="preserve">included </w:t>
      </w:r>
      <w:r w:rsidR="008A5067">
        <w:t xml:space="preserve">clinical </w:t>
      </w:r>
      <w:r w:rsidR="000B2FFA" w:rsidRPr="00E04E16">
        <w:t xml:space="preserve">studies </w:t>
      </w:r>
      <w:r w:rsidR="00FF228D" w:rsidRPr="00E04E16">
        <w:t>demonst</w:t>
      </w:r>
      <w:r w:rsidR="00887B52" w:rsidRPr="00E04E16">
        <w:t>r</w:t>
      </w:r>
      <w:r w:rsidR="00FF228D" w:rsidRPr="00E04E16">
        <w:t>ate</w:t>
      </w:r>
      <w:r w:rsidR="00887B52" w:rsidRPr="00E04E16">
        <w:t>d</w:t>
      </w:r>
      <w:r w:rsidR="00C165B1" w:rsidRPr="00E04E16">
        <w:t xml:space="preserve"> that patiromer lower</w:t>
      </w:r>
      <w:r w:rsidR="000B2FFA" w:rsidRPr="00E04E16">
        <w:t>s</w:t>
      </w:r>
      <w:r w:rsidR="00C165B1" w:rsidRPr="00E04E16">
        <w:t xml:space="preserve"> potassium</w:t>
      </w:r>
      <w:r w:rsidR="000450EA" w:rsidRPr="00E04E16">
        <w:t xml:space="preserve"> levels</w:t>
      </w:r>
      <w:r w:rsidR="00C165B1" w:rsidRPr="00E04E16">
        <w:t xml:space="preserve">, </w:t>
      </w:r>
      <w:r w:rsidR="00EB2B72" w:rsidRPr="00E04E16">
        <w:t xml:space="preserve">it was unknown </w:t>
      </w:r>
      <w:r w:rsidR="00684F20" w:rsidRPr="00E04E16">
        <w:t>whether patiromer confers a clinically important benefit</w:t>
      </w:r>
      <w:r w:rsidR="00FF228D" w:rsidRPr="00E04E16">
        <w:t>, in terms of optimisation/maintenance of RAASi treatment and long-term cardiovascular and renal outcomes</w:t>
      </w:r>
      <w:r w:rsidR="00C165B1" w:rsidRPr="00E04E16">
        <w:t xml:space="preserve">. </w:t>
      </w:r>
      <w:r w:rsidR="00FF228D" w:rsidRPr="00E04E16">
        <w:t>The PBAC considered that the intense monitoring</w:t>
      </w:r>
      <w:r w:rsidR="005106A8" w:rsidRPr="00E04E16">
        <w:t xml:space="preserve"> </w:t>
      </w:r>
      <w:r w:rsidR="00FF228D" w:rsidRPr="00E04E16">
        <w:t xml:space="preserve">and </w:t>
      </w:r>
      <w:r w:rsidR="005106A8" w:rsidRPr="00E04E16">
        <w:t xml:space="preserve">the </w:t>
      </w:r>
      <w:r w:rsidR="00FF228D" w:rsidRPr="00E04E16">
        <w:t>strict patiromer/RAASi titration protocol in OPAL-HK</w:t>
      </w:r>
      <w:r w:rsidR="00FF228D" w:rsidRPr="00E04E16">
        <w:rPr>
          <w:i/>
        </w:rPr>
        <w:t xml:space="preserve"> </w:t>
      </w:r>
      <w:r w:rsidR="00FF228D" w:rsidRPr="00E04E16">
        <w:t xml:space="preserve">was not broadly applicable to Australian clinical practice and likely led to </w:t>
      </w:r>
      <w:r w:rsidR="005106A8" w:rsidRPr="00E04E16">
        <w:t>the</w:t>
      </w:r>
      <w:r w:rsidR="00FF228D" w:rsidRPr="00E04E16">
        <w:t xml:space="preserve"> implausibly high rates of RAASi discontinuation</w:t>
      </w:r>
      <w:r w:rsidR="005106A8" w:rsidRPr="00E04E16">
        <w:t xml:space="preserve"> observed (</w:t>
      </w:r>
      <w:r w:rsidR="008A5067">
        <w:t xml:space="preserve">noting that </w:t>
      </w:r>
      <w:r w:rsidR="005106A8" w:rsidRPr="00E04E16">
        <w:t>52% of patients in the placebo arm of Part-B discontinued RAASi therapy)</w:t>
      </w:r>
      <w:r w:rsidR="00FF228D" w:rsidRPr="00E04E16">
        <w:t xml:space="preserve">. </w:t>
      </w:r>
      <w:r w:rsidR="000450EA" w:rsidRPr="00E04E16">
        <w:t xml:space="preserve">The PBAC considered that </w:t>
      </w:r>
      <w:r w:rsidR="00E84326" w:rsidRPr="00E04E16">
        <w:t xml:space="preserve">other </w:t>
      </w:r>
      <w:r w:rsidR="000450EA" w:rsidRPr="00E04E16">
        <w:t xml:space="preserve">key issues with the OPAL-HK </w:t>
      </w:r>
      <w:r w:rsidR="000B2FFA" w:rsidRPr="00E04E16">
        <w:t>study</w:t>
      </w:r>
      <w:r w:rsidR="000450EA" w:rsidRPr="00E04E16">
        <w:t xml:space="preserve"> included: the small sample size (n = </w:t>
      </w:r>
      <w:r w:rsidR="000B2FFA" w:rsidRPr="00E04E16">
        <w:t>10</w:t>
      </w:r>
      <w:r w:rsidR="000162AC">
        <w:t>7</w:t>
      </w:r>
      <w:r w:rsidR="000B2FFA" w:rsidRPr="00E04E16">
        <w:t xml:space="preserve"> in Part B</w:t>
      </w:r>
      <w:r w:rsidR="000450EA" w:rsidRPr="00E04E16">
        <w:t>); the high risk of bias</w:t>
      </w:r>
      <w:r w:rsidR="005625EB" w:rsidRPr="00E04E16">
        <w:t xml:space="preserve"> (e.g. due to the lack of randomisation in Part A and potential unblinding in Part B)</w:t>
      </w:r>
      <w:r w:rsidR="000B2FFA" w:rsidRPr="00E04E16">
        <w:t>;</w:t>
      </w:r>
      <w:r w:rsidR="000450EA" w:rsidRPr="00E04E16">
        <w:t xml:space="preserve"> </w:t>
      </w:r>
      <w:r w:rsidR="00E84326" w:rsidRPr="00E04E16">
        <w:t xml:space="preserve">the </w:t>
      </w:r>
      <w:r w:rsidR="000450EA" w:rsidRPr="00E04E16">
        <w:t>short-term duration of the study (8 weeks</w:t>
      </w:r>
      <w:r w:rsidR="000B2FFA" w:rsidRPr="00E04E16">
        <w:t xml:space="preserve"> in Part B</w:t>
      </w:r>
      <w:r w:rsidR="000450EA" w:rsidRPr="00E04E16">
        <w:t>)</w:t>
      </w:r>
      <w:r w:rsidR="000B2FFA" w:rsidRPr="00E04E16">
        <w:t xml:space="preserve">; </w:t>
      </w:r>
      <w:r w:rsidR="00FF228D" w:rsidRPr="00E04E16">
        <w:t>the</w:t>
      </w:r>
      <w:r w:rsidR="000450EA" w:rsidRPr="00E04E16">
        <w:t xml:space="preserve"> differences in RAASi titration protocols between treatment arms</w:t>
      </w:r>
      <w:r w:rsidR="00FF228D" w:rsidRPr="00E04E16">
        <w:t xml:space="preserve">; the maximum dose allowed in the trial was higher than </w:t>
      </w:r>
      <w:r w:rsidR="00FF228D" w:rsidRPr="00E04E16">
        <w:rPr>
          <w:bCs/>
        </w:rPr>
        <w:t>recommended in the patiromer Product Information; and Part B of the study enrolled an enriched population</w:t>
      </w:r>
      <w:r w:rsidR="000450EA" w:rsidRPr="00E04E16">
        <w:t xml:space="preserve">. </w:t>
      </w:r>
    </w:p>
    <w:p w:rsidR="00AF4C25" w:rsidRPr="00E04E16" w:rsidRDefault="00AF4C25" w:rsidP="00D70A02">
      <w:pPr>
        <w:widowControl w:val="0"/>
        <w:numPr>
          <w:ilvl w:val="1"/>
          <w:numId w:val="1"/>
        </w:numPr>
        <w:spacing w:after="120"/>
      </w:pPr>
      <w:r w:rsidRPr="00E04E16">
        <w:t>Further, the PBAC noted that an incremental benefit versus intermittent use of SPS/CPS resins was not demonstrated.</w:t>
      </w:r>
    </w:p>
    <w:p w:rsidR="00FB6AB4" w:rsidRPr="00E04E16" w:rsidRDefault="006A292C" w:rsidP="00D70A02">
      <w:pPr>
        <w:widowControl w:val="0"/>
        <w:numPr>
          <w:ilvl w:val="1"/>
          <w:numId w:val="1"/>
        </w:numPr>
        <w:spacing w:after="120"/>
      </w:pPr>
      <w:r w:rsidRPr="00E04E16">
        <w:rPr>
          <w:rFonts w:asciiTheme="minorHAnsi" w:hAnsiTheme="minorHAnsi"/>
          <w:bCs/>
          <w:snapToGrid w:val="0"/>
        </w:rPr>
        <w:t xml:space="preserve">The PBAC </w:t>
      </w:r>
      <w:r w:rsidR="005816CD" w:rsidRPr="00E04E16">
        <w:rPr>
          <w:rFonts w:asciiTheme="minorHAnsi" w:hAnsiTheme="minorHAnsi"/>
          <w:bCs/>
          <w:snapToGrid w:val="0"/>
        </w:rPr>
        <w:t>consider</w:t>
      </w:r>
      <w:r w:rsidRPr="00E04E16">
        <w:rPr>
          <w:rFonts w:asciiTheme="minorHAnsi" w:hAnsiTheme="minorHAnsi"/>
          <w:bCs/>
          <w:snapToGrid w:val="0"/>
        </w:rPr>
        <w:t xml:space="preserve">ed that </w:t>
      </w:r>
      <w:r w:rsidR="00FB6AB4" w:rsidRPr="00E04E16">
        <w:rPr>
          <w:rFonts w:asciiTheme="minorHAnsi" w:hAnsiTheme="minorHAnsi"/>
          <w:bCs/>
          <w:snapToGrid w:val="0"/>
        </w:rPr>
        <w:t xml:space="preserve">its </w:t>
      </w:r>
      <w:r w:rsidRPr="00E04E16">
        <w:rPr>
          <w:rFonts w:asciiTheme="minorHAnsi" w:hAnsiTheme="minorHAnsi"/>
          <w:bCs/>
          <w:snapToGrid w:val="0"/>
        </w:rPr>
        <w:t xml:space="preserve">previous concerns regarding the risks of hypokalaemia and hypomagnesaemia were not </w:t>
      </w:r>
      <w:r w:rsidR="00FB6AB4" w:rsidRPr="00E04E16">
        <w:rPr>
          <w:rFonts w:asciiTheme="minorHAnsi" w:hAnsiTheme="minorHAnsi"/>
          <w:bCs/>
          <w:snapToGrid w:val="0"/>
        </w:rPr>
        <w:t xml:space="preserve">adequately </w:t>
      </w:r>
      <w:r w:rsidRPr="00E04E16">
        <w:rPr>
          <w:rFonts w:asciiTheme="minorHAnsi" w:hAnsiTheme="minorHAnsi"/>
          <w:bCs/>
          <w:snapToGrid w:val="0"/>
        </w:rPr>
        <w:t>addressed in the resubmission</w:t>
      </w:r>
      <w:r w:rsidR="00E04E16">
        <w:rPr>
          <w:rFonts w:asciiTheme="minorHAnsi" w:hAnsiTheme="minorHAnsi"/>
          <w:bCs/>
          <w:snapToGrid w:val="0"/>
        </w:rPr>
        <w:t xml:space="preserve">. </w:t>
      </w:r>
    </w:p>
    <w:p w:rsidR="00A23A5C" w:rsidRPr="00E04E16" w:rsidRDefault="00A23A5C" w:rsidP="00E31155">
      <w:pPr>
        <w:pStyle w:val="ExecSumBodyText"/>
      </w:pPr>
      <w:r w:rsidRPr="00E04E16">
        <w:t>The PBAC noted that there is an ongoing randomised placebo-controlled trial, DIAMOND, e</w:t>
      </w:r>
      <w:r w:rsidRPr="00E04E16">
        <w:rPr>
          <w:bCs/>
        </w:rPr>
        <w:t>xamining the safety and efficacy of patiromer in patients with heart failure</w:t>
      </w:r>
      <w:r w:rsidRPr="00E04E16">
        <w:rPr>
          <w:rFonts w:ascii="Calibri" w:hAnsi="Calibri"/>
          <w:bCs/>
          <w:snapToGrid/>
        </w:rPr>
        <w:t xml:space="preserve"> with either hyperkalaemia at screening or a history of hyperkalaemia in the past year that led to a reduction or discontinuation of RAASi therapy. </w:t>
      </w:r>
      <w:r w:rsidRPr="00E04E16">
        <w:t>The primary outcome is the t</w:t>
      </w:r>
      <w:r w:rsidRPr="00E04E16">
        <w:rPr>
          <w:bCs/>
        </w:rPr>
        <w:t>ime to first occurrence of CV death or CV hospitalisation.</w:t>
      </w:r>
    </w:p>
    <w:p w:rsidR="00E84326" w:rsidRPr="00E04E16" w:rsidRDefault="00054EC2" w:rsidP="00D70A02">
      <w:pPr>
        <w:widowControl w:val="0"/>
        <w:numPr>
          <w:ilvl w:val="1"/>
          <w:numId w:val="1"/>
        </w:numPr>
        <w:spacing w:after="120"/>
      </w:pPr>
      <w:r w:rsidRPr="00E04E16">
        <w:rPr>
          <w:rFonts w:asciiTheme="minorHAnsi" w:hAnsiTheme="minorHAnsi"/>
          <w:bCs/>
          <w:snapToGrid w:val="0"/>
        </w:rPr>
        <w:t xml:space="preserve">The PBAC considered that the economic model was unreliable and that many of the assumptions lacked face validity. </w:t>
      </w:r>
      <w:r w:rsidR="00D70A02" w:rsidRPr="00E04E16">
        <w:rPr>
          <w:rFonts w:asciiTheme="minorHAnsi" w:hAnsiTheme="minorHAnsi"/>
          <w:bCs/>
          <w:snapToGrid w:val="0"/>
        </w:rPr>
        <w:t xml:space="preserve">The PBAC </w:t>
      </w:r>
      <w:r w:rsidR="00E84326" w:rsidRPr="00E04E16">
        <w:rPr>
          <w:rFonts w:asciiTheme="minorHAnsi" w:hAnsiTheme="minorHAnsi"/>
          <w:bCs/>
          <w:snapToGrid w:val="0"/>
        </w:rPr>
        <w:t xml:space="preserve">agreed with the issues raised by the </w:t>
      </w:r>
      <w:r w:rsidR="00E84326" w:rsidRPr="00E04E16">
        <w:rPr>
          <w:rFonts w:asciiTheme="minorHAnsi" w:hAnsiTheme="minorHAnsi"/>
          <w:bCs/>
          <w:snapToGrid w:val="0"/>
        </w:rPr>
        <w:lastRenderedPageBreak/>
        <w:t>evaluation and ESC, as outlined in the ‘economic analysis’ section, and considered that key issues included:</w:t>
      </w:r>
    </w:p>
    <w:p w:rsidR="008A3BA0" w:rsidRPr="00E04E16" w:rsidRDefault="00897A1A" w:rsidP="008A3BA0">
      <w:pPr>
        <w:pStyle w:val="ListParagraph"/>
        <w:numPr>
          <w:ilvl w:val="0"/>
          <w:numId w:val="33"/>
        </w:numPr>
      </w:pPr>
      <w:r w:rsidRPr="00E04E16">
        <w:t>The economic model assumed a median duration of patiromer treatment of 3 months and a maximum of 12 months</w:t>
      </w:r>
      <w:r w:rsidR="00B762F2">
        <w:rPr>
          <w:rStyle w:val="FootnoteReference"/>
        </w:rPr>
        <w:footnoteReference w:id="6"/>
      </w:r>
      <w:r w:rsidRPr="00E04E16">
        <w:rPr>
          <w:i/>
        </w:rPr>
        <w:t xml:space="preserve">. </w:t>
      </w:r>
      <w:r w:rsidR="001D4345" w:rsidRPr="00E04E16">
        <w:t>The PBAC considered it was highly implausible that short-term patiromer treatment would lead to patients remaining on full RAASi therapy for a prolonged period and gaining</w:t>
      </w:r>
      <w:r w:rsidRPr="00E04E16">
        <w:t xml:space="preserve"> long-term</w:t>
      </w:r>
      <w:r w:rsidR="001D4345" w:rsidRPr="00E04E16">
        <w:t xml:space="preserve"> </w:t>
      </w:r>
      <w:r w:rsidR="00B631D8" w:rsidRPr="00E04E16">
        <w:t xml:space="preserve">cardiovascular and renal </w:t>
      </w:r>
      <w:r w:rsidR="001D4345" w:rsidRPr="00E04E16">
        <w:t xml:space="preserve">benefits. </w:t>
      </w:r>
    </w:p>
    <w:p w:rsidR="00DF2A8D" w:rsidRPr="00E04E16" w:rsidRDefault="00805A4D" w:rsidP="00E84326">
      <w:pPr>
        <w:pStyle w:val="ListParagraph"/>
        <w:widowControl w:val="0"/>
        <w:numPr>
          <w:ilvl w:val="0"/>
          <w:numId w:val="33"/>
        </w:numPr>
        <w:spacing w:after="120"/>
      </w:pPr>
      <w:r w:rsidRPr="00E04E16">
        <w:t>T</w:t>
      </w:r>
      <w:r w:rsidR="00D70A02" w:rsidRPr="00E04E16">
        <w:t xml:space="preserve">he first cycle transition probabilities </w:t>
      </w:r>
      <w:r w:rsidR="008A3BA0" w:rsidRPr="00E04E16">
        <w:t xml:space="preserve">in the patiromer and standard care arms </w:t>
      </w:r>
      <w:r w:rsidR="00D70A02" w:rsidRPr="00E04E16">
        <w:t xml:space="preserve">were derived from </w:t>
      </w:r>
      <w:r w:rsidR="009E37A6" w:rsidRPr="00E04E16">
        <w:t xml:space="preserve">different sources </w:t>
      </w:r>
      <w:r w:rsidRPr="00E04E16">
        <w:t>that</w:t>
      </w:r>
      <w:r w:rsidR="009E37A6" w:rsidRPr="00E04E16">
        <w:t xml:space="preserve"> did not appear </w:t>
      </w:r>
      <w:r w:rsidR="00D70A02" w:rsidRPr="00E04E16">
        <w:t xml:space="preserve">similar </w:t>
      </w:r>
      <w:r w:rsidR="009E37A6" w:rsidRPr="00E04E16">
        <w:t xml:space="preserve">given differences in </w:t>
      </w:r>
      <w:r w:rsidR="00D70A02" w:rsidRPr="00E04E16">
        <w:t>populations</w:t>
      </w:r>
      <w:r w:rsidR="009E37A6" w:rsidRPr="00E04E16">
        <w:t xml:space="preserve"> and settings</w:t>
      </w:r>
      <w:r w:rsidR="008A3BA0" w:rsidRPr="00E04E16">
        <w:t xml:space="preserve">. </w:t>
      </w:r>
      <w:r w:rsidR="001D4345" w:rsidRPr="00E04E16">
        <w:t>Further, t</w:t>
      </w:r>
      <w:r w:rsidR="009E37A6" w:rsidRPr="00E04E16">
        <w:t xml:space="preserve">he PBAC considered that the very low probabilities of transitioning out of the full RAASi dose </w:t>
      </w:r>
      <w:r w:rsidR="00897A1A" w:rsidRPr="00E04E16">
        <w:t>health states</w:t>
      </w:r>
      <w:r w:rsidR="009E37A6" w:rsidRPr="00E04E16">
        <w:t xml:space="preserve"> in subsequent cycles were implausible.</w:t>
      </w:r>
    </w:p>
    <w:p w:rsidR="008A3BA0" w:rsidRPr="00E04E16" w:rsidRDefault="008A3BA0" w:rsidP="00E31155">
      <w:pPr>
        <w:pStyle w:val="ListParagraph"/>
        <w:widowControl w:val="0"/>
        <w:numPr>
          <w:ilvl w:val="0"/>
          <w:numId w:val="33"/>
        </w:numPr>
        <w:spacing w:after="120"/>
      </w:pPr>
      <w:r w:rsidRPr="00E04E16">
        <w:t xml:space="preserve">The </w:t>
      </w:r>
      <w:r w:rsidR="00805A4D" w:rsidRPr="00E04E16">
        <w:t xml:space="preserve">PBAC considered the </w:t>
      </w:r>
      <w:r w:rsidR="00897A1A" w:rsidRPr="00E04E16">
        <w:t xml:space="preserve">resubmission’s </w:t>
      </w:r>
      <w:r w:rsidRPr="00E04E16">
        <w:t>estimation of a reduction in cardiovascular events and mortality with increased RAASi treatment associated with patiromer use</w:t>
      </w:r>
      <w:r w:rsidR="00897A1A" w:rsidRPr="00E04E16">
        <w:t xml:space="preserve"> was inappropriate as it </w:t>
      </w:r>
      <w:r w:rsidRPr="00E04E16">
        <w:t>was based on comparing RAASi therapies with placebo</w:t>
      </w:r>
      <w:r w:rsidR="00463E91">
        <w:t>,</w:t>
      </w:r>
      <w:r w:rsidRPr="00E04E16">
        <w:t xml:space="preserve"> rather than other non-RAASi active treatments that would be used in clinical practice.</w:t>
      </w:r>
    </w:p>
    <w:p w:rsidR="001F401A" w:rsidRPr="00E04E16" w:rsidRDefault="008A3BA0" w:rsidP="001D4345">
      <w:pPr>
        <w:pStyle w:val="ListParagraph"/>
        <w:widowControl w:val="0"/>
        <w:numPr>
          <w:ilvl w:val="0"/>
          <w:numId w:val="33"/>
        </w:numPr>
        <w:spacing w:after="120"/>
      </w:pPr>
      <w:r w:rsidRPr="00E04E16">
        <w:t xml:space="preserve">The </w:t>
      </w:r>
      <w:r w:rsidR="001D4345" w:rsidRPr="00E04E16">
        <w:t xml:space="preserve">PBAC considered there was </w:t>
      </w:r>
      <w:r w:rsidRPr="00E04E16">
        <w:t xml:space="preserve">uncertainty </w:t>
      </w:r>
      <w:r w:rsidR="001D4345" w:rsidRPr="00E04E16">
        <w:t>regarding</w:t>
      </w:r>
      <w:r w:rsidRPr="00E04E16">
        <w:t xml:space="preserve"> patiromer treatment patterns over time.</w:t>
      </w:r>
      <w:r w:rsidR="001F401A" w:rsidRPr="00E04E16">
        <w:t xml:space="preserve"> </w:t>
      </w:r>
    </w:p>
    <w:p w:rsidR="004F3263" w:rsidRPr="00E04E16" w:rsidRDefault="009552F4" w:rsidP="004F3263">
      <w:pPr>
        <w:widowControl w:val="0"/>
        <w:numPr>
          <w:ilvl w:val="1"/>
          <w:numId w:val="1"/>
        </w:numPr>
        <w:spacing w:after="120"/>
        <w:rPr>
          <w:rFonts w:asciiTheme="minorHAnsi" w:hAnsiTheme="minorHAnsi"/>
          <w:bCs/>
          <w:snapToGrid w:val="0"/>
        </w:rPr>
      </w:pPr>
      <w:r w:rsidRPr="00E04E16">
        <w:rPr>
          <w:rFonts w:asciiTheme="minorHAnsi" w:hAnsiTheme="minorHAnsi"/>
          <w:bCs/>
          <w:snapToGrid w:val="0"/>
        </w:rPr>
        <w:t xml:space="preserve">The PBAC </w:t>
      </w:r>
      <w:r w:rsidR="001D4345" w:rsidRPr="00E04E16">
        <w:rPr>
          <w:rFonts w:asciiTheme="minorHAnsi" w:hAnsiTheme="minorHAnsi"/>
          <w:bCs/>
          <w:snapToGrid w:val="0"/>
        </w:rPr>
        <w:t xml:space="preserve">noted </w:t>
      </w:r>
      <w:r w:rsidRPr="00E04E16">
        <w:rPr>
          <w:rFonts w:asciiTheme="minorHAnsi" w:hAnsiTheme="minorHAnsi"/>
          <w:bCs/>
          <w:snapToGrid w:val="0"/>
        </w:rPr>
        <w:t>that t</w:t>
      </w:r>
      <w:r w:rsidR="00DF2A8D" w:rsidRPr="00E04E16">
        <w:rPr>
          <w:rFonts w:asciiTheme="minorHAnsi" w:hAnsiTheme="minorHAnsi"/>
          <w:bCs/>
          <w:snapToGrid w:val="0"/>
        </w:rPr>
        <w:t>he base case ICER of $</w:t>
      </w:r>
      <w:r w:rsidR="0022086E">
        <w:rPr>
          <w:rFonts w:asciiTheme="minorHAnsi" w:hAnsiTheme="minorHAnsi"/>
          <w:bCs/>
          <w:snapToGrid w:val="0"/>
        </w:rPr>
        <w:t>35,000 to &lt;$45,000</w:t>
      </w:r>
      <w:r w:rsidR="001D4345" w:rsidRPr="00E04E16">
        <w:rPr>
          <w:rFonts w:asciiTheme="minorHAnsi" w:hAnsiTheme="minorHAnsi"/>
          <w:bCs/>
          <w:snapToGrid w:val="0"/>
        </w:rPr>
        <w:t xml:space="preserve"> per QALY</w:t>
      </w:r>
      <w:r w:rsidR="00DF2A8D" w:rsidRPr="00E04E16">
        <w:rPr>
          <w:rFonts w:asciiTheme="minorHAnsi" w:hAnsiTheme="minorHAnsi"/>
          <w:bCs/>
          <w:snapToGrid w:val="0"/>
        </w:rPr>
        <w:t xml:space="preserve"> increased </w:t>
      </w:r>
      <w:r w:rsidR="00805A4D" w:rsidRPr="00E04E16">
        <w:rPr>
          <w:rFonts w:asciiTheme="minorHAnsi" w:hAnsiTheme="minorHAnsi"/>
          <w:bCs/>
          <w:snapToGrid w:val="0"/>
        </w:rPr>
        <w:t xml:space="preserve">substantially </w:t>
      </w:r>
      <w:r w:rsidR="00B631D8" w:rsidRPr="00E04E16">
        <w:rPr>
          <w:rFonts w:asciiTheme="minorHAnsi" w:hAnsiTheme="minorHAnsi"/>
          <w:bCs/>
          <w:snapToGrid w:val="0"/>
        </w:rPr>
        <w:t>to over $</w:t>
      </w:r>
      <w:r w:rsidR="0022086E">
        <w:rPr>
          <w:rFonts w:asciiTheme="minorHAnsi" w:hAnsiTheme="minorHAnsi"/>
          <w:bCs/>
          <w:snapToGrid w:val="0"/>
        </w:rPr>
        <w:t>155,000 to &lt;$255,000</w:t>
      </w:r>
      <w:r w:rsidR="00B631D8" w:rsidRPr="00E04E16">
        <w:rPr>
          <w:rFonts w:asciiTheme="minorHAnsi" w:hAnsiTheme="minorHAnsi"/>
          <w:bCs/>
          <w:snapToGrid w:val="0"/>
        </w:rPr>
        <w:t xml:space="preserve"> per QALY </w:t>
      </w:r>
      <w:r w:rsidR="00EB2B72" w:rsidRPr="00E04E16">
        <w:rPr>
          <w:rFonts w:asciiTheme="minorHAnsi" w:hAnsiTheme="minorHAnsi"/>
          <w:bCs/>
          <w:snapToGrid w:val="0"/>
        </w:rPr>
        <w:t>when revisions were made</w:t>
      </w:r>
      <w:r w:rsidR="00805A4D" w:rsidRPr="00E04E16">
        <w:rPr>
          <w:rFonts w:asciiTheme="minorHAnsi" w:hAnsiTheme="minorHAnsi"/>
          <w:bCs/>
          <w:snapToGrid w:val="0"/>
        </w:rPr>
        <w:t xml:space="preserve"> to some of the optimistic assumptions included in the model. </w:t>
      </w:r>
    </w:p>
    <w:p w:rsidR="00E07F52" w:rsidRPr="00E04E16" w:rsidRDefault="004611CB" w:rsidP="00C90DEB">
      <w:pPr>
        <w:pStyle w:val="ExecSumBodyText"/>
      </w:pPr>
      <w:r w:rsidRPr="00E04E16">
        <w:t xml:space="preserve">The PBAC </w:t>
      </w:r>
      <w:r w:rsidR="008A71D4" w:rsidRPr="00E04E16">
        <w:t xml:space="preserve">noted </w:t>
      </w:r>
      <w:r w:rsidR="00A27DBE" w:rsidRPr="00E04E16">
        <w:t xml:space="preserve">the </w:t>
      </w:r>
      <w:r w:rsidR="00C90DEB" w:rsidRPr="00E04E16">
        <w:t xml:space="preserve">resubmission’s </w:t>
      </w:r>
      <w:r w:rsidR="00A27DBE" w:rsidRPr="00E04E16">
        <w:t xml:space="preserve">estimate </w:t>
      </w:r>
      <w:r w:rsidR="00C90DEB" w:rsidRPr="00E04E16">
        <w:t xml:space="preserve">of the </w:t>
      </w:r>
      <w:r w:rsidR="00A27DBE" w:rsidRPr="00E04E16">
        <w:t xml:space="preserve">financial impact of listing patiromer on the PBS/RPBS was very high, </w:t>
      </w:r>
      <w:r w:rsidR="00C90DEB" w:rsidRPr="00E04E16">
        <w:t xml:space="preserve">at </w:t>
      </w:r>
      <w:r w:rsidR="00A27DBE" w:rsidRPr="00E04E16">
        <w:t>$</w:t>
      </w:r>
      <w:r w:rsidR="0022086E">
        <w:t>300 to &lt;$400</w:t>
      </w:r>
      <w:r w:rsidR="00A27DBE" w:rsidRPr="00E04E16">
        <w:t xml:space="preserve"> million in the first 6 years of listing. </w:t>
      </w:r>
      <w:r w:rsidR="00C90DEB" w:rsidRPr="00E04E16">
        <w:t xml:space="preserve">The PBAC considered that utilisation was substantially overestimated for the reasons outlined in Paragraph 6.78. In particular, the PBAC considered the </w:t>
      </w:r>
      <w:r w:rsidR="00C90DEB" w:rsidRPr="00E04E16">
        <w:rPr>
          <w:bCs/>
        </w:rPr>
        <w:t>assumed uptake rates of 60% in Year 1 increasing to 100% in Year 5 were highly implausible.</w:t>
      </w:r>
    </w:p>
    <w:p w:rsidR="007E7737" w:rsidRPr="00E04E16" w:rsidRDefault="00E94DAA" w:rsidP="00B039D1">
      <w:pPr>
        <w:pStyle w:val="ExecSumBodyText"/>
      </w:pPr>
      <w:r w:rsidRPr="00E04E16">
        <w:t xml:space="preserve">The PBAC considered that any </w:t>
      </w:r>
      <w:r w:rsidR="007E7737" w:rsidRPr="00E04E16">
        <w:t>resubmission should be a major submission</w:t>
      </w:r>
      <w:r w:rsidR="00B631D8" w:rsidRPr="00E04E16">
        <w:t xml:space="preserve"> </w:t>
      </w:r>
      <w:r w:rsidR="007E7737" w:rsidRPr="00E04E16">
        <w:t>and would require:</w:t>
      </w:r>
      <w:r w:rsidRPr="00E04E16">
        <w:t xml:space="preserve"> </w:t>
      </w:r>
    </w:p>
    <w:p w:rsidR="005106A8" w:rsidRPr="00E04E16" w:rsidRDefault="005106A8" w:rsidP="00E13CA1">
      <w:pPr>
        <w:pStyle w:val="ListParagraph"/>
        <w:widowControl w:val="0"/>
        <w:numPr>
          <w:ilvl w:val="0"/>
          <w:numId w:val="32"/>
        </w:numPr>
        <w:spacing w:after="120"/>
        <w:rPr>
          <w:rFonts w:asciiTheme="minorHAnsi" w:hAnsiTheme="minorHAnsi"/>
          <w:bCs/>
          <w:snapToGrid w:val="0"/>
        </w:rPr>
      </w:pPr>
      <w:r w:rsidRPr="00E04E16">
        <w:rPr>
          <w:rFonts w:asciiTheme="minorHAnsi" w:hAnsiTheme="minorHAnsi"/>
          <w:bCs/>
          <w:snapToGrid w:val="0"/>
        </w:rPr>
        <w:t xml:space="preserve">incorporation of intermittent use of </w:t>
      </w:r>
      <w:r w:rsidRPr="00E04E16">
        <w:rPr>
          <w:rFonts w:cstheme="minorHAnsi"/>
        </w:rPr>
        <w:t>SPS/CPS resins as a relevant comparator</w:t>
      </w:r>
      <w:r w:rsidRPr="00E04E16">
        <w:rPr>
          <w:rFonts w:asciiTheme="minorHAnsi" w:hAnsiTheme="minorHAnsi"/>
          <w:bCs/>
          <w:snapToGrid w:val="0"/>
        </w:rPr>
        <w:t>;</w:t>
      </w:r>
    </w:p>
    <w:p w:rsidR="005106A8" w:rsidRPr="00E04E16" w:rsidRDefault="005816CD" w:rsidP="005106A8">
      <w:pPr>
        <w:pStyle w:val="ListParagraph"/>
        <w:widowControl w:val="0"/>
        <w:numPr>
          <w:ilvl w:val="0"/>
          <w:numId w:val="32"/>
        </w:numPr>
        <w:spacing w:after="120"/>
        <w:rPr>
          <w:rFonts w:asciiTheme="minorHAnsi" w:hAnsiTheme="minorHAnsi"/>
          <w:bCs/>
          <w:snapToGrid w:val="0"/>
        </w:rPr>
      </w:pPr>
      <w:r w:rsidRPr="00E04E16">
        <w:rPr>
          <w:rFonts w:asciiTheme="minorHAnsi" w:hAnsiTheme="minorHAnsi"/>
          <w:bCs/>
          <w:snapToGrid w:val="0"/>
        </w:rPr>
        <w:t xml:space="preserve">inclusion of </w:t>
      </w:r>
      <w:r w:rsidR="005106A8" w:rsidRPr="00E04E16">
        <w:rPr>
          <w:rFonts w:asciiTheme="minorHAnsi" w:hAnsiTheme="minorHAnsi"/>
          <w:bCs/>
          <w:snapToGrid w:val="0"/>
        </w:rPr>
        <w:t>any data from the DIAMOND trial that is available;</w:t>
      </w:r>
    </w:p>
    <w:p w:rsidR="005106A8" w:rsidRPr="00E04E16" w:rsidRDefault="005106A8" w:rsidP="005106A8">
      <w:pPr>
        <w:pStyle w:val="ListParagraph"/>
        <w:widowControl w:val="0"/>
        <w:numPr>
          <w:ilvl w:val="0"/>
          <w:numId w:val="32"/>
        </w:numPr>
        <w:spacing w:after="120"/>
        <w:rPr>
          <w:rFonts w:asciiTheme="minorHAnsi" w:hAnsiTheme="minorHAnsi"/>
          <w:bCs/>
          <w:snapToGrid w:val="0"/>
        </w:rPr>
      </w:pPr>
      <w:r w:rsidRPr="00E04E16">
        <w:t>a revised economic</w:t>
      </w:r>
      <w:r w:rsidR="00E94DAA" w:rsidRPr="00E04E16">
        <w:rPr>
          <w:rFonts w:asciiTheme="minorHAnsi" w:hAnsiTheme="minorHAnsi"/>
          <w:bCs/>
          <w:snapToGrid w:val="0"/>
        </w:rPr>
        <w:t xml:space="preserve"> </w:t>
      </w:r>
      <w:r w:rsidRPr="00E04E16">
        <w:rPr>
          <w:rFonts w:asciiTheme="minorHAnsi" w:hAnsiTheme="minorHAnsi"/>
          <w:bCs/>
          <w:snapToGrid w:val="0"/>
        </w:rPr>
        <w:t>analysis taking account of the issues raised;</w:t>
      </w:r>
    </w:p>
    <w:p w:rsidR="00E13CA1" w:rsidRPr="00E04E16" w:rsidRDefault="007E7737" w:rsidP="00E13CA1">
      <w:pPr>
        <w:pStyle w:val="ListParagraph"/>
        <w:widowControl w:val="0"/>
        <w:numPr>
          <w:ilvl w:val="0"/>
          <w:numId w:val="32"/>
        </w:numPr>
        <w:spacing w:after="120"/>
        <w:rPr>
          <w:rFonts w:asciiTheme="minorHAnsi" w:hAnsiTheme="minorHAnsi"/>
          <w:bCs/>
          <w:snapToGrid w:val="0"/>
        </w:rPr>
      </w:pPr>
      <w:r w:rsidRPr="00E04E16">
        <w:rPr>
          <w:rFonts w:asciiTheme="minorHAnsi" w:hAnsiTheme="minorHAnsi"/>
          <w:bCs/>
          <w:snapToGrid w:val="0"/>
        </w:rPr>
        <w:t>a Risk Share Arrangement (RSA)</w:t>
      </w:r>
      <w:r w:rsidR="00E13CA1" w:rsidRPr="00E04E16">
        <w:rPr>
          <w:rFonts w:asciiTheme="minorHAnsi" w:hAnsiTheme="minorHAnsi"/>
          <w:bCs/>
          <w:snapToGrid w:val="0"/>
        </w:rPr>
        <w:t xml:space="preserve">, with a realistic financial cap and a </w:t>
      </w:r>
      <w:r w:rsidR="00E13CA1" w:rsidRPr="00E10EC7">
        <w:rPr>
          <w:rFonts w:asciiTheme="minorHAnsi" w:hAnsiTheme="minorHAnsi"/>
          <w:bCs/>
          <w:snapToGrid w:val="0"/>
        </w:rPr>
        <w:t>100</w:t>
      </w:r>
      <w:r w:rsidR="00E13CA1" w:rsidRPr="00E04E16">
        <w:rPr>
          <w:rFonts w:asciiTheme="minorHAnsi" w:hAnsiTheme="minorHAnsi"/>
          <w:bCs/>
          <w:snapToGrid w:val="0"/>
        </w:rPr>
        <w:t>% rebate for use over the cap, given the uncertainty surrounding utilisation</w:t>
      </w:r>
      <w:r w:rsidRPr="00E04E16">
        <w:rPr>
          <w:rFonts w:asciiTheme="minorHAnsi" w:hAnsiTheme="minorHAnsi"/>
          <w:bCs/>
          <w:snapToGrid w:val="0"/>
        </w:rPr>
        <w:t>.</w:t>
      </w:r>
      <w:r w:rsidR="00E94DAA" w:rsidRPr="00E04E16">
        <w:rPr>
          <w:rFonts w:asciiTheme="minorHAnsi" w:hAnsiTheme="minorHAnsi"/>
          <w:bCs/>
          <w:snapToGrid w:val="0"/>
        </w:rPr>
        <w:t xml:space="preserve"> </w:t>
      </w:r>
    </w:p>
    <w:p w:rsidR="004F3263" w:rsidRPr="00E04E16" w:rsidRDefault="0059351B" w:rsidP="004F3263">
      <w:pPr>
        <w:widowControl w:val="0"/>
        <w:numPr>
          <w:ilvl w:val="1"/>
          <w:numId w:val="1"/>
        </w:numPr>
        <w:spacing w:after="120"/>
        <w:rPr>
          <w:rFonts w:asciiTheme="minorHAnsi" w:hAnsiTheme="minorHAnsi"/>
          <w:bCs/>
          <w:snapToGrid w:val="0"/>
        </w:rPr>
      </w:pPr>
      <w:r w:rsidRPr="00E04E16">
        <w:rPr>
          <w:rFonts w:asciiTheme="minorHAnsi" w:hAnsiTheme="minorHAnsi"/>
          <w:bCs/>
          <w:snapToGrid w:val="0"/>
        </w:rPr>
        <w:t>The PBAC noted that this submission is eligible for an Independent Review</w:t>
      </w:r>
      <w:r w:rsidR="00E04E16">
        <w:rPr>
          <w:rFonts w:asciiTheme="minorHAnsi" w:hAnsiTheme="minorHAnsi"/>
          <w:bCs/>
          <w:snapToGrid w:val="0"/>
        </w:rPr>
        <w:t xml:space="preserve">. </w:t>
      </w:r>
    </w:p>
    <w:p w:rsidR="004F3263" w:rsidRPr="00E04E16" w:rsidRDefault="004F3263" w:rsidP="004F3263">
      <w:pPr>
        <w:spacing w:before="240"/>
        <w:rPr>
          <w:rFonts w:asciiTheme="minorHAnsi" w:hAnsiTheme="minorHAnsi"/>
          <w:b/>
          <w:bCs/>
          <w:snapToGrid w:val="0"/>
        </w:rPr>
      </w:pPr>
      <w:r w:rsidRPr="00E04E16">
        <w:rPr>
          <w:rFonts w:asciiTheme="minorHAnsi" w:hAnsiTheme="minorHAnsi"/>
          <w:b/>
          <w:bCs/>
          <w:snapToGrid w:val="0"/>
        </w:rPr>
        <w:lastRenderedPageBreak/>
        <w:t>Outcome:</w:t>
      </w:r>
    </w:p>
    <w:p w:rsidR="004F3263" w:rsidRPr="00E04E16" w:rsidRDefault="0059351B" w:rsidP="004F3263">
      <w:pPr>
        <w:rPr>
          <w:rFonts w:asciiTheme="minorHAnsi" w:hAnsiTheme="minorHAnsi"/>
          <w:bCs/>
          <w:snapToGrid w:val="0"/>
        </w:rPr>
      </w:pPr>
      <w:r w:rsidRPr="00E04E16">
        <w:rPr>
          <w:rFonts w:asciiTheme="minorHAnsi" w:hAnsiTheme="minorHAnsi"/>
          <w:bCs/>
          <w:snapToGrid w:val="0"/>
        </w:rPr>
        <w:t xml:space="preserve">Not </w:t>
      </w:r>
      <w:r w:rsidR="007D2BF1" w:rsidRPr="00E04E16">
        <w:rPr>
          <w:rFonts w:asciiTheme="minorHAnsi" w:hAnsiTheme="minorHAnsi"/>
          <w:bCs/>
          <w:snapToGrid w:val="0"/>
        </w:rPr>
        <w:t xml:space="preserve">Recommended </w:t>
      </w:r>
    </w:p>
    <w:p w:rsidR="004F3263" w:rsidRPr="00E04E16" w:rsidRDefault="004F3263" w:rsidP="004F3263">
      <w:pPr>
        <w:widowControl w:val="0"/>
        <w:rPr>
          <w:rFonts w:asciiTheme="minorHAnsi" w:hAnsiTheme="minorHAnsi"/>
          <w:b/>
          <w:bCs/>
          <w:snapToGrid w:val="0"/>
        </w:rPr>
      </w:pPr>
    </w:p>
    <w:bookmarkEnd w:id="30"/>
    <w:bookmarkEnd w:id="31"/>
    <w:bookmarkEnd w:id="32"/>
    <w:bookmarkEnd w:id="33"/>
    <w:bookmarkEnd w:id="34"/>
    <w:p w:rsidR="00AC09F0" w:rsidRPr="00AC09F0" w:rsidRDefault="00AC09F0" w:rsidP="00AC09F0">
      <w:pPr>
        <w:keepNext/>
        <w:widowControl w:val="0"/>
        <w:numPr>
          <w:ilvl w:val="0"/>
          <w:numId w:val="1"/>
        </w:numPr>
        <w:spacing w:before="240" w:after="120"/>
        <w:outlineLvl w:val="0"/>
        <w:rPr>
          <w:rFonts w:asciiTheme="minorHAnsi" w:hAnsiTheme="minorHAnsi"/>
          <w:b/>
          <w:bCs/>
          <w:snapToGrid w:val="0"/>
          <w:sz w:val="32"/>
        </w:rPr>
      </w:pPr>
      <w:r w:rsidRPr="00AC09F0">
        <w:rPr>
          <w:rFonts w:asciiTheme="minorHAnsi" w:hAnsiTheme="minorHAnsi"/>
          <w:b/>
          <w:bCs/>
          <w:snapToGrid w:val="0"/>
          <w:sz w:val="32"/>
        </w:rPr>
        <w:t>Context for Decision</w:t>
      </w:r>
    </w:p>
    <w:p w:rsidR="00AC09F0" w:rsidRPr="00AC09F0" w:rsidRDefault="00AC09F0" w:rsidP="00E10EC7">
      <w:pPr>
        <w:pStyle w:val="ExecSumBodyText"/>
        <w:numPr>
          <w:ilvl w:val="0"/>
          <w:numId w:val="0"/>
        </w:numPr>
        <w:ind w:left="720"/>
        <w:rPr>
          <w:bCs/>
        </w:rPr>
      </w:pPr>
      <w:r w:rsidRPr="00AC09F0">
        <w:rPr>
          <w:bCs/>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rsidR="00AC09F0" w:rsidRPr="00AC09F0" w:rsidRDefault="00AC09F0" w:rsidP="00AC09F0">
      <w:pPr>
        <w:keepNext/>
        <w:widowControl w:val="0"/>
        <w:numPr>
          <w:ilvl w:val="0"/>
          <w:numId w:val="1"/>
        </w:numPr>
        <w:spacing w:before="240" w:after="120"/>
        <w:outlineLvl w:val="0"/>
        <w:rPr>
          <w:rFonts w:asciiTheme="minorHAnsi" w:hAnsiTheme="minorHAnsi"/>
          <w:b/>
          <w:bCs/>
          <w:snapToGrid w:val="0"/>
          <w:sz w:val="32"/>
        </w:rPr>
      </w:pPr>
      <w:r w:rsidRPr="00AC09F0">
        <w:rPr>
          <w:rFonts w:asciiTheme="minorHAnsi" w:hAnsiTheme="minorHAnsi"/>
          <w:b/>
          <w:bCs/>
          <w:snapToGrid w:val="0"/>
          <w:sz w:val="32"/>
        </w:rPr>
        <w:t>Sponsor’s Comment</w:t>
      </w:r>
    </w:p>
    <w:p w:rsidR="00AC09F0" w:rsidRPr="001179AC" w:rsidRDefault="00AC09F0" w:rsidP="00AC09F0">
      <w:pPr>
        <w:pStyle w:val="ExecSumBodyText"/>
        <w:numPr>
          <w:ilvl w:val="0"/>
          <w:numId w:val="0"/>
        </w:numPr>
        <w:ind w:left="720"/>
        <w:rPr>
          <w:bCs/>
        </w:rPr>
      </w:pPr>
      <w:r w:rsidRPr="00C07617">
        <w:rPr>
          <w:bCs/>
        </w:rPr>
        <w:t>The sponsor had no comment.</w:t>
      </w:r>
    </w:p>
    <w:p w:rsidR="00E55915" w:rsidRPr="00E04E16" w:rsidRDefault="00E55915" w:rsidP="00B52878">
      <w:pPr>
        <w:widowControl w:val="0"/>
      </w:pPr>
    </w:p>
    <w:sectPr w:rsidR="00E55915" w:rsidRPr="00E04E16" w:rsidSect="00B52878">
      <w:headerReference w:type="even" r:id="rId11"/>
      <w:headerReference w:type="default" r:id="rId12"/>
      <w:footerReference w:type="even" r:id="rId13"/>
      <w:footerReference w:type="default" r:id="rId14"/>
      <w:headerReference w:type="first" r:id="rId15"/>
      <w:footerReference w:type="first" r:id="rId16"/>
      <w:pgSz w:w="11907" w:h="16840" w:code="9"/>
      <w:pgMar w:top="1440" w:right="1440" w:bottom="1440" w:left="1440" w:header="1440" w:footer="1440" w:gutter="0"/>
      <w:pgNumType w:start="1"/>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7637B3" w16cex:dateUtc="2020-12-05T05:45:00Z"/>
  <w16cex:commentExtensible w16cex:durableId="2376393D" w16cex:dateUtc="2020-12-05T05: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BAF4ADC" w16cid:durableId="237636D1"/>
  <w16cid:commentId w16cid:paraId="11FB6063" w16cid:durableId="237636D2"/>
  <w16cid:commentId w16cid:paraId="335B848C" w16cid:durableId="237637B3"/>
  <w16cid:commentId w16cid:paraId="7D813BC8" w16cid:durableId="2376393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5117" w:rsidRDefault="00465117" w:rsidP="00124A51">
      <w:r>
        <w:separator/>
      </w:r>
    </w:p>
    <w:p w:rsidR="00465117" w:rsidRDefault="00465117"/>
  </w:endnote>
  <w:endnote w:type="continuationSeparator" w:id="0">
    <w:p w:rsidR="00465117" w:rsidRDefault="00465117" w:rsidP="00124A51">
      <w:r>
        <w:continuationSeparator/>
      </w:r>
    </w:p>
    <w:p w:rsidR="00465117" w:rsidRDefault="004651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raphik Light">
    <w:altName w:val="Graphik Light"/>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imes">
    <w:altName w:val="Sylfae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5117" w:rsidRDefault="004651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5117" w:rsidRDefault="00465117">
    <w:pPr>
      <w:pStyle w:val="Footer"/>
      <w:jc w:val="center"/>
    </w:pPr>
  </w:p>
  <w:p w:rsidR="00465117" w:rsidRPr="009D6BA8" w:rsidRDefault="00465117" w:rsidP="009D6BA8">
    <w:pPr>
      <w:pStyle w:val="Footer"/>
      <w:jc w:val="center"/>
      <w:rPr>
        <w:b/>
      </w:rPr>
    </w:pPr>
    <w:sdt>
      <w:sdtPr>
        <w:rPr>
          <w:b/>
        </w:rPr>
        <w:id w:val="915360993"/>
        <w:docPartObj>
          <w:docPartGallery w:val="Page Numbers (Bottom of Page)"/>
          <w:docPartUnique/>
        </w:docPartObj>
      </w:sdtPr>
      <w:sdtEndPr>
        <w:rPr>
          <w:noProof/>
        </w:rPr>
      </w:sdtEndPr>
      <w:sdtContent>
        <w:r w:rsidRPr="009D6BA8">
          <w:rPr>
            <w:b/>
          </w:rPr>
          <w:fldChar w:fldCharType="begin"/>
        </w:r>
        <w:r w:rsidRPr="009D6BA8">
          <w:rPr>
            <w:b/>
          </w:rPr>
          <w:instrText xml:space="preserve"> PAGE   \* MERGEFORMAT </w:instrText>
        </w:r>
        <w:r w:rsidRPr="009D6BA8">
          <w:rPr>
            <w:b/>
          </w:rPr>
          <w:fldChar w:fldCharType="separate"/>
        </w:r>
        <w:r w:rsidR="00F90902">
          <w:rPr>
            <w:b/>
            <w:noProof/>
          </w:rPr>
          <w:t>25</w:t>
        </w:r>
        <w:r w:rsidRPr="009D6BA8">
          <w:rPr>
            <w:b/>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5117" w:rsidRDefault="004651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5117" w:rsidRDefault="00465117" w:rsidP="00124A51">
      <w:r>
        <w:separator/>
      </w:r>
    </w:p>
    <w:p w:rsidR="00465117" w:rsidRDefault="00465117"/>
  </w:footnote>
  <w:footnote w:type="continuationSeparator" w:id="0">
    <w:p w:rsidR="00465117" w:rsidRDefault="00465117" w:rsidP="00124A51">
      <w:r>
        <w:continuationSeparator/>
      </w:r>
    </w:p>
    <w:p w:rsidR="00465117" w:rsidRDefault="00465117"/>
  </w:footnote>
  <w:footnote w:id="1">
    <w:p w:rsidR="00465117" w:rsidRDefault="00465117">
      <w:pPr>
        <w:pStyle w:val="FootnoteText"/>
      </w:pPr>
      <w:r>
        <w:rPr>
          <w:rStyle w:val="FootnoteReference"/>
        </w:rPr>
        <w:footnoteRef/>
      </w:r>
      <w:r>
        <w:t xml:space="preserve"> </w:t>
      </w:r>
      <w:r w:rsidRPr="002F12DF">
        <w:rPr>
          <w:rFonts w:ascii="Arial Narrow" w:hAnsi="Arial Narrow"/>
          <w:i/>
        </w:rPr>
        <w:t>Note that the US real world claims data was provided to address previous PBAC concerns and for the purposes of informing the PBAC consideration. Interpretation of the results and their application should therefore be limited to seeking to understand the basis for the PBAC outcome and should not be used for any other purpose</w:t>
      </w:r>
      <w:r w:rsidRPr="00C20B8F">
        <w:rPr>
          <w:i/>
        </w:rPr>
        <w:t>.</w:t>
      </w:r>
    </w:p>
  </w:footnote>
  <w:footnote w:id="2">
    <w:p w:rsidR="00465117" w:rsidRDefault="00465117">
      <w:pPr>
        <w:pStyle w:val="FootnoteText"/>
      </w:pPr>
      <w:r>
        <w:rPr>
          <w:rStyle w:val="FootnoteReference"/>
        </w:rPr>
        <w:footnoteRef/>
      </w:r>
      <w:r>
        <w:t xml:space="preserve"> </w:t>
      </w:r>
      <w:r w:rsidRPr="002F12DF">
        <w:rPr>
          <w:rFonts w:ascii="Arial Narrow" w:hAnsi="Arial Narrow"/>
          <w:i/>
        </w:rPr>
        <w:t>Note that the US real world claims data was provided to address previous PBAC concerns and for the purposes of informing the PBAC consideration. Interpretation of the results and their application should therefore be limited to seeking to understand the basis for the PBAC outcome and should not be used for any other purpose.</w:t>
      </w:r>
    </w:p>
  </w:footnote>
  <w:footnote w:id="3">
    <w:p w:rsidR="00465117" w:rsidRDefault="00465117">
      <w:pPr>
        <w:pStyle w:val="FootnoteText"/>
      </w:pPr>
      <w:r>
        <w:rPr>
          <w:rStyle w:val="FootnoteReference"/>
        </w:rPr>
        <w:footnoteRef/>
      </w:r>
      <w:r>
        <w:t xml:space="preserve"> </w:t>
      </w:r>
      <w:r w:rsidRPr="002F12DF">
        <w:rPr>
          <w:rFonts w:ascii="Arial Narrow" w:hAnsi="Arial Narrow"/>
          <w:i/>
        </w:rPr>
        <w:t>Note that the US real world claims data was provided to address previous PBAC concerns and for the purposes of informing the PBAC consideration. Interpretation of the results and their application should therefore be limited to seeking to understand the basis for the PBAC outcome and should not be used for any other purpose.</w:t>
      </w:r>
    </w:p>
  </w:footnote>
  <w:footnote w:id="4">
    <w:p w:rsidR="00465117" w:rsidRDefault="00465117">
      <w:pPr>
        <w:pStyle w:val="FootnoteText"/>
      </w:pPr>
      <w:r>
        <w:rPr>
          <w:rStyle w:val="FootnoteReference"/>
        </w:rPr>
        <w:footnoteRef/>
      </w:r>
      <w:r>
        <w:t xml:space="preserve"> </w:t>
      </w:r>
      <w:r w:rsidRPr="002F12DF">
        <w:rPr>
          <w:rFonts w:ascii="Arial Narrow" w:hAnsi="Arial Narrow"/>
          <w:i/>
        </w:rPr>
        <w:t>Note that the US real world claims data was provided to address previous PBAC concerns and for the purposes of informing the PBAC consideration. Interpretation of the results and their application should therefore be limited to seeking to understand the basis for the PBAC outcome and should not be used for any other purpose.</w:t>
      </w:r>
    </w:p>
  </w:footnote>
  <w:footnote w:id="5">
    <w:p w:rsidR="00465117" w:rsidRDefault="00465117">
      <w:pPr>
        <w:pStyle w:val="FootnoteText"/>
      </w:pPr>
      <w:r>
        <w:rPr>
          <w:rStyle w:val="FootnoteReference"/>
        </w:rPr>
        <w:footnoteRef/>
      </w:r>
      <w:r>
        <w:t xml:space="preserve"> </w:t>
      </w:r>
      <w:r w:rsidRPr="002F12DF">
        <w:rPr>
          <w:rFonts w:ascii="Arial Narrow" w:hAnsi="Arial Narrow"/>
          <w:i/>
        </w:rPr>
        <w:t>Note that the US real world claims data was provided to address previous PBAC concerns and for the purposes of informing the PBAC consideration. Interpretation of the results and their application should therefore be limited to seeking to understand the basis for the PBAC outcome and should not be used for any other purpose.</w:t>
      </w:r>
    </w:p>
  </w:footnote>
  <w:footnote w:id="6">
    <w:p w:rsidR="00465117" w:rsidRDefault="00465117">
      <w:pPr>
        <w:pStyle w:val="FootnoteText"/>
      </w:pPr>
      <w:r>
        <w:rPr>
          <w:rStyle w:val="FootnoteReference"/>
        </w:rPr>
        <w:footnoteRef/>
      </w:r>
      <w:r>
        <w:t xml:space="preserve"> </w:t>
      </w:r>
      <w:r w:rsidRPr="002F12DF">
        <w:rPr>
          <w:rFonts w:ascii="Arial Narrow" w:hAnsi="Arial Narrow"/>
          <w:i/>
        </w:rPr>
        <w:t>Note that the US real world claims data was provided to address previous PBAC concerns and for the purposes of informing the PBAC consideration. Interpretation of the results and their application should therefore be limited to seeking to understand the basis for the PBAC outcome and should not be used for any other purpose.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5117" w:rsidRDefault="004651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5117" w:rsidRPr="009D6BA8" w:rsidRDefault="00465117" w:rsidP="009D6BA8">
    <w:pPr>
      <w:jc w:val="center"/>
      <w:rPr>
        <w:i/>
      </w:rPr>
    </w:pPr>
    <w:r>
      <w:rPr>
        <w:i/>
      </w:rPr>
      <w:t>Public Summary Document</w:t>
    </w:r>
    <w:r w:rsidRPr="009D6BA8">
      <w:rPr>
        <w:i/>
      </w:rPr>
      <w:t xml:space="preserve"> – November 2020 PBAC Meeting</w:t>
    </w:r>
  </w:p>
  <w:p w:rsidR="00465117" w:rsidRDefault="00465117"/>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5117" w:rsidRDefault="004651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84EE470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4DB6EC1"/>
    <w:multiLevelType w:val="hybridMultilevel"/>
    <w:tmpl w:val="C1125B2C"/>
    <w:lvl w:ilvl="0" w:tplc="04090001">
      <w:start w:val="1"/>
      <w:numFmt w:val="bullet"/>
      <w:lvlText w:val=""/>
      <w:lvlJc w:val="left"/>
      <w:pPr>
        <w:ind w:left="720" w:hanging="360"/>
      </w:pPr>
      <w:rPr>
        <w:rFonts w:ascii="Symbol" w:hAnsi="Symbol" w:hint="default"/>
      </w:rPr>
    </w:lvl>
    <w:lvl w:ilvl="1" w:tplc="B18CBCF0">
      <w:numFmt w:val="bullet"/>
      <w:lvlText w:val="•"/>
      <w:lvlJc w:val="left"/>
      <w:pPr>
        <w:ind w:left="1800" w:hanging="72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A43120"/>
    <w:multiLevelType w:val="hybridMultilevel"/>
    <w:tmpl w:val="6500219C"/>
    <w:lvl w:ilvl="0" w:tplc="4ED493F2">
      <w:start w:val="1"/>
      <w:numFmt w:val="decimal"/>
      <w:lvlText w:val="%1."/>
      <w:lvlJc w:val="left"/>
      <w:pPr>
        <w:ind w:left="1778" w:hanging="360"/>
      </w:pPr>
      <w:rPr>
        <w:rFonts w:asciiTheme="minorHAnsi" w:hAnsiTheme="minorHAnsi" w:cstheme="minorHAnsi" w:hint="default"/>
        <w:b w:val="0"/>
        <w:i w:val="0"/>
        <w:color w:val="auto"/>
        <w:sz w:val="24"/>
        <w:szCs w:val="24"/>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8B251A5"/>
    <w:multiLevelType w:val="hybridMultilevel"/>
    <w:tmpl w:val="E810697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E545B19"/>
    <w:multiLevelType w:val="hybridMultilevel"/>
    <w:tmpl w:val="0B24DBE8"/>
    <w:lvl w:ilvl="0" w:tplc="D71E34EC">
      <w:start w:val="1"/>
      <w:numFmt w:val="bullet"/>
      <w:lvlText w:val="•"/>
      <w:lvlJc w:val="left"/>
      <w:pPr>
        <w:tabs>
          <w:tab w:val="num" w:pos="720"/>
        </w:tabs>
        <w:ind w:left="720" w:hanging="360"/>
      </w:pPr>
      <w:rPr>
        <w:rFonts w:ascii="Arial" w:hAnsi="Arial" w:hint="default"/>
      </w:rPr>
    </w:lvl>
    <w:lvl w:ilvl="1" w:tplc="A31CFDCA" w:tentative="1">
      <w:start w:val="1"/>
      <w:numFmt w:val="bullet"/>
      <w:lvlText w:val="•"/>
      <w:lvlJc w:val="left"/>
      <w:pPr>
        <w:tabs>
          <w:tab w:val="num" w:pos="1440"/>
        </w:tabs>
        <w:ind w:left="1440" w:hanging="360"/>
      </w:pPr>
      <w:rPr>
        <w:rFonts w:ascii="Arial" w:hAnsi="Arial" w:hint="default"/>
      </w:rPr>
    </w:lvl>
    <w:lvl w:ilvl="2" w:tplc="E6C8405A" w:tentative="1">
      <w:start w:val="1"/>
      <w:numFmt w:val="bullet"/>
      <w:lvlText w:val="•"/>
      <w:lvlJc w:val="left"/>
      <w:pPr>
        <w:tabs>
          <w:tab w:val="num" w:pos="2160"/>
        </w:tabs>
        <w:ind w:left="2160" w:hanging="360"/>
      </w:pPr>
      <w:rPr>
        <w:rFonts w:ascii="Arial" w:hAnsi="Arial" w:hint="default"/>
      </w:rPr>
    </w:lvl>
    <w:lvl w:ilvl="3" w:tplc="2C90E4FC" w:tentative="1">
      <w:start w:val="1"/>
      <w:numFmt w:val="bullet"/>
      <w:lvlText w:val="•"/>
      <w:lvlJc w:val="left"/>
      <w:pPr>
        <w:tabs>
          <w:tab w:val="num" w:pos="2880"/>
        </w:tabs>
        <w:ind w:left="2880" w:hanging="360"/>
      </w:pPr>
      <w:rPr>
        <w:rFonts w:ascii="Arial" w:hAnsi="Arial" w:hint="default"/>
      </w:rPr>
    </w:lvl>
    <w:lvl w:ilvl="4" w:tplc="271492B8" w:tentative="1">
      <w:start w:val="1"/>
      <w:numFmt w:val="bullet"/>
      <w:lvlText w:val="•"/>
      <w:lvlJc w:val="left"/>
      <w:pPr>
        <w:tabs>
          <w:tab w:val="num" w:pos="3600"/>
        </w:tabs>
        <w:ind w:left="3600" w:hanging="360"/>
      </w:pPr>
      <w:rPr>
        <w:rFonts w:ascii="Arial" w:hAnsi="Arial" w:hint="default"/>
      </w:rPr>
    </w:lvl>
    <w:lvl w:ilvl="5" w:tplc="209669A2" w:tentative="1">
      <w:start w:val="1"/>
      <w:numFmt w:val="bullet"/>
      <w:lvlText w:val="•"/>
      <w:lvlJc w:val="left"/>
      <w:pPr>
        <w:tabs>
          <w:tab w:val="num" w:pos="4320"/>
        </w:tabs>
        <w:ind w:left="4320" w:hanging="360"/>
      </w:pPr>
      <w:rPr>
        <w:rFonts w:ascii="Arial" w:hAnsi="Arial" w:hint="default"/>
      </w:rPr>
    </w:lvl>
    <w:lvl w:ilvl="6" w:tplc="008C7788" w:tentative="1">
      <w:start w:val="1"/>
      <w:numFmt w:val="bullet"/>
      <w:lvlText w:val="•"/>
      <w:lvlJc w:val="left"/>
      <w:pPr>
        <w:tabs>
          <w:tab w:val="num" w:pos="5040"/>
        </w:tabs>
        <w:ind w:left="5040" w:hanging="360"/>
      </w:pPr>
      <w:rPr>
        <w:rFonts w:ascii="Arial" w:hAnsi="Arial" w:hint="default"/>
      </w:rPr>
    </w:lvl>
    <w:lvl w:ilvl="7" w:tplc="FC9EF5BC" w:tentative="1">
      <w:start w:val="1"/>
      <w:numFmt w:val="bullet"/>
      <w:lvlText w:val="•"/>
      <w:lvlJc w:val="left"/>
      <w:pPr>
        <w:tabs>
          <w:tab w:val="num" w:pos="5760"/>
        </w:tabs>
        <w:ind w:left="5760" w:hanging="360"/>
      </w:pPr>
      <w:rPr>
        <w:rFonts w:ascii="Arial" w:hAnsi="Arial" w:hint="default"/>
      </w:rPr>
    </w:lvl>
    <w:lvl w:ilvl="8" w:tplc="BC5A635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0FF60368"/>
    <w:multiLevelType w:val="hybridMultilevel"/>
    <w:tmpl w:val="D488DCD0"/>
    <w:lvl w:ilvl="0" w:tplc="D3888222">
      <w:start w:val="1"/>
      <w:numFmt w:val="bullet"/>
      <w:lvlText w:val="•"/>
      <w:lvlJc w:val="left"/>
      <w:pPr>
        <w:tabs>
          <w:tab w:val="num" w:pos="720"/>
        </w:tabs>
        <w:ind w:left="720" w:hanging="360"/>
      </w:pPr>
      <w:rPr>
        <w:rFonts w:ascii="Arial" w:hAnsi="Arial" w:hint="default"/>
      </w:rPr>
    </w:lvl>
    <w:lvl w:ilvl="1" w:tplc="E19A4B78" w:tentative="1">
      <w:start w:val="1"/>
      <w:numFmt w:val="bullet"/>
      <w:lvlText w:val="•"/>
      <w:lvlJc w:val="left"/>
      <w:pPr>
        <w:tabs>
          <w:tab w:val="num" w:pos="1440"/>
        </w:tabs>
        <w:ind w:left="1440" w:hanging="360"/>
      </w:pPr>
      <w:rPr>
        <w:rFonts w:ascii="Arial" w:hAnsi="Arial" w:hint="default"/>
      </w:rPr>
    </w:lvl>
    <w:lvl w:ilvl="2" w:tplc="B322A9F4" w:tentative="1">
      <w:start w:val="1"/>
      <w:numFmt w:val="bullet"/>
      <w:lvlText w:val="•"/>
      <w:lvlJc w:val="left"/>
      <w:pPr>
        <w:tabs>
          <w:tab w:val="num" w:pos="2160"/>
        </w:tabs>
        <w:ind w:left="2160" w:hanging="360"/>
      </w:pPr>
      <w:rPr>
        <w:rFonts w:ascii="Arial" w:hAnsi="Arial" w:hint="default"/>
      </w:rPr>
    </w:lvl>
    <w:lvl w:ilvl="3" w:tplc="A650C388" w:tentative="1">
      <w:start w:val="1"/>
      <w:numFmt w:val="bullet"/>
      <w:lvlText w:val="•"/>
      <w:lvlJc w:val="left"/>
      <w:pPr>
        <w:tabs>
          <w:tab w:val="num" w:pos="2880"/>
        </w:tabs>
        <w:ind w:left="2880" w:hanging="360"/>
      </w:pPr>
      <w:rPr>
        <w:rFonts w:ascii="Arial" w:hAnsi="Arial" w:hint="default"/>
      </w:rPr>
    </w:lvl>
    <w:lvl w:ilvl="4" w:tplc="DFFC8AF2" w:tentative="1">
      <w:start w:val="1"/>
      <w:numFmt w:val="bullet"/>
      <w:lvlText w:val="•"/>
      <w:lvlJc w:val="left"/>
      <w:pPr>
        <w:tabs>
          <w:tab w:val="num" w:pos="3600"/>
        </w:tabs>
        <w:ind w:left="3600" w:hanging="360"/>
      </w:pPr>
      <w:rPr>
        <w:rFonts w:ascii="Arial" w:hAnsi="Arial" w:hint="default"/>
      </w:rPr>
    </w:lvl>
    <w:lvl w:ilvl="5" w:tplc="C87E1C98" w:tentative="1">
      <w:start w:val="1"/>
      <w:numFmt w:val="bullet"/>
      <w:lvlText w:val="•"/>
      <w:lvlJc w:val="left"/>
      <w:pPr>
        <w:tabs>
          <w:tab w:val="num" w:pos="4320"/>
        </w:tabs>
        <w:ind w:left="4320" w:hanging="360"/>
      </w:pPr>
      <w:rPr>
        <w:rFonts w:ascii="Arial" w:hAnsi="Arial" w:hint="default"/>
      </w:rPr>
    </w:lvl>
    <w:lvl w:ilvl="6" w:tplc="4AC0FA7E" w:tentative="1">
      <w:start w:val="1"/>
      <w:numFmt w:val="bullet"/>
      <w:lvlText w:val="•"/>
      <w:lvlJc w:val="left"/>
      <w:pPr>
        <w:tabs>
          <w:tab w:val="num" w:pos="5040"/>
        </w:tabs>
        <w:ind w:left="5040" w:hanging="360"/>
      </w:pPr>
      <w:rPr>
        <w:rFonts w:ascii="Arial" w:hAnsi="Arial" w:hint="default"/>
      </w:rPr>
    </w:lvl>
    <w:lvl w:ilvl="7" w:tplc="44C0D1F6" w:tentative="1">
      <w:start w:val="1"/>
      <w:numFmt w:val="bullet"/>
      <w:lvlText w:val="•"/>
      <w:lvlJc w:val="left"/>
      <w:pPr>
        <w:tabs>
          <w:tab w:val="num" w:pos="5760"/>
        </w:tabs>
        <w:ind w:left="5760" w:hanging="360"/>
      </w:pPr>
      <w:rPr>
        <w:rFonts w:ascii="Arial" w:hAnsi="Arial" w:hint="default"/>
      </w:rPr>
    </w:lvl>
    <w:lvl w:ilvl="8" w:tplc="78C6D6EC"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47155A7"/>
    <w:multiLevelType w:val="hybridMultilevel"/>
    <w:tmpl w:val="5E4E4BEC"/>
    <w:lvl w:ilvl="0" w:tplc="FB0E01D4">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F3F5B12"/>
    <w:multiLevelType w:val="hybridMultilevel"/>
    <w:tmpl w:val="504A907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32F6E9F"/>
    <w:multiLevelType w:val="hybridMultilevel"/>
    <w:tmpl w:val="660A207E"/>
    <w:lvl w:ilvl="0" w:tplc="36B4134E">
      <w:start w:val="1"/>
      <w:numFmt w:val="bullet"/>
      <w:pStyle w:val="NormalBullet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23B6274A"/>
    <w:multiLevelType w:val="hybridMultilevel"/>
    <w:tmpl w:val="16062E6A"/>
    <w:lvl w:ilvl="0" w:tplc="4ED493F2">
      <w:start w:val="1"/>
      <w:numFmt w:val="decimal"/>
      <w:lvlText w:val="%1."/>
      <w:lvlJc w:val="left"/>
      <w:pPr>
        <w:ind w:left="1778" w:hanging="360"/>
      </w:pPr>
      <w:rPr>
        <w:rFonts w:asciiTheme="minorHAnsi" w:hAnsiTheme="minorHAnsi" w:cstheme="minorHAnsi" w:hint="default"/>
        <w:b w:val="0"/>
        <w:i w:val="0"/>
        <w:color w:val="auto"/>
        <w:sz w:val="24"/>
        <w:szCs w:val="24"/>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6D855FC"/>
    <w:multiLevelType w:val="hybridMultilevel"/>
    <w:tmpl w:val="EE105B02"/>
    <w:lvl w:ilvl="0" w:tplc="EF2E5428">
      <w:start w:val="1"/>
      <w:numFmt w:val="bullet"/>
      <w:pStyle w:val="Tabletextbulletdash"/>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9637EC4"/>
    <w:multiLevelType w:val="hybridMultilevel"/>
    <w:tmpl w:val="504A907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F9D52C0"/>
    <w:multiLevelType w:val="hybridMultilevel"/>
    <w:tmpl w:val="504A907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21B7972"/>
    <w:multiLevelType w:val="hybridMultilevel"/>
    <w:tmpl w:val="AEB629D2"/>
    <w:lvl w:ilvl="0" w:tplc="F104B882">
      <w:start w:val="1"/>
      <w:numFmt w:val="bullet"/>
      <w:lvlText w:val="-"/>
      <w:lvlJc w:val="left"/>
      <w:pPr>
        <w:ind w:left="720" w:hanging="360"/>
      </w:pPr>
      <w:rPr>
        <w:rFonts w:ascii="Candara" w:eastAsiaTheme="majorEastAsia" w:hAnsi="Candara" w:cstheme="maj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2564B6E"/>
    <w:multiLevelType w:val="hybridMultilevel"/>
    <w:tmpl w:val="DBE8D2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5886152"/>
    <w:multiLevelType w:val="hybridMultilevel"/>
    <w:tmpl w:val="B3F42210"/>
    <w:lvl w:ilvl="0" w:tplc="0C090001">
      <w:start w:val="1"/>
      <w:numFmt w:val="bullet"/>
      <w:lvlText w:val=""/>
      <w:lvlJc w:val="left"/>
      <w:pPr>
        <w:ind w:left="1545" w:hanging="360"/>
      </w:pPr>
      <w:rPr>
        <w:rFonts w:ascii="Symbol" w:hAnsi="Symbol" w:hint="default"/>
      </w:rPr>
    </w:lvl>
    <w:lvl w:ilvl="1" w:tplc="0C090003" w:tentative="1">
      <w:start w:val="1"/>
      <w:numFmt w:val="bullet"/>
      <w:lvlText w:val="o"/>
      <w:lvlJc w:val="left"/>
      <w:pPr>
        <w:ind w:left="2265" w:hanging="360"/>
      </w:pPr>
      <w:rPr>
        <w:rFonts w:ascii="Courier New" w:hAnsi="Courier New" w:cs="Courier New" w:hint="default"/>
      </w:rPr>
    </w:lvl>
    <w:lvl w:ilvl="2" w:tplc="0C090005" w:tentative="1">
      <w:start w:val="1"/>
      <w:numFmt w:val="bullet"/>
      <w:lvlText w:val=""/>
      <w:lvlJc w:val="left"/>
      <w:pPr>
        <w:ind w:left="2985" w:hanging="360"/>
      </w:pPr>
      <w:rPr>
        <w:rFonts w:ascii="Wingdings" w:hAnsi="Wingdings" w:hint="default"/>
      </w:rPr>
    </w:lvl>
    <w:lvl w:ilvl="3" w:tplc="0C090001" w:tentative="1">
      <w:start w:val="1"/>
      <w:numFmt w:val="bullet"/>
      <w:lvlText w:val=""/>
      <w:lvlJc w:val="left"/>
      <w:pPr>
        <w:ind w:left="3705" w:hanging="360"/>
      </w:pPr>
      <w:rPr>
        <w:rFonts w:ascii="Symbol" w:hAnsi="Symbol" w:hint="default"/>
      </w:rPr>
    </w:lvl>
    <w:lvl w:ilvl="4" w:tplc="0C090003" w:tentative="1">
      <w:start w:val="1"/>
      <w:numFmt w:val="bullet"/>
      <w:lvlText w:val="o"/>
      <w:lvlJc w:val="left"/>
      <w:pPr>
        <w:ind w:left="4425" w:hanging="360"/>
      </w:pPr>
      <w:rPr>
        <w:rFonts w:ascii="Courier New" w:hAnsi="Courier New" w:cs="Courier New" w:hint="default"/>
      </w:rPr>
    </w:lvl>
    <w:lvl w:ilvl="5" w:tplc="0C090005" w:tentative="1">
      <w:start w:val="1"/>
      <w:numFmt w:val="bullet"/>
      <w:lvlText w:val=""/>
      <w:lvlJc w:val="left"/>
      <w:pPr>
        <w:ind w:left="5145" w:hanging="360"/>
      </w:pPr>
      <w:rPr>
        <w:rFonts w:ascii="Wingdings" w:hAnsi="Wingdings" w:hint="default"/>
      </w:rPr>
    </w:lvl>
    <w:lvl w:ilvl="6" w:tplc="0C090001" w:tentative="1">
      <w:start w:val="1"/>
      <w:numFmt w:val="bullet"/>
      <w:lvlText w:val=""/>
      <w:lvlJc w:val="left"/>
      <w:pPr>
        <w:ind w:left="5865" w:hanging="360"/>
      </w:pPr>
      <w:rPr>
        <w:rFonts w:ascii="Symbol" w:hAnsi="Symbol" w:hint="default"/>
      </w:rPr>
    </w:lvl>
    <w:lvl w:ilvl="7" w:tplc="0C090003" w:tentative="1">
      <w:start w:val="1"/>
      <w:numFmt w:val="bullet"/>
      <w:lvlText w:val="o"/>
      <w:lvlJc w:val="left"/>
      <w:pPr>
        <w:ind w:left="6585" w:hanging="360"/>
      </w:pPr>
      <w:rPr>
        <w:rFonts w:ascii="Courier New" w:hAnsi="Courier New" w:cs="Courier New" w:hint="default"/>
      </w:rPr>
    </w:lvl>
    <w:lvl w:ilvl="8" w:tplc="0C090005" w:tentative="1">
      <w:start w:val="1"/>
      <w:numFmt w:val="bullet"/>
      <w:lvlText w:val=""/>
      <w:lvlJc w:val="left"/>
      <w:pPr>
        <w:ind w:left="7305" w:hanging="360"/>
      </w:pPr>
      <w:rPr>
        <w:rFonts w:ascii="Wingdings" w:hAnsi="Wingdings" w:hint="default"/>
      </w:rPr>
    </w:lvl>
  </w:abstractNum>
  <w:abstractNum w:abstractNumId="21" w15:restartNumberingAfterBreak="0">
    <w:nsid w:val="376C7A29"/>
    <w:multiLevelType w:val="hybridMultilevel"/>
    <w:tmpl w:val="6FB00C56"/>
    <w:lvl w:ilvl="0" w:tplc="0C090001">
      <w:start w:val="1"/>
      <w:numFmt w:val="bullet"/>
      <w:lvlText w:val=""/>
      <w:lvlJc w:val="left"/>
      <w:pPr>
        <w:ind w:left="1353" w:hanging="360"/>
      </w:pPr>
      <w:rPr>
        <w:rFonts w:ascii="Symbol" w:hAnsi="Symbol" w:hint="default"/>
      </w:rPr>
    </w:lvl>
    <w:lvl w:ilvl="1" w:tplc="0C090003" w:tentative="1">
      <w:start w:val="1"/>
      <w:numFmt w:val="bullet"/>
      <w:lvlText w:val="o"/>
      <w:lvlJc w:val="left"/>
      <w:pPr>
        <w:ind w:left="2073" w:hanging="360"/>
      </w:pPr>
      <w:rPr>
        <w:rFonts w:ascii="Courier New" w:hAnsi="Courier New" w:cs="Courier New" w:hint="default"/>
      </w:rPr>
    </w:lvl>
    <w:lvl w:ilvl="2" w:tplc="0C090005" w:tentative="1">
      <w:start w:val="1"/>
      <w:numFmt w:val="bullet"/>
      <w:lvlText w:val=""/>
      <w:lvlJc w:val="left"/>
      <w:pPr>
        <w:ind w:left="2793" w:hanging="360"/>
      </w:pPr>
      <w:rPr>
        <w:rFonts w:ascii="Wingdings" w:hAnsi="Wingdings" w:hint="default"/>
      </w:rPr>
    </w:lvl>
    <w:lvl w:ilvl="3" w:tplc="0C090001" w:tentative="1">
      <w:start w:val="1"/>
      <w:numFmt w:val="bullet"/>
      <w:lvlText w:val=""/>
      <w:lvlJc w:val="left"/>
      <w:pPr>
        <w:ind w:left="3513" w:hanging="360"/>
      </w:pPr>
      <w:rPr>
        <w:rFonts w:ascii="Symbol" w:hAnsi="Symbol" w:hint="default"/>
      </w:rPr>
    </w:lvl>
    <w:lvl w:ilvl="4" w:tplc="0C090003" w:tentative="1">
      <w:start w:val="1"/>
      <w:numFmt w:val="bullet"/>
      <w:lvlText w:val="o"/>
      <w:lvlJc w:val="left"/>
      <w:pPr>
        <w:ind w:left="4233" w:hanging="360"/>
      </w:pPr>
      <w:rPr>
        <w:rFonts w:ascii="Courier New" w:hAnsi="Courier New" w:cs="Courier New" w:hint="default"/>
      </w:rPr>
    </w:lvl>
    <w:lvl w:ilvl="5" w:tplc="0C090005" w:tentative="1">
      <w:start w:val="1"/>
      <w:numFmt w:val="bullet"/>
      <w:lvlText w:val=""/>
      <w:lvlJc w:val="left"/>
      <w:pPr>
        <w:ind w:left="4953" w:hanging="360"/>
      </w:pPr>
      <w:rPr>
        <w:rFonts w:ascii="Wingdings" w:hAnsi="Wingdings" w:hint="default"/>
      </w:rPr>
    </w:lvl>
    <w:lvl w:ilvl="6" w:tplc="0C090001" w:tentative="1">
      <w:start w:val="1"/>
      <w:numFmt w:val="bullet"/>
      <w:lvlText w:val=""/>
      <w:lvlJc w:val="left"/>
      <w:pPr>
        <w:ind w:left="5673" w:hanging="360"/>
      </w:pPr>
      <w:rPr>
        <w:rFonts w:ascii="Symbol" w:hAnsi="Symbol" w:hint="default"/>
      </w:rPr>
    </w:lvl>
    <w:lvl w:ilvl="7" w:tplc="0C090003" w:tentative="1">
      <w:start w:val="1"/>
      <w:numFmt w:val="bullet"/>
      <w:lvlText w:val="o"/>
      <w:lvlJc w:val="left"/>
      <w:pPr>
        <w:ind w:left="6393" w:hanging="360"/>
      </w:pPr>
      <w:rPr>
        <w:rFonts w:ascii="Courier New" w:hAnsi="Courier New" w:cs="Courier New" w:hint="default"/>
      </w:rPr>
    </w:lvl>
    <w:lvl w:ilvl="8" w:tplc="0C090005" w:tentative="1">
      <w:start w:val="1"/>
      <w:numFmt w:val="bullet"/>
      <w:lvlText w:val=""/>
      <w:lvlJc w:val="left"/>
      <w:pPr>
        <w:ind w:left="7113" w:hanging="360"/>
      </w:pPr>
      <w:rPr>
        <w:rFonts w:ascii="Wingdings" w:hAnsi="Wingdings" w:hint="default"/>
      </w:rPr>
    </w:lvl>
  </w:abstractNum>
  <w:abstractNum w:abstractNumId="22" w15:restartNumberingAfterBreak="0">
    <w:nsid w:val="3BBC64D6"/>
    <w:multiLevelType w:val="hybridMultilevel"/>
    <w:tmpl w:val="504A907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20B6ECC"/>
    <w:multiLevelType w:val="hybridMultilevel"/>
    <w:tmpl w:val="433EFFD0"/>
    <w:lvl w:ilvl="0" w:tplc="DEFAC1A4">
      <w:start w:val="1"/>
      <w:numFmt w:val="bullet"/>
      <w:lvlText w:val=""/>
      <w:lvlJc w:val="left"/>
      <w:pPr>
        <w:ind w:left="360" w:hanging="360"/>
      </w:pPr>
      <w:rPr>
        <w:rFonts w:ascii="Symbol" w:hAnsi="Symbol" w:hint="default"/>
      </w:rPr>
    </w:lvl>
    <w:lvl w:ilvl="1" w:tplc="853CC43C">
      <w:start w:val="1"/>
      <w:numFmt w:val="bullet"/>
      <w:pStyle w:val="NormalBulletList2"/>
      <w:lvlText w:val="o"/>
      <w:lvlJc w:val="left"/>
      <w:pPr>
        <w:ind w:left="1080" w:hanging="360"/>
      </w:pPr>
      <w:rPr>
        <w:rFonts w:ascii="Courier New" w:hAnsi="Courier New" w:cs="Courier New" w:hint="default"/>
      </w:rPr>
    </w:lvl>
    <w:lvl w:ilvl="2" w:tplc="61E61A46">
      <w:start w:val="1"/>
      <w:numFmt w:val="bullet"/>
      <w:lvlText w:val=""/>
      <w:lvlJc w:val="left"/>
      <w:pPr>
        <w:ind w:left="1800" w:hanging="360"/>
      </w:pPr>
      <w:rPr>
        <w:rFonts w:ascii="Wingdings" w:hAnsi="Wingdings" w:hint="default"/>
      </w:rPr>
    </w:lvl>
    <w:lvl w:ilvl="3" w:tplc="48E8658E" w:tentative="1">
      <w:start w:val="1"/>
      <w:numFmt w:val="bullet"/>
      <w:lvlText w:val=""/>
      <w:lvlJc w:val="left"/>
      <w:pPr>
        <w:ind w:left="2520" w:hanging="360"/>
      </w:pPr>
      <w:rPr>
        <w:rFonts w:ascii="Symbol" w:hAnsi="Symbol" w:hint="default"/>
      </w:rPr>
    </w:lvl>
    <w:lvl w:ilvl="4" w:tplc="4EE87910" w:tentative="1">
      <w:start w:val="1"/>
      <w:numFmt w:val="bullet"/>
      <w:lvlText w:val="o"/>
      <w:lvlJc w:val="left"/>
      <w:pPr>
        <w:ind w:left="3240" w:hanging="360"/>
      </w:pPr>
      <w:rPr>
        <w:rFonts w:ascii="Courier New" w:hAnsi="Courier New" w:cs="Courier New" w:hint="default"/>
      </w:rPr>
    </w:lvl>
    <w:lvl w:ilvl="5" w:tplc="E2D8FC36" w:tentative="1">
      <w:start w:val="1"/>
      <w:numFmt w:val="bullet"/>
      <w:lvlText w:val=""/>
      <w:lvlJc w:val="left"/>
      <w:pPr>
        <w:ind w:left="3960" w:hanging="360"/>
      </w:pPr>
      <w:rPr>
        <w:rFonts w:ascii="Wingdings" w:hAnsi="Wingdings" w:hint="default"/>
      </w:rPr>
    </w:lvl>
    <w:lvl w:ilvl="6" w:tplc="4B22A9DC" w:tentative="1">
      <w:start w:val="1"/>
      <w:numFmt w:val="bullet"/>
      <w:lvlText w:val=""/>
      <w:lvlJc w:val="left"/>
      <w:pPr>
        <w:ind w:left="4680" w:hanging="360"/>
      </w:pPr>
      <w:rPr>
        <w:rFonts w:ascii="Symbol" w:hAnsi="Symbol" w:hint="default"/>
      </w:rPr>
    </w:lvl>
    <w:lvl w:ilvl="7" w:tplc="02445202" w:tentative="1">
      <w:start w:val="1"/>
      <w:numFmt w:val="bullet"/>
      <w:lvlText w:val="o"/>
      <w:lvlJc w:val="left"/>
      <w:pPr>
        <w:ind w:left="5400" w:hanging="360"/>
      </w:pPr>
      <w:rPr>
        <w:rFonts w:ascii="Courier New" w:hAnsi="Courier New" w:cs="Courier New" w:hint="default"/>
      </w:rPr>
    </w:lvl>
    <w:lvl w:ilvl="8" w:tplc="947490A4" w:tentative="1">
      <w:start w:val="1"/>
      <w:numFmt w:val="bullet"/>
      <w:lvlText w:val=""/>
      <w:lvlJc w:val="left"/>
      <w:pPr>
        <w:ind w:left="6120" w:hanging="360"/>
      </w:pPr>
      <w:rPr>
        <w:rFonts w:ascii="Wingdings" w:hAnsi="Wingdings" w:hint="default"/>
      </w:rPr>
    </w:lvl>
  </w:abstractNum>
  <w:abstractNum w:abstractNumId="24" w15:restartNumberingAfterBreak="0">
    <w:nsid w:val="43EA32DB"/>
    <w:multiLevelType w:val="hybridMultilevel"/>
    <w:tmpl w:val="F5BA6FA8"/>
    <w:lvl w:ilvl="0" w:tplc="2514C0A4">
      <w:numFmt w:val="bullet"/>
      <w:lvlText w:val="-"/>
      <w:lvlJc w:val="left"/>
      <w:pPr>
        <w:ind w:left="720" w:hanging="360"/>
      </w:pPr>
      <w:rPr>
        <w:rFonts w:ascii="Times New Roman" w:eastAsiaTheme="minorHAnsi" w:hAnsi="Times New Roman"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4D56652"/>
    <w:multiLevelType w:val="hybridMultilevel"/>
    <w:tmpl w:val="49244D98"/>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7" w15:restartNumberingAfterBreak="0">
    <w:nsid w:val="48785A3D"/>
    <w:multiLevelType w:val="hybridMultilevel"/>
    <w:tmpl w:val="504A907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A537C97"/>
    <w:multiLevelType w:val="hybridMultilevel"/>
    <w:tmpl w:val="0F56C3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0" w15:restartNumberingAfterBreak="0">
    <w:nsid w:val="61A41D69"/>
    <w:multiLevelType w:val="singleLevel"/>
    <w:tmpl w:val="04090011"/>
    <w:lvl w:ilvl="0">
      <w:start w:val="1"/>
      <w:numFmt w:val="decimal"/>
      <w:lvlText w:val="%1)"/>
      <w:lvlJc w:val="left"/>
      <w:pPr>
        <w:tabs>
          <w:tab w:val="num" w:pos="360"/>
        </w:tabs>
        <w:ind w:left="360" w:hanging="360"/>
      </w:pPr>
      <w:rPr>
        <w:rFonts w:hint="default"/>
      </w:rPr>
    </w:lvl>
  </w:abstractNum>
  <w:abstractNum w:abstractNumId="31" w15:restartNumberingAfterBreak="0">
    <w:nsid w:val="66872131"/>
    <w:multiLevelType w:val="hybridMultilevel"/>
    <w:tmpl w:val="5BD42CC6"/>
    <w:lvl w:ilvl="0" w:tplc="ACA6D8A2">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8652E06"/>
    <w:multiLevelType w:val="hybridMultilevel"/>
    <w:tmpl w:val="CAAE0758"/>
    <w:lvl w:ilvl="0" w:tplc="F104B882">
      <w:start w:val="1"/>
      <w:numFmt w:val="bullet"/>
      <w:lvlText w:val="-"/>
      <w:lvlJc w:val="left"/>
      <w:pPr>
        <w:ind w:left="720" w:hanging="360"/>
      </w:pPr>
      <w:rPr>
        <w:rFonts w:ascii="Candara" w:eastAsiaTheme="majorEastAsia" w:hAnsi="Candara" w:cstheme="maj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B085428"/>
    <w:multiLevelType w:val="hybridMultilevel"/>
    <w:tmpl w:val="8D44D1E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4" w15:restartNumberingAfterBreak="0">
    <w:nsid w:val="784D033C"/>
    <w:multiLevelType w:val="multilevel"/>
    <w:tmpl w:val="2A1A92D8"/>
    <w:lvl w:ilvl="0">
      <w:start w:val="1"/>
      <w:numFmt w:val="decimal"/>
      <w:pStyle w:val="2-SectionHeading"/>
      <w:lvlText w:val="%1"/>
      <w:lvlJc w:val="left"/>
      <w:pPr>
        <w:ind w:left="720" w:hanging="720"/>
      </w:pPr>
      <w:rPr>
        <w:rFonts w:hint="default"/>
        <w:b/>
        <w:i w:val="0"/>
      </w:rPr>
    </w:lvl>
    <w:lvl w:ilvl="1">
      <w:start w:val="1"/>
      <w:numFmt w:val="decimal"/>
      <w:pStyle w:val="ExecSumBodyText"/>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C5766FF"/>
    <w:multiLevelType w:val="hybridMultilevel"/>
    <w:tmpl w:val="29FAD684"/>
    <w:lvl w:ilvl="0" w:tplc="24AC1BC0">
      <w:start w:val="1"/>
      <w:numFmt w:val="bullet"/>
      <w:lvlText w:val="•"/>
      <w:lvlJc w:val="left"/>
      <w:pPr>
        <w:tabs>
          <w:tab w:val="num" w:pos="720"/>
        </w:tabs>
        <w:ind w:left="720" w:hanging="360"/>
      </w:pPr>
      <w:rPr>
        <w:rFonts w:ascii="Arial" w:hAnsi="Arial" w:hint="default"/>
      </w:rPr>
    </w:lvl>
    <w:lvl w:ilvl="1" w:tplc="08E470D0">
      <w:start w:val="1"/>
      <w:numFmt w:val="bullet"/>
      <w:lvlText w:val="•"/>
      <w:lvlJc w:val="left"/>
      <w:pPr>
        <w:tabs>
          <w:tab w:val="num" w:pos="1440"/>
        </w:tabs>
        <w:ind w:left="1440" w:hanging="360"/>
      </w:pPr>
      <w:rPr>
        <w:rFonts w:ascii="Arial" w:hAnsi="Arial" w:hint="default"/>
      </w:rPr>
    </w:lvl>
    <w:lvl w:ilvl="2" w:tplc="5B72BA2C">
      <w:start w:val="142"/>
      <w:numFmt w:val="bullet"/>
      <w:lvlText w:val="•"/>
      <w:lvlJc w:val="left"/>
      <w:pPr>
        <w:tabs>
          <w:tab w:val="num" w:pos="2160"/>
        </w:tabs>
        <w:ind w:left="2160" w:hanging="360"/>
      </w:pPr>
      <w:rPr>
        <w:rFonts w:ascii="Arial" w:hAnsi="Arial" w:hint="default"/>
      </w:rPr>
    </w:lvl>
    <w:lvl w:ilvl="3" w:tplc="C2C0ED44" w:tentative="1">
      <w:start w:val="1"/>
      <w:numFmt w:val="bullet"/>
      <w:lvlText w:val="•"/>
      <w:lvlJc w:val="left"/>
      <w:pPr>
        <w:tabs>
          <w:tab w:val="num" w:pos="2880"/>
        </w:tabs>
        <w:ind w:left="2880" w:hanging="360"/>
      </w:pPr>
      <w:rPr>
        <w:rFonts w:ascii="Arial" w:hAnsi="Arial" w:hint="default"/>
      </w:rPr>
    </w:lvl>
    <w:lvl w:ilvl="4" w:tplc="DC5EBA0E" w:tentative="1">
      <w:start w:val="1"/>
      <w:numFmt w:val="bullet"/>
      <w:lvlText w:val="•"/>
      <w:lvlJc w:val="left"/>
      <w:pPr>
        <w:tabs>
          <w:tab w:val="num" w:pos="3600"/>
        </w:tabs>
        <w:ind w:left="3600" w:hanging="360"/>
      </w:pPr>
      <w:rPr>
        <w:rFonts w:ascii="Arial" w:hAnsi="Arial" w:hint="default"/>
      </w:rPr>
    </w:lvl>
    <w:lvl w:ilvl="5" w:tplc="65969906" w:tentative="1">
      <w:start w:val="1"/>
      <w:numFmt w:val="bullet"/>
      <w:lvlText w:val="•"/>
      <w:lvlJc w:val="left"/>
      <w:pPr>
        <w:tabs>
          <w:tab w:val="num" w:pos="4320"/>
        </w:tabs>
        <w:ind w:left="4320" w:hanging="360"/>
      </w:pPr>
      <w:rPr>
        <w:rFonts w:ascii="Arial" w:hAnsi="Arial" w:hint="default"/>
      </w:rPr>
    </w:lvl>
    <w:lvl w:ilvl="6" w:tplc="F81AB690" w:tentative="1">
      <w:start w:val="1"/>
      <w:numFmt w:val="bullet"/>
      <w:lvlText w:val="•"/>
      <w:lvlJc w:val="left"/>
      <w:pPr>
        <w:tabs>
          <w:tab w:val="num" w:pos="5040"/>
        </w:tabs>
        <w:ind w:left="5040" w:hanging="360"/>
      </w:pPr>
      <w:rPr>
        <w:rFonts w:ascii="Arial" w:hAnsi="Arial" w:hint="default"/>
      </w:rPr>
    </w:lvl>
    <w:lvl w:ilvl="7" w:tplc="49B05CDE" w:tentative="1">
      <w:start w:val="1"/>
      <w:numFmt w:val="bullet"/>
      <w:lvlText w:val="•"/>
      <w:lvlJc w:val="left"/>
      <w:pPr>
        <w:tabs>
          <w:tab w:val="num" w:pos="5760"/>
        </w:tabs>
        <w:ind w:left="5760" w:hanging="360"/>
      </w:pPr>
      <w:rPr>
        <w:rFonts w:ascii="Arial" w:hAnsi="Arial" w:hint="default"/>
      </w:rPr>
    </w:lvl>
    <w:lvl w:ilvl="8" w:tplc="47BE92A0"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7F037AAB"/>
    <w:multiLevelType w:val="hybridMultilevel"/>
    <w:tmpl w:val="504A907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4"/>
  </w:num>
  <w:num w:numId="2">
    <w:abstractNumId w:val="25"/>
  </w:num>
  <w:num w:numId="3">
    <w:abstractNumId w:val="0"/>
  </w:num>
  <w:num w:numId="4">
    <w:abstractNumId w:val="34"/>
  </w:num>
  <w:num w:numId="5">
    <w:abstractNumId w:val="23"/>
  </w:num>
  <w:num w:numId="6">
    <w:abstractNumId w:val="10"/>
  </w:num>
  <w:num w:numId="7">
    <w:abstractNumId w:val="18"/>
  </w:num>
  <w:num w:numId="8">
    <w:abstractNumId w:val="14"/>
  </w:num>
  <w:num w:numId="9">
    <w:abstractNumId w:val="20"/>
  </w:num>
  <w:num w:numId="10">
    <w:abstractNumId w:val="2"/>
  </w:num>
  <w:num w:numId="11">
    <w:abstractNumId w:val="32"/>
  </w:num>
  <w:num w:numId="12">
    <w:abstractNumId w:val="21"/>
  </w:num>
  <w:num w:numId="13">
    <w:abstractNumId w:val="26"/>
  </w:num>
  <w:num w:numId="14">
    <w:abstractNumId w:val="12"/>
  </w:num>
  <w:num w:numId="15">
    <w:abstractNumId w:val="3"/>
  </w:num>
  <w:num w:numId="16">
    <w:abstractNumId w:val="29"/>
  </w:num>
  <w:num w:numId="17">
    <w:abstractNumId w:val="24"/>
  </w:num>
  <w:num w:numId="18">
    <w:abstractNumId w:val="19"/>
  </w:num>
  <w:num w:numId="19">
    <w:abstractNumId w:val="34"/>
  </w:num>
  <w:num w:numId="20">
    <w:abstractNumId w:val="34"/>
  </w:num>
  <w:num w:numId="21">
    <w:abstractNumId w:val="34"/>
  </w:num>
  <w:num w:numId="22">
    <w:abstractNumId w:val="34"/>
  </w:num>
  <w:num w:numId="23">
    <w:abstractNumId w:val="28"/>
  </w:num>
  <w:num w:numId="24">
    <w:abstractNumId w:val="5"/>
  </w:num>
  <w:num w:numId="25">
    <w:abstractNumId w:val="1"/>
  </w:num>
  <w:num w:numId="26">
    <w:abstractNumId w:val="13"/>
  </w:num>
  <w:num w:numId="27">
    <w:abstractNumId w:val="16"/>
  </w:num>
  <w:num w:numId="28">
    <w:abstractNumId w:val="11"/>
  </w:num>
  <w:num w:numId="29">
    <w:abstractNumId w:val="30"/>
  </w:num>
  <w:num w:numId="30">
    <w:abstractNumId w:val="8"/>
  </w:num>
  <w:num w:numId="31">
    <w:abstractNumId w:val="31"/>
  </w:num>
  <w:num w:numId="32">
    <w:abstractNumId w:val="33"/>
  </w:num>
  <w:num w:numId="33">
    <w:abstractNumId w:val="4"/>
  </w:num>
  <w:num w:numId="34">
    <w:abstractNumId w:val="7"/>
  </w:num>
  <w:num w:numId="35">
    <w:abstractNumId w:val="35"/>
  </w:num>
  <w:num w:numId="36">
    <w:abstractNumId w:val="34"/>
  </w:num>
  <w:num w:numId="37">
    <w:abstractNumId w:val="34"/>
  </w:num>
  <w:num w:numId="38">
    <w:abstractNumId w:val="34"/>
  </w:num>
  <w:num w:numId="39">
    <w:abstractNumId w:val="34"/>
  </w:num>
  <w:num w:numId="40">
    <w:abstractNumId w:val="34"/>
  </w:num>
  <w:num w:numId="41">
    <w:abstractNumId w:val="34"/>
  </w:num>
  <w:num w:numId="42">
    <w:abstractNumId w:val="6"/>
  </w:num>
  <w:num w:numId="43">
    <w:abstractNumId w:val="34"/>
  </w:num>
  <w:num w:numId="44">
    <w:abstractNumId w:val="34"/>
  </w:num>
  <w:num w:numId="45">
    <w:abstractNumId w:val="9"/>
  </w:num>
  <w:num w:numId="46">
    <w:abstractNumId w:val="15"/>
  </w:num>
  <w:num w:numId="47">
    <w:abstractNumId w:val="17"/>
  </w:num>
  <w:num w:numId="48">
    <w:abstractNumId w:val="36"/>
  </w:num>
  <w:num w:numId="49">
    <w:abstractNumId w:val="22"/>
  </w:num>
  <w:num w:numId="50">
    <w:abstractNumId w:val="2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E79"/>
    <w:rsid w:val="00000790"/>
    <w:rsid w:val="0000110B"/>
    <w:rsid w:val="00002036"/>
    <w:rsid w:val="00003499"/>
    <w:rsid w:val="000039B7"/>
    <w:rsid w:val="0000639A"/>
    <w:rsid w:val="0000644E"/>
    <w:rsid w:val="000079DC"/>
    <w:rsid w:val="00011B09"/>
    <w:rsid w:val="00011F42"/>
    <w:rsid w:val="00013247"/>
    <w:rsid w:val="00015886"/>
    <w:rsid w:val="000162AC"/>
    <w:rsid w:val="000162EF"/>
    <w:rsid w:val="000207C9"/>
    <w:rsid w:val="000215A2"/>
    <w:rsid w:val="0002225F"/>
    <w:rsid w:val="000230E4"/>
    <w:rsid w:val="00023763"/>
    <w:rsid w:val="000242A4"/>
    <w:rsid w:val="000274B8"/>
    <w:rsid w:val="000305CD"/>
    <w:rsid w:val="00033863"/>
    <w:rsid w:val="00035284"/>
    <w:rsid w:val="00035DC0"/>
    <w:rsid w:val="00036829"/>
    <w:rsid w:val="00036C3C"/>
    <w:rsid w:val="00037140"/>
    <w:rsid w:val="000374F1"/>
    <w:rsid w:val="00040895"/>
    <w:rsid w:val="00040E23"/>
    <w:rsid w:val="000410E4"/>
    <w:rsid w:val="000435EE"/>
    <w:rsid w:val="00043AC7"/>
    <w:rsid w:val="00043C37"/>
    <w:rsid w:val="00045017"/>
    <w:rsid w:val="000450EA"/>
    <w:rsid w:val="00045A2B"/>
    <w:rsid w:val="0004698F"/>
    <w:rsid w:val="000539D0"/>
    <w:rsid w:val="00053F5A"/>
    <w:rsid w:val="00054621"/>
    <w:rsid w:val="000546D7"/>
    <w:rsid w:val="00054EC2"/>
    <w:rsid w:val="00056765"/>
    <w:rsid w:val="00056ECF"/>
    <w:rsid w:val="00057535"/>
    <w:rsid w:val="00060287"/>
    <w:rsid w:val="000604DF"/>
    <w:rsid w:val="00061742"/>
    <w:rsid w:val="000653B5"/>
    <w:rsid w:val="00066360"/>
    <w:rsid w:val="00066631"/>
    <w:rsid w:val="00066AF8"/>
    <w:rsid w:val="00066B6D"/>
    <w:rsid w:val="00067C44"/>
    <w:rsid w:val="00071248"/>
    <w:rsid w:val="00071B2B"/>
    <w:rsid w:val="00071F60"/>
    <w:rsid w:val="000720B9"/>
    <w:rsid w:val="000735F7"/>
    <w:rsid w:val="000737F7"/>
    <w:rsid w:val="00075080"/>
    <w:rsid w:val="00075D97"/>
    <w:rsid w:val="0007672F"/>
    <w:rsid w:val="00076B24"/>
    <w:rsid w:val="00076B54"/>
    <w:rsid w:val="000774F0"/>
    <w:rsid w:val="00080349"/>
    <w:rsid w:val="00080813"/>
    <w:rsid w:val="00080909"/>
    <w:rsid w:val="000812CA"/>
    <w:rsid w:val="00081E63"/>
    <w:rsid w:val="0008258D"/>
    <w:rsid w:val="00083528"/>
    <w:rsid w:val="00083E99"/>
    <w:rsid w:val="00084FA8"/>
    <w:rsid w:val="000856C5"/>
    <w:rsid w:val="00085C31"/>
    <w:rsid w:val="00086406"/>
    <w:rsid w:val="00087017"/>
    <w:rsid w:val="000902D9"/>
    <w:rsid w:val="00090872"/>
    <w:rsid w:val="00090C7E"/>
    <w:rsid w:val="000915E1"/>
    <w:rsid w:val="00092600"/>
    <w:rsid w:val="0009262B"/>
    <w:rsid w:val="00093310"/>
    <w:rsid w:val="0009445C"/>
    <w:rsid w:val="00095200"/>
    <w:rsid w:val="00095912"/>
    <w:rsid w:val="00095FE5"/>
    <w:rsid w:val="00096284"/>
    <w:rsid w:val="000972A9"/>
    <w:rsid w:val="000A0912"/>
    <w:rsid w:val="000A1213"/>
    <w:rsid w:val="000A1BC0"/>
    <w:rsid w:val="000A5A7A"/>
    <w:rsid w:val="000A6039"/>
    <w:rsid w:val="000A676F"/>
    <w:rsid w:val="000A7453"/>
    <w:rsid w:val="000A79CB"/>
    <w:rsid w:val="000A7D08"/>
    <w:rsid w:val="000B0121"/>
    <w:rsid w:val="000B0670"/>
    <w:rsid w:val="000B0E75"/>
    <w:rsid w:val="000B15F2"/>
    <w:rsid w:val="000B2793"/>
    <w:rsid w:val="000B2DCB"/>
    <w:rsid w:val="000B2FFA"/>
    <w:rsid w:val="000B51F5"/>
    <w:rsid w:val="000B5CE0"/>
    <w:rsid w:val="000B6CAC"/>
    <w:rsid w:val="000B7612"/>
    <w:rsid w:val="000B78AE"/>
    <w:rsid w:val="000C3DF9"/>
    <w:rsid w:val="000C6713"/>
    <w:rsid w:val="000C7694"/>
    <w:rsid w:val="000D1BFC"/>
    <w:rsid w:val="000D1D5D"/>
    <w:rsid w:val="000D281A"/>
    <w:rsid w:val="000D2848"/>
    <w:rsid w:val="000D326A"/>
    <w:rsid w:val="000D3EA5"/>
    <w:rsid w:val="000D51FB"/>
    <w:rsid w:val="000D7E69"/>
    <w:rsid w:val="000D7EAC"/>
    <w:rsid w:val="000E02A5"/>
    <w:rsid w:val="000E0333"/>
    <w:rsid w:val="000E0640"/>
    <w:rsid w:val="000E135D"/>
    <w:rsid w:val="000E45D3"/>
    <w:rsid w:val="000F00BA"/>
    <w:rsid w:val="000F0A89"/>
    <w:rsid w:val="000F246E"/>
    <w:rsid w:val="000F306C"/>
    <w:rsid w:val="000F316A"/>
    <w:rsid w:val="000F3C74"/>
    <w:rsid w:val="000F4BB8"/>
    <w:rsid w:val="000F4FA9"/>
    <w:rsid w:val="000F53FB"/>
    <w:rsid w:val="000F5462"/>
    <w:rsid w:val="000F5DDB"/>
    <w:rsid w:val="000F7127"/>
    <w:rsid w:val="000F7B54"/>
    <w:rsid w:val="001008CB"/>
    <w:rsid w:val="00100F8A"/>
    <w:rsid w:val="001015AC"/>
    <w:rsid w:val="0010452E"/>
    <w:rsid w:val="00105AE2"/>
    <w:rsid w:val="00105D7E"/>
    <w:rsid w:val="001060C6"/>
    <w:rsid w:val="00106B80"/>
    <w:rsid w:val="00106E5B"/>
    <w:rsid w:val="0011032E"/>
    <w:rsid w:val="0011135B"/>
    <w:rsid w:val="00111B9F"/>
    <w:rsid w:val="00112F6F"/>
    <w:rsid w:val="0011348B"/>
    <w:rsid w:val="00114948"/>
    <w:rsid w:val="00115982"/>
    <w:rsid w:val="00116C53"/>
    <w:rsid w:val="00121799"/>
    <w:rsid w:val="001222FC"/>
    <w:rsid w:val="00122E3A"/>
    <w:rsid w:val="00123902"/>
    <w:rsid w:val="00124A51"/>
    <w:rsid w:val="00126621"/>
    <w:rsid w:val="00126B1D"/>
    <w:rsid w:val="00130128"/>
    <w:rsid w:val="001301E9"/>
    <w:rsid w:val="001316B4"/>
    <w:rsid w:val="00131D82"/>
    <w:rsid w:val="00132B22"/>
    <w:rsid w:val="00133D36"/>
    <w:rsid w:val="00137645"/>
    <w:rsid w:val="0014015A"/>
    <w:rsid w:val="00140E99"/>
    <w:rsid w:val="00143F67"/>
    <w:rsid w:val="00145540"/>
    <w:rsid w:val="001456B0"/>
    <w:rsid w:val="00147C4D"/>
    <w:rsid w:val="00150256"/>
    <w:rsid w:val="00150949"/>
    <w:rsid w:val="00153A9B"/>
    <w:rsid w:val="00156F8F"/>
    <w:rsid w:val="00157130"/>
    <w:rsid w:val="001576B1"/>
    <w:rsid w:val="00157B8D"/>
    <w:rsid w:val="00157E00"/>
    <w:rsid w:val="0016047B"/>
    <w:rsid w:val="00160A4C"/>
    <w:rsid w:val="00160A62"/>
    <w:rsid w:val="00162913"/>
    <w:rsid w:val="00163784"/>
    <w:rsid w:val="00163EFF"/>
    <w:rsid w:val="00163F66"/>
    <w:rsid w:val="00164D7C"/>
    <w:rsid w:val="001661FB"/>
    <w:rsid w:val="00166BCB"/>
    <w:rsid w:val="001671A0"/>
    <w:rsid w:val="0016767F"/>
    <w:rsid w:val="00172028"/>
    <w:rsid w:val="00172D59"/>
    <w:rsid w:val="00173565"/>
    <w:rsid w:val="001738A4"/>
    <w:rsid w:val="00173B07"/>
    <w:rsid w:val="00174011"/>
    <w:rsid w:val="001751FA"/>
    <w:rsid w:val="001759D0"/>
    <w:rsid w:val="001806DA"/>
    <w:rsid w:val="001811AF"/>
    <w:rsid w:val="00181D9C"/>
    <w:rsid w:val="00182543"/>
    <w:rsid w:val="00184B0E"/>
    <w:rsid w:val="00186893"/>
    <w:rsid w:val="0018752F"/>
    <w:rsid w:val="00191FD1"/>
    <w:rsid w:val="00193838"/>
    <w:rsid w:val="001945D6"/>
    <w:rsid w:val="00194AD8"/>
    <w:rsid w:val="00195222"/>
    <w:rsid w:val="00196F60"/>
    <w:rsid w:val="001975D8"/>
    <w:rsid w:val="001A07C5"/>
    <w:rsid w:val="001A178E"/>
    <w:rsid w:val="001A43FA"/>
    <w:rsid w:val="001A47C5"/>
    <w:rsid w:val="001A48EC"/>
    <w:rsid w:val="001A59FB"/>
    <w:rsid w:val="001A5E9E"/>
    <w:rsid w:val="001A6354"/>
    <w:rsid w:val="001A6366"/>
    <w:rsid w:val="001A6521"/>
    <w:rsid w:val="001A7AE8"/>
    <w:rsid w:val="001B204E"/>
    <w:rsid w:val="001B2372"/>
    <w:rsid w:val="001B3443"/>
    <w:rsid w:val="001B4D20"/>
    <w:rsid w:val="001C02B2"/>
    <w:rsid w:val="001C184C"/>
    <w:rsid w:val="001C2A9B"/>
    <w:rsid w:val="001C4299"/>
    <w:rsid w:val="001C4874"/>
    <w:rsid w:val="001C5F94"/>
    <w:rsid w:val="001C62B1"/>
    <w:rsid w:val="001C6DD9"/>
    <w:rsid w:val="001C6E66"/>
    <w:rsid w:val="001D1100"/>
    <w:rsid w:val="001D11BD"/>
    <w:rsid w:val="001D1391"/>
    <w:rsid w:val="001D25D7"/>
    <w:rsid w:val="001D26FE"/>
    <w:rsid w:val="001D2839"/>
    <w:rsid w:val="001D4163"/>
    <w:rsid w:val="001D4345"/>
    <w:rsid w:val="001D50B2"/>
    <w:rsid w:val="001D6451"/>
    <w:rsid w:val="001D7645"/>
    <w:rsid w:val="001E1E86"/>
    <w:rsid w:val="001E238E"/>
    <w:rsid w:val="001E2483"/>
    <w:rsid w:val="001E2B1E"/>
    <w:rsid w:val="001E2CFF"/>
    <w:rsid w:val="001E2F24"/>
    <w:rsid w:val="001E30D4"/>
    <w:rsid w:val="001E34DF"/>
    <w:rsid w:val="001E52EB"/>
    <w:rsid w:val="001E61D2"/>
    <w:rsid w:val="001E6426"/>
    <w:rsid w:val="001E740C"/>
    <w:rsid w:val="001F1235"/>
    <w:rsid w:val="001F1CB3"/>
    <w:rsid w:val="001F38B5"/>
    <w:rsid w:val="001F401A"/>
    <w:rsid w:val="001F4081"/>
    <w:rsid w:val="001F4333"/>
    <w:rsid w:val="001F6987"/>
    <w:rsid w:val="001F6C94"/>
    <w:rsid w:val="001F7361"/>
    <w:rsid w:val="001F7383"/>
    <w:rsid w:val="001F7737"/>
    <w:rsid w:val="00200CFE"/>
    <w:rsid w:val="00200EF8"/>
    <w:rsid w:val="002011B0"/>
    <w:rsid w:val="00201BB9"/>
    <w:rsid w:val="00203181"/>
    <w:rsid w:val="00203783"/>
    <w:rsid w:val="0020385F"/>
    <w:rsid w:val="002068A0"/>
    <w:rsid w:val="00207021"/>
    <w:rsid w:val="002072E1"/>
    <w:rsid w:val="0020732F"/>
    <w:rsid w:val="00207D00"/>
    <w:rsid w:val="002105C1"/>
    <w:rsid w:val="00213EF5"/>
    <w:rsid w:val="0021491D"/>
    <w:rsid w:val="0021630C"/>
    <w:rsid w:val="00216BF5"/>
    <w:rsid w:val="002201F2"/>
    <w:rsid w:val="0022086E"/>
    <w:rsid w:val="00223B49"/>
    <w:rsid w:val="00223D5A"/>
    <w:rsid w:val="00223E02"/>
    <w:rsid w:val="002244B2"/>
    <w:rsid w:val="00224DD4"/>
    <w:rsid w:val="00225816"/>
    <w:rsid w:val="002278A0"/>
    <w:rsid w:val="002309CC"/>
    <w:rsid w:val="00230DB1"/>
    <w:rsid w:val="0023209F"/>
    <w:rsid w:val="002320E0"/>
    <w:rsid w:val="00233C01"/>
    <w:rsid w:val="00233F33"/>
    <w:rsid w:val="0023413C"/>
    <w:rsid w:val="002346F0"/>
    <w:rsid w:val="0023629D"/>
    <w:rsid w:val="00237255"/>
    <w:rsid w:val="002424AF"/>
    <w:rsid w:val="002439DC"/>
    <w:rsid w:val="002441D2"/>
    <w:rsid w:val="00244BEB"/>
    <w:rsid w:val="00244DC8"/>
    <w:rsid w:val="002458BA"/>
    <w:rsid w:val="00245CE9"/>
    <w:rsid w:val="0024636C"/>
    <w:rsid w:val="00247925"/>
    <w:rsid w:val="00251006"/>
    <w:rsid w:val="002524D5"/>
    <w:rsid w:val="0025395D"/>
    <w:rsid w:val="00253B1D"/>
    <w:rsid w:val="002541B7"/>
    <w:rsid w:val="00254BEA"/>
    <w:rsid w:val="00254DCF"/>
    <w:rsid w:val="0025534B"/>
    <w:rsid w:val="002553EC"/>
    <w:rsid w:val="00255BB7"/>
    <w:rsid w:val="00257541"/>
    <w:rsid w:val="00257A39"/>
    <w:rsid w:val="00257AC4"/>
    <w:rsid w:val="002601CB"/>
    <w:rsid w:val="00261EEF"/>
    <w:rsid w:val="00262A1A"/>
    <w:rsid w:val="00262A87"/>
    <w:rsid w:val="002630D8"/>
    <w:rsid w:val="00263BA4"/>
    <w:rsid w:val="00263D8D"/>
    <w:rsid w:val="00264D26"/>
    <w:rsid w:val="00264FEC"/>
    <w:rsid w:val="00266CEE"/>
    <w:rsid w:val="00267642"/>
    <w:rsid w:val="00267AE0"/>
    <w:rsid w:val="00267AEA"/>
    <w:rsid w:val="002700E6"/>
    <w:rsid w:val="00271543"/>
    <w:rsid w:val="0027294B"/>
    <w:rsid w:val="00273B29"/>
    <w:rsid w:val="00273EB4"/>
    <w:rsid w:val="00274682"/>
    <w:rsid w:val="002755FF"/>
    <w:rsid w:val="00275C5A"/>
    <w:rsid w:val="00275E01"/>
    <w:rsid w:val="00276E8A"/>
    <w:rsid w:val="00280E27"/>
    <w:rsid w:val="00280F08"/>
    <w:rsid w:val="00280F92"/>
    <w:rsid w:val="00281014"/>
    <w:rsid w:val="00282246"/>
    <w:rsid w:val="00283E5E"/>
    <w:rsid w:val="00283E8E"/>
    <w:rsid w:val="002841DC"/>
    <w:rsid w:val="002849A9"/>
    <w:rsid w:val="0028665D"/>
    <w:rsid w:val="0029104F"/>
    <w:rsid w:val="002920A6"/>
    <w:rsid w:val="00293567"/>
    <w:rsid w:val="00293837"/>
    <w:rsid w:val="00294002"/>
    <w:rsid w:val="002967F0"/>
    <w:rsid w:val="002A0E9E"/>
    <w:rsid w:val="002A14AB"/>
    <w:rsid w:val="002A2ADE"/>
    <w:rsid w:val="002A2F50"/>
    <w:rsid w:val="002A3D0C"/>
    <w:rsid w:val="002A4A67"/>
    <w:rsid w:val="002A6B1A"/>
    <w:rsid w:val="002B05A1"/>
    <w:rsid w:val="002B09A4"/>
    <w:rsid w:val="002B1082"/>
    <w:rsid w:val="002B1457"/>
    <w:rsid w:val="002B1C1F"/>
    <w:rsid w:val="002B1F27"/>
    <w:rsid w:val="002B34E7"/>
    <w:rsid w:val="002B432F"/>
    <w:rsid w:val="002B4EC3"/>
    <w:rsid w:val="002B5391"/>
    <w:rsid w:val="002B6278"/>
    <w:rsid w:val="002B62B3"/>
    <w:rsid w:val="002B6754"/>
    <w:rsid w:val="002B6CCE"/>
    <w:rsid w:val="002C2510"/>
    <w:rsid w:val="002C2775"/>
    <w:rsid w:val="002C27C1"/>
    <w:rsid w:val="002C2C8F"/>
    <w:rsid w:val="002C3720"/>
    <w:rsid w:val="002C489D"/>
    <w:rsid w:val="002C5099"/>
    <w:rsid w:val="002C5889"/>
    <w:rsid w:val="002C71CE"/>
    <w:rsid w:val="002D08F8"/>
    <w:rsid w:val="002D1C16"/>
    <w:rsid w:val="002D3D03"/>
    <w:rsid w:val="002D577C"/>
    <w:rsid w:val="002E0A96"/>
    <w:rsid w:val="002E1071"/>
    <w:rsid w:val="002E15B9"/>
    <w:rsid w:val="002E2158"/>
    <w:rsid w:val="002E3CB8"/>
    <w:rsid w:val="002E4413"/>
    <w:rsid w:val="002E4F02"/>
    <w:rsid w:val="002E6F94"/>
    <w:rsid w:val="002E7722"/>
    <w:rsid w:val="002F06CA"/>
    <w:rsid w:val="002F07BA"/>
    <w:rsid w:val="002F0D09"/>
    <w:rsid w:val="002F0DA9"/>
    <w:rsid w:val="002F1014"/>
    <w:rsid w:val="002F12DF"/>
    <w:rsid w:val="002F2AD9"/>
    <w:rsid w:val="002F5763"/>
    <w:rsid w:val="002F643C"/>
    <w:rsid w:val="002F71C0"/>
    <w:rsid w:val="002F731E"/>
    <w:rsid w:val="002F74F1"/>
    <w:rsid w:val="002F76A7"/>
    <w:rsid w:val="002F7CBA"/>
    <w:rsid w:val="00301017"/>
    <w:rsid w:val="00301381"/>
    <w:rsid w:val="0030155F"/>
    <w:rsid w:val="0030587B"/>
    <w:rsid w:val="00306D98"/>
    <w:rsid w:val="00307647"/>
    <w:rsid w:val="0030772F"/>
    <w:rsid w:val="0030786C"/>
    <w:rsid w:val="00307DAD"/>
    <w:rsid w:val="0031031A"/>
    <w:rsid w:val="00310981"/>
    <w:rsid w:val="003124D9"/>
    <w:rsid w:val="00312594"/>
    <w:rsid w:val="00312E39"/>
    <w:rsid w:val="00314D48"/>
    <w:rsid w:val="003151C0"/>
    <w:rsid w:val="00315498"/>
    <w:rsid w:val="00316474"/>
    <w:rsid w:val="00316D9A"/>
    <w:rsid w:val="0031716D"/>
    <w:rsid w:val="00317846"/>
    <w:rsid w:val="00322107"/>
    <w:rsid w:val="00322355"/>
    <w:rsid w:val="00322846"/>
    <w:rsid w:val="00322C1E"/>
    <w:rsid w:val="0032660F"/>
    <w:rsid w:val="00326DA7"/>
    <w:rsid w:val="003270E4"/>
    <w:rsid w:val="003306D5"/>
    <w:rsid w:val="00330DAA"/>
    <w:rsid w:val="00330F5C"/>
    <w:rsid w:val="00331A38"/>
    <w:rsid w:val="003366C9"/>
    <w:rsid w:val="003371B0"/>
    <w:rsid w:val="00337A0F"/>
    <w:rsid w:val="00340DF1"/>
    <w:rsid w:val="003439FE"/>
    <w:rsid w:val="00344BA8"/>
    <w:rsid w:val="003517F9"/>
    <w:rsid w:val="00351BA9"/>
    <w:rsid w:val="003536BE"/>
    <w:rsid w:val="003537F3"/>
    <w:rsid w:val="00354C53"/>
    <w:rsid w:val="00354F64"/>
    <w:rsid w:val="0035620E"/>
    <w:rsid w:val="0035662D"/>
    <w:rsid w:val="00356825"/>
    <w:rsid w:val="003572C6"/>
    <w:rsid w:val="00360345"/>
    <w:rsid w:val="00361A05"/>
    <w:rsid w:val="003624C4"/>
    <w:rsid w:val="00362966"/>
    <w:rsid w:val="00363B00"/>
    <w:rsid w:val="003654AC"/>
    <w:rsid w:val="00366BD6"/>
    <w:rsid w:val="00366E8C"/>
    <w:rsid w:val="0036728D"/>
    <w:rsid w:val="003710CF"/>
    <w:rsid w:val="0037358A"/>
    <w:rsid w:val="003750F6"/>
    <w:rsid w:val="00375A5D"/>
    <w:rsid w:val="003760FC"/>
    <w:rsid w:val="00380D2A"/>
    <w:rsid w:val="00381AD8"/>
    <w:rsid w:val="00382677"/>
    <w:rsid w:val="00382FA5"/>
    <w:rsid w:val="0038365C"/>
    <w:rsid w:val="0038369B"/>
    <w:rsid w:val="00383B78"/>
    <w:rsid w:val="00385A9D"/>
    <w:rsid w:val="00385B51"/>
    <w:rsid w:val="0038744C"/>
    <w:rsid w:val="003902B1"/>
    <w:rsid w:val="0039179C"/>
    <w:rsid w:val="00392DC3"/>
    <w:rsid w:val="00393169"/>
    <w:rsid w:val="003936C2"/>
    <w:rsid w:val="00393AEA"/>
    <w:rsid w:val="00394955"/>
    <w:rsid w:val="0039502E"/>
    <w:rsid w:val="00395EF5"/>
    <w:rsid w:val="00396896"/>
    <w:rsid w:val="00396C83"/>
    <w:rsid w:val="00396FD0"/>
    <w:rsid w:val="00397017"/>
    <w:rsid w:val="00397C0A"/>
    <w:rsid w:val="00397C83"/>
    <w:rsid w:val="00397E72"/>
    <w:rsid w:val="00397F5E"/>
    <w:rsid w:val="003A1A7A"/>
    <w:rsid w:val="003A2392"/>
    <w:rsid w:val="003A2831"/>
    <w:rsid w:val="003A2E78"/>
    <w:rsid w:val="003A36FA"/>
    <w:rsid w:val="003A3CB6"/>
    <w:rsid w:val="003A3ED1"/>
    <w:rsid w:val="003A44DB"/>
    <w:rsid w:val="003A5A0A"/>
    <w:rsid w:val="003A6B0D"/>
    <w:rsid w:val="003A6F3D"/>
    <w:rsid w:val="003B25F9"/>
    <w:rsid w:val="003B3971"/>
    <w:rsid w:val="003B3E78"/>
    <w:rsid w:val="003B55D1"/>
    <w:rsid w:val="003B5B61"/>
    <w:rsid w:val="003B5FE7"/>
    <w:rsid w:val="003B6577"/>
    <w:rsid w:val="003C1654"/>
    <w:rsid w:val="003C5542"/>
    <w:rsid w:val="003C7441"/>
    <w:rsid w:val="003C7BE1"/>
    <w:rsid w:val="003C7D19"/>
    <w:rsid w:val="003C7D2F"/>
    <w:rsid w:val="003D03B9"/>
    <w:rsid w:val="003D1828"/>
    <w:rsid w:val="003D1DE4"/>
    <w:rsid w:val="003D1E9A"/>
    <w:rsid w:val="003D2422"/>
    <w:rsid w:val="003D39A1"/>
    <w:rsid w:val="003D3B51"/>
    <w:rsid w:val="003D3FBF"/>
    <w:rsid w:val="003D4A30"/>
    <w:rsid w:val="003D4A3A"/>
    <w:rsid w:val="003D5761"/>
    <w:rsid w:val="003D62F4"/>
    <w:rsid w:val="003D741B"/>
    <w:rsid w:val="003D7452"/>
    <w:rsid w:val="003D79BB"/>
    <w:rsid w:val="003D7C98"/>
    <w:rsid w:val="003D7D9D"/>
    <w:rsid w:val="003E0543"/>
    <w:rsid w:val="003E66E3"/>
    <w:rsid w:val="003E749E"/>
    <w:rsid w:val="003E7BE4"/>
    <w:rsid w:val="003F1C58"/>
    <w:rsid w:val="003F4156"/>
    <w:rsid w:val="003F46F6"/>
    <w:rsid w:val="003F47DE"/>
    <w:rsid w:val="003F5ADF"/>
    <w:rsid w:val="00400B29"/>
    <w:rsid w:val="004011E2"/>
    <w:rsid w:val="00401951"/>
    <w:rsid w:val="00403499"/>
    <w:rsid w:val="00403D12"/>
    <w:rsid w:val="00404808"/>
    <w:rsid w:val="0040504B"/>
    <w:rsid w:val="004050AC"/>
    <w:rsid w:val="004059F4"/>
    <w:rsid w:val="00405F41"/>
    <w:rsid w:val="00407FE5"/>
    <w:rsid w:val="004101B0"/>
    <w:rsid w:val="00410326"/>
    <w:rsid w:val="00410708"/>
    <w:rsid w:val="00410EC7"/>
    <w:rsid w:val="00411499"/>
    <w:rsid w:val="00411765"/>
    <w:rsid w:val="00411B39"/>
    <w:rsid w:val="004127A7"/>
    <w:rsid w:val="00413A1E"/>
    <w:rsid w:val="00414476"/>
    <w:rsid w:val="00414C2E"/>
    <w:rsid w:val="004151CF"/>
    <w:rsid w:val="00416364"/>
    <w:rsid w:val="0041719A"/>
    <w:rsid w:val="0042047F"/>
    <w:rsid w:val="00420AA6"/>
    <w:rsid w:val="00420B9F"/>
    <w:rsid w:val="0042192C"/>
    <w:rsid w:val="004219D2"/>
    <w:rsid w:val="00422260"/>
    <w:rsid w:val="0042353D"/>
    <w:rsid w:val="0042413F"/>
    <w:rsid w:val="004316DD"/>
    <w:rsid w:val="00431915"/>
    <w:rsid w:val="004319F8"/>
    <w:rsid w:val="00431E55"/>
    <w:rsid w:val="004321F6"/>
    <w:rsid w:val="00433044"/>
    <w:rsid w:val="004337E1"/>
    <w:rsid w:val="00434088"/>
    <w:rsid w:val="00434658"/>
    <w:rsid w:val="00434D8C"/>
    <w:rsid w:val="00436E31"/>
    <w:rsid w:val="004375B9"/>
    <w:rsid w:val="004428D0"/>
    <w:rsid w:val="00444185"/>
    <w:rsid w:val="004443A7"/>
    <w:rsid w:val="0044442C"/>
    <w:rsid w:val="00445941"/>
    <w:rsid w:val="004464EB"/>
    <w:rsid w:val="00447D26"/>
    <w:rsid w:val="00447DFC"/>
    <w:rsid w:val="00450456"/>
    <w:rsid w:val="00450B1F"/>
    <w:rsid w:val="0045234A"/>
    <w:rsid w:val="00455D45"/>
    <w:rsid w:val="00457E21"/>
    <w:rsid w:val="004611CB"/>
    <w:rsid w:val="00463E91"/>
    <w:rsid w:val="00464595"/>
    <w:rsid w:val="00465117"/>
    <w:rsid w:val="004658B5"/>
    <w:rsid w:val="00470FF6"/>
    <w:rsid w:val="0047113C"/>
    <w:rsid w:val="00471DCE"/>
    <w:rsid w:val="00471EA5"/>
    <w:rsid w:val="00472A79"/>
    <w:rsid w:val="00472FB7"/>
    <w:rsid w:val="00473D24"/>
    <w:rsid w:val="00473F19"/>
    <w:rsid w:val="00475778"/>
    <w:rsid w:val="00475E22"/>
    <w:rsid w:val="00476DFD"/>
    <w:rsid w:val="004772D0"/>
    <w:rsid w:val="00477AC9"/>
    <w:rsid w:val="0048088E"/>
    <w:rsid w:val="00480961"/>
    <w:rsid w:val="00480F2B"/>
    <w:rsid w:val="00481F8E"/>
    <w:rsid w:val="0048227E"/>
    <w:rsid w:val="00482720"/>
    <w:rsid w:val="004835E7"/>
    <w:rsid w:val="00484DA3"/>
    <w:rsid w:val="004855CF"/>
    <w:rsid w:val="004867E2"/>
    <w:rsid w:val="004907A8"/>
    <w:rsid w:val="00490B17"/>
    <w:rsid w:val="00491111"/>
    <w:rsid w:val="00491B3A"/>
    <w:rsid w:val="00491F8A"/>
    <w:rsid w:val="00492CFD"/>
    <w:rsid w:val="00494207"/>
    <w:rsid w:val="00494BDB"/>
    <w:rsid w:val="00494DD5"/>
    <w:rsid w:val="004962D2"/>
    <w:rsid w:val="004A0084"/>
    <w:rsid w:val="004A0DA1"/>
    <w:rsid w:val="004A13D6"/>
    <w:rsid w:val="004A1B48"/>
    <w:rsid w:val="004A52C5"/>
    <w:rsid w:val="004A52E9"/>
    <w:rsid w:val="004A6040"/>
    <w:rsid w:val="004A6597"/>
    <w:rsid w:val="004A7298"/>
    <w:rsid w:val="004A7848"/>
    <w:rsid w:val="004A7A70"/>
    <w:rsid w:val="004B0DC7"/>
    <w:rsid w:val="004B1CB4"/>
    <w:rsid w:val="004B2F10"/>
    <w:rsid w:val="004B2F18"/>
    <w:rsid w:val="004B3DDB"/>
    <w:rsid w:val="004B44FD"/>
    <w:rsid w:val="004B5174"/>
    <w:rsid w:val="004B5CFC"/>
    <w:rsid w:val="004B6F79"/>
    <w:rsid w:val="004B774D"/>
    <w:rsid w:val="004C0920"/>
    <w:rsid w:val="004C3270"/>
    <w:rsid w:val="004C4AED"/>
    <w:rsid w:val="004C644D"/>
    <w:rsid w:val="004C6C58"/>
    <w:rsid w:val="004D2C2D"/>
    <w:rsid w:val="004D69B5"/>
    <w:rsid w:val="004D7227"/>
    <w:rsid w:val="004E0E7F"/>
    <w:rsid w:val="004E0EB8"/>
    <w:rsid w:val="004E18E9"/>
    <w:rsid w:val="004E241A"/>
    <w:rsid w:val="004E288B"/>
    <w:rsid w:val="004E2ADC"/>
    <w:rsid w:val="004E43B2"/>
    <w:rsid w:val="004E6381"/>
    <w:rsid w:val="004E680A"/>
    <w:rsid w:val="004F0BFB"/>
    <w:rsid w:val="004F128D"/>
    <w:rsid w:val="004F16B4"/>
    <w:rsid w:val="004F1D02"/>
    <w:rsid w:val="004F2679"/>
    <w:rsid w:val="004F2AA4"/>
    <w:rsid w:val="004F2F21"/>
    <w:rsid w:val="004F3263"/>
    <w:rsid w:val="004F3D6F"/>
    <w:rsid w:val="004F3DE5"/>
    <w:rsid w:val="004F6913"/>
    <w:rsid w:val="004F7865"/>
    <w:rsid w:val="00500D24"/>
    <w:rsid w:val="0050174E"/>
    <w:rsid w:val="00501854"/>
    <w:rsid w:val="00501BB7"/>
    <w:rsid w:val="0050219B"/>
    <w:rsid w:val="0050312C"/>
    <w:rsid w:val="00503F17"/>
    <w:rsid w:val="005042D1"/>
    <w:rsid w:val="00506928"/>
    <w:rsid w:val="005077EF"/>
    <w:rsid w:val="005106A8"/>
    <w:rsid w:val="00511AD5"/>
    <w:rsid w:val="00511DC7"/>
    <w:rsid w:val="005133B9"/>
    <w:rsid w:val="005136D8"/>
    <w:rsid w:val="005142C5"/>
    <w:rsid w:val="0051501B"/>
    <w:rsid w:val="005152B5"/>
    <w:rsid w:val="005167A3"/>
    <w:rsid w:val="00516B5F"/>
    <w:rsid w:val="0052123C"/>
    <w:rsid w:val="00521319"/>
    <w:rsid w:val="00522BC8"/>
    <w:rsid w:val="00523C28"/>
    <w:rsid w:val="00524179"/>
    <w:rsid w:val="00530431"/>
    <w:rsid w:val="0053176B"/>
    <w:rsid w:val="00534FC3"/>
    <w:rsid w:val="005352B6"/>
    <w:rsid w:val="00536491"/>
    <w:rsid w:val="00536F42"/>
    <w:rsid w:val="00537182"/>
    <w:rsid w:val="005418F5"/>
    <w:rsid w:val="00541E10"/>
    <w:rsid w:val="00541EDD"/>
    <w:rsid w:val="00542743"/>
    <w:rsid w:val="00542C2D"/>
    <w:rsid w:val="00546406"/>
    <w:rsid w:val="005478BD"/>
    <w:rsid w:val="005479E3"/>
    <w:rsid w:val="00550103"/>
    <w:rsid w:val="005510BB"/>
    <w:rsid w:val="00551193"/>
    <w:rsid w:val="00551985"/>
    <w:rsid w:val="00552BD3"/>
    <w:rsid w:val="005532A0"/>
    <w:rsid w:val="00555109"/>
    <w:rsid w:val="00556B35"/>
    <w:rsid w:val="00557102"/>
    <w:rsid w:val="0055741A"/>
    <w:rsid w:val="00557859"/>
    <w:rsid w:val="00557D85"/>
    <w:rsid w:val="005611B7"/>
    <w:rsid w:val="005618D4"/>
    <w:rsid w:val="00561DDB"/>
    <w:rsid w:val="005625EB"/>
    <w:rsid w:val="005649FB"/>
    <w:rsid w:val="00565DF0"/>
    <w:rsid w:val="0056696F"/>
    <w:rsid w:val="00572269"/>
    <w:rsid w:val="0057244A"/>
    <w:rsid w:val="00572F26"/>
    <w:rsid w:val="005750C5"/>
    <w:rsid w:val="005752DE"/>
    <w:rsid w:val="00575D8D"/>
    <w:rsid w:val="00576972"/>
    <w:rsid w:val="0057697C"/>
    <w:rsid w:val="00580757"/>
    <w:rsid w:val="005809ED"/>
    <w:rsid w:val="00580D08"/>
    <w:rsid w:val="005816CD"/>
    <w:rsid w:val="0058308C"/>
    <w:rsid w:val="00583699"/>
    <w:rsid w:val="005845BB"/>
    <w:rsid w:val="00585CDD"/>
    <w:rsid w:val="0058692C"/>
    <w:rsid w:val="00587058"/>
    <w:rsid w:val="00591957"/>
    <w:rsid w:val="005921E9"/>
    <w:rsid w:val="0059351B"/>
    <w:rsid w:val="005967E5"/>
    <w:rsid w:val="00597BF9"/>
    <w:rsid w:val="005A1C49"/>
    <w:rsid w:val="005A309A"/>
    <w:rsid w:val="005A373D"/>
    <w:rsid w:val="005A5692"/>
    <w:rsid w:val="005B03C2"/>
    <w:rsid w:val="005B0B58"/>
    <w:rsid w:val="005B2F57"/>
    <w:rsid w:val="005B34B5"/>
    <w:rsid w:val="005B426F"/>
    <w:rsid w:val="005B4E53"/>
    <w:rsid w:val="005B5857"/>
    <w:rsid w:val="005B5A2C"/>
    <w:rsid w:val="005C1B83"/>
    <w:rsid w:val="005C25FF"/>
    <w:rsid w:val="005C2D55"/>
    <w:rsid w:val="005C346B"/>
    <w:rsid w:val="005D044D"/>
    <w:rsid w:val="005D0ABD"/>
    <w:rsid w:val="005D18AD"/>
    <w:rsid w:val="005D26B4"/>
    <w:rsid w:val="005D2DA7"/>
    <w:rsid w:val="005D3D18"/>
    <w:rsid w:val="005D3D4E"/>
    <w:rsid w:val="005E0297"/>
    <w:rsid w:val="005E10E6"/>
    <w:rsid w:val="005E3F23"/>
    <w:rsid w:val="005E6CBC"/>
    <w:rsid w:val="005E72FF"/>
    <w:rsid w:val="005E73C0"/>
    <w:rsid w:val="005F0CD0"/>
    <w:rsid w:val="005F1C74"/>
    <w:rsid w:val="005F2706"/>
    <w:rsid w:val="005F339C"/>
    <w:rsid w:val="005F376F"/>
    <w:rsid w:val="005F3BC6"/>
    <w:rsid w:val="005F4386"/>
    <w:rsid w:val="005F6A8F"/>
    <w:rsid w:val="005F6BB7"/>
    <w:rsid w:val="005F7588"/>
    <w:rsid w:val="00600BAE"/>
    <w:rsid w:val="00600BFF"/>
    <w:rsid w:val="0060137D"/>
    <w:rsid w:val="00603DB9"/>
    <w:rsid w:val="00604B55"/>
    <w:rsid w:val="0060534D"/>
    <w:rsid w:val="00606AB2"/>
    <w:rsid w:val="00606FBA"/>
    <w:rsid w:val="00607669"/>
    <w:rsid w:val="006076F4"/>
    <w:rsid w:val="00607AFD"/>
    <w:rsid w:val="006101B4"/>
    <w:rsid w:val="00612F97"/>
    <w:rsid w:val="0061345D"/>
    <w:rsid w:val="0061549B"/>
    <w:rsid w:val="00616802"/>
    <w:rsid w:val="00617E12"/>
    <w:rsid w:val="00620330"/>
    <w:rsid w:val="00620C25"/>
    <w:rsid w:val="00621477"/>
    <w:rsid w:val="00621ADA"/>
    <w:rsid w:val="00623F7B"/>
    <w:rsid w:val="00631211"/>
    <w:rsid w:val="0063158F"/>
    <w:rsid w:val="00631D6B"/>
    <w:rsid w:val="00632183"/>
    <w:rsid w:val="00632A12"/>
    <w:rsid w:val="006330A1"/>
    <w:rsid w:val="00633FB3"/>
    <w:rsid w:val="0063479F"/>
    <w:rsid w:val="006353F0"/>
    <w:rsid w:val="006357B5"/>
    <w:rsid w:val="006363FD"/>
    <w:rsid w:val="006364A1"/>
    <w:rsid w:val="0063678E"/>
    <w:rsid w:val="00637BFD"/>
    <w:rsid w:val="00637E16"/>
    <w:rsid w:val="00640EEB"/>
    <w:rsid w:val="00641951"/>
    <w:rsid w:val="00641C4E"/>
    <w:rsid w:val="00641FB3"/>
    <w:rsid w:val="00643754"/>
    <w:rsid w:val="00643B25"/>
    <w:rsid w:val="0064434C"/>
    <w:rsid w:val="0064628F"/>
    <w:rsid w:val="00646511"/>
    <w:rsid w:val="006471CC"/>
    <w:rsid w:val="00647A29"/>
    <w:rsid w:val="00647CB6"/>
    <w:rsid w:val="0065079F"/>
    <w:rsid w:val="00652A28"/>
    <w:rsid w:val="0065379F"/>
    <w:rsid w:val="0065456F"/>
    <w:rsid w:val="00655839"/>
    <w:rsid w:val="00656188"/>
    <w:rsid w:val="0065715A"/>
    <w:rsid w:val="006574F1"/>
    <w:rsid w:val="006610F1"/>
    <w:rsid w:val="00661C6B"/>
    <w:rsid w:val="00662F26"/>
    <w:rsid w:val="00667A19"/>
    <w:rsid w:val="00671004"/>
    <w:rsid w:val="00672570"/>
    <w:rsid w:val="00672646"/>
    <w:rsid w:val="00674E42"/>
    <w:rsid w:val="0067700C"/>
    <w:rsid w:val="00677CF4"/>
    <w:rsid w:val="00677F5F"/>
    <w:rsid w:val="006813F8"/>
    <w:rsid w:val="00682112"/>
    <w:rsid w:val="00682BA6"/>
    <w:rsid w:val="00683691"/>
    <w:rsid w:val="00684F20"/>
    <w:rsid w:val="00686957"/>
    <w:rsid w:val="006872BA"/>
    <w:rsid w:val="00687394"/>
    <w:rsid w:val="00690795"/>
    <w:rsid w:val="00690A45"/>
    <w:rsid w:val="006911A2"/>
    <w:rsid w:val="00691648"/>
    <w:rsid w:val="006917D7"/>
    <w:rsid w:val="0069434C"/>
    <w:rsid w:val="00694F44"/>
    <w:rsid w:val="00696F51"/>
    <w:rsid w:val="006979A5"/>
    <w:rsid w:val="006A0871"/>
    <w:rsid w:val="006A1D0D"/>
    <w:rsid w:val="006A292C"/>
    <w:rsid w:val="006A578D"/>
    <w:rsid w:val="006A61F2"/>
    <w:rsid w:val="006A6B99"/>
    <w:rsid w:val="006A7E5F"/>
    <w:rsid w:val="006B137E"/>
    <w:rsid w:val="006B16AD"/>
    <w:rsid w:val="006B261B"/>
    <w:rsid w:val="006B2C90"/>
    <w:rsid w:val="006B35E6"/>
    <w:rsid w:val="006B4573"/>
    <w:rsid w:val="006B465A"/>
    <w:rsid w:val="006B696B"/>
    <w:rsid w:val="006B6DD0"/>
    <w:rsid w:val="006B79B6"/>
    <w:rsid w:val="006B7C37"/>
    <w:rsid w:val="006C0399"/>
    <w:rsid w:val="006C1A5A"/>
    <w:rsid w:val="006C1F5D"/>
    <w:rsid w:val="006C2A8E"/>
    <w:rsid w:val="006C3255"/>
    <w:rsid w:val="006C3DBD"/>
    <w:rsid w:val="006C3F26"/>
    <w:rsid w:val="006C4965"/>
    <w:rsid w:val="006C51D0"/>
    <w:rsid w:val="006C5EEA"/>
    <w:rsid w:val="006C640D"/>
    <w:rsid w:val="006D0D17"/>
    <w:rsid w:val="006D3C7D"/>
    <w:rsid w:val="006D3FA5"/>
    <w:rsid w:val="006D4659"/>
    <w:rsid w:val="006D5BA5"/>
    <w:rsid w:val="006D5D5F"/>
    <w:rsid w:val="006D6183"/>
    <w:rsid w:val="006D68FB"/>
    <w:rsid w:val="006E1557"/>
    <w:rsid w:val="006E19C5"/>
    <w:rsid w:val="006E22FB"/>
    <w:rsid w:val="006E2868"/>
    <w:rsid w:val="006E28DB"/>
    <w:rsid w:val="006E5DDC"/>
    <w:rsid w:val="006F1E8F"/>
    <w:rsid w:val="006F306C"/>
    <w:rsid w:val="006F32F1"/>
    <w:rsid w:val="006F4694"/>
    <w:rsid w:val="006F4CB8"/>
    <w:rsid w:val="006F63A5"/>
    <w:rsid w:val="006F6F19"/>
    <w:rsid w:val="007009A1"/>
    <w:rsid w:val="0070142B"/>
    <w:rsid w:val="0070276E"/>
    <w:rsid w:val="00702F8F"/>
    <w:rsid w:val="00703D96"/>
    <w:rsid w:val="00704064"/>
    <w:rsid w:val="007079FC"/>
    <w:rsid w:val="00710BA4"/>
    <w:rsid w:val="00711A36"/>
    <w:rsid w:val="00711B01"/>
    <w:rsid w:val="007125A0"/>
    <w:rsid w:val="007125F2"/>
    <w:rsid w:val="00713722"/>
    <w:rsid w:val="00714C26"/>
    <w:rsid w:val="0071529C"/>
    <w:rsid w:val="007161C6"/>
    <w:rsid w:val="00717025"/>
    <w:rsid w:val="007170DA"/>
    <w:rsid w:val="007172AD"/>
    <w:rsid w:val="0072001B"/>
    <w:rsid w:val="00720801"/>
    <w:rsid w:val="007210C6"/>
    <w:rsid w:val="00721430"/>
    <w:rsid w:val="007222BB"/>
    <w:rsid w:val="00722B1B"/>
    <w:rsid w:val="00723C84"/>
    <w:rsid w:val="0072416F"/>
    <w:rsid w:val="0072427B"/>
    <w:rsid w:val="00727C94"/>
    <w:rsid w:val="00731B0A"/>
    <w:rsid w:val="00731EAE"/>
    <w:rsid w:val="00733073"/>
    <w:rsid w:val="00733575"/>
    <w:rsid w:val="00733682"/>
    <w:rsid w:val="00735033"/>
    <w:rsid w:val="00735328"/>
    <w:rsid w:val="0073685B"/>
    <w:rsid w:val="00740023"/>
    <w:rsid w:val="00741184"/>
    <w:rsid w:val="00743EF8"/>
    <w:rsid w:val="007449BF"/>
    <w:rsid w:val="00746BC0"/>
    <w:rsid w:val="00750285"/>
    <w:rsid w:val="007510B4"/>
    <w:rsid w:val="00751BDB"/>
    <w:rsid w:val="00752142"/>
    <w:rsid w:val="007523F9"/>
    <w:rsid w:val="0075338A"/>
    <w:rsid w:val="007534EE"/>
    <w:rsid w:val="0075357E"/>
    <w:rsid w:val="00756CC5"/>
    <w:rsid w:val="00757141"/>
    <w:rsid w:val="007573E8"/>
    <w:rsid w:val="007604B9"/>
    <w:rsid w:val="00760C4E"/>
    <w:rsid w:val="00760F9E"/>
    <w:rsid w:val="007627BE"/>
    <w:rsid w:val="00763362"/>
    <w:rsid w:val="00764F03"/>
    <w:rsid w:val="00765B1A"/>
    <w:rsid w:val="007663B9"/>
    <w:rsid w:val="007667BD"/>
    <w:rsid w:val="0076760E"/>
    <w:rsid w:val="007720C7"/>
    <w:rsid w:val="007723DF"/>
    <w:rsid w:val="00772B3D"/>
    <w:rsid w:val="00777335"/>
    <w:rsid w:val="007834EC"/>
    <w:rsid w:val="00783A02"/>
    <w:rsid w:val="007843F2"/>
    <w:rsid w:val="00784A50"/>
    <w:rsid w:val="00785613"/>
    <w:rsid w:val="007856CA"/>
    <w:rsid w:val="00785A9F"/>
    <w:rsid w:val="007925DF"/>
    <w:rsid w:val="0079285F"/>
    <w:rsid w:val="00794C60"/>
    <w:rsid w:val="00794F65"/>
    <w:rsid w:val="00796EE8"/>
    <w:rsid w:val="007A08AA"/>
    <w:rsid w:val="007A09E2"/>
    <w:rsid w:val="007A0A12"/>
    <w:rsid w:val="007A132D"/>
    <w:rsid w:val="007A1345"/>
    <w:rsid w:val="007A2B03"/>
    <w:rsid w:val="007A2DDB"/>
    <w:rsid w:val="007A6484"/>
    <w:rsid w:val="007A70BA"/>
    <w:rsid w:val="007B0D68"/>
    <w:rsid w:val="007B0E9E"/>
    <w:rsid w:val="007B0ECA"/>
    <w:rsid w:val="007B0F05"/>
    <w:rsid w:val="007B251D"/>
    <w:rsid w:val="007B2CBD"/>
    <w:rsid w:val="007B310C"/>
    <w:rsid w:val="007B37D3"/>
    <w:rsid w:val="007B4A33"/>
    <w:rsid w:val="007B4F58"/>
    <w:rsid w:val="007B528D"/>
    <w:rsid w:val="007B63CA"/>
    <w:rsid w:val="007B65BE"/>
    <w:rsid w:val="007B77D1"/>
    <w:rsid w:val="007C07C7"/>
    <w:rsid w:val="007C1CD9"/>
    <w:rsid w:val="007C32EF"/>
    <w:rsid w:val="007C361D"/>
    <w:rsid w:val="007C4854"/>
    <w:rsid w:val="007C4B84"/>
    <w:rsid w:val="007C4ECF"/>
    <w:rsid w:val="007C507E"/>
    <w:rsid w:val="007C5EED"/>
    <w:rsid w:val="007C6172"/>
    <w:rsid w:val="007C651D"/>
    <w:rsid w:val="007C70FF"/>
    <w:rsid w:val="007C7C25"/>
    <w:rsid w:val="007D004F"/>
    <w:rsid w:val="007D0B38"/>
    <w:rsid w:val="007D2BF1"/>
    <w:rsid w:val="007D5440"/>
    <w:rsid w:val="007D54A4"/>
    <w:rsid w:val="007D69EB"/>
    <w:rsid w:val="007E128F"/>
    <w:rsid w:val="007E2DD0"/>
    <w:rsid w:val="007E3616"/>
    <w:rsid w:val="007E7737"/>
    <w:rsid w:val="007F1017"/>
    <w:rsid w:val="007F161A"/>
    <w:rsid w:val="007F4A3F"/>
    <w:rsid w:val="007F4A61"/>
    <w:rsid w:val="007F5255"/>
    <w:rsid w:val="007F56CC"/>
    <w:rsid w:val="007F5D97"/>
    <w:rsid w:val="007F61C2"/>
    <w:rsid w:val="007F65B0"/>
    <w:rsid w:val="007F6E7E"/>
    <w:rsid w:val="00803C5C"/>
    <w:rsid w:val="0080498B"/>
    <w:rsid w:val="00805142"/>
    <w:rsid w:val="00805A4D"/>
    <w:rsid w:val="00805FCE"/>
    <w:rsid w:val="0080771E"/>
    <w:rsid w:val="00807A8B"/>
    <w:rsid w:val="008106B4"/>
    <w:rsid w:val="00811383"/>
    <w:rsid w:val="00812149"/>
    <w:rsid w:val="00812CAC"/>
    <w:rsid w:val="00814E8B"/>
    <w:rsid w:val="0081555B"/>
    <w:rsid w:val="00816361"/>
    <w:rsid w:val="008166EF"/>
    <w:rsid w:val="00816FEF"/>
    <w:rsid w:val="008170C0"/>
    <w:rsid w:val="00817804"/>
    <w:rsid w:val="00820A8C"/>
    <w:rsid w:val="0082114B"/>
    <w:rsid w:val="008215FB"/>
    <w:rsid w:val="00823174"/>
    <w:rsid w:val="00823326"/>
    <w:rsid w:val="00825521"/>
    <w:rsid w:val="00825751"/>
    <w:rsid w:val="008264EB"/>
    <w:rsid w:val="00827578"/>
    <w:rsid w:val="00832438"/>
    <w:rsid w:val="00832C71"/>
    <w:rsid w:val="00832DF6"/>
    <w:rsid w:val="00833137"/>
    <w:rsid w:val="00833B05"/>
    <w:rsid w:val="00835C44"/>
    <w:rsid w:val="008362B4"/>
    <w:rsid w:val="00840CA2"/>
    <w:rsid w:val="00842503"/>
    <w:rsid w:val="0084374F"/>
    <w:rsid w:val="00843D24"/>
    <w:rsid w:val="00844642"/>
    <w:rsid w:val="00844A22"/>
    <w:rsid w:val="0084559A"/>
    <w:rsid w:val="00846C68"/>
    <w:rsid w:val="00847703"/>
    <w:rsid w:val="00847DF5"/>
    <w:rsid w:val="00851743"/>
    <w:rsid w:val="0085261F"/>
    <w:rsid w:val="008528A4"/>
    <w:rsid w:val="0085309D"/>
    <w:rsid w:val="00856744"/>
    <w:rsid w:val="00856897"/>
    <w:rsid w:val="00856DE8"/>
    <w:rsid w:val="00856E5B"/>
    <w:rsid w:val="00856E9A"/>
    <w:rsid w:val="0086075D"/>
    <w:rsid w:val="008621F4"/>
    <w:rsid w:val="00862502"/>
    <w:rsid w:val="00862CC1"/>
    <w:rsid w:val="008660B7"/>
    <w:rsid w:val="008660D4"/>
    <w:rsid w:val="008667A9"/>
    <w:rsid w:val="0087042E"/>
    <w:rsid w:val="00870762"/>
    <w:rsid w:val="00871FA9"/>
    <w:rsid w:val="008728E9"/>
    <w:rsid w:val="008731DC"/>
    <w:rsid w:val="00873721"/>
    <w:rsid w:val="00873EAE"/>
    <w:rsid w:val="008748A8"/>
    <w:rsid w:val="00876E82"/>
    <w:rsid w:val="008805C2"/>
    <w:rsid w:val="00880B50"/>
    <w:rsid w:val="00880CE9"/>
    <w:rsid w:val="00882874"/>
    <w:rsid w:val="00882E3C"/>
    <w:rsid w:val="00883244"/>
    <w:rsid w:val="00883787"/>
    <w:rsid w:val="00884540"/>
    <w:rsid w:val="008855E4"/>
    <w:rsid w:val="00886CD2"/>
    <w:rsid w:val="00887B52"/>
    <w:rsid w:val="0089080B"/>
    <w:rsid w:val="008909AE"/>
    <w:rsid w:val="00891597"/>
    <w:rsid w:val="00891E6F"/>
    <w:rsid w:val="0089275D"/>
    <w:rsid w:val="00892A36"/>
    <w:rsid w:val="00893239"/>
    <w:rsid w:val="00894489"/>
    <w:rsid w:val="0089518E"/>
    <w:rsid w:val="008963A5"/>
    <w:rsid w:val="00896D5D"/>
    <w:rsid w:val="008977A5"/>
    <w:rsid w:val="00897A1A"/>
    <w:rsid w:val="008A19B9"/>
    <w:rsid w:val="008A230B"/>
    <w:rsid w:val="008A3363"/>
    <w:rsid w:val="008A3371"/>
    <w:rsid w:val="008A3BA0"/>
    <w:rsid w:val="008A3C3E"/>
    <w:rsid w:val="008A412E"/>
    <w:rsid w:val="008A41AC"/>
    <w:rsid w:val="008A5067"/>
    <w:rsid w:val="008A58B5"/>
    <w:rsid w:val="008A5995"/>
    <w:rsid w:val="008A5AA8"/>
    <w:rsid w:val="008A71D4"/>
    <w:rsid w:val="008A79DE"/>
    <w:rsid w:val="008B0BAB"/>
    <w:rsid w:val="008B1757"/>
    <w:rsid w:val="008B1CE8"/>
    <w:rsid w:val="008B5B18"/>
    <w:rsid w:val="008B6B98"/>
    <w:rsid w:val="008B7992"/>
    <w:rsid w:val="008B7D07"/>
    <w:rsid w:val="008B7D7E"/>
    <w:rsid w:val="008C15F3"/>
    <w:rsid w:val="008C1D7A"/>
    <w:rsid w:val="008C2B8D"/>
    <w:rsid w:val="008C52D7"/>
    <w:rsid w:val="008C5610"/>
    <w:rsid w:val="008C5739"/>
    <w:rsid w:val="008C5D2D"/>
    <w:rsid w:val="008C6B24"/>
    <w:rsid w:val="008C7ECB"/>
    <w:rsid w:val="008D3B86"/>
    <w:rsid w:val="008D4521"/>
    <w:rsid w:val="008D4755"/>
    <w:rsid w:val="008D4C3D"/>
    <w:rsid w:val="008D6CD1"/>
    <w:rsid w:val="008D743C"/>
    <w:rsid w:val="008D7A88"/>
    <w:rsid w:val="008D7BF2"/>
    <w:rsid w:val="008E049D"/>
    <w:rsid w:val="008E0D3C"/>
    <w:rsid w:val="008E1B9E"/>
    <w:rsid w:val="008E55AB"/>
    <w:rsid w:val="008E6A33"/>
    <w:rsid w:val="008F120A"/>
    <w:rsid w:val="008F27E0"/>
    <w:rsid w:val="008F48EB"/>
    <w:rsid w:val="008F4F0B"/>
    <w:rsid w:val="009000BE"/>
    <w:rsid w:val="009046C4"/>
    <w:rsid w:val="00905003"/>
    <w:rsid w:val="009062A5"/>
    <w:rsid w:val="009076D1"/>
    <w:rsid w:val="00910FA7"/>
    <w:rsid w:val="00911272"/>
    <w:rsid w:val="009135D6"/>
    <w:rsid w:val="00914C77"/>
    <w:rsid w:val="00917844"/>
    <w:rsid w:val="00920625"/>
    <w:rsid w:val="009216D6"/>
    <w:rsid w:val="00921ACB"/>
    <w:rsid w:val="00922EA5"/>
    <w:rsid w:val="0092369B"/>
    <w:rsid w:val="00926A80"/>
    <w:rsid w:val="00927067"/>
    <w:rsid w:val="0093386C"/>
    <w:rsid w:val="00933891"/>
    <w:rsid w:val="00934988"/>
    <w:rsid w:val="00934A17"/>
    <w:rsid w:val="00937089"/>
    <w:rsid w:val="00937107"/>
    <w:rsid w:val="00937BBA"/>
    <w:rsid w:val="00944F8A"/>
    <w:rsid w:val="00950DD9"/>
    <w:rsid w:val="00950DE6"/>
    <w:rsid w:val="009510A2"/>
    <w:rsid w:val="00952DB9"/>
    <w:rsid w:val="00953257"/>
    <w:rsid w:val="0095474C"/>
    <w:rsid w:val="009552F4"/>
    <w:rsid w:val="00956594"/>
    <w:rsid w:val="00957709"/>
    <w:rsid w:val="0096293F"/>
    <w:rsid w:val="00962CB9"/>
    <w:rsid w:val="00962F0E"/>
    <w:rsid w:val="00964312"/>
    <w:rsid w:val="00965B8A"/>
    <w:rsid w:val="0097071F"/>
    <w:rsid w:val="009717AC"/>
    <w:rsid w:val="00973CEF"/>
    <w:rsid w:val="0097430B"/>
    <w:rsid w:val="0097487D"/>
    <w:rsid w:val="00974D46"/>
    <w:rsid w:val="009750A2"/>
    <w:rsid w:val="009751C1"/>
    <w:rsid w:val="00980306"/>
    <w:rsid w:val="00981196"/>
    <w:rsid w:val="009811F1"/>
    <w:rsid w:val="00983E57"/>
    <w:rsid w:val="00985DE2"/>
    <w:rsid w:val="00985E9C"/>
    <w:rsid w:val="009863FF"/>
    <w:rsid w:val="0098675D"/>
    <w:rsid w:val="00990AC3"/>
    <w:rsid w:val="009926E0"/>
    <w:rsid w:val="0099451E"/>
    <w:rsid w:val="00996B1A"/>
    <w:rsid w:val="009A083F"/>
    <w:rsid w:val="009A1CD2"/>
    <w:rsid w:val="009A2DCC"/>
    <w:rsid w:val="009A37C5"/>
    <w:rsid w:val="009A5ABC"/>
    <w:rsid w:val="009A68A9"/>
    <w:rsid w:val="009A7D93"/>
    <w:rsid w:val="009A7F10"/>
    <w:rsid w:val="009A7F9D"/>
    <w:rsid w:val="009B053F"/>
    <w:rsid w:val="009B0B8E"/>
    <w:rsid w:val="009B29B1"/>
    <w:rsid w:val="009B37B3"/>
    <w:rsid w:val="009B3BFD"/>
    <w:rsid w:val="009B3E26"/>
    <w:rsid w:val="009B42C5"/>
    <w:rsid w:val="009C0B4B"/>
    <w:rsid w:val="009C3706"/>
    <w:rsid w:val="009C3A3A"/>
    <w:rsid w:val="009C6CEA"/>
    <w:rsid w:val="009C6FB5"/>
    <w:rsid w:val="009C7B85"/>
    <w:rsid w:val="009D00EB"/>
    <w:rsid w:val="009D0254"/>
    <w:rsid w:val="009D1A64"/>
    <w:rsid w:val="009D376D"/>
    <w:rsid w:val="009D5B91"/>
    <w:rsid w:val="009D6BA8"/>
    <w:rsid w:val="009D71ED"/>
    <w:rsid w:val="009D792E"/>
    <w:rsid w:val="009D7A31"/>
    <w:rsid w:val="009E00EC"/>
    <w:rsid w:val="009E0369"/>
    <w:rsid w:val="009E04CD"/>
    <w:rsid w:val="009E0890"/>
    <w:rsid w:val="009E0DFE"/>
    <w:rsid w:val="009E1507"/>
    <w:rsid w:val="009E226B"/>
    <w:rsid w:val="009E31F6"/>
    <w:rsid w:val="009E37A6"/>
    <w:rsid w:val="009E4C07"/>
    <w:rsid w:val="009E60E7"/>
    <w:rsid w:val="009F594B"/>
    <w:rsid w:val="009F684F"/>
    <w:rsid w:val="009F6B19"/>
    <w:rsid w:val="00A00A6D"/>
    <w:rsid w:val="00A01184"/>
    <w:rsid w:val="00A031A2"/>
    <w:rsid w:val="00A037C2"/>
    <w:rsid w:val="00A03D43"/>
    <w:rsid w:val="00A04380"/>
    <w:rsid w:val="00A048D2"/>
    <w:rsid w:val="00A04C13"/>
    <w:rsid w:val="00A05472"/>
    <w:rsid w:val="00A05C32"/>
    <w:rsid w:val="00A0653F"/>
    <w:rsid w:val="00A06EF8"/>
    <w:rsid w:val="00A077FC"/>
    <w:rsid w:val="00A10969"/>
    <w:rsid w:val="00A11CD0"/>
    <w:rsid w:val="00A12E0E"/>
    <w:rsid w:val="00A13948"/>
    <w:rsid w:val="00A1555B"/>
    <w:rsid w:val="00A155C5"/>
    <w:rsid w:val="00A15BEC"/>
    <w:rsid w:val="00A15EE5"/>
    <w:rsid w:val="00A16AD8"/>
    <w:rsid w:val="00A20058"/>
    <w:rsid w:val="00A21B32"/>
    <w:rsid w:val="00A21C95"/>
    <w:rsid w:val="00A21CF3"/>
    <w:rsid w:val="00A23A5C"/>
    <w:rsid w:val="00A23C1C"/>
    <w:rsid w:val="00A24813"/>
    <w:rsid w:val="00A26ABE"/>
    <w:rsid w:val="00A277C4"/>
    <w:rsid w:val="00A27AEC"/>
    <w:rsid w:val="00A27DBE"/>
    <w:rsid w:val="00A30FFA"/>
    <w:rsid w:val="00A3113F"/>
    <w:rsid w:val="00A320DB"/>
    <w:rsid w:val="00A3494A"/>
    <w:rsid w:val="00A350AB"/>
    <w:rsid w:val="00A35D16"/>
    <w:rsid w:val="00A37BCD"/>
    <w:rsid w:val="00A37DD9"/>
    <w:rsid w:val="00A4017B"/>
    <w:rsid w:val="00A4159D"/>
    <w:rsid w:val="00A41689"/>
    <w:rsid w:val="00A42592"/>
    <w:rsid w:val="00A428AC"/>
    <w:rsid w:val="00A43C59"/>
    <w:rsid w:val="00A50ECD"/>
    <w:rsid w:val="00A518F3"/>
    <w:rsid w:val="00A52729"/>
    <w:rsid w:val="00A53675"/>
    <w:rsid w:val="00A564D7"/>
    <w:rsid w:val="00A567AF"/>
    <w:rsid w:val="00A56B6A"/>
    <w:rsid w:val="00A578DC"/>
    <w:rsid w:val="00A612A6"/>
    <w:rsid w:val="00A640E2"/>
    <w:rsid w:val="00A64D65"/>
    <w:rsid w:val="00A66A74"/>
    <w:rsid w:val="00A66D3E"/>
    <w:rsid w:val="00A6725B"/>
    <w:rsid w:val="00A70605"/>
    <w:rsid w:val="00A7094D"/>
    <w:rsid w:val="00A715FE"/>
    <w:rsid w:val="00A73134"/>
    <w:rsid w:val="00A73745"/>
    <w:rsid w:val="00A73826"/>
    <w:rsid w:val="00A74AA4"/>
    <w:rsid w:val="00A754C6"/>
    <w:rsid w:val="00A76001"/>
    <w:rsid w:val="00A760B3"/>
    <w:rsid w:val="00A777B2"/>
    <w:rsid w:val="00A77D55"/>
    <w:rsid w:val="00A80577"/>
    <w:rsid w:val="00A80D1F"/>
    <w:rsid w:val="00A817AA"/>
    <w:rsid w:val="00A82521"/>
    <w:rsid w:val="00A825D4"/>
    <w:rsid w:val="00A828F6"/>
    <w:rsid w:val="00A82B73"/>
    <w:rsid w:val="00A86E8B"/>
    <w:rsid w:val="00A87164"/>
    <w:rsid w:val="00A87A21"/>
    <w:rsid w:val="00A9167B"/>
    <w:rsid w:val="00A93072"/>
    <w:rsid w:val="00A938BD"/>
    <w:rsid w:val="00A93953"/>
    <w:rsid w:val="00A944BE"/>
    <w:rsid w:val="00A959D8"/>
    <w:rsid w:val="00AA113D"/>
    <w:rsid w:val="00AA2E8A"/>
    <w:rsid w:val="00AA2FB9"/>
    <w:rsid w:val="00AA4D65"/>
    <w:rsid w:val="00AA6BD5"/>
    <w:rsid w:val="00AA6BD8"/>
    <w:rsid w:val="00AA6C7D"/>
    <w:rsid w:val="00AA7FD6"/>
    <w:rsid w:val="00AB042A"/>
    <w:rsid w:val="00AB19EF"/>
    <w:rsid w:val="00AB2D34"/>
    <w:rsid w:val="00AB3430"/>
    <w:rsid w:val="00AB3444"/>
    <w:rsid w:val="00AB37B9"/>
    <w:rsid w:val="00AB4AD1"/>
    <w:rsid w:val="00AB5E07"/>
    <w:rsid w:val="00AB728F"/>
    <w:rsid w:val="00AB7322"/>
    <w:rsid w:val="00AB7BEE"/>
    <w:rsid w:val="00AB7CFA"/>
    <w:rsid w:val="00AC09F0"/>
    <w:rsid w:val="00AC5B48"/>
    <w:rsid w:val="00AC6AFF"/>
    <w:rsid w:val="00AD1450"/>
    <w:rsid w:val="00AD213B"/>
    <w:rsid w:val="00AD4616"/>
    <w:rsid w:val="00AD6502"/>
    <w:rsid w:val="00AE0695"/>
    <w:rsid w:val="00AE1723"/>
    <w:rsid w:val="00AE338D"/>
    <w:rsid w:val="00AE3B06"/>
    <w:rsid w:val="00AE3E7E"/>
    <w:rsid w:val="00AE509C"/>
    <w:rsid w:val="00AE6DE6"/>
    <w:rsid w:val="00AF11ED"/>
    <w:rsid w:val="00AF1315"/>
    <w:rsid w:val="00AF19BF"/>
    <w:rsid w:val="00AF2DC3"/>
    <w:rsid w:val="00AF3112"/>
    <w:rsid w:val="00AF35E6"/>
    <w:rsid w:val="00AF3C86"/>
    <w:rsid w:val="00AF4C25"/>
    <w:rsid w:val="00AF589B"/>
    <w:rsid w:val="00AF603C"/>
    <w:rsid w:val="00B01205"/>
    <w:rsid w:val="00B02129"/>
    <w:rsid w:val="00B033E5"/>
    <w:rsid w:val="00B039D1"/>
    <w:rsid w:val="00B03A63"/>
    <w:rsid w:val="00B04B37"/>
    <w:rsid w:val="00B05686"/>
    <w:rsid w:val="00B11691"/>
    <w:rsid w:val="00B121AD"/>
    <w:rsid w:val="00B12B85"/>
    <w:rsid w:val="00B1394E"/>
    <w:rsid w:val="00B163FB"/>
    <w:rsid w:val="00B177C3"/>
    <w:rsid w:val="00B201A4"/>
    <w:rsid w:val="00B201D1"/>
    <w:rsid w:val="00B21226"/>
    <w:rsid w:val="00B213A6"/>
    <w:rsid w:val="00B21A33"/>
    <w:rsid w:val="00B235B0"/>
    <w:rsid w:val="00B2394D"/>
    <w:rsid w:val="00B24DF6"/>
    <w:rsid w:val="00B25EC8"/>
    <w:rsid w:val="00B27FF4"/>
    <w:rsid w:val="00B34EB0"/>
    <w:rsid w:val="00B34FE2"/>
    <w:rsid w:val="00B35138"/>
    <w:rsid w:val="00B35166"/>
    <w:rsid w:val="00B3566F"/>
    <w:rsid w:val="00B357D8"/>
    <w:rsid w:val="00B360F4"/>
    <w:rsid w:val="00B36149"/>
    <w:rsid w:val="00B3691B"/>
    <w:rsid w:val="00B36A00"/>
    <w:rsid w:val="00B37790"/>
    <w:rsid w:val="00B37BFC"/>
    <w:rsid w:val="00B40358"/>
    <w:rsid w:val="00B408B3"/>
    <w:rsid w:val="00B40B88"/>
    <w:rsid w:val="00B41614"/>
    <w:rsid w:val="00B41E23"/>
    <w:rsid w:val="00B42851"/>
    <w:rsid w:val="00B42F80"/>
    <w:rsid w:val="00B435CB"/>
    <w:rsid w:val="00B505C8"/>
    <w:rsid w:val="00B50DB8"/>
    <w:rsid w:val="00B51927"/>
    <w:rsid w:val="00B52878"/>
    <w:rsid w:val="00B53654"/>
    <w:rsid w:val="00B53905"/>
    <w:rsid w:val="00B54B5B"/>
    <w:rsid w:val="00B5562E"/>
    <w:rsid w:val="00B559B9"/>
    <w:rsid w:val="00B55D65"/>
    <w:rsid w:val="00B57000"/>
    <w:rsid w:val="00B60939"/>
    <w:rsid w:val="00B60A59"/>
    <w:rsid w:val="00B60AFD"/>
    <w:rsid w:val="00B62715"/>
    <w:rsid w:val="00B631D8"/>
    <w:rsid w:val="00B65611"/>
    <w:rsid w:val="00B670F3"/>
    <w:rsid w:val="00B67289"/>
    <w:rsid w:val="00B70609"/>
    <w:rsid w:val="00B70C26"/>
    <w:rsid w:val="00B70E8E"/>
    <w:rsid w:val="00B7139B"/>
    <w:rsid w:val="00B74C64"/>
    <w:rsid w:val="00B75BB6"/>
    <w:rsid w:val="00B762F2"/>
    <w:rsid w:val="00B76C92"/>
    <w:rsid w:val="00B818A4"/>
    <w:rsid w:val="00B84117"/>
    <w:rsid w:val="00B858F0"/>
    <w:rsid w:val="00B85AA2"/>
    <w:rsid w:val="00B8649C"/>
    <w:rsid w:val="00B8695D"/>
    <w:rsid w:val="00B87C5A"/>
    <w:rsid w:val="00B87F0A"/>
    <w:rsid w:val="00B90438"/>
    <w:rsid w:val="00B91586"/>
    <w:rsid w:val="00B92D0B"/>
    <w:rsid w:val="00B9418F"/>
    <w:rsid w:val="00B94945"/>
    <w:rsid w:val="00B94DD6"/>
    <w:rsid w:val="00B97E1F"/>
    <w:rsid w:val="00BA3195"/>
    <w:rsid w:val="00BA322D"/>
    <w:rsid w:val="00BA502E"/>
    <w:rsid w:val="00BA6281"/>
    <w:rsid w:val="00BA63FA"/>
    <w:rsid w:val="00BB00B3"/>
    <w:rsid w:val="00BB0B89"/>
    <w:rsid w:val="00BB0BDD"/>
    <w:rsid w:val="00BB176C"/>
    <w:rsid w:val="00BB2A73"/>
    <w:rsid w:val="00BB3A45"/>
    <w:rsid w:val="00BB478D"/>
    <w:rsid w:val="00BB4ACC"/>
    <w:rsid w:val="00BB534B"/>
    <w:rsid w:val="00BB546F"/>
    <w:rsid w:val="00BB703E"/>
    <w:rsid w:val="00BB732D"/>
    <w:rsid w:val="00BB7405"/>
    <w:rsid w:val="00BC0669"/>
    <w:rsid w:val="00BC1277"/>
    <w:rsid w:val="00BC1612"/>
    <w:rsid w:val="00BC1CA0"/>
    <w:rsid w:val="00BC3631"/>
    <w:rsid w:val="00BC4369"/>
    <w:rsid w:val="00BC5518"/>
    <w:rsid w:val="00BC591F"/>
    <w:rsid w:val="00BC5D2B"/>
    <w:rsid w:val="00BC6AF2"/>
    <w:rsid w:val="00BC7D6D"/>
    <w:rsid w:val="00BD001C"/>
    <w:rsid w:val="00BD040D"/>
    <w:rsid w:val="00BD09AE"/>
    <w:rsid w:val="00BD0B0D"/>
    <w:rsid w:val="00BD2108"/>
    <w:rsid w:val="00BD211E"/>
    <w:rsid w:val="00BD3DC3"/>
    <w:rsid w:val="00BD68A3"/>
    <w:rsid w:val="00BD6938"/>
    <w:rsid w:val="00BD6CF3"/>
    <w:rsid w:val="00BD7F55"/>
    <w:rsid w:val="00BE0ECA"/>
    <w:rsid w:val="00BE2180"/>
    <w:rsid w:val="00BE21F2"/>
    <w:rsid w:val="00BE2DC1"/>
    <w:rsid w:val="00BE4275"/>
    <w:rsid w:val="00BF06AE"/>
    <w:rsid w:val="00BF0E5C"/>
    <w:rsid w:val="00BF0F95"/>
    <w:rsid w:val="00BF1E05"/>
    <w:rsid w:val="00BF228D"/>
    <w:rsid w:val="00BF2433"/>
    <w:rsid w:val="00BF61C9"/>
    <w:rsid w:val="00BF6C94"/>
    <w:rsid w:val="00C00424"/>
    <w:rsid w:val="00C00744"/>
    <w:rsid w:val="00C00C8A"/>
    <w:rsid w:val="00C0137D"/>
    <w:rsid w:val="00C06897"/>
    <w:rsid w:val="00C1179F"/>
    <w:rsid w:val="00C12C14"/>
    <w:rsid w:val="00C1417C"/>
    <w:rsid w:val="00C1554D"/>
    <w:rsid w:val="00C15843"/>
    <w:rsid w:val="00C15F04"/>
    <w:rsid w:val="00C165B1"/>
    <w:rsid w:val="00C179B3"/>
    <w:rsid w:val="00C17E3F"/>
    <w:rsid w:val="00C200AA"/>
    <w:rsid w:val="00C2143A"/>
    <w:rsid w:val="00C228D4"/>
    <w:rsid w:val="00C23586"/>
    <w:rsid w:val="00C237ED"/>
    <w:rsid w:val="00C24632"/>
    <w:rsid w:val="00C25418"/>
    <w:rsid w:val="00C25D9C"/>
    <w:rsid w:val="00C26A9E"/>
    <w:rsid w:val="00C2778B"/>
    <w:rsid w:val="00C309F2"/>
    <w:rsid w:val="00C31649"/>
    <w:rsid w:val="00C3434C"/>
    <w:rsid w:val="00C34D87"/>
    <w:rsid w:val="00C36E23"/>
    <w:rsid w:val="00C40385"/>
    <w:rsid w:val="00C41768"/>
    <w:rsid w:val="00C417A6"/>
    <w:rsid w:val="00C45CB6"/>
    <w:rsid w:val="00C475AA"/>
    <w:rsid w:val="00C53C98"/>
    <w:rsid w:val="00C55BFC"/>
    <w:rsid w:val="00C56FCF"/>
    <w:rsid w:val="00C57B6C"/>
    <w:rsid w:val="00C57DA2"/>
    <w:rsid w:val="00C61E45"/>
    <w:rsid w:val="00C61FA0"/>
    <w:rsid w:val="00C6277C"/>
    <w:rsid w:val="00C628A6"/>
    <w:rsid w:val="00C64344"/>
    <w:rsid w:val="00C65108"/>
    <w:rsid w:val="00C65576"/>
    <w:rsid w:val="00C66165"/>
    <w:rsid w:val="00C66800"/>
    <w:rsid w:val="00C66946"/>
    <w:rsid w:val="00C7060A"/>
    <w:rsid w:val="00C7151A"/>
    <w:rsid w:val="00C717E3"/>
    <w:rsid w:val="00C71F60"/>
    <w:rsid w:val="00C72241"/>
    <w:rsid w:val="00C750C8"/>
    <w:rsid w:val="00C7560F"/>
    <w:rsid w:val="00C75F73"/>
    <w:rsid w:val="00C76991"/>
    <w:rsid w:val="00C76BFF"/>
    <w:rsid w:val="00C80957"/>
    <w:rsid w:val="00C80A0E"/>
    <w:rsid w:val="00C8213F"/>
    <w:rsid w:val="00C82A88"/>
    <w:rsid w:val="00C85154"/>
    <w:rsid w:val="00C85E73"/>
    <w:rsid w:val="00C8797A"/>
    <w:rsid w:val="00C900B8"/>
    <w:rsid w:val="00C90C71"/>
    <w:rsid w:val="00C90DEB"/>
    <w:rsid w:val="00C90EFE"/>
    <w:rsid w:val="00C91594"/>
    <w:rsid w:val="00C9177D"/>
    <w:rsid w:val="00C91FD1"/>
    <w:rsid w:val="00C931CF"/>
    <w:rsid w:val="00C938CF"/>
    <w:rsid w:val="00C93DD8"/>
    <w:rsid w:val="00C94053"/>
    <w:rsid w:val="00C9624D"/>
    <w:rsid w:val="00C969DA"/>
    <w:rsid w:val="00C97E2A"/>
    <w:rsid w:val="00CA1098"/>
    <w:rsid w:val="00CA2C77"/>
    <w:rsid w:val="00CA444F"/>
    <w:rsid w:val="00CA5245"/>
    <w:rsid w:val="00CA71F4"/>
    <w:rsid w:val="00CA7B09"/>
    <w:rsid w:val="00CB12A5"/>
    <w:rsid w:val="00CB1CAC"/>
    <w:rsid w:val="00CB2F2A"/>
    <w:rsid w:val="00CB34FA"/>
    <w:rsid w:val="00CB379D"/>
    <w:rsid w:val="00CB5B1A"/>
    <w:rsid w:val="00CB6B22"/>
    <w:rsid w:val="00CB7F5F"/>
    <w:rsid w:val="00CC1B39"/>
    <w:rsid w:val="00CC22E1"/>
    <w:rsid w:val="00CC2996"/>
    <w:rsid w:val="00CC2F89"/>
    <w:rsid w:val="00CC35EA"/>
    <w:rsid w:val="00CC3848"/>
    <w:rsid w:val="00CC495A"/>
    <w:rsid w:val="00CC4A71"/>
    <w:rsid w:val="00CC5080"/>
    <w:rsid w:val="00CC7698"/>
    <w:rsid w:val="00CC7BE9"/>
    <w:rsid w:val="00CD1345"/>
    <w:rsid w:val="00CD207A"/>
    <w:rsid w:val="00CD3A16"/>
    <w:rsid w:val="00CD3F77"/>
    <w:rsid w:val="00CD47FB"/>
    <w:rsid w:val="00CD6ADC"/>
    <w:rsid w:val="00CD7193"/>
    <w:rsid w:val="00CE0E4A"/>
    <w:rsid w:val="00CE265B"/>
    <w:rsid w:val="00CE38C8"/>
    <w:rsid w:val="00CE4B58"/>
    <w:rsid w:val="00CE6274"/>
    <w:rsid w:val="00CE7053"/>
    <w:rsid w:val="00CE77B6"/>
    <w:rsid w:val="00CF2B8D"/>
    <w:rsid w:val="00CF456B"/>
    <w:rsid w:val="00CF5457"/>
    <w:rsid w:val="00CF5A22"/>
    <w:rsid w:val="00CF6CDB"/>
    <w:rsid w:val="00CF7565"/>
    <w:rsid w:val="00D0262E"/>
    <w:rsid w:val="00D05E3D"/>
    <w:rsid w:val="00D06139"/>
    <w:rsid w:val="00D06DDF"/>
    <w:rsid w:val="00D110BD"/>
    <w:rsid w:val="00D119DB"/>
    <w:rsid w:val="00D12D22"/>
    <w:rsid w:val="00D13675"/>
    <w:rsid w:val="00D141E1"/>
    <w:rsid w:val="00D143F8"/>
    <w:rsid w:val="00D144B9"/>
    <w:rsid w:val="00D15314"/>
    <w:rsid w:val="00D17D6C"/>
    <w:rsid w:val="00D2155B"/>
    <w:rsid w:val="00D22CE8"/>
    <w:rsid w:val="00D2337F"/>
    <w:rsid w:val="00D23D11"/>
    <w:rsid w:val="00D244B6"/>
    <w:rsid w:val="00D2516C"/>
    <w:rsid w:val="00D2754D"/>
    <w:rsid w:val="00D27B27"/>
    <w:rsid w:val="00D332E3"/>
    <w:rsid w:val="00D33BE9"/>
    <w:rsid w:val="00D33F93"/>
    <w:rsid w:val="00D357FF"/>
    <w:rsid w:val="00D37199"/>
    <w:rsid w:val="00D37993"/>
    <w:rsid w:val="00D37C59"/>
    <w:rsid w:val="00D402AC"/>
    <w:rsid w:val="00D424C7"/>
    <w:rsid w:val="00D42633"/>
    <w:rsid w:val="00D43B2A"/>
    <w:rsid w:val="00D43D83"/>
    <w:rsid w:val="00D45DFB"/>
    <w:rsid w:val="00D46224"/>
    <w:rsid w:val="00D46EC9"/>
    <w:rsid w:val="00D47575"/>
    <w:rsid w:val="00D5243B"/>
    <w:rsid w:val="00D533EC"/>
    <w:rsid w:val="00D55738"/>
    <w:rsid w:val="00D56A95"/>
    <w:rsid w:val="00D575E1"/>
    <w:rsid w:val="00D612FD"/>
    <w:rsid w:val="00D67BFA"/>
    <w:rsid w:val="00D70A02"/>
    <w:rsid w:val="00D70D20"/>
    <w:rsid w:val="00D70F16"/>
    <w:rsid w:val="00D710C7"/>
    <w:rsid w:val="00D72F57"/>
    <w:rsid w:val="00D7592D"/>
    <w:rsid w:val="00D76A44"/>
    <w:rsid w:val="00D77CDC"/>
    <w:rsid w:val="00D77F28"/>
    <w:rsid w:val="00D815EF"/>
    <w:rsid w:val="00D81872"/>
    <w:rsid w:val="00D81F26"/>
    <w:rsid w:val="00D84A50"/>
    <w:rsid w:val="00D84D21"/>
    <w:rsid w:val="00D857EE"/>
    <w:rsid w:val="00D86231"/>
    <w:rsid w:val="00D90EC8"/>
    <w:rsid w:val="00D91923"/>
    <w:rsid w:val="00D91E35"/>
    <w:rsid w:val="00D93753"/>
    <w:rsid w:val="00DA3167"/>
    <w:rsid w:val="00DA3423"/>
    <w:rsid w:val="00DA4DC3"/>
    <w:rsid w:val="00DA5460"/>
    <w:rsid w:val="00DA70BF"/>
    <w:rsid w:val="00DA73DE"/>
    <w:rsid w:val="00DA77A5"/>
    <w:rsid w:val="00DB3DBF"/>
    <w:rsid w:val="00DB484F"/>
    <w:rsid w:val="00DB60A4"/>
    <w:rsid w:val="00DB6DCD"/>
    <w:rsid w:val="00DC04F6"/>
    <w:rsid w:val="00DC061F"/>
    <w:rsid w:val="00DC0690"/>
    <w:rsid w:val="00DC1243"/>
    <w:rsid w:val="00DC12DA"/>
    <w:rsid w:val="00DC1D65"/>
    <w:rsid w:val="00DC1DB5"/>
    <w:rsid w:val="00DC28E6"/>
    <w:rsid w:val="00DC3C57"/>
    <w:rsid w:val="00DC5501"/>
    <w:rsid w:val="00DC7154"/>
    <w:rsid w:val="00DC7E8A"/>
    <w:rsid w:val="00DD0F78"/>
    <w:rsid w:val="00DD1253"/>
    <w:rsid w:val="00DD1D05"/>
    <w:rsid w:val="00DD2227"/>
    <w:rsid w:val="00DD273C"/>
    <w:rsid w:val="00DD3F28"/>
    <w:rsid w:val="00DD4535"/>
    <w:rsid w:val="00DD4537"/>
    <w:rsid w:val="00DD4E15"/>
    <w:rsid w:val="00DD52EC"/>
    <w:rsid w:val="00DD68A2"/>
    <w:rsid w:val="00DE1943"/>
    <w:rsid w:val="00DE2304"/>
    <w:rsid w:val="00DE3138"/>
    <w:rsid w:val="00DE31BE"/>
    <w:rsid w:val="00DE334B"/>
    <w:rsid w:val="00DE37F8"/>
    <w:rsid w:val="00DE444C"/>
    <w:rsid w:val="00DE4FCB"/>
    <w:rsid w:val="00DE5129"/>
    <w:rsid w:val="00DE5D07"/>
    <w:rsid w:val="00DE72A7"/>
    <w:rsid w:val="00DE7832"/>
    <w:rsid w:val="00DF03E2"/>
    <w:rsid w:val="00DF18FC"/>
    <w:rsid w:val="00DF2A8D"/>
    <w:rsid w:val="00DF4BF0"/>
    <w:rsid w:val="00DF5AA0"/>
    <w:rsid w:val="00DF5D2B"/>
    <w:rsid w:val="00DF7A56"/>
    <w:rsid w:val="00E00A0A"/>
    <w:rsid w:val="00E00E8E"/>
    <w:rsid w:val="00E01B03"/>
    <w:rsid w:val="00E034E6"/>
    <w:rsid w:val="00E04E16"/>
    <w:rsid w:val="00E05630"/>
    <w:rsid w:val="00E06DBB"/>
    <w:rsid w:val="00E07E0C"/>
    <w:rsid w:val="00E07F52"/>
    <w:rsid w:val="00E10149"/>
    <w:rsid w:val="00E10EC7"/>
    <w:rsid w:val="00E11340"/>
    <w:rsid w:val="00E11441"/>
    <w:rsid w:val="00E122A1"/>
    <w:rsid w:val="00E13438"/>
    <w:rsid w:val="00E13CA1"/>
    <w:rsid w:val="00E14989"/>
    <w:rsid w:val="00E16372"/>
    <w:rsid w:val="00E169B8"/>
    <w:rsid w:val="00E1741B"/>
    <w:rsid w:val="00E20266"/>
    <w:rsid w:val="00E20E4D"/>
    <w:rsid w:val="00E20ED6"/>
    <w:rsid w:val="00E21358"/>
    <w:rsid w:val="00E2249B"/>
    <w:rsid w:val="00E22A0D"/>
    <w:rsid w:val="00E244F6"/>
    <w:rsid w:val="00E253FF"/>
    <w:rsid w:val="00E2731E"/>
    <w:rsid w:val="00E2746F"/>
    <w:rsid w:val="00E2771E"/>
    <w:rsid w:val="00E27D57"/>
    <w:rsid w:val="00E31155"/>
    <w:rsid w:val="00E311EF"/>
    <w:rsid w:val="00E3156C"/>
    <w:rsid w:val="00E32180"/>
    <w:rsid w:val="00E322A6"/>
    <w:rsid w:val="00E33E61"/>
    <w:rsid w:val="00E34948"/>
    <w:rsid w:val="00E35278"/>
    <w:rsid w:val="00E374F0"/>
    <w:rsid w:val="00E37569"/>
    <w:rsid w:val="00E401B2"/>
    <w:rsid w:val="00E41E30"/>
    <w:rsid w:val="00E42F73"/>
    <w:rsid w:val="00E43D70"/>
    <w:rsid w:val="00E466F3"/>
    <w:rsid w:val="00E47B2C"/>
    <w:rsid w:val="00E51560"/>
    <w:rsid w:val="00E523DA"/>
    <w:rsid w:val="00E5335C"/>
    <w:rsid w:val="00E53FC8"/>
    <w:rsid w:val="00E5413C"/>
    <w:rsid w:val="00E54347"/>
    <w:rsid w:val="00E55424"/>
    <w:rsid w:val="00E55915"/>
    <w:rsid w:val="00E55BB5"/>
    <w:rsid w:val="00E5658D"/>
    <w:rsid w:val="00E63DD6"/>
    <w:rsid w:val="00E64DE1"/>
    <w:rsid w:val="00E65763"/>
    <w:rsid w:val="00E65E79"/>
    <w:rsid w:val="00E6653C"/>
    <w:rsid w:val="00E669AC"/>
    <w:rsid w:val="00E66A05"/>
    <w:rsid w:val="00E66BA2"/>
    <w:rsid w:val="00E67416"/>
    <w:rsid w:val="00E70BEC"/>
    <w:rsid w:val="00E718B6"/>
    <w:rsid w:val="00E723BA"/>
    <w:rsid w:val="00E73581"/>
    <w:rsid w:val="00E77AB2"/>
    <w:rsid w:val="00E81A37"/>
    <w:rsid w:val="00E82581"/>
    <w:rsid w:val="00E833F7"/>
    <w:rsid w:val="00E83BDF"/>
    <w:rsid w:val="00E84326"/>
    <w:rsid w:val="00E8736B"/>
    <w:rsid w:val="00E87A1D"/>
    <w:rsid w:val="00E9094A"/>
    <w:rsid w:val="00E91D35"/>
    <w:rsid w:val="00E926A5"/>
    <w:rsid w:val="00E94DAA"/>
    <w:rsid w:val="00EA17C3"/>
    <w:rsid w:val="00EA1936"/>
    <w:rsid w:val="00EA21BA"/>
    <w:rsid w:val="00EA2CAA"/>
    <w:rsid w:val="00EA3864"/>
    <w:rsid w:val="00EA5241"/>
    <w:rsid w:val="00EA6D55"/>
    <w:rsid w:val="00EA7F1C"/>
    <w:rsid w:val="00EB014D"/>
    <w:rsid w:val="00EB05FD"/>
    <w:rsid w:val="00EB15B6"/>
    <w:rsid w:val="00EB1E94"/>
    <w:rsid w:val="00EB2B72"/>
    <w:rsid w:val="00EB3D06"/>
    <w:rsid w:val="00EB4916"/>
    <w:rsid w:val="00EB59EA"/>
    <w:rsid w:val="00EC00C9"/>
    <w:rsid w:val="00EC0DD9"/>
    <w:rsid w:val="00EC2649"/>
    <w:rsid w:val="00EC2CB3"/>
    <w:rsid w:val="00EC31ED"/>
    <w:rsid w:val="00EC4076"/>
    <w:rsid w:val="00EC5836"/>
    <w:rsid w:val="00EC6349"/>
    <w:rsid w:val="00EC688C"/>
    <w:rsid w:val="00EC6BC9"/>
    <w:rsid w:val="00EC6CEC"/>
    <w:rsid w:val="00ED29D8"/>
    <w:rsid w:val="00ED57EA"/>
    <w:rsid w:val="00ED5BD4"/>
    <w:rsid w:val="00EE07D3"/>
    <w:rsid w:val="00EE0AAF"/>
    <w:rsid w:val="00EE0BC3"/>
    <w:rsid w:val="00EE1996"/>
    <w:rsid w:val="00EE1C01"/>
    <w:rsid w:val="00EE22AF"/>
    <w:rsid w:val="00EE36DA"/>
    <w:rsid w:val="00EE40BF"/>
    <w:rsid w:val="00EE45A7"/>
    <w:rsid w:val="00EE4F28"/>
    <w:rsid w:val="00EF0171"/>
    <w:rsid w:val="00EF0F49"/>
    <w:rsid w:val="00EF1B25"/>
    <w:rsid w:val="00EF1DA0"/>
    <w:rsid w:val="00EF3548"/>
    <w:rsid w:val="00EF3F2A"/>
    <w:rsid w:val="00EF4747"/>
    <w:rsid w:val="00EF4BF8"/>
    <w:rsid w:val="00EF5568"/>
    <w:rsid w:val="00F00D88"/>
    <w:rsid w:val="00F02253"/>
    <w:rsid w:val="00F03C2E"/>
    <w:rsid w:val="00F0418E"/>
    <w:rsid w:val="00F04A66"/>
    <w:rsid w:val="00F04B4B"/>
    <w:rsid w:val="00F0516C"/>
    <w:rsid w:val="00F067A2"/>
    <w:rsid w:val="00F07241"/>
    <w:rsid w:val="00F07B9E"/>
    <w:rsid w:val="00F1116F"/>
    <w:rsid w:val="00F1263A"/>
    <w:rsid w:val="00F14889"/>
    <w:rsid w:val="00F15B77"/>
    <w:rsid w:val="00F15C41"/>
    <w:rsid w:val="00F17F9B"/>
    <w:rsid w:val="00F24837"/>
    <w:rsid w:val="00F2575F"/>
    <w:rsid w:val="00F25D31"/>
    <w:rsid w:val="00F27565"/>
    <w:rsid w:val="00F30137"/>
    <w:rsid w:val="00F310D4"/>
    <w:rsid w:val="00F31266"/>
    <w:rsid w:val="00F312E2"/>
    <w:rsid w:val="00F31D5A"/>
    <w:rsid w:val="00F33975"/>
    <w:rsid w:val="00F33DE9"/>
    <w:rsid w:val="00F35E6D"/>
    <w:rsid w:val="00F3619A"/>
    <w:rsid w:val="00F36E90"/>
    <w:rsid w:val="00F40AAA"/>
    <w:rsid w:val="00F40BA7"/>
    <w:rsid w:val="00F40F9D"/>
    <w:rsid w:val="00F41137"/>
    <w:rsid w:val="00F41ACD"/>
    <w:rsid w:val="00F45129"/>
    <w:rsid w:val="00F46937"/>
    <w:rsid w:val="00F46CB6"/>
    <w:rsid w:val="00F46E51"/>
    <w:rsid w:val="00F46FB6"/>
    <w:rsid w:val="00F4756D"/>
    <w:rsid w:val="00F47DE8"/>
    <w:rsid w:val="00F47F69"/>
    <w:rsid w:val="00F5388B"/>
    <w:rsid w:val="00F542C1"/>
    <w:rsid w:val="00F55552"/>
    <w:rsid w:val="00F55E73"/>
    <w:rsid w:val="00F55EDA"/>
    <w:rsid w:val="00F56C80"/>
    <w:rsid w:val="00F60092"/>
    <w:rsid w:val="00F61C18"/>
    <w:rsid w:val="00F63138"/>
    <w:rsid w:val="00F636E3"/>
    <w:rsid w:val="00F65F4B"/>
    <w:rsid w:val="00F67A69"/>
    <w:rsid w:val="00F70942"/>
    <w:rsid w:val="00F70BFF"/>
    <w:rsid w:val="00F70C9D"/>
    <w:rsid w:val="00F7148B"/>
    <w:rsid w:val="00F74CD9"/>
    <w:rsid w:val="00F80A7B"/>
    <w:rsid w:val="00F80AEF"/>
    <w:rsid w:val="00F80E5D"/>
    <w:rsid w:val="00F810C0"/>
    <w:rsid w:val="00F8170A"/>
    <w:rsid w:val="00F81E78"/>
    <w:rsid w:val="00F82579"/>
    <w:rsid w:val="00F82737"/>
    <w:rsid w:val="00F851CE"/>
    <w:rsid w:val="00F87362"/>
    <w:rsid w:val="00F9055E"/>
    <w:rsid w:val="00F90902"/>
    <w:rsid w:val="00F91219"/>
    <w:rsid w:val="00F92444"/>
    <w:rsid w:val="00F9393E"/>
    <w:rsid w:val="00F96860"/>
    <w:rsid w:val="00F96FD0"/>
    <w:rsid w:val="00F97A0E"/>
    <w:rsid w:val="00F97A78"/>
    <w:rsid w:val="00FA0093"/>
    <w:rsid w:val="00FA0B20"/>
    <w:rsid w:val="00FA1D11"/>
    <w:rsid w:val="00FA24E7"/>
    <w:rsid w:val="00FA2A29"/>
    <w:rsid w:val="00FA447C"/>
    <w:rsid w:val="00FA5868"/>
    <w:rsid w:val="00FA5EE6"/>
    <w:rsid w:val="00FA60F5"/>
    <w:rsid w:val="00FA7956"/>
    <w:rsid w:val="00FB1089"/>
    <w:rsid w:val="00FB26AF"/>
    <w:rsid w:val="00FB2FCB"/>
    <w:rsid w:val="00FB3831"/>
    <w:rsid w:val="00FB38D7"/>
    <w:rsid w:val="00FB6AB4"/>
    <w:rsid w:val="00FB74DB"/>
    <w:rsid w:val="00FB7808"/>
    <w:rsid w:val="00FB7C55"/>
    <w:rsid w:val="00FC0EFB"/>
    <w:rsid w:val="00FC1074"/>
    <w:rsid w:val="00FC1884"/>
    <w:rsid w:val="00FC371D"/>
    <w:rsid w:val="00FC5F0B"/>
    <w:rsid w:val="00FC62DC"/>
    <w:rsid w:val="00FC64E5"/>
    <w:rsid w:val="00FC6972"/>
    <w:rsid w:val="00FC6CE3"/>
    <w:rsid w:val="00FD0396"/>
    <w:rsid w:val="00FD2100"/>
    <w:rsid w:val="00FD436C"/>
    <w:rsid w:val="00FD43C3"/>
    <w:rsid w:val="00FD446D"/>
    <w:rsid w:val="00FD4F2C"/>
    <w:rsid w:val="00FD520D"/>
    <w:rsid w:val="00FD5555"/>
    <w:rsid w:val="00FD6394"/>
    <w:rsid w:val="00FE0E6C"/>
    <w:rsid w:val="00FE1CDC"/>
    <w:rsid w:val="00FE2E2A"/>
    <w:rsid w:val="00FE36C4"/>
    <w:rsid w:val="00FE70C3"/>
    <w:rsid w:val="00FE7282"/>
    <w:rsid w:val="00FF1E4F"/>
    <w:rsid w:val="00FF1FB0"/>
    <w:rsid w:val="00FF228D"/>
    <w:rsid w:val="00FF2AD9"/>
    <w:rsid w:val="00FF2E60"/>
    <w:rsid w:val="00FF359F"/>
    <w:rsid w:val="00FF3DCF"/>
    <w:rsid w:val="00FF492C"/>
    <w:rsid w:val="00FF4A21"/>
    <w:rsid w:val="00FF5356"/>
    <w:rsid w:val="00FF5AA3"/>
    <w:rsid w:val="00FF5AD8"/>
    <w:rsid w:val="00FF7E3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31888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697C"/>
    <w:pPr>
      <w:jc w:val="both"/>
    </w:pPr>
    <w:rPr>
      <w:rFonts w:ascii="Calibri" w:hAnsi="Calibri" w:cs="Arial"/>
      <w:sz w:val="24"/>
      <w:szCs w:val="24"/>
    </w:rPr>
  </w:style>
  <w:style w:type="paragraph" w:styleId="Heading1">
    <w:name w:val="heading 1"/>
    <w:basedOn w:val="Normal"/>
    <w:next w:val="Normal"/>
    <w:uiPriority w:val="1"/>
    <w:rsid w:val="001B204E"/>
    <w:pPr>
      <w:ind w:left="720" w:hanging="720"/>
      <w:outlineLvl w:val="0"/>
    </w:pPr>
    <w:rPr>
      <w:b/>
      <w:caps/>
      <w:sz w:val="32"/>
    </w:rPr>
  </w:style>
  <w:style w:type="paragraph" w:styleId="Heading2">
    <w:name w:val="heading 2"/>
    <w:basedOn w:val="Normal"/>
    <w:next w:val="Normal"/>
    <w:link w:val="Heading2Char"/>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table" w:styleId="TableGrid">
    <w:name w:val="Table Grid"/>
    <w:aliases w:val="Summary box,Table Gridbeth,CMA Table Template,ASD Table"/>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SubSubSubHead">
    <w:name w:val="5-Sub Sub Sub Head"/>
    <w:basedOn w:val="Heading4"/>
    <w:qFormat/>
    <w:rsid w:val="008621F4"/>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customStyle="1" w:styleId="Bulletpoints">
    <w:name w:val="Bullet points"/>
    <w:basedOn w:val="Normal"/>
    <w:qFormat/>
    <w:rsid w:val="00200EF8"/>
    <w:pPr>
      <w:numPr>
        <w:numId w:val="2"/>
      </w:numPr>
      <w:spacing w:after="120"/>
      <w:contextualSpacing/>
    </w:pPr>
    <w:rPr>
      <w:rFonts w:asciiTheme="minorHAnsi" w:hAnsiTheme="minorHAnsi"/>
      <w:snapToGrid w:val="0"/>
    </w:rPr>
  </w:style>
  <w:style w:type="paragraph" w:styleId="Revision">
    <w:name w:val="Revision"/>
    <w:hidden/>
    <w:uiPriority w:val="99"/>
    <w:semiHidden/>
    <w:rsid w:val="00043C37"/>
    <w:rPr>
      <w:rFonts w:ascii="Arial" w:hAnsi="Arial" w:cs="Arial"/>
      <w:snapToGrid w:val="0"/>
      <w:sz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qFormat/>
    <w:rsid w:val="00B53654"/>
    <w:rPr>
      <w:i/>
    </w:rPr>
  </w:style>
  <w:style w:type="paragraph" w:styleId="BalloonText">
    <w:name w:val="Balloon Text"/>
    <w:basedOn w:val="Normal"/>
    <w:link w:val="BalloonTextChar"/>
    <w:uiPriority w:val="99"/>
    <w:semiHidden/>
    <w:unhideWhenUsed/>
    <w:rsid w:val="00B34FE2"/>
    <w:rPr>
      <w:rFonts w:ascii="Tahoma" w:hAnsi="Tahoma" w:cs="Tahoma"/>
      <w:sz w:val="16"/>
      <w:szCs w:val="16"/>
    </w:rPr>
  </w:style>
  <w:style w:type="character" w:customStyle="1" w:styleId="BalloonTextChar">
    <w:name w:val="Balloon Text Char"/>
    <w:basedOn w:val="DefaultParagraphFont"/>
    <w:link w:val="BalloonText"/>
    <w:uiPriority w:val="99"/>
    <w:semiHidden/>
    <w:rsid w:val="00B34FE2"/>
    <w:rPr>
      <w:rFonts w:ascii="Tahoma" w:hAnsi="Tahoma" w:cs="Tahoma"/>
      <w:snapToGrid w:val="0"/>
      <w:sz w:val="16"/>
      <w:szCs w:val="16"/>
      <w:lang w:eastAsia="en-US"/>
    </w:rPr>
  </w:style>
  <w:style w:type="paragraph" w:customStyle="1" w:styleId="TableText">
    <w:name w:val="Table Text"/>
    <w:link w:val="TableTextChar"/>
    <w:qFormat/>
    <w:rsid w:val="00EE1996"/>
    <w:pPr>
      <w:keepNext/>
    </w:pPr>
    <w:rPr>
      <w:rFonts w:ascii="Arial Narrow" w:eastAsiaTheme="majorEastAsia" w:hAnsi="Arial Narrow" w:cstheme="majorBidi"/>
      <w:bCs/>
      <w:szCs w:val="24"/>
    </w:rPr>
  </w:style>
  <w:style w:type="paragraph" w:customStyle="1" w:styleId="Tableheadingrow">
    <w:name w:val="Table heading row"/>
    <w:qFormat/>
    <w:rsid w:val="00EE1996"/>
    <w:pPr>
      <w:keepNext/>
    </w:pPr>
    <w:rPr>
      <w:rFonts w:ascii="Arial Narrow" w:eastAsiaTheme="majorEastAsia" w:hAnsi="Arial Narrow"/>
      <w:b/>
      <w:szCs w:val="24"/>
      <w:lang w:val="en-US"/>
    </w:rPr>
  </w:style>
  <w:style w:type="paragraph" w:customStyle="1" w:styleId="2-SectionHeading">
    <w:name w:val="2-Section Heading"/>
    <w:qFormat/>
    <w:rsid w:val="00EE1996"/>
    <w:pPr>
      <w:keepNext/>
      <w:numPr>
        <w:numId w:val="4"/>
      </w:numPr>
      <w:spacing w:before="240" w:after="120"/>
      <w:outlineLvl w:val="0"/>
    </w:pPr>
    <w:rPr>
      <w:rFonts w:asciiTheme="minorHAnsi" w:hAnsiTheme="minorHAnsi" w:cs="Arial"/>
      <w:b/>
      <w:snapToGrid w:val="0"/>
      <w:sz w:val="32"/>
      <w:szCs w:val="32"/>
    </w:rPr>
  </w:style>
  <w:style w:type="paragraph" w:customStyle="1" w:styleId="1-MainHeading">
    <w:name w:val="1- Main Heading"/>
    <w:link w:val="1-MainHeadingChar"/>
    <w:qFormat/>
    <w:rsid w:val="00EE1996"/>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 Main Heading Char"/>
    <w:basedOn w:val="DefaultParagraphFont"/>
    <w:link w:val="1-MainHeading"/>
    <w:rsid w:val="00EE1996"/>
    <w:rPr>
      <w:rFonts w:asciiTheme="minorHAnsi" w:eastAsiaTheme="majorEastAsia" w:hAnsiTheme="minorHAnsi" w:cstheme="majorBidi"/>
      <w:b/>
      <w:spacing w:val="5"/>
      <w:kern w:val="28"/>
      <w:sz w:val="36"/>
      <w:szCs w:val="36"/>
    </w:rPr>
  </w:style>
  <w:style w:type="paragraph" w:customStyle="1" w:styleId="TableFigureCaption">
    <w:name w:val="Table/Figure Caption"/>
    <w:next w:val="Tableheadingrow"/>
    <w:link w:val="TableFigureCaptionChar"/>
    <w:qFormat/>
    <w:rsid w:val="005478BD"/>
    <w:pPr>
      <w:keepNext/>
    </w:pPr>
    <w:rPr>
      <w:rFonts w:ascii="Arial Narrow" w:eastAsiaTheme="majorEastAsia" w:hAnsi="Arial Narrow" w:cstheme="majorBidi"/>
      <w:b/>
      <w:bCs/>
      <w:szCs w:val="24"/>
    </w:rPr>
  </w:style>
  <w:style w:type="character" w:customStyle="1" w:styleId="TableFigureCaptionChar">
    <w:name w:val="Table/Figure Caption Char"/>
    <w:basedOn w:val="DefaultParagraphFont"/>
    <w:link w:val="TableFigureCaption"/>
    <w:rsid w:val="005478BD"/>
    <w:rPr>
      <w:rFonts w:ascii="Arial Narrow" w:eastAsiaTheme="majorEastAsia" w:hAnsi="Arial Narrow" w:cstheme="majorBidi"/>
      <w:b/>
      <w:bCs/>
      <w:szCs w:val="24"/>
    </w:rPr>
  </w:style>
  <w:style w:type="paragraph" w:customStyle="1" w:styleId="ExecSumBodyText">
    <w:name w:val="Exec Sum Body Text"/>
    <w:basedOn w:val="Normal"/>
    <w:link w:val="ExecSumBodyTextChar"/>
    <w:qFormat/>
    <w:rsid w:val="00200EF8"/>
    <w:pPr>
      <w:numPr>
        <w:ilvl w:val="1"/>
        <w:numId w:val="4"/>
      </w:numPr>
      <w:spacing w:after="120"/>
    </w:pPr>
    <w:rPr>
      <w:rFonts w:asciiTheme="minorHAnsi" w:hAnsiTheme="minorHAnsi"/>
      <w:snapToGrid w:val="0"/>
    </w:rPr>
  </w:style>
  <w:style w:type="character" w:customStyle="1" w:styleId="ExecSumBodyTextChar">
    <w:name w:val="Exec Sum Body Text Char"/>
    <w:basedOn w:val="DefaultParagraphFont"/>
    <w:link w:val="ExecSumBodyText"/>
    <w:rsid w:val="00200EF8"/>
    <w:rPr>
      <w:rFonts w:asciiTheme="minorHAnsi" w:hAnsiTheme="minorHAnsi" w:cs="Arial"/>
      <w:snapToGrid w:val="0"/>
      <w:sz w:val="24"/>
      <w:szCs w:val="24"/>
    </w:rPr>
  </w:style>
  <w:style w:type="paragraph" w:customStyle="1" w:styleId="TableFigureFooter">
    <w:name w:val="Table/Figure Footer"/>
    <w:basedOn w:val="Normal"/>
    <w:link w:val="TableFigureFooterChar"/>
    <w:qFormat/>
    <w:rsid w:val="00EC5836"/>
    <w:pPr>
      <w:spacing w:after="120"/>
      <w:contextualSpacing/>
    </w:pPr>
    <w:rPr>
      <w:rFonts w:ascii="Arial Narrow" w:hAnsi="Arial Narrow"/>
      <w:snapToGrid w:val="0"/>
      <w:sz w:val="18"/>
      <w:szCs w:val="22"/>
    </w:rPr>
  </w:style>
  <w:style w:type="character" w:customStyle="1" w:styleId="TableFigureFooterChar">
    <w:name w:val="Table/Figure Footer Char"/>
    <w:link w:val="TableFigureFooter"/>
    <w:rsid w:val="00EC5836"/>
    <w:rPr>
      <w:rFonts w:ascii="Arial Narrow" w:hAnsi="Arial Narrow" w:cs="Arial"/>
      <w:snapToGrid w:val="0"/>
      <w:sz w:val="18"/>
      <w:szCs w:val="22"/>
    </w:rPr>
  </w:style>
  <w:style w:type="paragraph" w:customStyle="1" w:styleId="3-SubsectionHeading">
    <w:name w:val="3-Subsection Heading"/>
    <w:basedOn w:val="Heading2"/>
    <w:next w:val="ExecSumBodyText"/>
    <w:link w:val="3-SubsectionHeading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3-SubsectionHeadingChar">
    <w:name w:val="3-Subsection Heading Char"/>
    <w:basedOn w:val="Heading2Char"/>
    <w:link w:val="3-SubsectionHeading"/>
    <w:rsid w:val="00EE1996"/>
    <w:rPr>
      <w:rFonts w:asciiTheme="minorHAnsi" w:eastAsiaTheme="majorEastAsia" w:hAnsiTheme="minorHAnsi" w:cstheme="majorBidi"/>
      <w:b/>
      <w:i/>
      <w:snapToGrid/>
      <w:spacing w:val="5"/>
      <w:kern w:val="28"/>
      <w:sz w:val="28"/>
      <w:szCs w:val="36"/>
      <w:lang w:eastAsia="en-US"/>
    </w:rPr>
  </w:style>
  <w:style w:type="paragraph" w:customStyle="1" w:styleId="4-SubsectSubhead">
    <w:name w:val="4-Subsect Subhead"/>
    <w:basedOn w:val="Heading3"/>
    <w:next w:val="ExecSumBodyText"/>
    <w:link w:val="4-SubsectSubheadChar"/>
    <w:qFormat/>
    <w:rsid w:val="008621F4"/>
    <w:pPr>
      <w:keepNext/>
      <w:keepLines/>
      <w:spacing w:before="160" w:after="120"/>
    </w:pPr>
    <w:rPr>
      <w:rFonts w:asciiTheme="minorHAnsi" w:eastAsiaTheme="majorEastAsia" w:hAnsiTheme="minorHAnsi" w:cstheme="majorBidi"/>
      <w:b/>
      <w:color w:val="000000" w:themeColor="text1"/>
      <w:sz w:val="28"/>
      <w:szCs w:val="28"/>
      <w:u w:val="none"/>
    </w:rPr>
  </w:style>
  <w:style w:type="character" w:customStyle="1" w:styleId="4-SubsectSubheadChar">
    <w:name w:val="4-Subsect Subhead Char"/>
    <w:basedOn w:val="DefaultParagraphFont"/>
    <w:link w:val="4-SubsectSubhead"/>
    <w:rsid w:val="008621F4"/>
    <w:rPr>
      <w:rFonts w:asciiTheme="minorHAnsi" w:eastAsiaTheme="majorEastAsia" w:hAnsiTheme="minorHAnsi" w:cstheme="majorBidi"/>
      <w:b/>
      <w:color w:val="000000" w:themeColor="text1"/>
      <w:sz w:val="28"/>
      <w:szCs w:val="28"/>
    </w:rPr>
  </w:style>
  <w:style w:type="paragraph" w:styleId="ListBullet">
    <w:name w:val="List Bullet"/>
    <w:basedOn w:val="Normal"/>
    <w:semiHidden/>
    <w:unhideWhenUsed/>
    <w:rsid w:val="00EE1996"/>
    <w:pPr>
      <w:numPr>
        <w:numId w:val="3"/>
      </w:numPr>
      <w:contextualSpacing/>
    </w:pPr>
  </w:style>
  <w:style w:type="character" w:customStyle="1" w:styleId="TableTextChar">
    <w:name w:val="Table Text Char"/>
    <w:basedOn w:val="DefaultParagraphFont"/>
    <w:link w:val="TableText"/>
    <w:rsid w:val="00EE1996"/>
    <w:rPr>
      <w:rFonts w:ascii="Arial Narrow" w:eastAsiaTheme="majorEastAsia" w:hAnsi="Arial Narrow" w:cstheme="majorBidi"/>
      <w:bCs/>
      <w:szCs w:val="24"/>
    </w:rPr>
  </w:style>
  <w:style w:type="character" w:styleId="CommentReference">
    <w:name w:val="annotation reference"/>
    <w:aliases w:val="Table Title"/>
    <w:basedOn w:val="DefaultParagraphFont"/>
    <w:uiPriority w:val="99"/>
    <w:unhideWhenUsed/>
    <w:qFormat/>
    <w:rsid w:val="0029104F"/>
    <w:rPr>
      <w:sz w:val="16"/>
      <w:szCs w:val="16"/>
    </w:rPr>
  </w:style>
  <w:style w:type="paragraph" w:styleId="CommentText">
    <w:name w:val="annotation text"/>
    <w:basedOn w:val="Normal"/>
    <w:link w:val="CommentTextChar"/>
    <w:uiPriority w:val="99"/>
    <w:unhideWhenUsed/>
    <w:qFormat/>
    <w:rsid w:val="0029104F"/>
    <w:rPr>
      <w:sz w:val="20"/>
      <w:szCs w:val="20"/>
    </w:rPr>
  </w:style>
  <w:style w:type="character" w:customStyle="1" w:styleId="CommentTextChar">
    <w:name w:val="Comment Text Char"/>
    <w:basedOn w:val="DefaultParagraphFont"/>
    <w:link w:val="CommentText"/>
    <w:uiPriority w:val="99"/>
    <w:rsid w:val="0029104F"/>
    <w:rPr>
      <w:rFonts w:ascii="Calibri" w:hAnsi="Calibri" w:cs="Arial"/>
    </w:rPr>
  </w:style>
  <w:style w:type="paragraph" w:styleId="CommentSubject">
    <w:name w:val="annotation subject"/>
    <w:basedOn w:val="CommentText"/>
    <w:next w:val="CommentText"/>
    <w:link w:val="CommentSubjectChar"/>
    <w:semiHidden/>
    <w:unhideWhenUsed/>
    <w:rsid w:val="0029104F"/>
    <w:rPr>
      <w:b/>
      <w:bCs/>
    </w:rPr>
  </w:style>
  <w:style w:type="character" w:customStyle="1" w:styleId="CommentSubjectChar">
    <w:name w:val="Comment Subject Char"/>
    <w:basedOn w:val="CommentTextChar"/>
    <w:link w:val="CommentSubject"/>
    <w:semiHidden/>
    <w:rsid w:val="0029104F"/>
    <w:rPr>
      <w:rFonts w:ascii="Calibri" w:hAnsi="Calibri" w:cs="Arial"/>
      <w:b/>
      <w:bCs/>
    </w:rPr>
  </w:style>
  <w:style w:type="paragraph" w:customStyle="1" w:styleId="TableFooter">
    <w:name w:val="Table Footer"/>
    <w:basedOn w:val="Normal"/>
    <w:link w:val="TableFooterChar"/>
    <w:qFormat/>
    <w:rsid w:val="00273B29"/>
    <w:pPr>
      <w:widowControl w:val="0"/>
    </w:pPr>
    <w:rPr>
      <w:rFonts w:ascii="Arial Narrow" w:hAnsi="Arial Narrow"/>
      <w:snapToGrid w:val="0"/>
      <w:sz w:val="18"/>
      <w:szCs w:val="22"/>
      <w:lang w:eastAsia="en-US"/>
    </w:rPr>
  </w:style>
  <w:style w:type="character" w:customStyle="1" w:styleId="TableFooterChar">
    <w:name w:val="Table Footer Char"/>
    <w:link w:val="TableFooter"/>
    <w:rsid w:val="00273B29"/>
    <w:rPr>
      <w:rFonts w:ascii="Arial Narrow" w:hAnsi="Arial Narrow" w:cs="Arial"/>
      <w:snapToGrid w:val="0"/>
      <w:sz w:val="18"/>
      <w:szCs w:val="22"/>
      <w:lang w:eastAsia="en-US"/>
    </w:rPr>
  </w:style>
  <w:style w:type="paragraph" w:customStyle="1" w:styleId="TableHeading">
    <w:name w:val="Table Heading"/>
    <w:basedOn w:val="Normal"/>
    <w:link w:val="TableHeadingChar"/>
    <w:autoRedefine/>
    <w:qFormat/>
    <w:rsid w:val="00FD0396"/>
    <w:pPr>
      <w:keepNext/>
      <w:spacing w:before="240"/>
      <w:jc w:val="left"/>
    </w:pPr>
    <w:rPr>
      <w:rFonts w:ascii="Arial Narrow" w:eastAsiaTheme="minorHAnsi" w:hAnsi="Arial Narrow" w:cstheme="minorBidi"/>
      <w:b/>
      <w:sz w:val="20"/>
      <w:szCs w:val="20"/>
      <w:lang w:eastAsia="en-US"/>
    </w:rPr>
  </w:style>
  <w:style w:type="character" w:customStyle="1" w:styleId="TableHeadingChar">
    <w:name w:val="Table Heading Char"/>
    <w:link w:val="TableHeading"/>
    <w:rsid w:val="00FD0396"/>
    <w:rPr>
      <w:rFonts w:ascii="Arial Narrow" w:eastAsiaTheme="minorHAnsi" w:hAnsi="Arial Narrow" w:cstheme="minorBidi"/>
      <w:b/>
      <w:lang w:eastAsia="en-US"/>
    </w:rPr>
  </w:style>
  <w:style w:type="paragraph" w:styleId="ListParagraph">
    <w:name w:val="List Paragraph"/>
    <w:aliases w:val="Numbered para,BulletPoints,Bullet point,List Paragraph1,List Paragraph11,Recommendation,Styl moj,Akapit z listą11,Table Legend,Footnote,ES Paragraph,PBAC ES Paragraph,PBAC normal points,Bullet List,Section heading,Bullet1,Bullet 1"/>
    <w:basedOn w:val="Normal"/>
    <w:link w:val="ListParagraphChar"/>
    <w:uiPriority w:val="34"/>
    <w:qFormat/>
    <w:rsid w:val="003C7BE1"/>
    <w:pPr>
      <w:ind w:left="720"/>
      <w:contextualSpacing/>
    </w:pPr>
  </w:style>
  <w:style w:type="paragraph" w:customStyle="1" w:styleId="Default">
    <w:name w:val="Default"/>
    <w:rsid w:val="00561DDB"/>
    <w:pPr>
      <w:autoSpaceDE w:val="0"/>
      <w:autoSpaceDN w:val="0"/>
      <w:adjustRightInd w:val="0"/>
    </w:pPr>
    <w:rPr>
      <w:color w:val="000000"/>
      <w:sz w:val="24"/>
      <w:szCs w:val="24"/>
    </w:rPr>
  </w:style>
  <w:style w:type="paragraph" w:customStyle="1" w:styleId="NormalBulletList">
    <w:name w:val="Normal Bullet List"/>
    <w:basedOn w:val="Normal"/>
    <w:uiPriority w:val="3"/>
    <w:qFormat/>
    <w:rsid w:val="00E169B8"/>
    <w:pPr>
      <w:numPr>
        <w:numId w:val="6"/>
      </w:numPr>
      <w:spacing w:before="120" w:after="120" w:line="360" w:lineRule="auto"/>
      <w:jc w:val="left"/>
    </w:pPr>
    <w:rPr>
      <w:rFonts w:eastAsia="Calibri" w:cs="Times New Roman"/>
      <w:sz w:val="22"/>
      <w:szCs w:val="22"/>
      <w:lang w:eastAsia="en-US"/>
    </w:rPr>
  </w:style>
  <w:style w:type="paragraph" w:customStyle="1" w:styleId="NormalBulletList2">
    <w:name w:val="Normal Bullet List 2"/>
    <w:basedOn w:val="NormalBulletList"/>
    <w:qFormat/>
    <w:rsid w:val="00E169B8"/>
    <w:pPr>
      <w:numPr>
        <w:ilvl w:val="1"/>
        <w:numId w:val="5"/>
      </w:numPr>
      <w:spacing w:after="0"/>
      <w:ind w:left="709" w:hanging="357"/>
    </w:pPr>
    <w:rPr>
      <w:rFonts w:eastAsia="Times New Roman"/>
    </w:rPr>
  </w:style>
  <w:style w:type="character" w:customStyle="1" w:styleId="ListParagraphChar">
    <w:name w:val="List Paragraph Char"/>
    <w:aliases w:val="Numbered para Char,BulletPoints Char,Bullet point Char,List Paragraph1 Char,List Paragraph11 Char,Recommendation Char,Styl moj Char,Akapit z listą11 Char,Table Legend Char,Footnote Char,ES Paragraph Char,PBAC ES Paragraph Char"/>
    <w:basedOn w:val="DefaultParagraphFont"/>
    <w:link w:val="ListParagraph"/>
    <w:uiPriority w:val="34"/>
    <w:qFormat/>
    <w:locked/>
    <w:rsid w:val="00BC0669"/>
    <w:rPr>
      <w:rFonts w:ascii="Calibri" w:hAnsi="Calibri" w:cs="Arial"/>
      <w:sz w:val="24"/>
      <w:szCs w:val="24"/>
    </w:rPr>
  </w:style>
  <w:style w:type="paragraph" w:styleId="Header">
    <w:name w:val="header"/>
    <w:aliases w:val="Page Header,Header title,he=header,cntr/bld"/>
    <w:basedOn w:val="Normal"/>
    <w:link w:val="HeaderChar"/>
    <w:unhideWhenUsed/>
    <w:qFormat/>
    <w:rsid w:val="00FE7282"/>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rsid w:val="00FE7282"/>
    <w:rPr>
      <w:rFonts w:ascii="Calibri" w:hAnsi="Calibri" w:cs="Arial"/>
      <w:sz w:val="24"/>
      <w:szCs w:val="24"/>
    </w:rPr>
  </w:style>
  <w:style w:type="paragraph" w:styleId="Footer">
    <w:name w:val="footer"/>
    <w:basedOn w:val="Normal"/>
    <w:link w:val="FooterChar"/>
    <w:uiPriority w:val="99"/>
    <w:unhideWhenUsed/>
    <w:rsid w:val="00FE7282"/>
    <w:pPr>
      <w:tabs>
        <w:tab w:val="center" w:pos="4513"/>
        <w:tab w:val="right" w:pos="9026"/>
      </w:tabs>
    </w:pPr>
  </w:style>
  <w:style w:type="character" w:customStyle="1" w:styleId="FooterChar">
    <w:name w:val="Footer Char"/>
    <w:basedOn w:val="DefaultParagraphFont"/>
    <w:link w:val="Footer"/>
    <w:uiPriority w:val="99"/>
    <w:rsid w:val="00FE7282"/>
    <w:rPr>
      <w:rFonts w:ascii="Calibri" w:hAnsi="Calibri" w:cs="Arial"/>
      <w:sz w:val="24"/>
      <w:szCs w:val="24"/>
    </w:rPr>
  </w:style>
  <w:style w:type="paragraph" w:customStyle="1" w:styleId="Tabletext0">
    <w:name w:val="Table text"/>
    <w:link w:val="TabletextChar0"/>
    <w:qFormat/>
    <w:rsid w:val="00FF1FB0"/>
    <w:pPr>
      <w:keepNext/>
      <w:spacing w:before="40" w:after="40"/>
    </w:pPr>
    <w:rPr>
      <w:rFonts w:ascii="Arial Narrow" w:eastAsia="Calibri" w:hAnsi="Arial Narrow"/>
      <w:lang w:eastAsia="en-US"/>
    </w:rPr>
  </w:style>
  <w:style w:type="character" w:customStyle="1" w:styleId="TabletextChar0">
    <w:name w:val="Table text Char"/>
    <w:link w:val="Tabletext0"/>
    <w:rsid w:val="00FF1FB0"/>
    <w:rPr>
      <w:rFonts w:ascii="Arial Narrow" w:eastAsia="Calibri" w:hAnsi="Arial Narrow"/>
      <w:lang w:eastAsia="en-US"/>
    </w:rPr>
  </w:style>
  <w:style w:type="character" w:customStyle="1" w:styleId="Font">
    <w:name w:val="Font"/>
    <w:basedOn w:val="DefaultParagraphFont"/>
    <w:uiPriority w:val="1"/>
    <w:qFormat/>
    <w:rsid w:val="00344BA8"/>
    <w:rPr>
      <w:rFonts w:ascii="Candara" w:hAnsi="Candara"/>
      <w:sz w:val="24"/>
    </w:rPr>
  </w:style>
  <w:style w:type="paragraph" w:customStyle="1" w:styleId="PBACHeading1">
    <w:name w:val="PBAC Heading 1"/>
    <w:qFormat/>
    <w:rsid w:val="00344BA8"/>
    <w:pPr>
      <w:ind w:left="720" w:hanging="720"/>
    </w:pPr>
    <w:rPr>
      <w:rFonts w:ascii="Calibri" w:hAnsi="Calibri" w:cs="Arial"/>
      <w:b/>
      <w:snapToGrid w:val="0"/>
      <w:sz w:val="32"/>
      <w:szCs w:val="22"/>
      <w:lang w:eastAsia="en-US"/>
    </w:rPr>
  </w:style>
  <w:style w:type="paragraph" w:styleId="FootnoteText">
    <w:name w:val="footnote text"/>
    <w:basedOn w:val="Normal"/>
    <w:link w:val="FootnoteTextChar"/>
    <w:semiHidden/>
    <w:unhideWhenUsed/>
    <w:rsid w:val="00344BA8"/>
    <w:pPr>
      <w:widowControl w:val="0"/>
    </w:pPr>
    <w:rPr>
      <w:snapToGrid w:val="0"/>
      <w:sz w:val="20"/>
      <w:szCs w:val="20"/>
      <w:lang w:eastAsia="en-US"/>
    </w:rPr>
  </w:style>
  <w:style w:type="character" w:customStyle="1" w:styleId="FootnoteTextChar">
    <w:name w:val="Footnote Text Char"/>
    <w:basedOn w:val="DefaultParagraphFont"/>
    <w:link w:val="FootnoteText"/>
    <w:semiHidden/>
    <w:rsid w:val="00344BA8"/>
    <w:rPr>
      <w:rFonts w:ascii="Calibri" w:hAnsi="Calibri" w:cs="Arial"/>
      <w:snapToGrid w:val="0"/>
      <w:lang w:eastAsia="en-US"/>
    </w:rPr>
  </w:style>
  <w:style w:type="character" w:styleId="FootnoteReference">
    <w:name w:val="footnote reference"/>
    <w:basedOn w:val="DefaultParagraphFont"/>
    <w:semiHidden/>
    <w:unhideWhenUsed/>
    <w:rsid w:val="00344BA8"/>
    <w:rPr>
      <w:vertAlign w:val="superscript"/>
    </w:rPr>
  </w:style>
  <w:style w:type="paragraph" w:customStyle="1" w:styleId="Pa52">
    <w:name w:val="Pa5+2"/>
    <w:basedOn w:val="Default"/>
    <w:next w:val="Default"/>
    <w:uiPriority w:val="99"/>
    <w:rsid w:val="00344BA8"/>
    <w:pPr>
      <w:spacing w:line="181" w:lineRule="atLeast"/>
    </w:pPr>
    <w:rPr>
      <w:rFonts w:ascii="Graphik Light" w:hAnsi="Graphik Light"/>
      <w:color w:val="auto"/>
    </w:rPr>
  </w:style>
  <w:style w:type="character" w:customStyle="1" w:styleId="A142">
    <w:name w:val="A14+2"/>
    <w:uiPriority w:val="99"/>
    <w:rsid w:val="00344BA8"/>
    <w:rPr>
      <w:rFonts w:cs="Graphik Light"/>
      <w:color w:val="221E1F"/>
      <w:sz w:val="10"/>
      <w:szCs w:val="10"/>
    </w:rPr>
  </w:style>
  <w:style w:type="paragraph" w:styleId="TOC5">
    <w:name w:val="toc 5"/>
    <w:basedOn w:val="Normal"/>
    <w:next w:val="Normal"/>
    <w:autoRedefine/>
    <w:semiHidden/>
    <w:unhideWhenUsed/>
    <w:rsid w:val="00344BA8"/>
    <w:pPr>
      <w:spacing w:after="100"/>
      <w:ind w:left="960"/>
    </w:pPr>
  </w:style>
  <w:style w:type="character" w:customStyle="1" w:styleId="SmallSuperscript">
    <w:name w:val="Small Superscript"/>
    <w:basedOn w:val="DefaultParagraphFont"/>
    <w:uiPriority w:val="1"/>
    <w:qFormat/>
    <w:rsid w:val="00344BA8"/>
    <w:rPr>
      <w:rFonts w:ascii="Candara" w:hAnsi="Candara"/>
      <w:sz w:val="20"/>
      <w:vertAlign w:val="superscript"/>
    </w:rPr>
  </w:style>
  <w:style w:type="character" w:customStyle="1" w:styleId="CaptionFootnoteChar">
    <w:name w:val="Caption Footnote Char"/>
    <w:basedOn w:val="DefaultParagraphFont"/>
    <w:link w:val="CaptionFootnote"/>
    <w:rsid w:val="00344BA8"/>
    <w:rPr>
      <w:rFonts w:ascii="Candara" w:eastAsiaTheme="majorEastAsia" w:hAnsi="Candara" w:cstheme="majorBidi"/>
      <w:bCs/>
      <w:color w:val="4F81BD" w:themeColor="accent1"/>
      <w:sz w:val="16"/>
      <w:szCs w:val="18"/>
      <w:lang w:eastAsia="en-US" w:bidi="en-US"/>
    </w:rPr>
  </w:style>
  <w:style w:type="paragraph" w:customStyle="1" w:styleId="CaptionFootnote">
    <w:name w:val="Caption Footnote"/>
    <w:basedOn w:val="Caption"/>
    <w:link w:val="CaptionFootnoteChar"/>
    <w:qFormat/>
    <w:rsid w:val="00344BA8"/>
    <w:pPr>
      <w:widowControl w:val="0"/>
      <w:spacing w:after="0"/>
      <w:jc w:val="left"/>
    </w:pPr>
    <w:rPr>
      <w:rFonts w:ascii="Candara" w:eastAsiaTheme="majorEastAsia" w:hAnsi="Candara" w:cstheme="majorBidi"/>
      <w:bCs/>
      <w:i w:val="0"/>
      <w:iCs w:val="0"/>
      <w:color w:val="4F81BD" w:themeColor="accent1"/>
      <w:sz w:val="16"/>
      <w:lang w:eastAsia="en-US" w:bidi="en-US"/>
    </w:rPr>
  </w:style>
  <w:style w:type="paragraph" w:styleId="Caption">
    <w:name w:val="caption"/>
    <w:aliases w:val="Figure caption,Figure caption1 Char Char,IB Caption,Medical Caption,Medical Caption Char,Caption Char1 Char Char,Caption Char Char Char Char,Caption Char1 Char,Caption Char Char Char Char Char,Caption Char Char,Caption Char Char Char Char1,..."/>
    <w:basedOn w:val="Normal"/>
    <w:next w:val="Normal"/>
    <w:link w:val="CaptionChar"/>
    <w:uiPriority w:val="99"/>
    <w:unhideWhenUsed/>
    <w:qFormat/>
    <w:rsid w:val="00344BA8"/>
    <w:pPr>
      <w:spacing w:after="200"/>
    </w:pPr>
    <w:rPr>
      <w:i/>
      <w:iCs/>
      <w:color w:val="1F497D" w:themeColor="text2"/>
      <w:sz w:val="18"/>
      <w:szCs w:val="18"/>
    </w:rPr>
  </w:style>
  <w:style w:type="character" w:customStyle="1" w:styleId="Small">
    <w:name w:val="Small"/>
    <w:basedOn w:val="Font"/>
    <w:uiPriority w:val="4"/>
    <w:qFormat/>
    <w:rsid w:val="00344BA8"/>
    <w:rPr>
      <w:rFonts w:ascii="Candara" w:hAnsi="Candara"/>
      <w:sz w:val="20"/>
    </w:rPr>
  </w:style>
  <w:style w:type="character" w:customStyle="1" w:styleId="CaptionChar">
    <w:name w:val="Caption Char"/>
    <w:aliases w:val="Figure caption Char,Figure caption1 Char Char Char,IB Caption Char,Medical Caption Char1,Medical Caption Char Char,Caption Char1 Char Char Char,Caption Char Char Char Char Char1,Caption Char1 Char Char1,Caption Char Char Char Char Char Char"/>
    <w:link w:val="Caption"/>
    <w:uiPriority w:val="10"/>
    <w:locked/>
    <w:rsid w:val="00344BA8"/>
    <w:rPr>
      <w:rFonts w:ascii="Calibri" w:hAnsi="Calibri" w:cs="Arial"/>
      <w:i/>
      <w:iCs/>
      <w:color w:val="1F497D" w:themeColor="text2"/>
      <w:sz w:val="18"/>
      <w:szCs w:val="18"/>
    </w:rPr>
  </w:style>
  <w:style w:type="paragraph" w:customStyle="1" w:styleId="TableHeadingCentred">
    <w:name w:val="TableHeadingCentred"/>
    <w:basedOn w:val="Normal"/>
    <w:next w:val="Normal"/>
    <w:rsid w:val="00344BA8"/>
    <w:pPr>
      <w:keepNext/>
      <w:spacing w:before="40" w:after="40"/>
      <w:jc w:val="center"/>
    </w:pPr>
    <w:rPr>
      <w:rFonts w:ascii="Arial Narrow" w:hAnsi="Arial Narrow" w:cs="Times New Roman"/>
      <w:b/>
      <w:bCs/>
      <w:iCs/>
      <w:sz w:val="20"/>
      <w:szCs w:val="18"/>
      <w:lang w:eastAsia="zh-CN"/>
    </w:rPr>
  </w:style>
  <w:style w:type="paragraph" w:customStyle="1" w:styleId="Table">
    <w:name w:val="Table"/>
    <w:basedOn w:val="Normal"/>
    <w:link w:val="TableChar"/>
    <w:qFormat/>
    <w:rsid w:val="00344BA8"/>
    <w:pPr>
      <w:jc w:val="left"/>
    </w:pPr>
    <w:rPr>
      <w:rFonts w:ascii="Candara" w:eastAsiaTheme="majorEastAsia" w:hAnsi="Candara" w:cstheme="majorBidi"/>
      <w:sz w:val="20"/>
      <w:szCs w:val="22"/>
      <w:lang w:eastAsia="en-US" w:bidi="en-US"/>
    </w:rPr>
  </w:style>
  <w:style w:type="character" w:customStyle="1" w:styleId="TableChar">
    <w:name w:val="Table Char"/>
    <w:basedOn w:val="DefaultParagraphFont"/>
    <w:link w:val="Table"/>
    <w:locked/>
    <w:rsid w:val="00344BA8"/>
    <w:rPr>
      <w:rFonts w:ascii="Candara" w:eastAsiaTheme="majorEastAsia" w:hAnsi="Candara" w:cstheme="majorBidi"/>
      <w:szCs w:val="22"/>
      <w:lang w:eastAsia="en-US" w:bidi="en-US"/>
    </w:rPr>
  </w:style>
  <w:style w:type="paragraph" w:customStyle="1" w:styleId="TableCentre">
    <w:name w:val="Table Centre"/>
    <w:basedOn w:val="Table"/>
    <w:qFormat/>
    <w:rsid w:val="00344BA8"/>
    <w:pPr>
      <w:jc w:val="center"/>
    </w:pPr>
  </w:style>
  <w:style w:type="paragraph" w:customStyle="1" w:styleId="TableHeadingRow0">
    <w:name w:val="TableHeadingRow"/>
    <w:basedOn w:val="Normal"/>
    <w:next w:val="Normal"/>
    <w:rsid w:val="00344BA8"/>
    <w:pPr>
      <w:keepNext/>
      <w:spacing w:before="40" w:after="40"/>
      <w:jc w:val="left"/>
    </w:pPr>
    <w:rPr>
      <w:rFonts w:ascii="Arial Narrow" w:hAnsi="Arial Narrow" w:cs="Times New Roman"/>
      <w:b/>
      <w:bCs/>
      <w:iCs/>
      <w:sz w:val="20"/>
      <w:szCs w:val="18"/>
      <w:lang w:eastAsia="zh-CN"/>
    </w:rPr>
  </w:style>
  <w:style w:type="character" w:customStyle="1" w:styleId="SmallBold">
    <w:name w:val="Small Bold"/>
    <w:uiPriority w:val="4"/>
    <w:qFormat/>
    <w:rsid w:val="00344BA8"/>
    <w:rPr>
      <w:rFonts w:ascii="Candara" w:hAnsi="Candara"/>
      <w:b/>
      <w:sz w:val="20"/>
      <w:lang w:val="en-AU"/>
    </w:rPr>
  </w:style>
  <w:style w:type="paragraph" w:customStyle="1" w:styleId="Tabletextbulletdash">
    <w:name w:val="Table text bullet dash"/>
    <w:basedOn w:val="Tabletext0"/>
    <w:qFormat/>
    <w:rsid w:val="00344BA8"/>
    <w:pPr>
      <w:numPr>
        <w:numId w:val="8"/>
      </w:numPr>
      <w:adjustRightInd w:val="0"/>
      <w:snapToGrid w:val="0"/>
    </w:pPr>
    <w:rPr>
      <w:rFonts w:eastAsia="SimSun"/>
      <w:lang w:eastAsia="zh-CN"/>
    </w:rPr>
  </w:style>
  <w:style w:type="paragraph" w:styleId="Title">
    <w:name w:val="Title"/>
    <w:basedOn w:val="Normal"/>
    <w:next w:val="Normal"/>
    <w:link w:val="TitleChar"/>
    <w:rsid w:val="00344BA8"/>
    <w:pPr>
      <w:widowControl w:val="0"/>
      <w:spacing w:before="240" w:after="60"/>
      <w:jc w:val="center"/>
      <w:outlineLvl w:val="0"/>
    </w:pPr>
    <w:rPr>
      <w:rFonts w:ascii="Cambria" w:hAnsi="Cambria"/>
      <w:b/>
      <w:bCs/>
      <w:snapToGrid w:val="0"/>
      <w:kern w:val="28"/>
      <w:sz w:val="32"/>
      <w:szCs w:val="32"/>
      <w:lang w:eastAsia="en-US"/>
    </w:rPr>
  </w:style>
  <w:style w:type="character" w:customStyle="1" w:styleId="TitleChar">
    <w:name w:val="Title Char"/>
    <w:basedOn w:val="DefaultParagraphFont"/>
    <w:link w:val="Title"/>
    <w:rsid w:val="00344BA8"/>
    <w:rPr>
      <w:rFonts w:ascii="Cambria" w:hAnsi="Cambria" w:cs="Arial"/>
      <w:b/>
      <w:bCs/>
      <w:snapToGrid w:val="0"/>
      <w:kern w:val="28"/>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256715909">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353072538">
      <w:bodyDiv w:val="1"/>
      <w:marLeft w:val="0"/>
      <w:marRight w:val="0"/>
      <w:marTop w:val="0"/>
      <w:marBottom w:val="0"/>
      <w:divBdr>
        <w:top w:val="none" w:sz="0" w:space="0" w:color="auto"/>
        <w:left w:val="none" w:sz="0" w:space="0" w:color="auto"/>
        <w:bottom w:val="none" w:sz="0" w:space="0" w:color="auto"/>
        <w:right w:val="none" w:sz="0" w:space="0" w:color="auto"/>
      </w:divBdr>
      <w:divsChild>
        <w:div w:id="1167749128">
          <w:marLeft w:val="446"/>
          <w:marRight w:val="0"/>
          <w:marTop w:val="0"/>
          <w:marBottom w:val="0"/>
          <w:divBdr>
            <w:top w:val="none" w:sz="0" w:space="0" w:color="auto"/>
            <w:left w:val="none" w:sz="0" w:space="0" w:color="auto"/>
            <w:bottom w:val="none" w:sz="0" w:space="0" w:color="auto"/>
            <w:right w:val="none" w:sz="0" w:space="0" w:color="auto"/>
          </w:divBdr>
        </w:div>
      </w:divsChild>
    </w:div>
    <w:div w:id="693311340">
      <w:bodyDiv w:val="1"/>
      <w:marLeft w:val="0"/>
      <w:marRight w:val="0"/>
      <w:marTop w:val="0"/>
      <w:marBottom w:val="0"/>
      <w:divBdr>
        <w:top w:val="none" w:sz="0" w:space="0" w:color="auto"/>
        <w:left w:val="none" w:sz="0" w:space="0" w:color="auto"/>
        <w:bottom w:val="none" w:sz="0" w:space="0" w:color="auto"/>
        <w:right w:val="none" w:sz="0" w:space="0" w:color="auto"/>
      </w:divBdr>
      <w:divsChild>
        <w:div w:id="1428817084">
          <w:marLeft w:val="360"/>
          <w:marRight w:val="0"/>
          <w:marTop w:val="200"/>
          <w:marBottom w:val="0"/>
          <w:divBdr>
            <w:top w:val="none" w:sz="0" w:space="0" w:color="auto"/>
            <w:left w:val="none" w:sz="0" w:space="0" w:color="auto"/>
            <w:bottom w:val="none" w:sz="0" w:space="0" w:color="auto"/>
            <w:right w:val="none" w:sz="0" w:space="0" w:color="auto"/>
          </w:divBdr>
        </w:div>
      </w:divsChild>
    </w:div>
    <w:div w:id="1006517761">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073924">
      <w:bodyDiv w:val="1"/>
      <w:marLeft w:val="0"/>
      <w:marRight w:val="0"/>
      <w:marTop w:val="0"/>
      <w:marBottom w:val="0"/>
      <w:divBdr>
        <w:top w:val="none" w:sz="0" w:space="0" w:color="auto"/>
        <w:left w:val="none" w:sz="0" w:space="0" w:color="auto"/>
        <w:bottom w:val="none" w:sz="0" w:space="0" w:color="auto"/>
        <w:right w:val="none" w:sz="0" w:space="0" w:color="auto"/>
      </w:divBdr>
    </w:div>
    <w:div w:id="1590771161">
      <w:bodyDiv w:val="1"/>
      <w:marLeft w:val="0"/>
      <w:marRight w:val="0"/>
      <w:marTop w:val="0"/>
      <w:marBottom w:val="0"/>
      <w:divBdr>
        <w:top w:val="none" w:sz="0" w:space="0" w:color="auto"/>
        <w:left w:val="none" w:sz="0" w:space="0" w:color="auto"/>
        <w:bottom w:val="none" w:sz="0" w:space="0" w:color="auto"/>
        <w:right w:val="none" w:sz="0" w:space="0" w:color="auto"/>
      </w:divBdr>
    </w:div>
    <w:div w:id="1759910467">
      <w:bodyDiv w:val="1"/>
      <w:marLeft w:val="0"/>
      <w:marRight w:val="0"/>
      <w:marTop w:val="0"/>
      <w:marBottom w:val="0"/>
      <w:divBdr>
        <w:top w:val="none" w:sz="0" w:space="0" w:color="auto"/>
        <w:left w:val="none" w:sz="0" w:space="0" w:color="auto"/>
        <w:bottom w:val="none" w:sz="0" w:space="0" w:color="auto"/>
        <w:right w:val="none" w:sz="0" w:space="0" w:color="auto"/>
      </w:divBdr>
    </w:div>
    <w:div w:id="1845439988">
      <w:bodyDiv w:val="1"/>
      <w:marLeft w:val="0"/>
      <w:marRight w:val="0"/>
      <w:marTop w:val="0"/>
      <w:marBottom w:val="0"/>
      <w:divBdr>
        <w:top w:val="none" w:sz="0" w:space="0" w:color="auto"/>
        <w:left w:val="none" w:sz="0" w:space="0" w:color="auto"/>
        <w:bottom w:val="none" w:sz="0" w:space="0" w:color="auto"/>
        <w:right w:val="none" w:sz="0" w:space="0" w:color="auto"/>
      </w:divBdr>
      <w:divsChild>
        <w:div w:id="1615868375">
          <w:marLeft w:val="1080"/>
          <w:marRight w:val="0"/>
          <w:marTop w:val="100"/>
          <w:marBottom w:val="0"/>
          <w:divBdr>
            <w:top w:val="none" w:sz="0" w:space="0" w:color="auto"/>
            <w:left w:val="none" w:sz="0" w:space="0" w:color="auto"/>
            <w:bottom w:val="none" w:sz="0" w:space="0" w:color="auto"/>
            <w:right w:val="none" w:sz="0" w:space="0" w:color="auto"/>
          </w:divBdr>
        </w:div>
        <w:div w:id="1317109326">
          <w:marLeft w:val="1080"/>
          <w:marRight w:val="0"/>
          <w:marTop w:val="100"/>
          <w:marBottom w:val="0"/>
          <w:divBdr>
            <w:top w:val="none" w:sz="0" w:space="0" w:color="auto"/>
            <w:left w:val="none" w:sz="0" w:space="0" w:color="auto"/>
            <w:bottom w:val="none" w:sz="0" w:space="0" w:color="auto"/>
            <w:right w:val="none" w:sz="0" w:space="0" w:color="auto"/>
          </w:divBdr>
        </w:div>
        <w:div w:id="914974138">
          <w:marLeft w:val="1800"/>
          <w:marRight w:val="0"/>
          <w:marTop w:val="100"/>
          <w:marBottom w:val="0"/>
          <w:divBdr>
            <w:top w:val="none" w:sz="0" w:space="0" w:color="auto"/>
            <w:left w:val="none" w:sz="0" w:space="0" w:color="auto"/>
            <w:bottom w:val="none" w:sz="0" w:space="0" w:color="auto"/>
            <w:right w:val="none" w:sz="0" w:space="0" w:color="auto"/>
          </w:divBdr>
        </w:div>
        <w:div w:id="648246798">
          <w:marLeft w:val="1800"/>
          <w:marRight w:val="0"/>
          <w:marTop w:val="100"/>
          <w:marBottom w:val="0"/>
          <w:divBdr>
            <w:top w:val="none" w:sz="0" w:space="0" w:color="auto"/>
            <w:left w:val="none" w:sz="0" w:space="0" w:color="auto"/>
            <w:bottom w:val="none" w:sz="0" w:space="0" w:color="auto"/>
            <w:right w:val="none" w:sz="0" w:space="0" w:color="auto"/>
          </w:divBdr>
        </w:div>
        <w:div w:id="960385495">
          <w:marLeft w:val="1800"/>
          <w:marRight w:val="0"/>
          <w:marTop w:val="100"/>
          <w:marBottom w:val="0"/>
          <w:divBdr>
            <w:top w:val="none" w:sz="0" w:space="0" w:color="auto"/>
            <w:left w:val="none" w:sz="0" w:space="0" w:color="auto"/>
            <w:bottom w:val="none" w:sz="0" w:space="0" w:color="auto"/>
            <w:right w:val="none" w:sz="0" w:space="0" w:color="auto"/>
          </w:divBdr>
        </w:div>
        <w:div w:id="1110785736">
          <w:marLeft w:val="1800"/>
          <w:marRight w:val="0"/>
          <w:marTop w:val="100"/>
          <w:marBottom w:val="0"/>
          <w:divBdr>
            <w:top w:val="none" w:sz="0" w:space="0" w:color="auto"/>
            <w:left w:val="none" w:sz="0" w:space="0" w:color="auto"/>
            <w:bottom w:val="none" w:sz="0" w:space="0" w:color="auto"/>
            <w:right w:val="none" w:sz="0" w:space="0" w:color="auto"/>
          </w:divBdr>
        </w:div>
        <w:div w:id="1454714189">
          <w:marLeft w:val="1800"/>
          <w:marRight w:val="0"/>
          <w:marTop w:val="100"/>
          <w:marBottom w:val="0"/>
          <w:divBdr>
            <w:top w:val="none" w:sz="0" w:space="0" w:color="auto"/>
            <w:left w:val="none" w:sz="0" w:space="0" w:color="auto"/>
            <w:bottom w:val="none" w:sz="0" w:space="0" w:color="auto"/>
            <w:right w:val="none" w:sz="0" w:space="0" w:color="auto"/>
          </w:divBdr>
        </w:div>
        <w:div w:id="305941799">
          <w:marLeft w:val="1800"/>
          <w:marRight w:val="0"/>
          <w:marTop w:val="100"/>
          <w:marBottom w:val="0"/>
          <w:divBdr>
            <w:top w:val="none" w:sz="0" w:space="0" w:color="auto"/>
            <w:left w:val="none" w:sz="0" w:space="0" w:color="auto"/>
            <w:bottom w:val="none" w:sz="0" w:space="0" w:color="auto"/>
            <w:right w:val="none" w:sz="0" w:space="0" w:color="auto"/>
          </w:divBdr>
        </w:div>
      </w:divsChild>
    </w:div>
    <w:div w:id="1881357767">
      <w:bodyDiv w:val="1"/>
      <w:marLeft w:val="0"/>
      <w:marRight w:val="0"/>
      <w:marTop w:val="0"/>
      <w:marBottom w:val="0"/>
      <w:divBdr>
        <w:top w:val="none" w:sz="0" w:space="0" w:color="auto"/>
        <w:left w:val="none" w:sz="0" w:space="0" w:color="auto"/>
        <w:bottom w:val="none" w:sz="0" w:space="0" w:color="auto"/>
        <w:right w:val="none" w:sz="0" w:space="0" w:color="auto"/>
      </w:divBdr>
    </w:div>
    <w:div w:id="1945728633">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2098093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2.xml"/><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8DA34E-6D64-44FF-BE07-6AE959C82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42</Pages>
  <Words>17131</Words>
  <Characters>97749</Characters>
  <Application>Microsoft Office Word</Application>
  <DocSecurity>0</DocSecurity>
  <Lines>814</Lines>
  <Paragraphs>229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2021-03-02T02:28:00Z</dcterms:created>
  <dcterms:modified xsi:type="dcterms:W3CDTF">2021-03-02T02:30:00Z</dcterms:modified>
</cp:coreProperties>
</file>