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2424E" w14:textId="77777777" w:rsidR="00B60939" w:rsidRPr="00917415" w:rsidRDefault="001B50FC" w:rsidP="00516F35">
      <w:pPr>
        <w:pStyle w:val="1-MainHeading"/>
      </w:pPr>
      <w:bookmarkStart w:id="0" w:name="_Toc51152446"/>
      <w:r w:rsidRPr="00917415">
        <w:t>5.10</w:t>
      </w:r>
      <w:r w:rsidR="00163F66" w:rsidRPr="00917415">
        <w:tab/>
      </w:r>
      <w:r w:rsidR="00D75806" w:rsidRPr="00917415">
        <w:t>ONASEMNOGENE ABEPARVOVEC</w:t>
      </w:r>
      <w:r w:rsidR="00163F66" w:rsidRPr="00917415">
        <w:t>,</w:t>
      </w:r>
      <w:r w:rsidR="00163F66" w:rsidRPr="00917415">
        <w:br/>
      </w:r>
      <w:r w:rsidRPr="00917415">
        <w:t>Solution for injection</w:t>
      </w:r>
      <w:r w:rsidR="00163F66" w:rsidRPr="00917415">
        <w:t>,</w:t>
      </w:r>
      <w:r w:rsidR="00FD1457" w:rsidRPr="00917415">
        <w:t xml:space="preserve"> </w:t>
      </w:r>
      <w:r w:rsidR="0004317C" w:rsidRPr="00917415">
        <w:br/>
        <w:t xml:space="preserve">Customised </w:t>
      </w:r>
      <w:r w:rsidRPr="00917415">
        <w:t>based on patient weight</w:t>
      </w:r>
      <w:r w:rsidR="00163F66" w:rsidRPr="00917415">
        <w:t>,</w:t>
      </w:r>
      <w:r w:rsidR="00163F66" w:rsidRPr="00917415">
        <w:br/>
      </w:r>
      <w:r w:rsidRPr="00917415">
        <w:t>Zolgensma</w:t>
      </w:r>
      <w:r w:rsidR="00B60939" w:rsidRPr="00917415">
        <w:rPr>
          <w:vertAlign w:val="superscript"/>
        </w:rPr>
        <w:t>®</w:t>
      </w:r>
      <w:r w:rsidR="004A6040" w:rsidRPr="00917415">
        <w:t>,</w:t>
      </w:r>
      <w:r w:rsidR="00FD1457" w:rsidRPr="00917415">
        <w:t xml:space="preserve"> </w:t>
      </w:r>
      <w:r w:rsidR="00C040AD" w:rsidRPr="00917415">
        <w:br/>
      </w:r>
      <w:r w:rsidRPr="00917415">
        <w:t>Novartis Pharmaceuticals Aust</w:t>
      </w:r>
      <w:r w:rsidR="00C040AD" w:rsidRPr="00917415">
        <w:t>ralia</w:t>
      </w:r>
      <w:r w:rsidRPr="00917415">
        <w:t xml:space="preserve"> Pty Ltd</w:t>
      </w:r>
      <w:bookmarkEnd w:id="0"/>
    </w:p>
    <w:p w14:paraId="47466EBF" w14:textId="77777777" w:rsidR="00B50DB8" w:rsidRPr="00917415" w:rsidRDefault="00B50DB8" w:rsidP="00516F35">
      <w:pPr>
        <w:pStyle w:val="2-SectionHeading"/>
      </w:pPr>
      <w:bookmarkStart w:id="1" w:name="_Toc51152448"/>
      <w:r w:rsidRPr="00917415">
        <w:t xml:space="preserve">Purpose of </w:t>
      </w:r>
      <w:r w:rsidR="00CD7193" w:rsidRPr="00917415">
        <w:t>s</w:t>
      </w:r>
      <w:r w:rsidR="00BB3A45" w:rsidRPr="00917415">
        <w:t>ubmission</w:t>
      </w:r>
      <w:bookmarkEnd w:id="1"/>
    </w:p>
    <w:p w14:paraId="74136901" w14:textId="77777777" w:rsidR="00422C32" w:rsidRPr="00917415" w:rsidRDefault="00422C32" w:rsidP="00516F35">
      <w:pPr>
        <w:pStyle w:val="3-BodyText"/>
      </w:pPr>
      <w:r w:rsidRPr="00917415">
        <w:t xml:space="preserve">The submission requested listing for onasemnogene abeparvovec (ONA) for the treatment of spinal muscular atrophy (SMA) Type I </w:t>
      </w:r>
      <w:r w:rsidR="00CB7BEF" w:rsidRPr="00917415">
        <w:t xml:space="preserve">in </w:t>
      </w:r>
      <w:r w:rsidRPr="00917415">
        <w:t>patients under 2 years of age.</w:t>
      </w:r>
    </w:p>
    <w:p w14:paraId="27B0407A" w14:textId="77777777" w:rsidR="00422C32" w:rsidRPr="00917415" w:rsidRDefault="00422C32" w:rsidP="00516F35">
      <w:pPr>
        <w:pStyle w:val="3-BodyText"/>
      </w:pPr>
      <w:r w:rsidRPr="00917415">
        <w:t>Listing was requested on the basis of cost-effectiveness analys</w:t>
      </w:r>
      <w:r w:rsidR="00485F65" w:rsidRPr="00917415">
        <w:t>e</w:t>
      </w:r>
      <w:r w:rsidRPr="00917415">
        <w:t xml:space="preserve">s versus </w:t>
      </w:r>
      <w:r w:rsidR="0064714D" w:rsidRPr="00917415">
        <w:t>nusinersen</w:t>
      </w:r>
      <w:r w:rsidRPr="00917415">
        <w:t xml:space="preserve"> </w:t>
      </w:r>
      <w:r w:rsidR="00EE09B5" w:rsidRPr="00917415">
        <w:t xml:space="preserve">(NUSI) </w:t>
      </w:r>
      <w:r w:rsidRPr="00917415">
        <w:t>and best supportive care (BSC)</w:t>
      </w:r>
      <w:r w:rsidRPr="00917415">
        <w:rPr>
          <w:color w:val="0066FF"/>
        </w:rPr>
        <w:t>.</w:t>
      </w:r>
    </w:p>
    <w:p w14:paraId="2FA65E90" w14:textId="77777777" w:rsidR="006F76E3" w:rsidRPr="00917415" w:rsidRDefault="006F76E3" w:rsidP="00CC18E5">
      <w:pPr>
        <w:pStyle w:val="TableFigureHeading"/>
      </w:pPr>
      <w:r w:rsidRPr="00917415">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7765"/>
      </w:tblGrid>
      <w:tr w:rsidR="006F76E3" w:rsidRPr="00917415" w14:paraId="769924AA" w14:textId="77777777" w:rsidTr="00CC18E5">
        <w:tc>
          <w:tcPr>
            <w:tcW w:w="694" w:type="pct"/>
            <w:vAlign w:val="center"/>
          </w:tcPr>
          <w:p w14:paraId="1C8696C7" w14:textId="77777777" w:rsidR="006F76E3" w:rsidRPr="00917415" w:rsidRDefault="006F76E3" w:rsidP="00516F35">
            <w:pPr>
              <w:keepNext/>
              <w:rPr>
                <w:rFonts w:ascii="Arial Narrow" w:eastAsia="MS Gothic" w:hAnsi="Arial Narrow" w:cs="Times New Roman"/>
                <w:b/>
                <w:sz w:val="20"/>
              </w:rPr>
            </w:pPr>
            <w:r w:rsidRPr="00917415">
              <w:rPr>
                <w:rFonts w:ascii="Arial Narrow" w:eastAsia="MS Gothic" w:hAnsi="Arial Narrow" w:cs="Times New Roman"/>
                <w:b/>
                <w:sz w:val="20"/>
              </w:rPr>
              <w:t>Component</w:t>
            </w:r>
          </w:p>
        </w:tc>
        <w:tc>
          <w:tcPr>
            <w:tcW w:w="4306" w:type="pct"/>
            <w:vAlign w:val="center"/>
          </w:tcPr>
          <w:p w14:paraId="72530950" w14:textId="77777777" w:rsidR="006F76E3" w:rsidRPr="00917415" w:rsidRDefault="006F76E3" w:rsidP="00516F35">
            <w:pPr>
              <w:keepNext/>
              <w:rPr>
                <w:rFonts w:ascii="Arial Narrow" w:eastAsia="MS Gothic" w:hAnsi="Arial Narrow" w:cs="Times New Roman"/>
                <w:b/>
                <w:sz w:val="20"/>
              </w:rPr>
            </w:pPr>
            <w:r w:rsidRPr="00917415">
              <w:rPr>
                <w:rFonts w:ascii="Arial Narrow" w:eastAsia="MS Gothic" w:hAnsi="Arial Narrow" w:cs="Times New Roman"/>
                <w:b/>
                <w:sz w:val="20"/>
              </w:rPr>
              <w:t>Description</w:t>
            </w:r>
          </w:p>
        </w:tc>
      </w:tr>
      <w:tr w:rsidR="006F76E3" w:rsidRPr="00917415" w14:paraId="1A3FC6C9" w14:textId="77777777" w:rsidTr="00CC18E5">
        <w:tc>
          <w:tcPr>
            <w:tcW w:w="694" w:type="pct"/>
            <w:vAlign w:val="center"/>
          </w:tcPr>
          <w:p w14:paraId="6C208F75" w14:textId="77777777"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Population</w:t>
            </w:r>
          </w:p>
        </w:tc>
        <w:tc>
          <w:tcPr>
            <w:tcW w:w="4306" w:type="pct"/>
            <w:vAlign w:val="center"/>
          </w:tcPr>
          <w:p w14:paraId="382C6587" w14:textId="77777777"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 xml:space="preserve">Paediatric patients less than 2 years of age with SMA with bi-allelic mutations in the </w:t>
            </w:r>
            <w:r w:rsidR="004400AE" w:rsidRPr="00917415">
              <w:rPr>
                <w:rFonts w:ascii="Arial Narrow" w:eastAsia="MS Gothic" w:hAnsi="Arial Narrow" w:cs="Times New Roman"/>
                <w:bCs/>
                <w:sz w:val="20"/>
              </w:rPr>
              <w:t>SMN1</w:t>
            </w:r>
            <w:r w:rsidRPr="00917415">
              <w:rPr>
                <w:rFonts w:ascii="Arial Narrow" w:eastAsia="MS Gothic" w:hAnsi="Arial Narrow" w:cs="Times New Roman"/>
                <w:bCs/>
                <w:sz w:val="20"/>
              </w:rPr>
              <w:t xml:space="preserve"> gene</w:t>
            </w:r>
          </w:p>
        </w:tc>
      </w:tr>
      <w:tr w:rsidR="006F76E3" w:rsidRPr="00917415" w14:paraId="04DE6B74" w14:textId="77777777" w:rsidTr="00CC18E5">
        <w:tc>
          <w:tcPr>
            <w:tcW w:w="694" w:type="pct"/>
            <w:tcBorders>
              <w:bottom w:val="single" w:sz="4" w:space="0" w:color="auto"/>
            </w:tcBorders>
            <w:vAlign w:val="center"/>
          </w:tcPr>
          <w:p w14:paraId="1BB9BF39" w14:textId="77777777"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Intervention</w:t>
            </w:r>
          </w:p>
        </w:tc>
        <w:tc>
          <w:tcPr>
            <w:tcW w:w="4306" w:type="pct"/>
            <w:vAlign w:val="center"/>
          </w:tcPr>
          <w:p w14:paraId="3FE9BC02" w14:textId="77777777"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ONA is administered as a single</w:t>
            </w:r>
            <w:r w:rsidR="00513513" w:rsidRPr="00917415">
              <w:rPr>
                <w:rFonts w:ascii="Arial Narrow" w:eastAsia="MS Gothic" w:hAnsi="Arial Narrow" w:cs="Times New Roman"/>
                <w:bCs/>
                <w:sz w:val="20"/>
              </w:rPr>
              <w:t xml:space="preserve"> (once off)</w:t>
            </w:r>
            <w:r w:rsidRPr="00917415">
              <w:rPr>
                <w:rFonts w:ascii="Arial Narrow" w:eastAsia="MS Gothic" w:hAnsi="Arial Narrow" w:cs="Times New Roman"/>
                <w:bCs/>
                <w:sz w:val="20"/>
              </w:rPr>
              <w:t xml:space="preserve"> intravenous infusion through a venous catheter delivered over 60 minutes. The recommended dose is 1.1 x 10</w:t>
            </w:r>
            <w:r w:rsidRPr="00917415">
              <w:rPr>
                <w:rFonts w:ascii="Arial Narrow" w:eastAsia="MS Gothic" w:hAnsi="Arial Narrow" w:cs="Times New Roman"/>
                <w:bCs/>
                <w:sz w:val="20"/>
                <w:vertAlign w:val="superscript"/>
              </w:rPr>
              <w:t>14</w:t>
            </w:r>
            <w:r w:rsidRPr="00917415">
              <w:rPr>
                <w:rFonts w:ascii="Arial Narrow" w:eastAsia="MS Gothic" w:hAnsi="Arial Narrow" w:cs="Times New Roman"/>
                <w:bCs/>
                <w:sz w:val="20"/>
              </w:rPr>
              <w:t xml:space="preserve"> vector genomes per kilogram (vg/kg) of body weight, to be individually made up by the sponsor for each patient. To manage possible liver function abnormalities, all patients should receive</w:t>
            </w:r>
            <w:r w:rsidR="001F56C1" w:rsidRPr="00917415">
              <w:rPr>
                <w:rFonts w:ascii="Arial Narrow" w:eastAsia="MS Gothic" w:hAnsi="Arial Narrow" w:cs="Times New Roman"/>
                <w:bCs/>
                <w:sz w:val="20"/>
              </w:rPr>
              <w:t xml:space="preserve"> a course of</w:t>
            </w:r>
            <w:r w:rsidRPr="00917415">
              <w:rPr>
                <w:rFonts w:ascii="Arial Narrow" w:eastAsia="MS Gothic" w:hAnsi="Arial Narrow" w:cs="Times New Roman"/>
                <w:bCs/>
                <w:sz w:val="20"/>
              </w:rPr>
              <w:t xml:space="preserve"> oral prednisolone (1mg/kg)</w:t>
            </w:r>
            <w:r w:rsidR="001F56C1" w:rsidRPr="00917415">
              <w:rPr>
                <w:rFonts w:ascii="Arial Narrow" w:eastAsia="MS Gothic" w:hAnsi="Arial Narrow" w:cs="Times New Roman"/>
                <w:bCs/>
                <w:sz w:val="20"/>
              </w:rPr>
              <w:t xml:space="preserve"> as described in the product </w:t>
            </w:r>
            <w:r w:rsidR="00872AE2" w:rsidRPr="00917415">
              <w:rPr>
                <w:rFonts w:ascii="Arial Narrow" w:eastAsia="MS Gothic" w:hAnsi="Arial Narrow" w:cs="Times New Roman"/>
                <w:bCs/>
                <w:sz w:val="20"/>
              </w:rPr>
              <w:t>information</w:t>
            </w:r>
            <w:r w:rsidR="00401E4D" w:rsidRPr="00917415">
              <w:rPr>
                <w:rFonts w:ascii="Arial Narrow" w:eastAsia="MS Gothic" w:hAnsi="Arial Narrow" w:cs="Times New Roman"/>
                <w:bCs/>
                <w:sz w:val="20"/>
              </w:rPr>
              <w:t>.</w:t>
            </w:r>
            <w:r w:rsidR="001F56C1" w:rsidRPr="00917415">
              <w:rPr>
                <w:rFonts w:ascii="Arial Narrow" w:eastAsia="MS Gothic" w:hAnsi="Arial Narrow" w:cs="Times New Roman"/>
                <w:bCs/>
                <w:sz w:val="20"/>
              </w:rPr>
              <w:t xml:space="preserve"> </w:t>
            </w:r>
          </w:p>
        </w:tc>
      </w:tr>
      <w:tr w:rsidR="006F76E3" w:rsidRPr="00917415" w14:paraId="56F84205" w14:textId="77777777" w:rsidTr="00CC18E5">
        <w:trPr>
          <w:trHeight w:val="469"/>
        </w:trPr>
        <w:tc>
          <w:tcPr>
            <w:tcW w:w="694" w:type="pct"/>
            <w:vAlign w:val="center"/>
          </w:tcPr>
          <w:p w14:paraId="63CCE2A2" w14:textId="77777777"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Comparator</w:t>
            </w:r>
          </w:p>
        </w:tc>
        <w:tc>
          <w:tcPr>
            <w:tcW w:w="4306" w:type="pct"/>
            <w:vAlign w:val="center"/>
          </w:tcPr>
          <w:p w14:paraId="461F421C" w14:textId="77777777" w:rsidR="004B6FDF" w:rsidRPr="00917415" w:rsidRDefault="00EE09B5" w:rsidP="00516F35">
            <w:pPr>
              <w:keepNext/>
              <w:numPr>
                <w:ilvl w:val="0"/>
                <w:numId w:val="13"/>
              </w:numPr>
              <w:ind w:left="59" w:hanging="142"/>
              <w:rPr>
                <w:rFonts w:ascii="Arial Narrow" w:eastAsia="MS Gothic" w:hAnsi="Arial Narrow" w:cs="Times New Roman"/>
                <w:bCs/>
                <w:sz w:val="20"/>
              </w:rPr>
            </w:pPr>
            <w:r w:rsidRPr="00917415">
              <w:rPr>
                <w:rFonts w:ascii="Arial Narrow" w:hAnsi="Arial Narrow" w:cs="Times New Roman"/>
                <w:sz w:val="20"/>
                <w:szCs w:val="20"/>
                <w:lang w:eastAsia="en-GB"/>
              </w:rPr>
              <w:t>NUSI</w:t>
            </w:r>
            <w:r w:rsidR="006F76E3" w:rsidRPr="00917415">
              <w:rPr>
                <w:rFonts w:ascii="Arial Narrow" w:eastAsia="MS Gothic" w:hAnsi="Arial Narrow" w:cs="Times New Roman"/>
                <w:bCs/>
                <w:sz w:val="20"/>
              </w:rPr>
              <w:t xml:space="preserve"> intrathecal injections</w:t>
            </w:r>
            <w:r w:rsidR="004B6FDF" w:rsidRPr="00917415">
              <w:rPr>
                <w:rFonts w:ascii="Arial Narrow" w:eastAsia="MS Gothic" w:hAnsi="Arial Narrow" w:cs="Times New Roman"/>
                <w:bCs/>
                <w:sz w:val="20"/>
              </w:rPr>
              <w:t xml:space="preserve"> and </w:t>
            </w:r>
          </w:p>
          <w:p w14:paraId="3837FD2C" w14:textId="77777777" w:rsidR="006F76E3" w:rsidRPr="00917415" w:rsidRDefault="0049693C" w:rsidP="00516F35">
            <w:pPr>
              <w:keepNext/>
              <w:numPr>
                <w:ilvl w:val="0"/>
                <w:numId w:val="13"/>
              </w:numPr>
              <w:ind w:left="59" w:hanging="142"/>
              <w:rPr>
                <w:rFonts w:ascii="Arial Narrow" w:eastAsia="MS Gothic" w:hAnsi="Arial Narrow" w:cs="Times New Roman"/>
                <w:bCs/>
                <w:sz w:val="20"/>
              </w:rPr>
            </w:pPr>
            <w:r w:rsidRPr="00917415">
              <w:rPr>
                <w:rFonts w:ascii="Arial Narrow" w:hAnsi="Arial Narrow" w:cs="Times New Roman"/>
                <w:sz w:val="20"/>
                <w:szCs w:val="20"/>
                <w:lang w:eastAsia="en-GB"/>
              </w:rPr>
              <w:t>b</w:t>
            </w:r>
            <w:r w:rsidR="006F76E3" w:rsidRPr="00917415">
              <w:rPr>
                <w:rFonts w:ascii="Arial Narrow" w:hAnsi="Arial Narrow" w:cs="Times New Roman"/>
                <w:sz w:val="20"/>
                <w:szCs w:val="20"/>
                <w:lang w:eastAsia="en-GB"/>
              </w:rPr>
              <w:t>est</w:t>
            </w:r>
            <w:r w:rsidR="006F76E3" w:rsidRPr="00917415">
              <w:rPr>
                <w:rFonts w:ascii="Arial Narrow" w:eastAsia="MS Gothic" w:hAnsi="Arial Narrow" w:cs="Times New Roman"/>
                <w:bCs/>
                <w:sz w:val="20"/>
              </w:rPr>
              <w:t xml:space="preserve"> supportive care</w:t>
            </w:r>
          </w:p>
        </w:tc>
      </w:tr>
      <w:tr w:rsidR="006F76E3" w:rsidRPr="00917415" w14:paraId="762C7C4F" w14:textId="77777777" w:rsidTr="00CC18E5">
        <w:tc>
          <w:tcPr>
            <w:tcW w:w="694" w:type="pct"/>
            <w:tcBorders>
              <w:top w:val="single" w:sz="4" w:space="0" w:color="auto"/>
            </w:tcBorders>
            <w:vAlign w:val="center"/>
          </w:tcPr>
          <w:p w14:paraId="0D09AD22" w14:textId="77777777"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Outcomes</w:t>
            </w:r>
          </w:p>
        </w:tc>
        <w:tc>
          <w:tcPr>
            <w:tcW w:w="4306" w:type="pct"/>
            <w:tcBorders>
              <w:top w:val="single" w:sz="4" w:space="0" w:color="auto"/>
            </w:tcBorders>
          </w:tcPr>
          <w:p w14:paraId="4743B9BB" w14:textId="77777777" w:rsidR="006F76E3" w:rsidRPr="00917415" w:rsidRDefault="006F76E3" w:rsidP="00516F35">
            <w:pPr>
              <w:keepNext/>
              <w:numPr>
                <w:ilvl w:val="0"/>
                <w:numId w:val="13"/>
              </w:numPr>
              <w:ind w:left="59" w:hanging="142"/>
              <w:rPr>
                <w:rFonts w:ascii="Arial Narrow" w:hAnsi="Arial Narrow" w:cs="Times New Roman"/>
                <w:sz w:val="20"/>
                <w:szCs w:val="20"/>
                <w:lang w:eastAsia="en-GB"/>
              </w:rPr>
            </w:pPr>
            <w:r w:rsidRPr="00917415">
              <w:rPr>
                <w:rFonts w:ascii="Arial Narrow" w:hAnsi="Arial Narrow" w:cs="Times New Roman"/>
                <w:sz w:val="20"/>
                <w:szCs w:val="20"/>
                <w:lang w:eastAsia="en-GB"/>
              </w:rPr>
              <w:t>Time to death or permanent ventilation</w:t>
            </w:r>
          </w:p>
          <w:p w14:paraId="0C39269C" w14:textId="77777777" w:rsidR="006F76E3" w:rsidRPr="00917415" w:rsidRDefault="006F76E3" w:rsidP="00516F35">
            <w:pPr>
              <w:keepNext/>
              <w:numPr>
                <w:ilvl w:val="0"/>
                <w:numId w:val="13"/>
              </w:numPr>
              <w:ind w:left="59" w:hanging="142"/>
              <w:rPr>
                <w:rFonts w:ascii="Arial Narrow" w:hAnsi="Arial Narrow" w:cs="Times New Roman"/>
                <w:sz w:val="20"/>
                <w:szCs w:val="20"/>
                <w:lang w:eastAsia="en-GB"/>
              </w:rPr>
            </w:pPr>
            <w:r w:rsidRPr="00917415">
              <w:rPr>
                <w:rFonts w:ascii="Arial Narrow" w:hAnsi="Arial Narrow" w:cs="Times New Roman"/>
                <w:sz w:val="20"/>
                <w:szCs w:val="20"/>
                <w:lang w:eastAsia="en-GB"/>
              </w:rPr>
              <w:t>Improvement in motor milestones (independent sitting and walking measured by the Bayley scales), including CHOP-INTEND score</w:t>
            </w:r>
          </w:p>
          <w:p w14:paraId="078AE2D3" w14:textId="77777777" w:rsidR="006F76E3" w:rsidRPr="00917415" w:rsidRDefault="006F76E3" w:rsidP="00516F35">
            <w:pPr>
              <w:keepNext/>
              <w:numPr>
                <w:ilvl w:val="0"/>
                <w:numId w:val="13"/>
              </w:numPr>
              <w:ind w:left="59" w:hanging="142"/>
              <w:rPr>
                <w:rFonts w:ascii="Arial Narrow" w:hAnsi="Arial Narrow" w:cs="Times New Roman"/>
                <w:lang w:eastAsia="en-GB"/>
              </w:rPr>
            </w:pPr>
            <w:r w:rsidRPr="00917415">
              <w:rPr>
                <w:rFonts w:ascii="Arial Narrow" w:hAnsi="Arial Narrow" w:cs="Times New Roman"/>
                <w:sz w:val="20"/>
                <w:szCs w:val="20"/>
                <w:lang w:eastAsia="en-GB"/>
              </w:rPr>
              <w:t>Safety (primary endpoint of START trial)</w:t>
            </w:r>
          </w:p>
        </w:tc>
      </w:tr>
      <w:tr w:rsidR="006F76E3" w:rsidRPr="00917415" w14:paraId="4D218BC8" w14:textId="77777777" w:rsidTr="00CC18E5">
        <w:tc>
          <w:tcPr>
            <w:tcW w:w="694" w:type="pct"/>
            <w:vMerge w:val="restart"/>
            <w:vAlign w:val="center"/>
          </w:tcPr>
          <w:p w14:paraId="23A9E3BA" w14:textId="77777777" w:rsidR="006F76E3" w:rsidRPr="00917415" w:rsidRDefault="006F76E3" w:rsidP="00516F35">
            <w:pPr>
              <w:keepNext/>
              <w:rPr>
                <w:rFonts w:ascii="Arial Narrow" w:eastAsia="MS Gothic" w:hAnsi="Arial Narrow" w:cs="Times New Roman"/>
                <w:bCs/>
                <w:sz w:val="20"/>
              </w:rPr>
            </w:pPr>
            <w:r w:rsidRPr="00917415">
              <w:rPr>
                <w:rFonts w:ascii="Arial Narrow" w:eastAsia="MS Gothic" w:hAnsi="Arial Narrow" w:cs="Times New Roman"/>
                <w:bCs/>
                <w:sz w:val="20"/>
              </w:rPr>
              <w:t>Clinical claim</w:t>
            </w:r>
          </w:p>
        </w:tc>
        <w:tc>
          <w:tcPr>
            <w:tcW w:w="4306" w:type="pct"/>
            <w:tcBorders>
              <w:bottom w:val="nil"/>
            </w:tcBorders>
            <w:vAlign w:val="center"/>
          </w:tcPr>
          <w:p w14:paraId="47922851" w14:textId="77777777" w:rsidR="006F76E3" w:rsidRPr="00917415" w:rsidRDefault="006F76E3" w:rsidP="00516F35">
            <w:pPr>
              <w:keepNext/>
              <w:numPr>
                <w:ilvl w:val="0"/>
                <w:numId w:val="14"/>
              </w:numPr>
              <w:ind w:left="59" w:hanging="142"/>
              <w:rPr>
                <w:rFonts w:ascii="Arial Narrow" w:eastAsia="MS Gothic" w:hAnsi="Arial Narrow" w:cs="Times New Roman"/>
                <w:bCs/>
                <w:sz w:val="20"/>
              </w:rPr>
            </w:pPr>
            <w:r w:rsidRPr="00917415">
              <w:rPr>
                <w:rFonts w:ascii="Arial Narrow" w:eastAsia="MS Gothic" w:hAnsi="Arial Narrow" w:cs="Times New Roman"/>
                <w:bCs/>
                <w:sz w:val="20"/>
              </w:rPr>
              <w:t xml:space="preserve">In patients with Type I SMA, ONA is more effective than </w:t>
            </w:r>
            <w:r w:rsidR="00EE09B5" w:rsidRPr="00917415">
              <w:rPr>
                <w:rFonts w:ascii="Arial Narrow" w:eastAsia="MS Gothic" w:hAnsi="Arial Narrow" w:cs="Times New Roman"/>
                <w:bCs/>
                <w:sz w:val="20"/>
              </w:rPr>
              <w:t>NUSI</w:t>
            </w:r>
            <w:r w:rsidRPr="00917415">
              <w:rPr>
                <w:rFonts w:ascii="Arial Narrow" w:eastAsia="MS Gothic" w:hAnsi="Arial Narrow" w:cs="Times New Roman"/>
                <w:bCs/>
                <w:sz w:val="20"/>
              </w:rPr>
              <w:t xml:space="preserve"> at reducing mortality</w:t>
            </w:r>
            <w:r w:rsidR="0064714D" w:rsidRPr="00917415">
              <w:rPr>
                <w:rFonts w:ascii="Arial Narrow" w:eastAsia="MS Gothic" w:hAnsi="Arial Narrow" w:cs="Times New Roman"/>
                <w:bCs/>
                <w:sz w:val="20"/>
              </w:rPr>
              <w:t>;</w:t>
            </w:r>
            <w:r w:rsidRPr="00917415">
              <w:rPr>
                <w:rFonts w:ascii="Arial Narrow" w:eastAsia="MS Gothic" w:hAnsi="Arial Narrow" w:cs="Times New Roman"/>
                <w:bCs/>
                <w:sz w:val="20"/>
              </w:rPr>
              <w:t xml:space="preserve"> </w:t>
            </w:r>
          </w:p>
        </w:tc>
      </w:tr>
      <w:tr w:rsidR="006F76E3" w:rsidRPr="00917415" w14:paraId="2DED3792" w14:textId="77777777" w:rsidTr="00CC18E5">
        <w:trPr>
          <w:trHeight w:val="80"/>
        </w:trPr>
        <w:tc>
          <w:tcPr>
            <w:tcW w:w="694" w:type="pct"/>
            <w:vMerge/>
            <w:tcBorders>
              <w:bottom w:val="single" w:sz="4" w:space="0" w:color="auto"/>
            </w:tcBorders>
            <w:vAlign w:val="center"/>
          </w:tcPr>
          <w:p w14:paraId="1AFC6820" w14:textId="77777777" w:rsidR="006F76E3" w:rsidRPr="00917415" w:rsidRDefault="006F76E3" w:rsidP="00516F35">
            <w:pPr>
              <w:keepNext/>
              <w:rPr>
                <w:rFonts w:ascii="Arial Narrow" w:eastAsia="MS Gothic" w:hAnsi="Arial Narrow" w:cs="Times New Roman"/>
                <w:bCs/>
                <w:sz w:val="20"/>
              </w:rPr>
            </w:pPr>
          </w:p>
        </w:tc>
        <w:tc>
          <w:tcPr>
            <w:tcW w:w="4306" w:type="pct"/>
            <w:tcBorders>
              <w:top w:val="nil"/>
              <w:bottom w:val="single" w:sz="4" w:space="0" w:color="auto"/>
              <w:right w:val="single" w:sz="4" w:space="0" w:color="auto"/>
            </w:tcBorders>
            <w:vAlign w:val="center"/>
          </w:tcPr>
          <w:p w14:paraId="60335FC0" w14:textId="77777777" w:rsidR="006F76E3" w:rsidRPr="00917415" w:rsidRDefault="006F76E3" w:rsidP="00516F35">
            <w:pPr>
              <w:keepNext/>
              <w:numPr>
                <w:ilvl w:val="0"/>
                <w:numId w:val="14"/>
              </w:numPr>
              <w:ind w:left="59" w:hanging="142"/>
              <w:rPr>
                <w:rFonts w:ascii="Arial Narrow" w:eastAsia="MS Gothic" w:hAnsi="Arial Narrow" w:cs="Times New Roman"/>
                <w:bCs/>
                <w:sz w:val="20"/>
              </w:rPr>
            </w:pPr>
            <w:r w:rsidRPr="00917415">
              <w:rPr>
                <w:rFonts w:ascii="Arial Narrow" w:eastAsia="MS Gothic" w:hAnsi="Arial Narrow" w:cs="Times New Roman"/>
                <w:bCs/>
                <w:sz w:val="20"/>
              </w:rPr>
              <w:t xml:space="preserve">In patients with Type I SMA, ONA is more effective than placebo / natural history at reducing mortality and increasing motor </w:t>
            </w:r>
            <w:r w:rsidR="001C72A8" w:rsidRPr="00917415">
              <w:rPr>
                <w:rFonts w:ascii="Arial Narrow" w:eastAsia="MS Gothic" w:hAnsi="Arial Narrow" w:cs="Times New Roman"/>
                <w:bCs/>
                <w:sz w:val="20"/>
              </w:rPr>
              <w:t>development</w:t>
            </w:r>
          </w:p>
        </w:tc>
      </w:tr>
    </w:tbl>
    <w:p w14:paraId="0079A852" w14:textId="77777777" w:rsidR="006F76E3" w:rsidRPr="00917415" w:rsidRDefault="006F76E3" w:rsidP="00CC18E5">
      <w:pPr>
        <w:pStyle w:val="TableFigureFooter"/>
      </w:pPr>
      <w:r w:rsidRPr="00917415">
        <w:t>Source: Table 1.2, p23 of the submission</w:t>
      </w:r>
      <w:r w:rsidR="000F0898" w:rsidRPr="00917415">
        <w:t>,</w:t>
      </w:r>
      <w:r w:rsidRPr="00917415">
        <w:t xml:space="preserve"> draft PI.</w:t>
      </w:r>
    </w:p>
    <w:p w14:paraId="563B01D1" w14:textId="77777777" w:rsidR="004A680D" w:rsidRPr="00917415" w:rsidRDefault="006F76E3" w:rsidP="00CC18E5">
      <w:pPr>
        <w:pStyle w:val="TableFigureFooter"/>
      </w:pPr>
      <w:r w:rsidRPr="00917415">
        <w:t xml:space="preserve">CHOP-INTEND = Children’s Hospital of Philadelphia Infant Test of Neuromuscular Disorders; </w:t>
      </w:r>
      <w:r w:rsidR="0073716F" w:rsidRPr="00917415">
        <w:t xml:space="preserve">NUSI = nusinersen; </w:t>
      </w:r>
      <w:r w:rsidRPr="00917415">
        <w:t>ONA = onasemnogene abeparvo</w:t>
      </w:r>
      <w:r w:rsidR="00AB41D0" w:rsidRPr="00917415">
        <w:t>v</w:t>
      </w:r>
      <w:r w:rsidRPr="00917415">
        <w:t>ec; SMA = spinal muscular atrophy; SMN = survival motor neuron;</w:t>
      </w:r>
    </w:p>
    <w:p w14:paraId="30C19954" w14:textId="77777777" w:rsidR="0087016F" w:rsidRPr="00917415" w:rsidRDefault="0087016F" w:rsidP="00516F35">
      <w:pPr>
        <w:pStyle w:val="3-BodyText"/>
        <w:numPr>
          <w:ilvl w:val="0"/>
          <w:numId w:val="0"/>
        </w:numPr>
        <w:ind w:left="720"/>
        <w:rPr>
          <w:i/>
        </w:rPr>
      </w:pPr>
      <w:r w:rsidRPr="00917415">
        <w:rPr>
          <w:i/>
        </w:rPr>
        <w:t>For more detail on PBAC’s view, see section 7 PBAC outcome.</w:t>
      </w:r>
    </w:p>
    <w:p w14:paraId="0E23E7C3" w14:textId="77777777" w:rsidR="005C25FF" w:rsidRPr="00917415" w:rsidRDefault="005C25FF" w:rsidP="00516F35">
      <w:pPr>
        <w:pStyle w:val="2-SectionHeading"/>
      </w:pPr>
      <w:bookmarkStart w:id="2" w:name="_Toc51152449"/>
      <w:r w:rsidRPr="00917415">
        <w:t>Background</w:t>
      </w:r>
      <w:bookmarkEnd w:id="2"/>
    </w:p>
    <w:p w14:paraId="127ED8D1" w14:textId="77777777" w:rsidR="005C25FF" w:rsidRPr="00917415" w:rsidRDefault="005C25FF" w:rsidP="00516F35">
      <w:pPr>
        <w:pStyle w:val="4-SubsectionHeading"/>
      </w:pPr>
      <w:bookmarkStart w:id="3" w:name="_Toc22897638"/>
      <w:bookmarkStart w:id="4" w:name="_Toc51152450"/>
      <w:r w:rsidRPr="00917415">
        <w:t>Registration status</w:t>
      </w:r>
      <w:bookmarkEnd w:id="3"/>
      <w:bookmarkEnd w:id="4"/>
    </w:p>
    <w:p w14:paraId="27508D83" w14:textId="77777777" w:rsidR="008951CE" w:rsidRPr="00917415" w:rsidRDefault="005C25FF" w:rsidP="00516F35">
      <w:pPr>
        <w:pStyle w:val="3-BodyText"/>
      </w:pPr>
      <w:r w:rsidRPr="00917415">
        <w:t xml:space="preserve">The submission was made under </w:t>
      </w:r>
      <w:r w:rsidR="00E244F6" w:rsidRPr="00917415">
        <w:t xml:space="preserve">the </w:t>
      </w:r>
      <w:r w:rsidRPr="00917415">
        <w:t>TGA/PBAC Parallel Process</w:t>
      </w:r>
      <w:r w:rsidR="008951CE" w:rsidRPr="00917415">
        <w:t xml:space="preserve"> for the following indication:</w:t>
      </w:r>
    </w:p>
    <w:p w14:paraId="5851AE49" w14:textId="77777777" w:rsidR="008951CE" w:rsidRPr="00917415" w:rsidRDefault="008951CE" w:rsidP="00516F35">
      <w:pPr>
        <w:pStyle w:val="3-BodyText"/>
        <w:numPr>
          <w:ilvl w:val="0"/>
          <w:numId w:val="0"/>
        </w:numPr>
        <w:ind w:left="720"/>
      </w:pPr>
      <w:r w:rsidRPr="00917415">
        <w:t>Treatment of paediatric patients less than 2 years of age with spinal muscular atrophy (SMA) with bi-allelic mutations in the survival motor neuron 1 (SMN1) gene.</w:t>
      </w:r>
    </w:p>
    <w:p w14:paraId="5097FC3D" w14:textId="77777777" w:rsidR="00CF5331" w:rsidRPr="00917415" w:rsidRDefault="005C25FF" w:rsidP="00516F35">
      <w:pPr>
        <w:pStyle w:val="3-BodyText"/>
      </w:pPr>
      <w:r w:rsidRPr="00917415">
        <w:lastRenderedPageBreak/>
        <w:t xml:space="preserve">At the time </w:t>
      </w:r>
      <w:r w:rsidR="00927562" w:rsidRPr="00917415">
        <w:t>of PBAC consideration, the Delegate’s Overview was available</w:t>
      </w:r>
      <w:r w:rsidR="00CF6BC5" w:rsidRPr="00917415">
        <w:t xml:space="preserve">, however the Delegate </w:t>
      </w:r>
      <w:r w:rsidR="00C92D3B" w:rsidRPr="00917415">
        <w:t>has sought</w:t>
      </w:r>
      <w:r w:rsidR="00CF6BC5" w:rsidRPr="00917415">
        <w:t xml:space="preserve"> the advice of the Advisory Committee on Medicines</w:t>
      </w:r>
      <w:r w:rsidR="00987827" w:rsidRPr="00917415">
        <w:t xml:space="preserve"> </w:t>
      </w:r>
      <w:r w:rsidR="00CF6BC5" w:rsidRPr="00917415">
        <w:t>(ACM) on a number of issues including the proposed indication</w:t>
      </w:r>
      <w:r w:rsidR="0064714D" w:rsidRPr="00917415">
        <w:t xml:space="preserve"> (</w:t>
      </w:r>
      <w:r w:rsidR="00557AD5" w:rsidRPr="00917415">
        <w:t xml:space="preserve">maximum </w:t>
      </w:r>
      <w:r w:rsidR="0064714D" w:rsidRPr="00917415">
        <w:t>age; number of SMN2 copies, symptomatic only or also presymptomatic)</w:t>
      </w:r>
      <w:r w:rsidR="00CF6BC5" w:rsidRPr="00917415">
        <w:t xml:space="preserve"> and the ACM advice was not available at the time of PBAC</w:t>
      </w:r>
      <w:r w:rsidR="0073716F" w:rsidRPr="00917415">
        <w:t xml:space="preserve"> consideration</w:t>
      </w:r>
      <w:r w:rsidR="00CF6BC5" w:rsidRPr="00917415">
        <w:t xml:space="preserve">. </w:t>
      </w:r>
    </w:p>
    <w:p w14:paraId="71B48234" w14:textId="77777777" w:rsidR="006A395C" w:rsidRPr="00917415" w:rsidRDefault="006A395C" w:rsidP="00516F35">
      <w:pPr>
        <w:pStyle w:val="3-BodyText"/>
        <w:numPr>
          <w:ilvl w:val="0"/>
          <w:numId w:val="0"/>
        </w:numPr>
        <w:ind w:left="720"/>
        <w:rPr>
          <w:i/>
        </w:rPr>
      </w:pPr>
      <w:r w:rsidRPr="00917415">
        <w:rPr>
          <w:i/>
        </w:rPr>
        <w:t>For more detail on PBAC’s view, see section 7 PBAC outcome.</w:t>
      </w:r>
    </w:p>
    <w:p w14:paraId="34F4011F" w14:textId="77777777" w:rsidR="00B60939" w:rsidRPr="00917415" w:rsidRDefault="00B50DB8" w:rsidP="00516F35">
      <w:pPr>
        <w:pStyle w:val="2-SectionHeading"/>
      </w:pPr>
      <w:bookmarkStart w:id="5" w:name="_Toc51152451"/>
      <w:r w:rsidRPr="00917415">
        <w:t>Requested listing</w:t>
      </w:r>
      <w:bookmarkEnd w:id="5"/>
    </w:p>
    <w:p w14:paraId="0FDBE266" w14:textId="77777777" w:rsidR="000F0898" w:rsidRPr="00917415" w:rsidRDefault="00CF6BC5" w:rsidP="00516F35">
      <w:pPr>
        <w:pStyle w:val="3-BodyText"/>
      </w:pPr>
      <w:r w:rsidRPr="00917415">
        <w:t>The submission requested the following listing:</w:t>
      </w:r>
    </w:p>
    <w:tbl>
      <w:tblPr>
        <w:tblW w:w="5000" w:type="pct"/>
        <w:tblCellMar>
          <w:left w:w="28" w:type="dxa"/>
          <w:right w:w="28" w:type="dxa"/>
        </w:tblCellMar>
        <w:tblLook w:val="0000" w:firstRow="0" w:lastRow="0" w:firstColumn="0" w:lastColumn="0" w:noHBand="0" w:noVBand="0"/>
      </w:tblPr>
      <w:tblGrid>
        <w:gridCol w:w="1410"/>
        <w:gridCol w:w="1551"/>
        <w:gridCol w:w="1085"/>
        <w:gridCol w:w="843"/>
        <w:gridCol w:w="1509"/>
        <w:gridCol w:w="2629"/>
      </w:tblGrid>
      <w:tr w:rsidR="003517F9" w:rsidRPr="00917415" w14:paraId="4FCBBEC7" w14:textId="77777777" w:rsidTr="00CC18E5">
        <w:trPr>
          <w:cantSplit/>
          <w:trHeight w:val="463"/>
        </w:trPr>
        <w:tc>
          <w:tcPr>
            <w:tcW w:w="1640" w:type="pct"/>
            <w:gridSpan w:val="2"/>
            <w:tcBorders>
              <w:top w:val="single" w:sz="4" w:space="0" w:color="auto"/>
              <w:bottom w:val="single" w:sz="4" w:space="0" w:color="auto"/>
            </w:tcBorders>
            <w:vAlign w:val="center"/>
          </w:tcPr>
          <w:p w14:paraId="01891842" w14:textId="77777777" w:rsidR="00617E12" w:rsidRPr="00917415" w:rsidRDefault="00617E12" w:rsidP="00516F35">
            <w:pPr>
              <w:keepNext/>
              <w:jc w:val="left"/>
              <w:rPr>
                <w:rFonts w:ascii="Arial Narrow" w:hAnsi="Arial Narrow"/>
                <w:b/>
                <w:sz w:val="20"/>
              </w:rPr>
            </w:pPr>
            <w:r w:rsidRPr="00917415">
              <w:rPr>
                <w:rFonts w:ascii="Arial Narrow" w:hAnsi="Arial Narrow"/>
                <w:b/>
                <w:sz w:val="20"/>
              </w:rPr>
              <w:t>Name, Restriction,</w:t>
            </w:r>
          </w:p>
          <w:p w14:paraId="03744E1C" w14:textId="77777777" w:rsidR="00617E12" w:rsidRPr="00917415" w:rsidRDefault="00617E12" w:rsidP="00516F35">
            <w:pPr>
              <w:keepNext/>
              <w:jc w:val="left"/>
              <w:rPr>
                <w:rFonts w:ascii="Arial Narrow" w:hAnsi="Arial Narrow"/>
                <w:b/>
                <w:sz w:val="20"/>
              </w:rPr>
            </w:pPr>
            <w:r w:rsidRPr="00917415">
              <w:rPr>
                <w:rFonts w:ascii="Arial Narrow" w:hAnsi="Arial Narrow"/>
                <w:b/>
                <w:sz w:val="20"/>
              </w:rPr>
              <w:t>Manner of administration and form</w:t>
            </w:r>
          </w:p>
        </w:tc>
        <w:tc>
          <w:tcPr>
            <w:tcW w:w="601" w:type="pct"/>
            <w:tcBorders>
              <w:top w:val="single" w:sz="4" w:space="0" w:color="auto"/>
              <w:bottom w:val="single" w:sz="4" w:space="0" w:color="auto"/>
            </w:tcBorders>
            <w:vAlign w:val="center"/>
          </w:tcPr>
          <w:p w14:paraId="1FE52925" w14:textId="77777777" w:rsidR="00617E12" w:rsidRPr="00917415" w:rsidRDefault="00617E12" w:rsidP="00516F35">
            <w:pPr>
              <w:keepNext/>
              <w:jc w:val="center"/>
              <w:rPr>
                <w:rFonts w:ascii="Arial Narrow" w:hAnsi="Arial Narrow"/>
                <w:b/>
                <w:sz w:val="20"/>
              </w:rPr>
            </w:pPr>
            <w:r w:rsidRPr="00917415">
              <w:rPr>
                <w:rFonts w:ascii="Arial Narrow" w:hAnsi="Arial Narrow"/>
                <w:b/>
                <w:sz w:val="20"/>
              </w:rPr>
              <w:t>Max.</w:t>
            </w:r>
          </w:p>
          <w:p w14:paraId="35682C6B" w14:textId="77777777" w:rsidR="00617E12" w:rsidRPr="00917415" w:rsidRDefault="00617E12" w:rsidP="00516F35">
            <w:pPr>
              <w:keepNext/>
              <w:jc w:val="center"/>
              <w:rPr>
                <w:rFonts w:ascii="Arial Narrow" w:hAnsi="Arial Narrow"/>
                <w:b/>
                <w:sz w:val="20"/>
              </w:rPr>
            </w:pPr>
            <w:r w:rsidRPr="00917415">
              <w:rPr>
                <w:rFonts w:ascii="Arial Narrow" w:hAnsi="Arial Narrow"/>
                <w:b/>
                <w:sz w:val="20"/>
              </w:rPr>
              <w:t>Qty</w:t>
            </w:r>
            <w:r w:rsidR="00591957" w:rsidRPr="00917415">
              <w:rPr>
                <w:rFonts w:ascii="Arial Narrow" w:hAnsi="Arial Narrow"/>
                <w:b/>
                <w:sz w:val="20"/>
              </w:rPr>
              <w:t xml:space="preserve"> </w:t>
            </w:r>
          </w:p>
        </w:tc>
        <w:tc>
          <w:tcPr>
            <w:tcW w:w="467" w:type="pct"/>
            <w:tcBorders>
              <w:top w:val="single" w:sz="4" w:space="0" w:color="auto"/>
              <w:bottom w:val="single" w:sz="4" w:space="0" w:color="auto"/>
            </w:tcBorders>
            <w:vAlign w:val="center"/>
          </w:tcPr>
          <w:p w14:paraId="787CD35B" w14:textId="77777777" w:rsidR="00617E12" w:rsidRPr="00917415" w:rsidRDefault="00617E12" w:rsidP="00516F35">
            <w:pPr>
              <w:keepNext/>
              <w:jc w:val="center"/>
              <w:rPr>
                <w:rFonts w:ascii="Arial Narrow" w:hAnsi="Arial Narrow"/>
                <w:b/>
                <w:sz w:val="20"/>
              </w:rPr>
            </w:pPr>
            <w:r w:rsidRPr="00917415">
              <w:rPr>
                <w:rFonts w:ascii="Arial Narrow" w:hAnsi="Arial Narrow" w:cs="Times New Roman"/>
                <w:b/>
                <w:sz w:val="20"/>
              </w:rPr>
              <w:t>№</w:t>
            </w:r>
            <w:r w:rsidRPr="00917415">
              <w:rPr>
                <w:rFonts w:ascii="Arial Narrow" w:hAnsi="Arial Narrow"/>
                <w:b/>
                <w:sz w:val="20"/>
              </w:rPr>
              <w:t>.of</w:t>
            </w:r>
          </w:p>
          <w:p w14:paraId="67C54158" w14:textId="77777777" w:rsidR="00617E12" w:rsidRPr="00917415" w:rsidRDefault="00617E12" w:rsidP="00516F35">
            <w:pPr>
              <w:keepNext/>
              <w:jc w:val="center"/>
              <w:rPr>
                <w:rFonts w:ascii="Arial Narrow" w:hAnsi="Arial Narrow"/>
                <w:b/>
                <w:sz w:val="20"/>
              </w:rPr>
            </w:pPr>
            <w:r w:rsidRPr="00917415">
              <w:rPr>
                <w:rFonts w:ascii="Arial Narrow" w:hAnsi="Arial Narrow"/>
                <w:b/>
                <w:sz w:val="20"/>
              </w:rPr>
              <w:t>Rpts</w:t>
            </w:r>
          </w:p>
        </w:tc>
        <w:tc>
          <w:tcPr>
            <w:tcW w:w="836" w:type="pct"/>
            <w:tcBorders>
              <w:top w:val="single" w:sz="4" w:space="0" w:color="auto"/>
              <w:bottom w:val="single" w:sz="4" w:space="0" w:color="auto"/>
            </w:tcBorders>
            <w:vAlign w:val="center"/>
          </w:tcPr>
          <w:p w14:paraId="1568AD68" w14:textId="77777777" w:rsidR="00617E12" w:rsidRPr="00917415" w:rsidRDefault="00617E12" w:rsidP="00516F35">
            <w:pPr>
              <w:keepNext/>
              <w:jc w:val="center"/>
              <w:rPr>
                <w:rFonts w:ascii="Arial Narrow" w:hAnsi="Arial Narrow"/>
                <w:b/>
                <w:sz w:val="20"/>
              </w:rPr>
            </w:pPr>
            <w:r w:rsidRPr="00917415">
              <w:rPr>
                <w:rFonts w:ascii="Arial Narrow" w:hAnsi="Arial Narrow"/>
                <w:b/>
                <w:sz w:val="20"/>
              </w:rPr>
              <w:t>Dispensed Price for Max. Qty</w:t>
            </w:r>
          </w:p>
        </w:tc>
        <w:tc>
          <w:tcPr>
            <w:tcW w:w="1456" w:type="pct"/>
            <w:tcBorders>
              <w:top w:val="single" w:sz="4" w:space="0" w:color="auto"/>
              <w:bottom w:val="single" w:sz="4" w:space="0" w:color="auto"/>
            </w:tcBorders>
            <w:vAlign w:val="center"/>
          </w:tcPr>
          <w:p w14:paraId="6BD1197D" w14:textId="77777777" w:rsidR="00617E12" w:rsidRPr="00917415" w:rsidRDefault="00617E12" w:rsidP="00516F35">
            <w:pPr>
              <w:keepNext/>
              <w:jc w:val="center"/>
              <w:rPr>
                <w:rFonts w:ascii="Arial Narrow" w:hAnsi="Arial Narrow"/>
                <w:b/>
                <w:sz w:val="20"/>
              </w:rPr>
            </w:pPr>
            <w:r w:rsidRPr="00917415">
              <w:rPr>
                <w:rFonts w:ascii="Arial Narrow" w:hAnsi="Arial Narrow"/>
                <w:b/>
                <w:sz w:val="20"/>
              </w:rPr>
              <w:t>Proprietary Name and Manufacturer</w:t>
            </w:r>
          </w:p>
        </w:tc>
      </w:tr>
      <w:tr w:rsidR="00061C7E" w:rsidRPr="00917415" w14:paraId="710AB9BD" w14:textId="77777777" w:rsidTr="00CC18E5">
        <w:trPr>
          <w:cantSplit/>
          <w:trHeight w:val="567"/>
        </w:trPr>
        <w:tc>
          <w:tcPr>
            <w:tcW w:w="1640" w:type="pct"/>
            <w:gridSpan w:val="2"/>
            <w:vAlign w:val="center"/>
          </w:tcPr>
          <w:p w14:paraId="5662C78F" w14:textId="77777777" w:rsidR="00061C7E" w:rsidRPr="00917415" w:rsidRDefault="00061C7E" w:rsidP="00516F35">
            <w:pPr>
              <w:rPr>
                <w:rFonts w:ascii="Arial Narrow" w:hAnsi="Arial Narrow" w:cs="Times New Roman"/>
                <w:snapToGrid w:val="0"/>
                <w:sz w:val="20"/>
              </w:rPr>
            </w:pPr>
            <w:r w:rsidRPr="00917415">
              <w:rPr>
                <w:rFonts w:ascii="Arial Narrow" w:hAnsi="Arial Narrow" w:cs="Times New Roman"/>
                <w:snapToGrid w:val="0"/>
                <w:sz w:val="20"/>
              </w:rPr>
              <w:t>O</w:t>
            </w:r>
            <w:r w:rsidRPr="00917415">
              <w:rPr>
                <w:rFonts w:ascii="Arial Narrow" w:hAnsi="Arial Narrow" w:cs="Times New Roman"/>
                <w:smallCaps/>
                <w:snapToGrid w:val="0"/>
                <w:sz w:val="20"/>
              </w:rPr>
              <w:t>nasemnogene Abeparvovec</w:t>
            </w:r>
          </w:p>
          <w:p w14:paraId="268EAF0A" w14:textId="77777777" w:rsidR="00061C7E" w:rsidRPr="00917415" w:rsidRDefault="00061C7E" w:rsidP="00516F35">
            <w:pPr>
              <w:keepNext/>
              <w:jc w:val="left"/>
              <w:rPr>
                <w:rFonts w:ascii="Arial Narrow" w:hAnsi="Arial Narrow"/>
                <w:sz w:val="20"/>
              </w:rPr>
            </w:pPr>
            <w:r w:rsidRPr="00917415">
              <w:rPr>
                <w:rFonts w:ascii="Arial Narrow" w:hAnsi="Arial Narrow" w:cs="Times New Roman"/>
                <w:snapToGrid w:val="0"/>
                <w:sz w:val="20"/>
              </w:rPr>
              <w:t>liquid in vial 1.1 x 10</w:t>
            </w:r>
            <w:r w:rsidRPr="00917415">
              <w:rPr>
                <w:rFonts w:ascii="Arial Narrow" w:hAnsi="Arial Narrow" w:cs="Times New Roman"/>
                <w:snapToGrid w:val="0"/>
                <w:sz w:val="20"/>
                <w:vertAlign w:val="superscript"/>
              </w:rPr>
              <w:t xml:space="preserve">14 </w:t>
            </w:r>
            <w:r w:rsidRPr="00917415">
              <w:rPr>
                <w:rFonts w:ascii="Arial Narrow" w:hAnsi="Arial Narrow" w:cs="Times New Roman"/>
                <w:bCs/>
                <w:snapToGrid w:val="0"/>
                <w:sz w:val="20"/>
              </w:rPr>
              <w:t>vg/kg</w:t>
            </w:r>
          </w:p>
        </w:tc>
        <w:tc>
          <w:tcPr>
            <w:tcW w:w="601" w:type="pct"/>
            <w:vAlign w:val="center"/>
          </w:tcPr>
          <w:p w14:paraId="4ADDD04C" w14:textId="77777777"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1</w:t>
            </w:r>
          </w:p>
        </w:tc>
        <w:tc>
          <w:tcPr>
            <w:tcW w:w="467" w:type="pct"/>
            <w:vAlign w:val="center"/>
          </w:tcPr>
          <w:p w14:paraId="3A8CE042" w14:textId="77777777" w:rsidR="00061C7E" w:rsidRPr="00917415" w:rsidRDefault="00061C7E" w:rsidP="00516F35">
            <w:pPr>
              <w:keepNext/>
              <w:jc w:val="center"/>
              <w:rPr>
                <w:rFonts w:ascii="Arial Narrow" w:hAnsi="Arial Narrow"/>
                <w:sz w:val="20"/>
              </w:rPr>
            </w:pPr>
            <w:r w:rsidRPr="00917415">
              <w:rPr>
                <w:rFonts w:ascii="Arial Narrow" w:hAnsi="Arial Narrow"/>
                <w:sz w:val="20"/>
              </w:rPr>
              <w:t>0</w:t>
            </w:r>
          </w:p>
        </w:tc>
        <w:tc>
          <w:tcPr>
            <w:tcW w:w="836" w:type="pct"/>
            <w:vAlign w:val="center"/>
          </w:tcPr>
          <w:p w14:paraId="498405FD" w14:textId="77777777"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w:t>
            </w:r>
            <w:r w:rsidR="00CC7358">
              <w:rPr>
                <w:rFonts w:ascii="Arial Narrow" w:hAnsi="Arial Narrow" w:cs="Times New Roman"/>
                <w:noProof/>
                <w:snapToGrid w:val="0"/>
                <w:color w:val="000000"/>
                <w:sz w:val="20"/>
                <w:highlight w:val="black"/>
              </w:rPr>
              <w:t>'''''''''''''''''''''''''''''</w:t>
            </w:r>
            <w:r w:rsidRPr="00917415">
              <w:rPr>
                <w:rFonts w:ascii="Arial Narrow" w:hAnsi="Arial Narrow" w:cs="Times New Roman"/>
                <w:snapToGrid w:val="0"/>
                <w:sz w:val="20"/>
                <w:vertAlign w:val="superscript"/>
              </w:rPr>
              <w:t>#</w:t>
            </w:r>
          </w:p>
        </w:tc>
        <w:tc>
          <w:tcPr>
            <w:tcW w:w="1456" w:type="pct"/>
            <w:vAlign w:val="center"/>
          </w:tcPr>
          <w:p w14:paraId="68E695B9" w14:textId="77777777" w:rsidR="00061C7E" w:rsidRPr="00917415" w:rsidRDefault="00061C7E" w:rsidP="00516F35">
            <w:pPr>
              <w:keepNext/>
              <w:jc w:val="center"/>
              <w:rPr>
                <w:rFonts w:ascii="Arial Narrow" w:hAnsi="Arial Narrow"/>
                <w:sz w:val="20"/>
              </w:rPr>
            </w:pPr>
            <w:r w:rsidRPr="00917415">
              <w:rPr>
                <w:rFonts w:ascii="Arial Narrow" w:hAnsi="Arial Narrow" w:cs="Times New Roman"/>
                <w:snapToGrid w:val="0"/>
                <w:sz w:val="20"/>
              </w:rPr>
              <w:t>Zolgensma®, Novartis Pharmaceuticals Pty Ltd</w:t>
            </w:r>
          </w:p>
        </w:tc>
      </w:tr>
      <w:tr w:rsidR="00061C7E" w:rsidRPr="00917415" w14:paraId="589DAEFC" w14:textId="77777777" w:rsidTr="00CC18E5">
        <w:trPr>
          <w:cantSplit/>
        </w:trPr>
        <w:tc>
          <w:tcPr>
            <w:tcW w:w="781" w:type="pct"/>
            <w:tcBorders>
              <w:top w:val="single" w:sz="4" w:space="0" w:color="auto"/>
              <w:left w:val="single" w:sz="4" w:space="0" w:color="auto"/>
              <w:bottom w:val="single" w:sz="4" w:space="0" w:color="auto"/>
              <w:right w:val="single" w:sz="4" w:space="0" w:color="auto"/>
            </w:tcBorders>
          </w:tcPr>
          <w:p w14:paraId="43847834"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Prescriber type:</w:t>
            </w:r>
          </w:p>
        </w:tc>
        <w:tc>
          <w:tcPr>
            <w:tcW w:w="4219" w:type="pct"/>
            <w:gridSpan w:val="5"/>
            <w:tcBorders>
              <w:top w:val="single" w:sz="4" w:space="0" w:color="auto"/>
              <w:left w:val="single" w:sz="4" w:space="0" w:color="auto"/>
              <w:bottom w:val="single" w:sz="4" w:space="0" w:color="auto"/>
              <w:right w:val="single" w:sz="4" w:space="0" w:color="auto"/>
            </w:tcBorders>
          </w:tcPr>
          <w:p w14:paraId="4C043623"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fldChar w:fldCharType="begin">
                <w:ffData>
                  <w:name w:val="Check1"/>
                  <w:enabled/>
                  <w:calcOnExit w:val="0"/>
                  <w:checkBox>
                    <w:sizeAuto/>
                    <w:default w:val="1"/>
                  </w:checkBox>
                </w:ffData>
              </w:fldChar>
            </w:r>
            <w:r w:rsidRPr="00917415">
              <w:rPr>
                <w:rFonts w:ascii="Arial Narrow" w:eastAsia="MS Gothic" w:hAnsi="Arial Narrow" w:cs="Times New Roman"/>
                <w:bCs/>
                <w:sz w:val="20"/>
              </w:rPr>
              <w:instrText xml:space="preserve"> FORMCHECKBOX </w:instrText>
            </w:r>
            <w:r w:rsidR="000636A6">
              <w:rPr>
                <w:rFonts w:ascii="Arial Narrow" w:eastAsia="MS Gothic" w:hAnsi="Arial Narrow" w:cs="Times New Roman"/>
                <w:bCs/>
                <w:sz w:val="20"/>
              </w:rPr>
            </w:r>
            <w:r w:rsidR="000636A6">
              <w:rPr>
                <w:rFonts w:ascii="Arial Narrow" w:eastAsia="MS Gothic" w:hAnsi="Arial Narrow" w:cs="Times New Roman"/>
                <w:bCs/>
                <w:sz w:val="20"/>
              </w:rPr>
              <w:fldChar w:fldCharType="separate"/>
            </w:r>
            <w:r w:rsidRPr="00917415">
              <w:rPr>
                <w:rFonts w:ascii="Arial Narrow" w:eastAsia="MS Gothic" w:hAnsi="Arial Narrow" w:cs="Times New Roman"/>
                <w:bCs/>
                <w:sz w:val="20"/>
              </w:rPr>
              <w:fldChar w:fldCharType="end"/>
            </w:r>
            <w:r w:rsidRPr="00917415">
              <w:rPr>
                <w:rFonts w:ascii="Arial Narrow" w:eastAsia="MS Gothic" w:hAnsi="Arial Narrow" w:cs="Times New Roman"/>
                <w:bCs/>
                <w:sz w:val="20"/>
              </w:rPr>
              <w:t>Medical Practitioners</w:t>
            </w:r>
          </w:p>
        </w:tc>
      </w:tr>
      <w:tr w:rsidR="00061C7E" w:rsidRPr="00917415" w14:paraId="19CF17E6" w14:textId="77777777" w:rsidTr="00CC18E5">
        <w:trPr>
          <w:cantSplit/>
        </w:trPr>
        <w:tc>
          <w:tcPr>
            <w:tcW w:w="781" w:type="pct"/>
            <w:tcBorders>
              <w:top w:val="single" w:sz="4" w:space="0" w:color="auto"/>
              <w:left w:val="single" w:sz="4" w:space="0" w:color="auto"/>
              <w:bottom w:val="single" w:sz="4" w:space="0" w:color="auto"/>
              <w:right w:val="single" w:sz="4" w:space="0" w:color="auto"/>
            </w:tcBorders>
          </w:tcPr>
          <w:p w14:paraId="344EE452"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Episodicity:</w:t>
            </w:r>
          </w:p>
        </w:tc>
        <w:tc>
          <w:tcPr>
            <w:tcW w:w="4219" w:type="pct"/>
            <w:gridSpan w:val="5"/>
            <w:tcBorders>
              <w:top w:val="single" w:sz="4" w:space="0" w:color="auto"/>
              <w:left w:val="single" w:sz="4" w:space="0" w:color="auto"/>
              <w:bottom w:val="single" w:sz="4" w:space="0" w:color="auto"/>
              <w:right w:val="single" w:sz="4" w:space="0" w:color="auto"/>
            </w:tcBorders>
          </w:tcPr>
          <w:p w14:paraId="5199F169"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Once off treatment</w:t>
            </w:r>
          </w:p>
        </w:tc>
      </w:tr>
      <w:tr w:rsidR="00061C7E" w:rsidRPr="00917415" w14:paraId="68236C83" w14:textId="77777777" w:rsidTr="00CC18E5">
        <w:trPr>
          <w:cantSplit/>
        </w:trPr>
        <w:tc>
          <w:tcPr>
            <w:tcW w:w="781" w:type="pct"/>
            <w:tcBorders>
              <w:top w:val="single" w:sz="4" w:space="0" w:color="auto"/>
              <w:left w:val="single" w:sz="4" w:space="0" w:color="auto"/>
              <w:bottom w:val="single" w:sz="4" w:space="0" w:color="auto"/>
              <w:right w:val="single" w:sz="4" w:space="0" w:color="auto"/>
            </w:tcBorders>
          </w:tcPr>
          <w:p w14:paraId="38D4825C"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Severity:</w:t>
            </w:r>
          </w:p>
        </w:tc>
        <w:tc>
          <w:tcPr>
            <w:tcW w:w="4219" w:type="pct"/>
            <w:gridSpan w:val="5"/>
            <w:tcBorders>
              <w:top w:val="single" w:sz="4" w:space="0" w:color="auto"/>
              <w:left w:val="single" w:sz="4" w:space="0" w:color="auto"/>
              <w:bottom w:val="single" w:sz="4" w:space="0" w:color="auto"/>
              <w:right w:val="single" w:sz="4" w:space="0" w:color="auto"/>
            </w:tcBorders>
          </w:tcPr>
          <w:p w14:paraId="4B99D8EA"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Type 1</w:t>
            </w:r>
          </w:p>
        </w:tc>
      </w:tr>
      <w:tr w:rsidR="00061C7E" w:rsidRPr="00917415" w14:paraId="52671BFF" w14:textId="77777777" w:rsidTr="00CC18E5">
        <w:trPr>
          <w:cantSplit/>
        </w:trPr>
        <w:tc>
          <w:tcPr>
            <w:tcW w:w="781" w:type="pct"/>
            <w:tcBorders>
              <w:top w:val="single" w:sz="4" w:space="0" w:color="auto"/>
              <w:left w:val="single" w:sz="4" w:space="0" w:color="auto"/>
              <w:bottom w:val="single" w:sz="4" w:space="0" w:color="auto"/>
              <w:right w:val="single" w:sz="4" w:space="0" w:color="auto"/>
            </w:tcBorders>
          </w:tcPr>
          <w:p w14:paraId="3206BFD2"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Condition:</w:t>
            </w:r>
          </w:p>
        </w:tc>
        <w:tc>
          <w:tcPr>
            <w:tcW w:w="4219" w:type="pct"/>
            <w:gridSpan w:val="5"/>
            <w:tcBorders>
              <w:top w:val="single" w:sz="4" w:space="0" w:color="auto"/>
              <w:left w:val="single" w:sz="4" w:space="0" w:color="auto"/>
              <w:bottom w:val="single" w:sz="4" w:space="0" w:color="auto"/>
              <w:right w:val="single" w:sz="4" w:space="0" w:color="auto"/>
            </w:tcBorders>
          </w:tcPr>
          <w:p w14:paraId="47F9BA26"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Spinal muscular atrophy</w:t>
            </w:r>
          </w:p>
        </w:tc>
      </w:tr>
      <w:tr w:rsidR="00061C7E" w:rsidRPr="00917415" w14:paraId="63C9D35C" w14:textId="77777777" w:rsidTr="00CC18E5">
        <w:trPr>
          <w:cantSplit/>
        </w:trPr>
        <w:tc>
          <w:tcPr>
            <w:tcW w:w="781" w:type="pct"/>
            <w:tcBorders>
              <w:top w:val="single" w:sz="4" w:space="0" w:color="auto"/>
              <w:left w:val="single" w:sz="4" w:space="0" w:color="auto"/>
              <w:bottom w:val="single" w:sz="4" w:space="0" w:color="auto"/>
              <w:right w:val="single" w:sz="4" w:space="0" w:color="auto"/>
            </w:tcBorders>
          </w:tcPr>
          <w:p w14:paraId="58A9D775"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PBS Indication:</w:t>
            </w:r>
          </w:p>
        </w:tc>
        <w:tc>
          <w:tcPr>
            <w:tcW w:w="4219" w:type="pct"/>
            <w:gridSpan w:val="5"/>
            <w:tcBorders>
              <w:top w:val="single" w:sz="4" w:space="0" w:color="auto"/>
              <w:left w:val="single" w:sz="4" w:space="0" w:color="auto"/>
              <w:bottom w:val="single" w:sz="4" w:space="0" w:color="auto"/>
              <w:right w:val="single" w:sz="4" w:space="0" w:color="auto"/>
            </w:tcBorders>
          </w:tcPr>
          <w:p w14:paraId="06BB8AD5"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of spinal muscular atrophy in patients under the age of 2 years</w:t>
            </w:r>
          </w:p>
        </w:tc>
      </w:tr>
      <w:tr w:rsidR="00061C7E" w:rsidRPr="00917415" w14:paraId="4EEB79F6" w14:textId="77777777" w:rsidTr="00CC18E5">
        <w:trPr>
          <w:cantSplit/>
        </w:trPr>
        <w:tc>
          <w:tcPr>
            <w:tcW w:w="781" w:type="pct"/>
            <w:tcBorders>
              <w:top w:val="single" w:sz="4" w:space="0" w:color="auto"/>
              <w:left w:val="single" w:sz="4" w:space="0" w:color="auto"/>
              <w:bottom w:val="single" w:sz="4" w:space="0" w:color="auto"/>
              <w:right w:val="single" w:sz="4" w:space="0" w:color="auto"/>
            </w:tcBorders>
          </w:tcPr>
          <w:p w14:paraId="50BE6349"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phase:</w:t>
            </w:r>
          </w:p>
        </w:tc>
        <w:tc>
          <w:tcPr>
            <w:tcW w:w="4219" w:type="pct"/>
            <w:gridSpan w:val="5"/>
            <w:tcBorders>
              <w:top w:val="single" w:sz="4" w:space="0" w:color="auto"/>
              <w:left w:val="single" w:sz="4" w:space="0" w:color="auto"/>
              <w:bottom w:val="single" w:sz="4" w:space="0" w:color="auto"/>
              <w:right w:val="single" w:sz="4" w:space="0" w:color="auto"/>
            </w:tcBorders>
          </w:tcPr>
          <w:p w14:paraId="32F3D2D1"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Initial/once-off</w:t>
            </w:r>
          </w:p>
        </w:tc>
      </w:tr>
      <w:tr w:rsidR="00061C7E" w:rsidRPr="00917415" w14:paraId="4E0533C8" w14:textId="77777777" w:rsidTr="00CC18E5">
        <w:trPr>
          <w:cantSplit/>
        </w:trPr>
        <w:tc>
          <w:tcPr>
            <w:tcW w:w="781" w:type="pct"/>
            <w:tcBorders>
              <w:top w:val="single" w:sz="4" w:space="0" w:color="auto"/>
              <w:left w:val="single" w:sz="4" w:space="0" w:color="auto"/>
              <w:bottom w:val="single" w:sz="4" w:space="0" w:color="auto"/>
              <w:right w:val="single" w:sz="4" w:space="0" w:color="auto"/>
            </w:tcBorders>
          </w:tcPr>
          <w:p w14:paraId="3AB2AAA2" w14:textId="77777777" w:rsidR="00061C7E" w:rsidRPr="00917415" w:rsidRDefault="00061C7E" w:rsidP="00516F35">
            <w:pPr>
              <w:keepNext/>
              <w:rPr>
                <w:rFonts w:ascii="Arial Narrow" w:eastAsia="MS Gothic" w:hAnsi="Arial Narrow" w:cs="Times New Roman"/>
                <w:bCs/>
                <w:i/>
                <w:sz w:val="20"/>
              </w:rPr>
            </w:pPr>
            <w:r w:rsidRPr="00917415">
              <w:rPr>
                <w:rFonts w:ascii="Arial Narrow" w:eastAsia="MS Gothic" w:hAnsi="Arial Narrow" w:cs="Times New Roman"/>
                <w:bCs/>
                <w:sz w:val="20"/>
              </w:rPr>
              <w:t>Restriction:</w:t>
            </w:r>
          </w:p>
        </w:tc>
        <w:tc>
          <w:tcPr>
            <w:tcW w:w="4219" w:type="pct"/>
            <w:gridSpan w:val="5"/>
            <w:tcBorders>
              <w:top w:val="single" w:sz="4" w:space="0" w:color="auto"/>
              <w:left w:val="single" w:sz="4" w:space="0" w:color="auto"/>
              <w:bottom w:val="single" w:sz="4" w:space="0" w:color="auto"/>
              <w:right w:val="single" w:sz="4" w:space="0" w:color="auto"/>
            </w:tcBorders>
          </w:tcPr>
          <w:p w14:paraId="7348E1A4"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fldChar w:fldCharType="begin">
                <w:ffData>
                  <w:name w:val=""/>
                  <w:enabled/>
                  <w:calcOnExit w:val="0"/>
                  <w:checkBox>
                    <w:sizeAuto/>
                    <w:default w:val="1"/>
                  </w:checkBox>
                </w:ffData>
              </w:fldChar>
            </w:r>
            <w:r w:rsidRPr="00917415">
              <w:rPr>
                <w:rFonts w:ascii="Arial Narrow" w:eastAsia="MS Gothic" w:hAnsi="Arial Narrow" w:cs="Times New Roman"/>
                <w:bCs/>
                <w:sz w:val="20"/>
              </w:rPr>
              <w:instrText xml:space="preserve"> FORMCHECKBOX </w:instrText>
            </w:r>
            <w:r w:rsidR="000636A6">
              <w:rPr>
                <w:rFonts w:ascii="Arial Narrow" w:eastAsia="MS Gothic" w:hAnsi="Arial Narrow" w:cs="Times New Roman"/>
                <w:bCs/>
                <w:sz w:val="20"/>
              </w:rPr>
            </w:r>
            <w:r w:rsidR="000636A6">
              <w:rPr>
                <w:rFonts w:ascii="Arial Narrow" w:eastAsia="MS Gothic" w:hAnsi="Arial Narrow" w:cs="Times New Roman"/>
                <w:bCs/>
                <w:sz w:val="20"/>
              </w:rPr>
              <w:fldChar w:fldCharType="separate"/>
            </w:r>
            <w:r w:rsidRPr="00917415">
              <w:rPr>
                <w:rFonts w:ascii="Arial Narrow" w:eastAsia="MS Gothic" w:hAnsi="Arial Narrow" w:cs="Times New Roman"/>
                <w:bCs/>
                <w:sz w:val="20"/>
              </w:rPr>
              <w:fldChar w:fldCharType="end"/>
            </w:r>
            <w:r w:rsidRPr="00917415">
              <w:rPr>
                <w:rFonts w:ascii="Arial Narrow" w:eastAsia="MS Gothic" w:hAnsi="Arial Narrow" w:cs="Times New Roman"/>
                <w:bCs/>
                <w:sz w:val="20"/>
              </w:rPr>
              <w:t>Authority Required - In Writing</w:t>
            </w:r>
          </w:p>
        </w:tc>
      </w:tr>
      <w:tr w:rsidR="00061C7E" w:rsidRPr="00917415" w14:paraId="7BDED108" w14:textId="77777777" w:rsidTr="00CC18E5">
        <w:trPr>
          <w:cantSplit/>
          <w:trHeight w:val="557"/>
        </w:trPr>
        <w:tc>
          <w:tcPr>
            <w:tcW w:w="781" w:type="pct"/>
            <w:tcBorders>
              <w:top w:val="single" w:sz="4" w:space="0" w:color="auto"/>
              <w:left w:val="single" w:sz="4" w:space="0" w:color="auto"/>
              <w:bottom w:val="single" w:sz="4" w:space="0" w:color="auto"/>
              <w:right w:val="single" w:sz="4" w:space="0" w:color="auto"/>
            </w:tcBorders>
          </w:tcPr>
          <w:p w14:paraId="38A06C61"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Treatment criteria:</w:t>
            </w:r>
          </w:p>
        </w:tc>
        <w:tc>
          <w:tcPr>
            <w:tcW w:w="4219" w:type="pct"/>
            <w:gridSpan w:val="5"/>
            <w:tcBorders>
              <w:top w:val="single" w:sz="4" w:space="0" w:color="auto"/>
              <w:left w:val="single" w:sz="4" w:space="0" w:color="auto"/>
              <w:bottom w:val="single" w:sz="4" w:space="0" w:color="auto"/>
              <w:right w:val="single" w:sz="4" w:space="0" w:color="auto"/>
            </w:tcBorders>
          </w:tcPr>
          <w:p w14:paraId="7D6A8E37" w14:textId="77777777"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Must be treated by a specialist medical practitioner experienced in the diagnosis and management of spinal muscular atrophy associated with a neuromuscular clinic which is certified to provide gene-replacement therapy.</w:t>
            </w:r>
          </w:p>
        </w:tc>
      </w:tr>
      <w:tr w:rsidR="00061C7E" w:rsidRPr="00917415" w14:paraId="581ABAA0" w14:textId="77777777" w:rsidTr="00CC18E5">
        <w:trPr>
          <w:cantSplit/>
        </w:trPr>
        <w:tc>
          <w:tcPr>
            <w:tcW w:w="781" w:type="pct"/>
            <w:tcBorders>
              <w:top w:val="single" w:sz="4" w:space="0" w:color="auto"/>
              <w:left w:val="single" w:sz="4" w:space="0" w:color="auto"/>
              <w:bottom w:val="single" w:sz="4" w:space="0" w:color="auto"/>
              <w:right w:val="single" w:sz="4" w:space="0" w:color="auto"/>
            </w:tcBorders>
          </w:tcPr>
          <w:p w14:paraId="2E062641" w14:textId="77777777" w:rsidR="00061C7E" w:rsidRPr="00917415" w:rsidRDefault="00061C7E" w:rsidP="00516F35">
            <w:pPr>
              <w:keepNext/>
              <w:rPr>
                <w:rFonts w:ascii="Arial Narrow" w:eastAsia="MS Gothic" w:hAnsi="Arial Narrow" w:cs="Times New Roman"/>
                <w:bCs/>
                <w:sz w:val="20"/>
              </w:rPr>
            </w:pPr>
            <w:r w:rsidRPr="00917415">
              <w:rPr>
                <w:rFonts w:ascii="Arial Narrow" w:eastAsia="MS Gothic" w:hAnsi="Arial Narrow" w:cs="Times New Roman"/>
                <w:bCs/>
                <w:sz w:val="20"/>
              </w:rPr>
              <w:t>Clinical criteria:</w:t>
            </w:r>
          </w:p>
        </w:tc>
        <w:tc>
          <w:tcPr>
            <w:tcW w:w="4219" w:type="pct"/>
            <w:gridSpan w:val="5"/>
            <w:tcBorders>
              <w:top w:val="single" w:sz="4" w:space="0" w:color="auto"/>
              <w:left w:val="single" w:sz="4" w:space="0" w:color="auto"/>
              <w:bottom w:val="single" w:sz="4" w:space="0" w:color="auto"/>
              <w:right w:val="single" w:sz="4" w:space="0" w:color="auto"/>
            </w:tcBorders>
          </w:tcPr>
          <w:p w14:paraId="3CF65950" w14:textId="77777777"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The condition must be 5q homozygous deletion, mutation of, or compound heterozygous mutation in the </w:t>
            </w:r>
            <w:r w:rsidR="004400AE" w:rsidRPr="00917415">
              <w:rPr>
                <w:rFonts w:ascii="Arial Narrow" w:eastAsia="MS Gothic" w:hAnsi="Arial Narrow"/>
                <w:bCs/>
                <w:i/>
                <w:sz w:val="20"/>
              </w:rPr>
              <w:t>SMN1</w:t>
            </w:r>
            <w:r w:rsidRPr="00917415">
              <w:rPr>
                <w:rFonts w:ascii="Arial Narrow" w:eastAsia="MS Gothic" w:hAnsi="Arial Narrow"/>
                <w:bCs/>
                <w:sz w:val="20"/>
              </w:rPr>
              <w:t xml:space="preserve"> gene</w:t>
            </w:r>
          </w:p>
          <w:p w14:paraId="51CD39C3" w14:textId="77777777"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AND </w:t>
            </w:r>
          </w:p>
          <w:p w14:paraId="492DD6AA" w14:textId="77777777"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 xml:space="preserve">The treatment must be concomitantly with standard </w:t>
            </w:r>
            <w:r w:rsidR="00E778B9" w:rsidRPr="00917415">
              <w:rPr>
                <w:rFonts w:ascii="Arial Narrow" w:eastAsia="MS Gothic" w:hAnsi="Arial Narrow"/>
                <w:bCs/>
                <w:sz w:val="20"/>
              </w:rPr>
              <w:t>supportive</w:t>
            </w:r>
            <w:r w:rsidRPr="00917415">
              <w:rPr>
                <w:rFonts w:ascii="Arial Narrow" w:eastAsia="MS Gothic" w:hAnsi="Arial Narrow"/>
                <w:bCs/>
                <w:sz w:val="20"/>
              </w:rPr>
              <w:t xml:space="preserve"> care for this condition </w:t>
            </w:r>
          </w:p>
          <w:p w14:paraId="7E911604" w14:textId="77777777"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AND</w:t>
            </w:r>
          </w:p>
          <w:p w14:paraId="1F0684A0" w14:textId="77777777" w:rsidR="00061C7E" w:rsidRPr="00917415" w:rsidRDefault="00061C7E" w:rsidP="00516F35">
            <w:pPr>
              <w:keepNext/>
              <w:rPr>
                <w:rFonts w:ascii="Arial Narrow" w:eastAsia="MS Gothic" w:hAnsi="Arial Narrow"/>
                <w:bCs/>
                <w:sz w:val="20"/>
              </w:rPr>
            </w:pPr>
            <w:r w:rsidRPr="00917415">
              <w:rPr>
                <w:rFonts w:ascii="Arial Narrow" w:eastAsia="MS Gothic" w:hAnsi="Arial Narrow"/>
                <w:bCs/>
                <w:sz w:val="20"/>
              </w:rPr>
              <w:t>Patients must have AAV</w:t>
            </w:r>
            <w:r w:rsidRPr="00917415">
              <w:rPr>
                <w:rFonts w:ascii="Arial Narrow" w:eastAsia="MS Gothic" w:hAnsi="Arial Narrow"/>
                <w:bCs/>
                <w:sz w:val="20"/>
                <w:vertAlign w:val="subscript"/>
              </w:rPr>
              <w:t>9</w:t>
            </w:r>
            <w:r w:rsidRPr="00917415">
              <w:rPr>
                <w:rFonts w:ascii="Arial Narrow" w:eastAsia="MS Gothic" w:hAnsi="Arial Narrow"/>
                <w:bCs/>
                <w:sz w:val="20"/>
              </w:rPr>
              <w:t xml:space="preserve"> antibody titres &lt; 50 and the test must be no more than 2 months old.</w:t>
            </w:r>
          </w:p>
        </w:tc>
      </w:tr>
    </w:tbl>
    <w:p w14:paraId="1476776D" w14:textId="77777777" w:rsidR="00B60939" w:rsidRPr="00917415" w:rsidRDefault="00CF5331" w:rsidP="00CC18E5">
      <w:pPr>
        <w:pStyle w:val="TableFigureFooter"/>
      </w:pPr>
      <w:r w:rsidRPr="00917415">
        <w:t># Price is based on average exchange rate at January 2020 for $USD</w:t>
      </w:r>
      <w:r w:rsidR="00CC7358">
        <w:rPr>
          <w:noProof/>
          <w:color w:val="000000"/>
          <w:highlight w:val="black"/>
        </w:rPr>
        <w:t>''''''''''''''''''''''''''</w:t>
      </w:r>
      <w:r w:rsidRPr="00917415">
        <w:t xml:space="preserve"> ex GST</w:t>
      </w:r>
    </w:p>
    <w:p w14:paraId="1FD04846" w14:textId="77777777" w:rsidR="00C92D3B" w:rsidRPr="00917415" w:rsidRDefault="004A6B8B" w:rsidP="00516F35">
      <w:pPr>
        <w:pStyle w:val="3-BodyText"/>
      </w:pPr>
      <w:r w:rsidRPr="00917415">
        <w:t xml:space="preserve">The </w:t>
      </w:r>
      <w:r w:rsidR="00C92D3B" w:rsidRPr="00917415">
        <w:t xml:space="preserve">PBAC noted the requested restriction allows for use in a broader population than was included in the clinical trials, and does not deal with the potential for concomitant or sequential use </w:t>
      </w:r>
      <w:r w:rsidR="005C4C44" w:rsidRPr="00917415">
        <w:t xml:space="preserve">of </w:t>
      </w:r>
      <w:r w:rsidR="00C92D3B" w:rsidRPr="00917415">
        <w:t xml:space="preserve">other SMA therapies. The PBAC deferred further consideration of the PBS restriction wording pending </w:t>
      </w:r>
      <w:r w:rsidR="005C4C44" w:rsidRPr="00917415">
        <w:t>the advice</w:t>
      </w:r>
      <w:r w:rsidR="00C92D3B" w:rsidRPr="00917415">
        <w:t xml:space="preserve"> of </w:t>
      </w:r>
      <w:r w:rsidR="005C4C44" w:rsidRPr="00917415">
        <w:t>the ACM and the outcome of</w:t>
      </w:r>
      <w:r w:rsidR="00C92D3B" w:rsidRPr="00917415">
        <w:t xml:space="preserve"> </w:t>
      </w:r>
      <w:r w:rsidR="005C4C44" w:rsidRPr="00917415">
        <w:t xml:space="preserve">its </w:t>
      </w:r>
      <w:r w:rsidR="00C92D3B" w:rsidRPr="00917415">
        <w:t xml:space="preserve">recommendation </w:t>
      </w:r>
      <w:r w:rsidR="005C4C44" w:rsidRPr="00917415">
        <w:t xml:space="preserve">for </w:t>
      </w:r>
      <w:r w:rsidR="00C92D3B" w:rsidRPr="00917415">
        <w:rPr>
          <w:snapToGrid/>
        </w:rPr>
        <w:t>a decision support analysis for SMA.</w:t>
      </w:r>
    </w:p>
    <w:p w14:paraId="14715756" w14:textId="77777777" w:rsidR="006A395C" w:rsidRPr="00917415" w:rsidRDefault="006A395C" w:rsidP="00516F35">
      <w:pPr>
        <w:pStyle w:val="3-BodyText"/>
        <w:numPr>
          <w:ilvl w:val="0"/>
          <w:numId w:val="0"/>
        </w:numPr>
        <w:ind w:left="510" w:firstLine="170"/>
      </w:pPr>
      <w:r w:rsidRPr="00917415">
        <w:rPr>
          <w:i/>
        </w:rPr>
        <w:t>For more detail on PBAC’s view, see section 7 PBAC outcome.</w:t>
      </w:r>
    </w:p>
    <w:p w14:paraId="5B3030AB" w14:textId="77777777" w:rsidR="00B50DB8" w:rsidRPr="00917415" w:rsidRDefault="00203181" w:rsidP="00516F35">
      <w:pPr>
        <w:pStyle w:val="2-SectionHeading"/>
      </w:pPr>
      <w:bookmarkStart w:id="6" w:name="_Toc51152452"/>
      <w:r w:rsidRPr="00917415">
        <w:t xml:space="preserve">Population and </w:t>
      </w:r>
      <w:r w:rsidR="008E0D3C" w:rsidRPr="00917415">
        <w:t>d</w:t>
      </w:r>
      <w:r w:rsidRPr="00917415">
        <w:t>isease</w:t>
      </w:r>
      <w:bookmarkEnd w:id="6"/>
    </w:p>
    <w:p w14:paraId="62C7F353" w14:textId="77777777" w:rsidR="00204F55" w:rsidRPr="00917415" w:rsidRDefault="00204F55" w:rsidP="00516F35">
      <w:pPr>
        <w:pStyle w:val="3-BodyText"/>
      </w:pPr>
      <w:r w:rsidRPr="00917415">
        <w:t xml:space="preserve">SMA is a rare autosomal recessive progressive neuromuscular disease caused by mutations or deletions in the </w:t>
      </w:r>
      <w:r w:rsidR="004400AE" w:rsidRPr="00917415">
        <w:t>SMN1</w:t>
      </w:r>
      <w:r w:rsidRPr="00917415">
        <w:t xml:space="preserve"> gene on chromosome 5q. Alterations to this gene result in deficiency of SMN protein, which in turn, results in loss of motor function and respiratory failure. </w:t>
      </w:r>
      <w:r w:rsidR="004C3CCE" w:rsidRPr="00917415">
        <w:t xml:space="preserve">Patients with SMA typically develop weak muscles, and may have trouble walking and breathing. SMA is classified into types (0, I, II, III and IV) and subtypes (a, b, c) based on age of onset and maximal motor function achieved. </w:t>
      </w:r>
    </w:p>
    <w:p w14:paraId="2BCEA3E0" w14:textId="77777777" w:rsidR="004C3CCE" w:rsidRPr="00917415" w:rsidRDefault="004C3CCE" w:rsidP="00516F35">
      <w:pPr>
        <w:pStyle w:val="3-BodyText"/>
      </w:pPr>
      <w:r w:rsidRPr="00917415">
        <w:lastRenderedPageBreak/>
        <w:t xml:space="preserve">There is a clinical spectrum of disease with earlier age of onset associated with lower numbers of </w:t>
      </w:r>
      <w:r w:rsidR="004400AE" w:rsidRPr="00917415">
        <w:t>SMN2</w:t>
      </w:r>
      <w:r w:rsidRPr="00917415">
        <w:t xml:space="preserve"> gene copies and increased severity of symptoms</w:t>
      </w:r>
      <w:r w:rsidR="005C4C44" w:rsidRPr="00917415">
        <w:t xml:space="preserve"> (see Table 2)</w:t>
      </w:r>
      <w:r w:rsidRPr="00917415">
        <w:t xml:space="preserve">. </w:t>
      </w:r>
    </w:p>
    <w:p w14:paraId="3171915B" w14:textId="77777777" w:rsidR="00BA1768" w:rsidRPr="00917415" w:rsidRDefault="00BA1768" w:rsidP="00CC18E5">
      <w:pPr>
        <w:pStyle w:val="TableFigureHeading"/>
      </w:pPr>
      <w:r w:rsidRPr="00917415">
        <w:t>Table 2: Classification of SMA based on age of symptom onset, motor function and life expectancy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5"/>
        <w:gridCol w:w="2405"/>
        <w:gridCol w:w="2283"/>
        <w:gridCol w:w="1711"/>
        <w:gridCol w:w="2173"/>
      </w:tblGrid>
      <w:tr w:rsidR="00BA1768" w:rsidRPr="00917415" w14:paraId="41146CAE" w14:textId="77777777" w:rsidTr="00CC18E5">
        <w:tc>
          <w:tcPr>
            <w:tcW w:w="246" w:type="pct"/>
            <w:vAlign w:val="center"/>
          </w:tcPr>
          <w:p w14:paraId="6CE226C0" w14:textId="77777777" w:rsidR="00BA1768" w:rsidRPr="00917415" w:rsidRDefault="00BA1768" w:rsidP="00516F35">
            <w:pPr>
              <w:keepNext/>
              <w:rPr>
                <w:rFonts w:ascii="Arial Narrow" w:hAnsi="Arial Narrow"/>
                <w:b/>
                <w:sz w:val="20"/>
                <w:szCs w:val="20"/>
              </w:rPr>
            </w:pPr>
            <w:r w:rsidRPr="00917415">
              <w:rPr>
                <w:rFonts w:ascii="Arial Narrow" w:hAnsi="Arial Narrow"/>
                <w:b/>
                <w:sz w:val="20"/>
                <w:szCs w:val="20"/>
              </w:rPr>
              <w:t>Type</w:t>
            </w:r>
          </w:p>
        </w:tc>
        <w:tc>
          <w:tcPr>
            <w:tcW w:w="1333" w:type="pct"/>
            <w:vAlign w:val="center"/>
          </w:tcPr>
          <w:p w14:paraId="3AF573A9" w14:textId="77777777"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Age at symptom onset</w:t>
            </w:r>
          </w:p>
        </w:tc>
        <w:tc>
          <w:tcPr>
            <w:tcW w:w="1266" w:type="pct"/>
            <w:vAlign w:val="center"/>
          </w:tcPr>
          <w:p w14:paraId="7562E10D" w14:textId="77777777"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Maximum motor function</w:t>
            </w:r>
          </w:p>
        </w:tc>
        <w:tc>
          <w:tcPr>
            <w:tcW w:w="949" w:type="pct"/>
            <w:vAlign w:val="center"/>
          </w:tcPr>
          <w:p w14:paraId="6D609493" w14:textId="77777777"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Life expectancy</w:t>
            </w:r>
          </w:p>
        </w:tc>
        <w:tc>
          <w:tcPr>
            <w:tcW w:w="1205" w:type="pct"/>
            <w:vAlign w:val="center"/>
          </w:tcPr>
          <w:p w14:paraId="2D30B820" w14:textId="77777777" w:rsidR="00BA1768" w:rsidRPr="00917415" w:rsidRDefault="00CB7AAF" w:rsidP="00516F35">
            <w:pPr>
              <w:keepNext/>
              <w:jc w:val="center"/>
              <w:rPr>
                <w:rFonts w:ascii="Arial Narrow" w:hAnsi="Arial Narrow"/>
                <w:b/>
                <w:sz w:val="20"/>
                <w:szCs w:val="20"/>
              </w:rPr>
            </w:pPr>
            <w:r w:rsidRPr="00917415">
              <w:rPr>
                <w:rFonts w:ascii="Arial Narrow" w:hAnsi="Arial Narrow"/>
                <w:b/>
                <w:sz w:val="20"/>
                <w:szCs w:val="20"/>
              </w:rPr>
              <w:t xml:space="preserve">Likely </w:t>
            </w:r>
            <w:r w:rsidR="004400AE" w:rsidRPr="00917415">
              <w:rPr>
                <w:rFonts w:ascii="Arial Narrow" w:hAnsi="Arial Narrow"/>
                <w:b/>
                <w:sz w:val="20"/>
                <w:szCs w:val="20"/>
              </w:rPr>
              <w:t>SMN2</w:t>
            </w:r>
            <w:r w:rsidR="00BA1768" w:rsidRPr="00917415">
              <w:rPr>
                <w:rFonts w:ascii="Arial Narrow" w:hAnsi="Arial Narrow"/>
                <w:b/>
                <w:sz w:val="20"/>
                <w:szCs w:val="20"/>
              </w:rPr>
              <w:t xml:space="preserve"> copy number</w:t>
            </w:r>
          </w:p>
        </w:tc>
      </w:tr>
      <w:tr w:rsidR="00BA1768" w:rsidRPr="00917415" w14:paraId="7F26A27A" w14:textId="77777777" w:rsidTr="00CC18E5">
        <w:trPr>
          <w:trHeight w:val="60"/>
        </w:trPr>
        <w:tc>
          <w:tcPr>
            <w:tcW w:w="246" w:type="pct"/>
            <w:vAlign w:val="center"/>
          </w:tcPr>
          <w:p w14:paraId="479A2CDF"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0</w:t>
            </w:r>
          </w:p>
        </w:tc>
        <w:tc>
          <w:tcPr>
            <w:tcW w:w="1333" w:type="pct"/>
            <w:vAlign w:val="center"/>
          </w:tcPr>
          <w:p w14:paraId="00B842CE"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Foetal</w:t>
            </w:r>
          </w:p>
        </w:tc>
        <w:tc>
          <w:tcPr>
            <w:tcW w:w="1266" w:type="pct"/>
            <w:vAlign w:val="center"/>
          </w:tcPr>
          <w:p w14:paraId="37E77981"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Nil</w:t>
            </w:r>
          </w:p>
        </w:tc>
        <w:tc>
          <w:tcPr>
            <w:tcW w:w="949" w:type="pct"/>
          </w:tcPr>
          <w:p w14:paraId="462D2B32"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Days-weeks</w:t>
            </w:r>
          </w:p>
        </w:tc>
        <w:tc>
          <w:tcPr>
            <w:tcW w:w="1205" w:type="pct"/>
            <w:vAlign w:val="center"/>
          </w:tcPr>
          <w:p w14:paraId="4DDF0098"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w:t>
            </w:r>
          </w:p>
        </w:tc>
      </w:tr>
      <w:tr w:rsidR="00BA1768" w:rsidRPr="00917415" w14:paraId="436B0D2A" w14:textId="77777777" w:rsidTr="00CC18E5">
        <w:tc>
          <w:tcPr>
            <w:tcW w:w="246" w:type="pct"/>
            <w:vAlign w:val="center"/>
          </w:tcPr>
          <w:p w14:paraId="08342BAB"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w:t>
            </w:r>
          </w:p>
        </w:tc>
        <w:tc>
          <w:tcPr>
            <w:tcW w:w="1333" w:type="pct"/>
            <w:vAlign w:val="center"/>
          </w:tcPr>
          <w:p w14:paraId="547BF0A6"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&lt;6 months</w:t>
            </w:r>
          </w:p>
        </w:tc>
        <w:tc>
          <w:tcPr>
            <w:tcW w:w="1266" w:type="pct"/>
            <w:vAlign w:val="center"/>
          </w:tcPr>
          <w:p w14:paraId="31CBEC9E"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Never sits</w:t>
            </w:r>
          </w:p>
        </w:tc>
        <w:tc>
          <w:tcPr>
            <w:tcW w:w="949" w:type="pct"/>
          </w:tcPr>
          <w:p w14:paraId="77413AD8"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&lt; 2 years</w:t>
            </w:r>
          </w:p>
        </w:tc>
        <w:tc>
          <w:tcPr>
            <w:tcW w:w="1205" w:type="pct"/>
            <w:vAlign w:val="center"/>
          </w:tcPr>
          <w:p w14:paraId="1C7B5B52"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 xml:space="preserve">1, </w:t>
            </w:r>
            <w:r w:rsidRPr="00917415">
              <w:rPr>
                <w:rFonts w:ascii="Arial Narrow" w:hAnsi="Arial Narrow"/>
                <w:b/>
                <w:sz w:val="20"/>
                <w:szCs w:val="20"/>
              </w:rPr>
              <w:t>2</w:t>
            </w:r>
            <w:r w:rsidRPr="00917415">
              <w:rPr>
                <w:rFonts w:ascii="Arial Narrow" w:hAnsi="Arial Narrow"/>
                <w:sz w:val="20"/>
                <w:szCs w:val="20"/>
              </w:rPr>
              <w:t>, 3</w:t>
            </w:r>
          </w:p>
        </w:tc>
      </w:tr>
      <w:tr w:rsidR="00BA1768" w:rsidRPr="00917415" w14:paraId="011E36D6" w14:textId="77777777" w:rsidTr="00CC18E5">
        <w:tc>
          <w:tcPr>
            <w:tcW w:w="246" w:type="pct"/>
            <w:vAlign w:val="center"/>
          </w:tcPr>
          <w:p w14:paraId="7CE4DCD2"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2</w:t>
            </w:r>
          </w:p>
        </w:tc>
        <w:tc>
          <w:tcPr>
            <w:tcW w:w="1333" w:type="pct"/>
            <w:vAlign w:val="center"/>
          </w:tcPr>
          <w:p w14:paraId="72F858F3"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6-18 months</w:t>
            </w:r>
          </w:p>
        </w:tc>
        <w:tc>
          <w:tcPr>
            <w:tcW w:w="1266" w:type="pct"/>
            <w:vAlign w:val="center"/>
          </w:tcPr>
          <w:p w14:paraId="3C795B70"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Never walks</w:t>
            </w:r>
          </w:p>
        </w:tc>
        <w:tc>
          <w:tcPr>
            <w:tcW w:w="949" w:type="pct"/>
          </w:tcPr>
          <w:p w14:paraId="16B5A697"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20-40 years</w:t>
            </w:r>
          </w:p>
        </w:tc>
        <w:tc>
          <w:tcPr>
            <w:tcW w:w="1205" w:type="pct"/>
            <w:vAlign w:val="center"/>
          </w:tcPr>
          <w:p w14:paraId="51C4AC98"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 xml:space="preserve">2, </w:t>
            </w:r>
            <w:r w:rsidRPr="00917415">
              <w:rPr>
                <w:rFonts w:ascii="Arial Narrow" w:hAnsi="Arial Narrow"/>
                <w:b/>
                <w:sz w:val="20"/>
                <w:szCs w:val="20"/>
              </w:rPr>
              <w:t>3,</w:t>
            </w:r>
            <w:r w:rsidRPr="00917415">
              <w:rPr>
                <w:rFonts w:ascii="Arial Narrow" w:hAnsi="Arial Narrow"/>
                <w:sz w:val="20"/>
                <w:szCs w:val="20"/>
              </w:rPr>
              <w:t xml:space="preserve"> 4</w:t>
            </w:r>
          </w:p>
        </w:tc>
      </w:tr>
      <w:tr w:rsidR="00BA1768" w:rsidRPr="00917415" w14:paraId="2F479304" w14:textId="77777777" w:rsidTr="00CC18E5">
        <w:tc>
          <w:tcPr>
            <w:tcW w:w="246" w:type="pct"/>
            <w:vAlign w:val="center"/>
          </w:tcPr>
          <w:p w14:paraId="7F2A6DA1"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3</w:t>
            </w:r>
          </w:p>
        </w:tc>
        <w:tc>
          <w:tcPr>
            <w:tcW w:w="1333" w:type="pct"/>
            <w:vAlign w:val="center"/>
          </w:tcPr>
          <w:p w14:paraId="19BCBB0B"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1.5-10 years</w:t>
            </w:r>
          </w:p>
        </w:tc>
        <w:tc>
          <w:tcPr>
            <w:tcW w:w="1266" w:type="pct"/>
            <w:vAlign w:val="center"/>
          </w:tcPr>
          <w:p w14:paraId="78605641"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Walks, regression</w:t>
            </w:r>
          </w:p>
        </w:tc>
        <w:tc>
          <w:tcPr>
            <w:tcW w:w="949" w:type="pct"/>
          </w:tcPr>
          <w:p w14:paraId="22DA03D6"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Normal</w:t>
            </w:r>
          </w:p>
        </w:tc>
        <w:tc>
          <w:tcPr>
            <w:tcW w:w="1205" w:type="pct"/>
            <w:vAlign w:val="center"/>
          </w:tcPr>
          <w:p w14:paraId="20D1E4E9" w14:textId="77777777" w:rsidR="00BA1768" w:rsidRPr="00917415" w:rsidRDefault="00BA1768" w:rsidP="00516F35">
            <w:pPr>
              <w:keepNext/>
              <w:jc w:val="center"/>
              <w:rPr>
                <w:rFonts w:ascii="Arial Narrow" w:hAnsi="Arial Narrow"/>
                <w:sz w:val="20"/>
                <w:szCs w:val="20"/>
              </w:rPr>
            </w:pPr>
            <w:r w:rsidRPr="00917415">
              <w:rPr>
                <w:rFonts w:ascii="Arial Narrow" w:hAnsi="Arial Narrow"/>
                <w:b/>
                <w:sz w:val="20"/>
                <w:szCs w:val="20"/>
              </w:rPr>
              <w:t>3, 4,</w:t>
            </w:r>
            <w:r w:rsidRPr="00917415">
              <w:rPr>
                <w:rFonts w:ascii="Arial Narrow" w:hAnsi="Arial Narrow"/>
                <w:sz w:val="20"/>
                <w:szCs w:val="20"/>
              </w:rPr>
              <w:t xml:space="preserve"> 5</w:t>
            </w:r>
          </w:p>
        </w:tc>
      </w:tr>
      <w:tr w:rsidR="00BA1768" w:rsidRPr="00917415" w14:paraId="6536E114" w14:textId="77777777" w:rsidTr="00CC18E5">
        <w:tc>
          <w:tcPr>
            <w:tcW w:w="246" w:type="pct"/>
            <w:vAlign w:val="center"/>
          </w:tcPr>
          <w:p w14:paraId="67DFC828"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4</w:t>
            </w:r>
          </w:p>
        </w:tc>
        <w:tc>
          <w:tcPr>
            <w:tcW w:w="1333" w:type="pct"/>
            <w:vAlign w:val="center"/>
          </w:tcPr>
          <w:p w14:paraId="0F0EA038"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&gt;35 years</w:t>
            </w:r>
          </w:p>
        </w:tc>
        <w:tc>
          <w:tcPr>
            <w:tcW w:w="1266" w:type="pct"/>
            <w:vAlign w:val="center"/>
          </w:tcPr>
          <w:p w14:paraId="3F253738"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Slow decline</w:t>
            </w:r>
          </w:p>
        </w:tc>
        <w:tc>
          <w:tcPr>
            <w:tcW w:w="949" w:type="pct"/>
          </w:tcPr>
          <w:p w14:paraId="11C44600" w14:textId="77777777" w:rsidR="00BA1768" w:rsidRPr="00917415" w:rsidRDefault="00BA1768" w:rsidP="00516F35">
            <w:pPr>
              <w:keepNext/>
              <w:jc w:val="center"/>
              <w:rPr>
                <w:rFonts w:ascii="Arial Narrow" w:hAnsi="Arial Narrow"/>
                <w:sz w:val="20"/>
                <w:szCs w:val="20"/>
              </w:rPr>
            </w:pPr>
            <w:r w:rsidRPr="00917415">
              <w:rPr>
                <w:rFonts w:ascii="Arial Narrow" w:hAnsi="Arial Narrow"/>
                <w:sz w:val="20"/>
                <w:szCs w:val="20"/>
              </w:rPr>
              <w:t>Normal</w:t>
            </w:r>
          </w:p>
        </w:tc>
        <w:tc>
          <w:tcPr>
            <w:tcW w:w="1205" w:type="pct"/>
            <w:vAlign w:val="center"/>
          </w:tcPr>
          <w:p w14:paraId="31BE1BA2" w14:textId="77777777" w:rsidR="00BA1768" w:rsidRPr="00917415" w:rsidRDefault="00BA1768" w:rsidP="00516F35">
            <w:pPr>
              <w:keepNext/>
              <w:jc w:val="center"/>
              <w:rPr>
                <w:rFonts w:ascii="Arial Narrow" w:hAnsi="Arial Narrow"/>
                <w:b/>
                <w:sz w:val="20"/>
                <w:szCs w:val="20"/>
              </w:rPr>
            </w:pPr>
            <w:r w:rsidRPr="00917415">
              <w:rPr>
                <w:rFonts w:ascii="Arial Narrow" w:hAnsi="Arial Narrow"/>
                <w:b/>
                <w:sz w:val="20"/>
                <w:szCs w:val="20"/>
              </w:rPr>
              <w:t>4, 5</w:t>
            </w:r>
          </w:p>
        </w:tc>
      </w:tr>
    </w:tbl>
    <w:p w14:paraId="0565A432" w14:textId="77777777" w:rsidR="00BA1768" w:rsidRPr="00917415" w:rsidRDefault="00BA1768" w:rsidP="00CC18E5">
      <w:pPr>
        <w:pStyle w:val="TableFigureFooter"/>
      </w:pPr>
      <w:r w:rsidRPr="00917415">
        <w:t>Source: Table 1.1, p24 of the submission.</w:t>
      </w:r>
    </w:p>
    <w:p w14:paraId="2758C32B" w14:textId="77777777" w:rsidR="00BA1768" w:rsidRPr="00917415" w:rsidRDefault="00BA1768" w:rsidP="00CC18E5">
      <w:pPr>
        <w:pStyle w:val="TableFigureFooter"/>
      </w:pPr>
      <w:r w:rsidRPr="00917415">
        <w:rPr>
          <w:b/>
        </w:rPr>
        <w:t>Bold</w:t>
      </w:r>
      <w:r w:rsidRPr="00917415">
        <w:t xml:space="preserve"> = predominant </w:t>
      </w:r>
      <w:r w:rsidR="004400AE" w:rsidRPr="00917415">
        <w:rPr>
          <w:i/>
        </w:rPr>
        <w:t>SMN</w:t>
      </w:r>
      <w:r w:rsidR="00A5344D" w:rsidRPr="00917415">
        <w:rPr>
          <w:i/>
        </w:rPr>
        <w:t>2</w:t>
      </w:r>
      <w:r w:rsidRPr="00917415">
        <w:t xml:space="preserve"> copy number that defines the SMA type, the other copy numbers represent a small percentage of the designated SMA type</w:t>
      </w:r>
      <w:r w:rsidR="00917415">
        <w:t xml:space="preserve">. </w:t>
      </w:r>
      <w:r w:rsidRPr="00917415">
        <w:t xml:space="preserve">SMA= spinal muscular atrophy; </w:t>
      </w:r>
      <w:r w:rsidR="004400AE" w:rsidRPr="00917415">
        <w:rPr>
          <w:i/>
        </w:rPr>
        <w:t>SMN</w:t>
      </w:r>
      <w:r w:rsidR="00C77DA3" w:rsidRPr="00917415">
        <w:rPr>
          <w:i/>
        </w:rPr>
        <w:t>2</w:t>
      </w:r>
      <w:r w:rsidRPr="00917415">
        <w:t xml:space="preserve"> = survival motor neuron 2 gene.</w:t>
      </w:r>
    </w:p>
    <w:p w14:paraId="13441A85" w14:textId="77777777" w:rsidR="00FB7928" w:rsidRPr="00917415" w:rsidRDefault="00FB7928" w:rsidP="00CC18E5">
      <w:pPr>
        <w:pStyle w:val="TableFigureHeading"/>
      </w:pPr>
      <w:r w:rsidRPr="00917415">
        <w:t xml:space="preserve">Figure 1: </w:t>
      </w:r>
      <w:r w:rsidR="004400AE" w:rsidRPr="00917415">
        <w:t>SMN2</w:t>
      </w:r>
      <w:r w:rsidRPr="00917415">
        <w:t xml:space="preserve"> copy number by SMA type</w:t>
      </w:r>
    </w:p>
    <w:p w14:paraId="36BA2840" w14:textId="7B398852" w:rsidR="00296BCB" w:rsidRPr="00917415" w:rsidRDefault="002E0331" w:rsidP="00516F35">
      <w:pPr>
        <w:pStyle w:val="3-BodyText"/>
        <w:keepNext/>
        <w:numPr>
          <w:ilvl w:val="0"/>
          <w:numId w:val="0"/>
        </w:numPr>
        <w:spacing w:after="0"/>
      </w:pPr>
      <w:r>
        <w:rPr>
          <w:noProof/>
        </w:rPr>
        <w:drawing>
          <wp:inline distT="0" distB="0" distL="0" distR="0" wp14:anchorId="22A670B3" wp14:editId="0BBDB7CD">
            <wp:extent cx="4286250" cy="2447925"/>
            <wp:effectExtent l="0" t="0" r="0" b="9525"/>
            <wp:docPr id="9" name="Picture 9" title="Figure 1: SMN2 copy number by SMA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447925"/>
                    </a:xfrm>
                    <a:prstGeom prst="rect">
                      <a:avLst/>
                    </a:prstGeom>
                    <a:noFill/>
                  </pic:spPr>
                </pic:pic>
              </a:graphicData>
            </a:graphic>
          </wp:inline>
        </w:drawing>
      </w:r>
    </w:p>
    <w:p w14:paraId="1EA6E11D" w14:textId="77777777" w:rsidR="008F45AF" w:rsidRPr="00CC18E5" w:rsidRDefault="00296BCB" w:rsidP="00CC18E5">
      <w:pPr>
        <w:pStyle w:val="TableFigureFooter"/>
      </w:pPr>
      <w:r w:rsidRPr="00917415">
        <w:t>Source: reconstructed during evaluation from Feldkotter et al. (2002).</w:t>
      </w:r>
    </w:p>
    <w:p w14:paraId="0316E26A" w14:textId="77777777" w:rsidR="002A120A" w:rsidRPr="00917415" w:rsidRDefault="00296BCB" w:rsidP="00516F35">
      <w:pPr>
        <w:pStyle w:val="3-BodyText"/>
      </w:pPr>
      <w:r w:rsidRPr="00917415">
        <w:t xml:space="preserve">Figure 1 illustrates the imperfect relationship between </w:t>
      </w:r>
      <w:r w:rsidR="004400AE" w:rsidRPr="00917415">
        <w:t>SMN2</w:t>
      </w:r>
      <w:r w:rsidRPr="00917415">
        <w:t xml:space="preserve"> copy number and SMA phenotype. For SMA Type I, while the majority of patients (80%) </w:t>
      </w:r>
      <w:r w:rsidR="006014E0" w:rsidRPr="00917415">
        <w:t xml:space="preserve">had </w:t>
      </w:r>
      <w:r w:rsidRPr="00917415">
        <w:t xml:space="preserve">≤ 2 copies of the </w:t>
      </w:r>
      <w:r w:rsidR="004400AE" w:rsidRPr="00917415">
        <w:t>SMN2</w:t>
      </w:r>
      <w:r w:rsidRPr="00917415">
        <w:t xml:space="preserve"> gene, 20%</w:t>
      </w:r>
      <w:r w:rsidR="00FB7928" w:rsidRPr="00917415">
        <w:t xml:space="preserve"> </w:t>
      </w:r>
      <w:r w:rsidRPr="00917415">
        <w:t xml:space="preserve">had 3 copies of </w:t>
      </w:r>
      <w:r w:rsidR="004400AE" w:rsidRPr="00917415">
        <w:t>SMN2</w:t>
      </w:r>
      <w:r w:rsidRPr="00917415">
        <w:t xml:space="preserve">. Patients with 3 copies of the </w:t>
      </w:r>
      <w:r w:rsidR="004400AE" w:rsidRPr="00917415">
        <w:t>SMN2</w:t>
      </w:r>
      <w:r w:rsidRPr="00917415">
        <w:t xml:space="preserve"> gene could also manifest as either Type III or IV SMA</w:t>
      </w:r>
      <w:r w:rsidR="005C4C44" w:rsidRPr="00917415">
        <w:t>.</w:t>
      </w:r>
    </w:p>
    <w:p w14:paraId="1FF8BDEC" w14:textId="77777777" w:rsidR="00A10471" w:rsidRPr="00917415" w:rsidRDefault="00C8134E" w:rsidP="00516F35">
      <w:pPr>
        <w:pStyle w:val="3-BodyText"/>
      </w:pPr>
      <w:r w:rsidRPr="00917415">
        <w:t xml:space="preserve">ONA is a </w:t>
      </w:r>
      <w:r w:rsidR="000865CF" w:rsidRPr="00917415">
        <w:t>once per life</w:t>
      </w:r>
      <w:r w:rsidRPr="00917415">
        <w:t>-time gene replacement therapy consisting of a non-replicating recombinant adeno-associated viral (AAV</w:t>
      </w:r>
      <w:r w:rsidRPr="00917415">
        <w:rPr>
          <w:vertAlign w:val="subscript"/>
        </w:rPr>
        <w:t>9</w:t>
      </w:r>
      <w:r w:rsidRPr="00917415">
        <w:t>) vector containing the human SMN gene under control of the chicken beta</w:t>
      </w:r>
      <w:r w:rsidR="00A162CB" w:rsidRPr="00917415">
        <w:t>-</w:t>
      </w:r>
      <w:r w:rsidRPr="00917415">
        <w:t>actin promoter. It is designed to deliver a copy of the gene</w:t>
      </w:r>
      <w:r w:rsidR="006E03C5" w:rsidRPr="00917415">
        <w:t xml:space="preserve"> encoding the human SMN protein</w:t>
      </w:r>
      <w:r w:rsidR="00C1742E" w:rsidRPr="00917415">
        <w:t>.</w:t>
      </w:r>
    </w:p>
    <w:p w14:paraId="249AD02B" w14:textId="77777777" w:rsidR="00B50DB8" w:rsidRPr="00917415" w:rsidRDefault="00B50DB8" w:rsidP="00516F35">
      <w:pPr>
        <w:pStyle w:val="2-SectionHeading"/>
      </w:pPr>
      <w:bookmarkStart w:id="7" w:name="_Toc51152453"/>
      <w:r w:rsidRPr="00917415">
        <w:t>Comparator</w:t>
      </w:r>
      <w:bookmarkEnd w:id="7"/>
    </w:p>
    <w:p w14:paraId="6230CC66" w14:textId="77777777" w:rsidR="00A92D8B" w:rsidRPr="00917415" w:rsidRDefault="00A92D8B" w:rsidP="00516F35">
      <w:pPr>
        <w:pStyle w:val="3-BodyText"/>
        <w:rPr>
          <w:snapToGrid/>
        </w:rPr>
      </w:pPr>
      <w:r w:rsidRPr="00917415">
        <w:t xml:space="preserve">The submission nominated </w:t>
      </w:r>
      <w:r w:rsidR="00EE09B5" w:rsidRPr="00917415">
        <w:t>NUSI</w:t>
      </w:r>
      <w:r w:rsidRPr="00917415">
        <w:t xml:space="preserve"> as </w:t>
      </w:r>
      <w:r w:rsidR="00CE095F" w:rsidRPr="00917415">
        <w:t xml:space="preserve">the </w:t>
      </w:r>
      <w:r w:rsidRPr="00917415">
        <w:t>main comparator</w:t>
      </w:r>
      <w:r w:rsidR="0031087E" w:rsidRPr="00917415">
        <w:t>, but</w:t>
      </w:r>
      <w:r w:rsidR="00A5344D" w:rsidRPr="00917415">
        <w:t xml:space="preserve"> a</w:t>
      </w:r>
      <w:r w:rsidR="0031087E" w:rsidRPr="00917415">
        <w:t xml:space="preserve"> comparison versus </w:t>
      </w:r>
      <w:r w:rsidRPr="00917415">
        <w:t>natural history as proxy for BSC was also made</w:t>
      </w:r>
      <w:r w:rsidR="00917415">
        <w:t xml:space="preserve">. </w:t>
      </w:r>
    </w:p>
    <w:p w14:paraId="051E498A" w14:textId="77777777" w:rsidR="005C4C44" w:rsidRPr="00917415" w:rsidRDefault="001564CF" w:rsidP="00516F35">
      <w:pPr>
        <w:pStyle w:val="3-BodyText"/>
        <w:rPr>
          <w:snapToGrid/>
        </w:rPr>
      </w:pPr>
      <w:r w:rsidRPr="00917415">
        <w:rPr>
          <w:snapToGrid/>
        </w:rPr>
        <w:t>The resubmission also nominated risdiplam and branaplam, both small molecule therapies, to be near market comparators.</w:t>
      </w:r>
      <w:r w:rsidR="008E5E9B" w:rsidRPr="00917415">
        <w:rPr>
          <w:snapToGrid/>
        </w:rPr>
        <w:t xml:space="preserve"> </w:t>
      </w:r>
    </w:p>
    <w:p w14:paraId="75F7D67F" w14:textId="77777777" w:rsidR="002F17E6" w:rsidRPr="00917415" w:rsidRDefault="002F17E6" w:rsidP="00516F35">
      <w:pPr>
        <w:pStyle w:val="3-BodyText"/>
        <w:rPr>
          <w:snapToGrid/>
        </w:rPr>
      </w:pPr>
      <w:r w:rsidRPr="00917415">
        <w:t>The PBAC considered these comparators appropriate.</w:t>
      </w:r>
    </w:p>
    <w:p w14:paraId="3FECBC26" w14:textId="77777777" w:rsidR="00223D5A" w:rsidRPr="00917415" w:rsidRDefault="00223D5A" w:rsidP="00516F35">
      <w:pPr>
        <w:pStyle w:val="2-SectionHeading"/>
        <w:numPr>
          <w:ilvl w:val="0"/>
          <w:numId w:val="1"/>
        </w:numPr>
      </w:pPr>
      <w:bookmarkStart w:id="8" w:name="_Toc51152454"/>
      <w:bookmarkStart w:id="9" w:name="_Toc22897640"/>
      <w:r w:rsidRPr="00917415">
        <w:lastRenderedPageBreak/>
        <w:t>Consideration of the evidence</w:t>
      </w:r>
      <w:bookmarkEnd w:id="8"/>
    </w:p>
    <w:p w14:paraId="77FADAF0" w14:textId="77777777" w:rsidR="00641B06" w:rsidRPr="00917415" w:rsidRDefault="00641B06" w:rsidP="00516F35">
      <w:pPr>
        <w:pStyle w:val="4-SubsectionHeading"/>
        <w:rPr>
          <w:snapToGrid w:val="0"/>
        </w:rPr>
      </w:pPr>
      <w:bookmarkStart w:id="10" w:name="_Toc51152455"/>
      <w:r w:rsidRPr="00917415">
        <w:rPr>
          <w:snapToGrid w:val="0"/>
        </w:rPr>
        <w:t>Sponsor hearing</w:t>
      </w:r>
    </w:p>
    <w:p w14:paraId="6DAE20EC" w14:textId="77777777" w:rsidR="00641B06" w:rsidRPr="00917415" w:rsidRDefault="00265DCB" w:rsidP="00516F35">
      <w:pPr>
        <w:pStyle w:val="3-BodyText"/>
      </w:pPr>
      <w:r w:rsidRPr="00917415">
        <w:t>The sponsor requested a hearing for this item. The clinician presented clinical case studies and discussed the natural history of the disease</w:t>
      </w:r>
      <w:r w:rsidR="005C4C44" w:rsidRPr="00917415">
        <w:t xml:space="preserve"> and</w:t>
      </w:r>
      <w:r w:rsidRPr="00917415">
        <w:t xml:space="preserve"> how the </w:t>
      </w:r>
      <w:r w:rsidR="0064714D" w:rsidRPr="00917415">
        <w:t xml:space="preserve">therapy </w:t>
      </w:r>
      <w:r w:rsidR="005C4C44" w:rsidRPr="00917415">
        <w:t>would be used in practice</w:t>
      </w:r>
      <w:r w:rsidR="0064714D" w:rsidRPr="00917415">
        <w:t>, including advocating for it to be available to pre-symptomatic infants with up to 3 copies of the SMN2 gene</w:t>
      </w:r>
      <w:r w:rsidR="005C4C44" w:rsidRPr="00917415">
        <w:t>.</w:t>
      </w:r>
    </w:p>
    <w:p w14:paraId="4C31E1C3" w14:textId="77777777" w:rsidR="00641B06" w:rsidRPr="00917415" w:rsidRDefault="00641B06" w:rsidP="00516F35">
      <w:pPr>
        <w:pStyle w:val="4-SubsectionHeading"/>
        <w:rPr>
          <w:snapToGrid w:val="0"/>
        </w:rPr>
      </w:pPr>
      <w:r w:rsidRPr="00917415">
        <w:rPr>
          <w:snapToGrid w:val="0"/>
        </w:rPr>
        <w:t>Consumer comments</w:t>
      </w:r>
    </w:p>
    <w:p w14:paraId="30AEE290" w14:textId="77777777" w:rsidR="00641B06" w:rsidRPr="00917415" w:rsidRDefault="00641B06" w:rsidP="00516F35">
      <w:pPr>
        <w:pStyle w:val="3-BodyText"/>
      </w:pPr>
      <w:r w:rsidRPr="00917415">
        <w:t>The PBAC noted and welcomed the input from individuals (</w:t>
      </w:r>
      <w:r w:rsidR="00B52DB1" w:rsidRPr="00917415">
        <w:t>1</w:t>
      </w:r>
      <w:r w:rsidR="0058577C" w:rsidRPr="00917415">
        <w:t>2</w:t>
      </w:r>
      <w:r w:rsidRPr="00917415">
        <w:t>)</w:t>
      </w:r>
      <w:r w:rsidR="00B52DB1" w:rsidRPr="00917415">
        <w:t xml:space="preserve"> and organisations (2</w:t>
      </w:r>
      <w:r w:rsidRPr="00917415">
        <w:t>) via the Consumer Commen</w:t>
      </w:r>
      <w:r w:rsidR="006323C0" w:rsidRPr="00917415">
        <w:t>ts facility on the PBS website.</w:t>
      </w:r>
      <w:r w:rsidRPr="00917415">
        <w:t xml:space="preserve"> The comments described a range of benefits of treatment with </w:t>
      </w:r>
      <w:r w:rsidR="006323C0" w:rsidRPr="00917415">
        <w:t>ONA</w:t>
      </w:r>
      <w:r w:rsidRPr="00917415">
        <w:t xml:space="preserve"> including the </w:t>
      </w:r>
      <w:r w:rsidR="006323C0" w:rsidRPr="00917415">
        <w:t>improvement in quality of l</w:t>
      </w:r>
      <w:r w:rsidR="008D225A" w:rsidRPr="00917415">
        <w:t>ife for the child and parents</w:t>
      </w:r>
      <w:r w:rsidR="006323C0" w:rsidRPr="00917415">
        <w:t xml:space="preserve">, and the prospect of not needing </w:t>
      </w:r>
      <w:r w:rsidR="005271F0" w:rsidRPr="00917415">
        <w:t xml:space="preserve">ongoing </w:t>
      </w:r>
      <w:r w:rsidR="006323C0" w:rsidRPr="00917415">
        <w:t xml:space="preserve">treatment. </w:t>
      </w:r>
    </w:p>
    <w:p w14:paraId="4036774B" w14:textId="77777777" w:rsidR="00181D5D" w:rsidRPr="00917415" w:rsidRDefault="00641B06" w:rsidP="00516F35">
      <w:pPr>
        <w:pStyle w:val="3-BodyText"/>
      </w:pPr>
      <w:r w:rsidRPr="00917415">
        <w:t xml:space="preserve">The PBAC noted the advice received from </w:t>
      </w:r>
      <w:r w:rsidR="00BD12E5" w:rsidRPr="00917415">
        <w:t xml:space="preserve">Spinal Muscular Atrophy Australia (SMAA) </w:t>
      </w:r>
      <w:r w:rsidR="00181D5D" w:rsidRPr="00917415">
        <w:t xml:space="preserve">that </w:t>
      </w:r>
      <w:r w:rsidR="0007290A" w:rsidRPr="00917415">
        <w:t xml:space="preserve">families using Spinraza [NUSI] for their child and then transitioning to Zolgensma have seen improvements in breathing, swallowing and better core strength. Parents of children with SMA also reported improvements in swallowing and breathing in their child after treatment with ONA following initial treatment with NUSI. </w:t>
      </w:r>
    </w:p>
    <w:p w14:paraId="048B4EF1" w14:textId="77777777" w:rsidR="00181D5D" w:rsidRPr="00917415" w:rsidRDefault="00641B06" w:rsidP="00516F35">
      <w:pPr>
        <w:pStyle w:val="3-BodyText"/>
      </w:pPr>
      <w:r w:rsidRPr="00917415">
        <w:t>The PBAC no</w:t>
      </w:r>
      <w:r w:rsidR="0058577C" w:rsidRPr="00917415">
        <w:t xml:space="preserve">ted advice from </w:t>
      </w:r>
      <w:r w:rsidR="00085385" w:rsidRPr="00917415">
        <w:t xml:space="preserve">both SMAA and </w:t>
      </w:r>
      <w:r w:rsidR="0058577C" w:rsidRPr="00917415">
        <w:t xml:space="preserve">the Victorian Clinical Genetics Services that </w:t>
      </w:r>
      <w:r w:rsidR="008261D5" w:rsidRPr="00917415">
        <w:t>a once-off treatment is more desirable for patients than ongoing</w:t>
      </w:r>
      <w:r w:rsidR="008261D5" w:rsidRPr="00917415">
        <w:rPr>
          <w:i/>
        </w:rPr>
        <w:t xml:space="preserve"> </w:t>
      </w:r>
      <w:r w:rsidR="008261D5" w:rsidRPr="00917415">
        <w:t>lumbar injections. A parent of a child with SMA type 1 who received treatment with NUSI described the fear and trauma associated with intrathecal injections and the need for sedation to enable administration of NUSI</w:t>
      </w:r>
      <w:r w:rsidR="00917415">
        <w:t xml:space="preserve">. </w:t>
      </w:r>
    </w:p>
    <w:p w14:paraId="6F602D18" w14:textId="77777777" w:rsidR="007E5C64" w:rsidRPr="00917415" w:rsidRDefault="00181D5D" w:rsidP="00516F35">
      <w:pPr>
        <w:pStyle w:val="3-BodyText"/>
      </w:pPr>
      <w:r w:rsidRPr="00917415">
        <w:t>The PBAC also noted</w:t>
      </w:r>
      <w:r w:rsidR="00173DE1" w:rsidRPr="00917415">
        <w:t xml:space="preserve"> support</w:t>
      </w:r>
      <w:r w:rsidR="00C43895" w:rsidRPr="00917415">
        <w:t xml:space="preserve"> </w:t>
      </w:r>
      <w:r w:rsidRPr="00917415">
        <w:t xml:space="preserve">for ONA to be available </w:t>
      </w:r>
      <w:r w:rsidR="00C43895" w:rsidRPr="00917415">
        <w:t>for</w:t>
      </w:r>
      <w:r w:rsidRPr="00917415">
        <w:t xml:space="preserve"> all Types of SMA and </w:t>
      </w:r>
      <w:r w:rsidR="00C43895" w:rsidRPr="00917415">
        <w:t>for</w:t>
      </w:r>
      <w:r w:rsidRPr="00917415">
        <w:t xml:space="preserve"> pre-symptomatic patients</w:t>
      </w:r>
      <w:r w:rsidR="00173DE1" w:rsidRPr="00917415">
        <w:t>,</w:t>
      </w:r>
      <w:r w:rsidRPr="00917415">
        <w:t xml:space="preserve"> </w:t>
      </w:r>
      <w:r w:rsidR="00C43895" w:rsidRPr="00917415">
        <w:t xml:space="preserve">with </w:t>
      </w:r>
      <w:r w:rsidRPr="00917415">
        <w:t xml:space="preserve">one parent of a recipient of ONA </w:t>
      </w:r>
      <w:r w:rsidR="008D225A" w:rsidRPr="00917415">
        <w:t xml:space="preserve">pre-symptomatically </w:t>
      </w:r>
      <w:r w:rsidR="00C43895" w:rsidRPr="00917415">
        <w:t>through a trial noting</w:t>
      </w:r>
      <w:r w:rsidRPr="00917415">
        <w:t xml:space="preserve"> </w:t>
      </w:r>
      <w:r w:rsidRPr="00917415">
        <w:rPr>
          <w:i/>
        </w:rPr>
        <w:t>“in the two years since the infusion, our daughter is still pre-symptomatic and … our daughter running around each and every day gives us no doubt that Zolgensma should be accessible to all those that wish to receive it”.</w:t>
      </w:r>
      <w:r w:rsidR="00173DE1" w:rsidRPr="00917415">
        <w:t xml:space="preserve"> </w:t>
      </w:r>
    </w:p>
    <w:p w14:paraId="57AEDEBD" w14:textId="77777777" w:rsidR="00641B06" w:rsidRPr="00917415" w:rsidRDefault="007E5C64" w:rsidP="00516F35">
      <w:pPr>
        <w:pStyle w:val="3-BodyText"/>
      </w:pPr>
      <w:r w:rsidRPr="00917415">
        <w:rPr>
          <w:szCs w:val="22"/>
          <w:lang w:eastAsia="en-US"/>
        </w:rPr>
        <w:t>The PBAC noted that some individuals perce</w:t>
      </w:r>
      <w:r w:rsidR="005C4C44" w:rsidRPr="00917415">
        <w:rPr>
          <w:szCs w:val="22"/>
          <w:lang w:eastAsia="en-US"/>
        </w:rPr>
        <w:t xml:space="preserve">ived </w:t>
      </w:r>
      <w:r w:rsidRPr="00917415">
        <w:rPr>
          <w:szCs w:val="22"/>
          <w:lang w:eastAsia="en-US"/>
        </w:rPr>
        <w:t xml:space="preserve">ONA </w:t>
      </w:r>
      <w:r w:rsidR="005271F0" w:rsidRPr="00917415">
        <w:rPr>
          <w:szCs w:val="22"/>
          <w:lang w:eastAsia="en-US"/>
        </w:rPr>
        <w:t>as</w:t>
      </w:r>
      <w:r w:rsidRPr="00917415">
        <w:rPr>
          <w:szCs w:val="22"/>
          <w:lang w:eastAsia="en-US"/>
        </w:rPr>
        <w:t xml:space="preserve"> a </w:t>
      </w:r>
      <w:r w:rsidRPr="00917415">
        <w:rPr>
          <w:i/>
          <w:szCs w:val="22"/>
          <w:lang w:eastAsia="en-US"/>
        </w:rPr>
        <w:t>“cure”</w:t>
      </w:r>
      <w:r w:rsidRPr="00917415">
        <w:rPr>
          <w:szCs w:val="22"/>
          <w:lang w:eastAsia="en-US"/>
        </w:rPr>
        <w:t xml:space="preserve"> that could reverse</w:t>
      </w:r>
      <w:r w:rsidR="005271F0" w:rsidRPr="00917415">
        <w:rPr>
          <w:szCs w:val="22"/>
          <w:lang w:eastAsia="en-US"/>
        </w:rPr>
        <w:t xml:space="preserve"> </w:t>
      </w:r>
      <w:r w:rsidR="005C4C44" w:rsidRPr="00917415">
        <w:rPr>
          <w:szCs w:val="22"/>
          <w:lang w:eastAsia="en-US"/>
        </w:rPr>
        <w:t>SMA</w:t>
      </w:r>
      <w:r w:rsidR="005271F0" w:rsidRPr="00917415">
        <w:rPr>
          <w:szCs w:val="22"/>
          <w:lang w:eastAsia="en-US"/>
        </w:rPr>
        <w:t xml:space="preserve">. </w:t>
      </w:r>
      <w:r w:rsidR="005C4C44" w:rsidRPr="00917415">
        <w:rPr>
          <w:szCs w:val="22"/>
          <w:lang w:eastAsia="en-US"/>
        </w:rPr>
        <w:t>However, t</w:t>
      </w:r>
      <w:r w:rsidRPr="00917415">
        <w:rPr>
          <w:szCs w:val="22"/>
          <w:lang w:eastAsia="en-US"/>
        </w:rPr>
        <w:t xml:space="preserve">his </w:t>
      </w:r>
      <w:r w:rsidR="005C4C44" w:rsidRPr="00917415">
        <w:rPr>
          <w:szCs w:val="22"/>
          <w:lang w:eastAsia="en-US"/>
        </w:rPr>
        <w:t xml:space="preserve">is </w:t>
      </w:r>
      <w:r w:rsidRPr="00917415">
        <w:rPr>
          <w:szCs w:val="22"/>
          <w:lang w:eastAsia="en-US"/>
        </w:rPr>
        <w:t xml:space="preserve">not supported by the evidence in the </w:t>
      </w:r>
      <w:r w:rsidR="00C43895" w:rsidRPr="00917415">
        <w:rPr>
          <w:szCs w:val="22"/>
          <w:lang w:eastAsia="en-US"/>
        </w:rPr>
        <w:t>submission.</w:t>
      </w:r>
    </w:p>
    <w:p w14:paraId="6AA3DD96" w14:textId="77777777" w:rsidR="00973EE2" w:rsidRPr="00917415" w:rsidRDefault="00B60939" w:rsidP="00516F35">
      <w:pPr>
        <w:pStyle w:val="4-SubsectionHeading"/>
      </w:pPr>
      <w:r w:rsidRPr="00917415">
        <w:t xml:space="preserve">Clinical </w:t>
      </w:r>
      <w:r w:rsidR="00D5243B" w:rsidRPr="00917415">
        <w:t>studies</w:t>
      </w:r>
      <w:bookmarkEnd w:id="9"/>
      <w:bookmarkEnd w:id="10"/>
    </w:p>
    <w:p w14:paraId="2B78B708" w14:textId="77777777" w:rsidR="00862502" w:rsidRPr="00917415" w:rsidRDefault="00A73134" w:rsidP="00516F35">
      <w:pPr>
        <w:pStyle w:val="3-BodyText"/>
      </w:pPr>
      <w:r w:rsidRPr="00917415">
        <w:rPr>
          <w:snapToGrid/>
        </w:rPr>
        <w:t xml:space="preserve">Details of the </w:t>
      </w:r>
      <w:r w:rsidR="00D5243B" w:rsidRPr="00917415">
        <w:rPr>
          <w:snapToGrid/>
        </w:rPr>
        <w:t>studies</w:t>
      </w:r>
      <w:r w:rsidRPr="00917415">
        <w:rPr>
          <w:snapToGrid/>
        </w:rPr>
        <w:t xml:space="preserve"> presented in the submission</w:t>
      </w:r>
      <w:r w:rsidR="00C43895" w:rsidRPr="00917415">
        <w:rPr>
          <w:snapToGrid/>
        </w:rPr>
        <w:t>, or identified in the evaluation (italicised)</w:t>
      </w:r>
      <w:r w:rsidR="00BB71F2" w:rsidRPr="00917415">
        <w:rPr>
          <w:snapToGrid/>
        </w:rPr>
        <w:t>,</w:t>
      </w:r>
      <w:r w:rsidRPr="00917415">
        <w:rPr>
          <w:snapToGrid/>
        </w:rPr>
        <w:t xml:space="preserve"> are provided in the table below.</w:t>
      </w:r>
      <w:r w:rsidR="00BC591F" w:rsidRPr="00917415">
        <w:rPr>
          <w:snapToGrid/>
        </w:rPr>
        <w:t xml:space="preserve"> </w:t>
      </w:r>
    </w:p>
    <w:p w14:paraId="51128B31" w14:textId="77777777" w:rsidR="00C0445F" w:rsidRPr="00917415" w:rsidRDefault="00C0445F" w:rsidP="00CC18E5">
      <w:pPr>
        <w:pStyle w:val="TableFigureHeading"/>
      </w:pPr>
      <w:r w:rsidRPr="00917415">
        <w:lastRenderedPageBreak/>
        <w:t>Table</w:t>
      </w:r>
      <w:r w:rsidR="00A40C15" w:rsidRPr="00917415">
        <w:t xml:space="preserve"> </w:t>
      </w:r>
      <w:r w:rsidR="008625C6" w:rsidRPr="00917415">
        <w:t>3:</w:t>
      </w:r>
      <w:r w:rsidRPr="00917415">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C0445F" w:rsidRPr="00CC18E5" w14:paraId="3559ADC2" w14:textId="77777777" w:rsidTr="00CC18E5">
        <w:trPr>
          <w:cantSplit/>
          <w:tblHeader/>
        </w:trPr>
        <w:tc>
          <w:tcPr>
            <w:tcW w:w="796" w:type="pct"/>
            <w:vAlign w:val="center"/>
          </w:tcPr>
          <w:p w14:paraId="4F72B61C" w14:textId="77777777" w:rsidR="00C0445F" w:rsidRPr="00CC18E5" w:rsidRDefault="00C0445F" w:rsidP="00516F35">
            <w:pPr>
              <w:pStyle w:val="In-tableHeading"/>
              <w:rPr>
                <w:szCs w:val="20"/>
                <w:lang w:val="en-AU"/>
              </w:rPr>
            </w:pPr>
            <w:r w:rsidRPr="00CC18E5">
              <w:rPr>
                <w:szCs w:val="20"/>
                <w:lang w:val="en-AU"/>
              </w:rPr>
              <w:t>Trial ID</w:t>
            </w:r>
          </w:p>
        </w:tc>
        <w:tc>
          <w:tcPr>
            <w:tcW w:w="3027" w:type="pct"/>
            <w:vAlign w:val="center"/>
          </w:tcPr>
          <w:p w14:paraId="7EC12BCE" w14:textId="77777777" w:rsidR="00C0445F" w:rsidRPr="00CC18E5" w:rsidRDefault="00C0445F" w:rsidP="00516F35">
            <w:pPr>
              <w:pStyle w:val="In-tableHeading"/>
              <w:rPr>
                <w:szCs w:val="20"/>
                <w:lang w:val="en-AU"/>
              </w:rPr>
            </w:pPr>
            <w:r w:rsidRPr="00CC18E5">
              <w:rPr>
                <w:szCs w:val="20"/>
                <w:lang w:val="en-AU"/>
              </w:rPr>
              <w:t>Protocol title/ Publication title</w:t>
            </w:r>
          </w:p>
        </w:tc>
        <w:tc>
          <w:tcPr>
            <w:tcW w:w="1177" w:type="pct"/>
            <w:vAlign w:val="center"/>
          </w:tcPr>
          <w:p w14:paraId="53BA83A8" w14:textId="77777777" w:rsidR="00C0445F" w:rsidRPr="00CC18E5" w:rsidRDefault="00C0445F" w:rsidP="00516F35">
            <w:pPr>
              <w:pStyle w:val="In-tableHeading"/>
              <w:rPr>
                <w:szCs w:val="20"/>
                <w:lang w:val="en-AU"/>
              </w:rPr>
            </w:pPr>
            <w:r w:rsidRPr="00CC18E5">
              <w:rPr>
                <w:szCs w:val="20"/>
                <w:lang w:val="en-AU"/>
              </w:rPr>
              <w:t>Publication citation</w:t>
            </w:r>
          </w:p>
        </w:tc>
      </w:tr>
      <w:tr w:rsidR="00C0445F" w:rsidRPr="00CC18E5" w14:paraId="596FD4C8" w14:textId="77777777" w:rsidTr="00CC18E5">
        <w:trPr>
          <w:cantSplit/>
        </w:trPr>
        <w:tc>
          <w:tcPr>
            <w:tcW w:w="5000" w:type="pct"/>
            <w:gridSpan w:val="3"/>
            <w:tcBorders>
              <w:bottom w:val="nil"/>
            </w:tcBorders>
            <w:vAlign w:val="center"/>
          </w:tcPr>
          <w:p w14:paraId="4C6BAA44" w14:textId="77777777" w:rsidR="00C0445F" w:rsidRPr="00CC18E5" w:rsidRDefault="00C0445F" w:rsidP="00516F35">
            <w:pPr>
              <w:pStyle w:val="TableText0"/>
              <w:rPr>
                <w:b/>
                <w:szCs w:val="20"/>
              </w:rPr>
            </w:pPr>
            <w:r w:rsidRPr="00CC18E5">
              <w:rPr>
                <w:b/>
                <w:szCs w:val="20"/>
              </w:rPr>
              <w:t xml:space="preserve">ONA </w:t>
            </w:r>
          </w:p>
        </w:tc>
      </w:tr>
      <w:tr w:rsidR="00C0445F" w:rsidRPr="00CC18E5" w14:paraId="317D2579" w14:textId="77777777" w:rsidTr="00CC18E5">
        <w:trPr>
          <w:cantSplit/>
        </w:trPr>
        <w:tc>
          <w:tcPr>
            <w:tcW w:w="796" w:type="pct"/>
            <w:vMerge w:val="restart"/>
            <w:vAlign w:val="center"/>
          </w:tcPr>
          <w:p w14:paraId="3242F3F1" w14:textId="77777777" w:rsidR="00C0445F" w:rsidRPr="00CC18E5" w:rsidRDefault="00C0445F" w:rsidP="00516F35">
            <w:pPr>
              <w:pStyle w:val="TableText0"/>
              <w:rPr>
                <w:szCs w:val="20"/>
              </w:rPr>
            </w:pPr>
            <w:r w:rsidRPr="00CC18E5">
              <w:rPr>
                <w:szCs w:val="20"/>
              </w:rPr>
              <w:t>START</w:t>
            </w:r>
          </w:p>
          <w:p w14:paraId="4D9544FC" w14:textId="77777777" w:rsidR="00C43895" w:rsidRPr="00CC18E5" w:rsidRDefault="00C43895" w:rsidP="00516F35">
            <w:pPr>
              <w:pStyle w:val="TableText0"/>
              <w:rPr>
                <w:szCs w:val="20"/>
              </w:rPr>
            </w:pPr>
            <w:r w:rsidRPr="00CC18E5">
              <w:rPr>
                <w:szCs w:val="20"/>
              </w:rPr>
              <w:t>(Completed)</w:t>
            </w:r>
          </w:p>
        </w:tc>
        <w:tc>
          <w:tcPr>
            <w:tcW w:w="3027" w:type="pct"/>
            <w:tcBorders>
              <w:bottom w:val="nil"/>
            </w:tcBorders>
            <w:vAlign w:val="center"/>
          </w:tcPr>
          <w:p w14:paraId="7284489E" w14:textId="77777777" w:rsidR="00C0445F" w:rsidRPr="00CC18E5" w:rsidRDefault="00C0445F" w:rsidP="00516F35">
            <w:pPr>
              <w:pStyle w:val="TableText0"/>
              <w:rPr>
                <w:szCs w:val="20"/>
              </w:rPr>
            </w:pPr>
            <w:r w:rsidRPr="00CC18E5">
              <w:rPr>
                <w:szCs w:val="20"/>
              </w:rPr>
              <w:t>Phase I Gene Transfer Clinical Trial for Spinal Muscular Atrophy Type 1 Delivering AVXS-101. CSR. (Study AVXS-CL-101)</w:t>
            </w:r>
          </w:p>
        </w:tc>
        <w:tc>
          <w:tcPr>
            <w:tcW w:w="1177" w:type="pct"/>
            <w:tcBorders>
              <w:bottom w:val="nil"/>
            </w:tcBorders>
            <w:vAlign w:val="center"/>
          </w:tcPr>
          <w:p w14:paraId="57E2C3C4" w14:textId="77777777" w:rsidR="00C0445F" w:rsidRPr="00CC18E5" w:rsidRDefault="00C0445F" w:rsidP="00516F35">
            <w:pPr>
              <w:pStyle w:val="TableText0"/>
              <w:rPr>
                <w:szCs w:val="20"/>
              </w:rPr>
            </w:pPr>
            <w:r w:rsidRPr="00CC18E5">
              <w:rPr>
                <w:szCs w:val="20"/>
              </w:rPr>
              <w:t>August 2018</w:t>
            </w:r>
          </w:p>
        </w:tc>
      </w:tr>
      <w:tr w:rsidR="00C0445F" w:rsidRPr="00CC18E5" w14:paraId="4F737036" w14:textId="77777777" w:rsidTr="00CC18E5">
        <w:trPr>
          <w:cantSplit/>
        </w:trPr>
        <w:tc>
          <w:tcPr>
            <w:tcW w:w="796" w:type="pct"/>
            <w:vMerge/>
            <w:tcBorders>
              <w:bottom w:val="nil"/>
            </w:tcBorders>
            <w:vAlign w:val="center"/>
          </w:tcPr>
          <w:p w14:paraId="291362AF" w14:textId="77777777" w:rsidR="00C0445F" w:rsidRPr="00CC18E5" w:rsidRDefault="00C0445F" w:rsidP="00516F35">
            <w:pPr>
              <w:pStyle w:val="TableText0"/>
              <w:rPr>
                <w:szCs w:val="20"/>
              </w:rPr>
            </w:pPr>
          </w:p>
        </w:tc>
        <w:tc>
          <w:tcPr>
            <w:tcW w:w="3027" w:type="pct"/>
            <w:tcBorders>
              <w:top w:val="nil"/>
              <w:bottom w:val="nil"/>
            </w:tcBorders>
            <w:vAlign w:val="center"/>
          </w:tcPr>
          <w:p w14:paraId="67BD913D" w14:textId="77777777" w:rsidR="00C0445F" w:rsidRPr="00CC18E5" w:rsidRDefault="00C0445F" w:rsidP="00516F35">
            <w:pPr>
              <w:pStyle w:val="TableText0"/>
              <w:rPr>
                <w:szCs w:val="20"/>
              </w:rPr>
            </w:pPr>
            <w:r w:rsidRPr="00CC18E5">
              <w:rPr>
                <w:szCs w:val="20"/>
              </w:rPr>
              <w:t>Mendell JR, Al-Zidy S, Shell R et al. Single-dose gene-replacement therapy for spinal muscular atrophy.</w:t>
            </w:r>
          </w:p>
        </w:tc>
        <w:tc>
          <w:tcPr>
            <w:tcW w:w="1177" w:type="pct"/>
            <w:tcBorders>
              <w:top w:val="nil"/>
              <w:bottom w:val="nil"/>
            </w:tcBorders>
            <w:vAlign w:val="center"/>
          </w:tcPr>
          <w:p w14:paraId="6E79BDCE" w14:textId="77777777" w:rsidR="00C0445F" w:rsidRPr="00CC18E5" w:rsidRDefault="00C0445F" w:rsidP="00516F35">
            <w:pPr>
              <w:pStyle w:val="TableText0"/>
              <w:rPr>
                <w:szCs w:val="20"/>
              </w:rPr>
            </w:pPr>
            <w:r w:rsidRPr="00CC18E5">
              <w:rPr>
                <w:szCs w:val="20"/>
              </w:rPr>
              <w:t>The New England Journal of Medicine 2017; 377 (18): 1713-1722.</w:t>
            </w:r>
          </w:p>
        </w:tc>
      </w:tr>
      <w:tr w:rsidR="00C0445F" w:rsidRPr="00CC18E5" w14:paraId="5B9DF962" w14:textId="77777777" w:rsidTr="00CC18E5">
        <w:trPr>
          <w:cantSplit/>
        </w:trPr>
        <w:tc>
          <w:tcPr>
            <w:tcW w:w="796" w:type="pct"/>
            <w:tcBorders>
              <w:top w:val="single" w:sz="4" w:space="0" w:color="auto"/>
              <w:bottom w:val="single" w:sz="4" w:space="0" w:color="auto"/>
            </w:tcBorders>
            <w:vAlign w:val="center"/>
          </w:tcPr>
          <w:p w14:paraId="1AA4A282" w14:textId="77777777" w:rsidR="00C0445F" w:rsidRPr="00CC18E5" w:rsidRDefault="00C0445F" w:rsidP="00516F35">
            <w:pPr>
              <w:pStyle w:val="TableText0"/>
              <w:rPr>
                <w:szCs w:val="20"/>
              </w:rPr>
            </w:pPr>
            <w:r w:rsidRPr="00CC18E5">
              <w:rPr>
                <w:szCs w:val="20"/>
              </w:rPr>
              <w:t>START LT</w:t>
            </w:r>
          </w:p>
          <w:p w14:paraId="38FB155E" w14:textId="77777777" w:rsidR="00C43895" w:rsidRPr="00CC18E5" w:rsidRDefault="00C43895" w:rsidP="00516F35">
            <w:pPr>
              <w:pStyle w:val="TableText0"/>
              <w:rPr>
                <w:szCs w:val="20"/>
              </w:rPr>
            </w:pPr>
            <w:r w:rsidRPr="00CC18E5">
              <w:rPr>
                <w:szCs w:val="20"/>
              </w:rPr>
              <w:t>(Interim)</w:t>
            </w:r>
          </w:p>
        </w:tc>
        <w:tc>
          <w:tcPr>
            <w:tcW w:w="3027" w:type="pct"/>
            <w:tcBorders>
              <w:top w:val="single" w:sz="4" w:space="0" w:color="auto"/>
              <w:bottom w:val="single" w:sz="4" w:space="0" w:color="auto"/>
            </w:tcBorders>
            <w:vAlign w:val="center"/>
          </w:tcPr>
          <w:p w14:paraId="136F7D36" w14:textId="77777777" w:rsidR="00C0445F" w:rsidRPr="00CC18E5" w:rsidRDefault="00C0445F" w:rsidP="00516F35">
            <w:pPr>
              <w:pStyle w:val="TableText0"/>
              <w:rPr>
                <w:szCs w:val="20"/>
              </w:rPr>
            </w:pPr>
            <w:r w:rsidRPr="00CC18E5">
              <w:rPr>
                <w:szCs w:val="20"/>
              </w:rPr>
              <w:t>A Long-term Follow-up Safety Study of Patients in the AVXS-101-CL-101 Gene Replacement Therapy Clinical Trial for Spinal Muscular Atrophy Delivering ACXS-101. Protocol. (Study AVXS-101-LT-001)</w:t>
            </w:r>
          </w:p>
        </w:tc>
        <w:tc>
          <w:tcPr>
            <w:tcW w:w="1177" w:type="pct"/>
            <w:tcBorders>
              <w:top w:val="single" w:sz="4" w:space="0" w:color="auto"/>
              <w:bottom w:val="single" w:sz="4" w:space="0" w:color="auto"/>
            </w:tcBorders>
            <w:vAlign w:val="center"/>
          </w:tcPr>
          <w:p w14:paraId="37232DBA" w14:textId="77777777" w:rsidR="00C0445F" w:rsidRPr="00CC18E5" w:rsidRDefault="00C0445F" w:rsidP="00516F35">
            <w:pPr>
              <w:pStyle w:val="TableText0"/>
              <w:rPr>
                <w:szCs w:val="20"/>
              </w:rPr>
            </w:pPr>
            <w:r w:rsidRPr="00CC18E5">
              <w:rPr>
                <w:szCs w:val="20"/>
              </w:rPr>
              <w:t>January 2020.</w:t>
            </w:r>
          </w:p>
        </w:tc>
      </w:tr>
      <w:tr w:rsidR="00C0445F" w:rsidRPr="00CC18E5" w14:paraId="7B2AD175" w14:textId="77777777" w:rsidTr="00CC18E5">
        <w:trPr>
          <w:cantSplit/>
        </w:trPr>
        <w:tc>
          <w:tcPr>
            <w:tcW w:w="796" w:type="pct"/>
            <w:tcBorders>
              <w:bottom w:val="nil"/>
            </w:tcBorders>
            <w:vAlign w:val="center"/>
          </w:tcPr>
          <w:p w14:paraId="56750303" w14:textId="77777777" w:rsidR="00C0445F" w:rsidRPr="00CC18E5" w:rsidRDefault="00C0445F" w:rsidP="00516F35">
            <w:pPr>
              <w:pStyle w:val="TableText0"/>
              <w:rPr>
                <w:szCs w:val="20"/>
              </w:rPr>
            </w:pPr>
            <w:r w:rsidRPr="00CC18E5">
              <w:rPr>
                <w:szCs w:val="20"/>
              </w:rPr>
              <w:t>STR1VE US</w:t>
            </w:r>
          </w:p>
          <w:p w14:paraId="62015ED5" w14:textId="77777777" w:rsidR="00C43895" w:rsidRPr="00CC18E5" w:rsidRDefault="00C43895" w:rsidP="00516F35">
            <w:pPr>
              <w:pStyle w:val="TableText0"/>
              <w:rPr>
                <w:szCs w:val="20"/>
              </w:rPr>
            </w:pPr>
            <w:r w:rsidRPr="00CC18E5">
              <w:rPr>
                <w:szCs w:val="20"/>
              </w:rPr>
              <w:t>(Completed)</w:t>
            </w:r>
          </w:p>
        </w:tc>
        <w:tc>
          <w:tcPr>
            <w:tcW w:w="3027" w:type="pct"/>
            <w:tcBorders>
              <w:bottom w:val="nil"/>
            </w:tcBorders>
            <w:vAlign w:val="center"/>
          </w:tcPr>
          <w:p w14:paraId="699FFBED" w14:textId="77777777" w:rsidR="00C0445F" w:rsidRPr="00CC18E5" w:rsidRDefault="00C0445F" w:rsidP="00516F35">
            <w:pPr>
              <w:pStyle w:val="TableText0"/>
              <w:rPr>
                <w:szCs w:val="20"/>
              </w:rPr>
            </w:pPr>
            <w:r w:rsidRPr="00CC18E5">
              <w:rPr>
                <w:szCs w:val="20"/>
              </w:rPr>
              <w:t xml:space="preserve">Phase 3, Open-label, Single-arm, Single-dose Gene Replacement Therapy Clinical Trial for Patients with Spinal Muscular Atrophy Type 1 with One or Two </w:t>
            </w:r>
            <w:r w:rsidR="004400AE" w:rsidRPr="00CC18E5">
              <w:rPr>
                <w:szCs w:val="20"/>
              </w:rPr>
              <w:t>SMN2</w:t>
            </w:r>
            <w:r w:rsidRPr="00CC18E5">
              <w:rPr>
                <w:szCs w:val="20"/>
              </w:rPr>
              <w:t xml:space="preserve"> Copies Delivering AVXS-101 by Intravenous Infusion. CSR. (Study AVXS-101-CL-303)</w:t>
            </w:r>
          </w:p>
        </w:tc>
        <w:tc>
          <w:tcPr>
            <w:tcW w:w="1177" w:type="pct"/>
            <w:tcBorders>
              <w:bottom w:val="nil"/>
            </w:tcBorders>
            <w:vAlign w:val="center"/>
          </w:tcPr>
          <w:p w14:paraId="3990982D" w14:textId="77777777" w:rsidR="00C0445F" w:rsidRPr="00CC18E5" w:rsidRDefault="00C0445F" w:rsidP="00516F35">
            <w:pPr>
              <w:pStyle w:val="TableText0"/>
              <w:rPr>
                <w:szCs w:val="20"/>
              </w:rPr>
            </w:pPr>
            <w:r w:rsidRPr="00CC18E5">
              <w:rPr>
                <w:szCs w:val="20"/>
              </w:rPr>
              <w:t>March 2020</w:t>
            </w:r>
          </w:p>
        </w:tc>
      </w:tr>
      <w:tr w:rsidR="00C0445F" w:rsidRPr="00CC18E5" w14:paraId="5798B30E" w14:textId="77777777" w:rsidTr="00CC18E5">
        <w:trPr>
          <w:cantSplit/>
        </w:trPr>
        <w:tc>
          <w:tcPr>
            <w:tcW w:w="796" w:type="pct"/>
            <w:tcBorders>
              <w:bottom w:val="nil"/>
            </w:tcBorders>
            <w:vAlign w:val="center"/>
          </w:tcPr>
          <w:p w14:paraId="34B270E9" w14:textId="77777777" w:rsidR="00C0445F" w:rsidRPr="00CC18E5" w:rsidRDefault="00C0445F" w:rsidP="00516F35">
            <w:pPr>
              <w:pStyle w:val="TableText0"/>
              <w:rPr>
                <w:szCs w:val="20"/>
              </w:rPr>
            </w:pPr>
            <w:r w:rsidRPr="00CC18E5">
              <w:rPr>
                <w:szCs w:val="20"/>
              </w:rPr>
              <w:t>STR1VE EU</w:t>
            </w:r>
          </w:p>
          <w:p w14:paraId="3CA27AC7" w14:textId="77777777" w:rsidR="00C43895" w:rsidRPr="00CC18E5" w:rsidRDefault="00C43895" w:rsidP="00516F35">
            <w:pPr>
              <w:pStyle w:val="TableText0"/>
              <w:rPr>
                <w:szCs w:val="20"/>
              </w:rPr>
            </w:pPr>
            <w:r w:rsidRPr="00CC18E5">
              <w:rPr>
                <w:szCs w:val="20"/>
              </w:rPr>
              <w:t>(Interim)</w:t>
            </w:r>
          </w:p>
        </w:tc>
        <w:tc>
          <w:tcPr>
            <w:tcW w:w="3027" w:type="pct"/>
            <w:tcBorders>
              <w:bottom w:val="nil"/>
            </w:tcBorders>
            <w:vAlign w:val="center"/>
          </w:tcPr>
          <w:p w14:paraId="404CFFDB" w14:textId="77777777" w:rsidR="00C0445F" w:rsidRPr="00CC18E5" w:rsidRDefault="00C0445F" w:rsidP="00516F35">
            <w:pPr>
              <w:pStyle w:val="TableText0"/>
              <w:rPr>
                <w:szCs w:val="20"/>
              </w:rPr>
            </w:pPr>
            <w:r w:rsidRPr="00CC18E5">
              <w:rPr>
                <w:szCs w:val="20"/>
              </w:rPr>
              <w:t xml:space="preserve">Phase 3, Open-label, Single-arm, Single-dose Gene Replacement Therapy Clinical Trial for Patients with Spinal Muscular Atrophy Type 1 with One or Two </w:t>
            </w:r>
            <w:r w:rsidR="004400AE" w:rsidRPr="00CC18E5">
              <w:rPr>
                <w:szCs w:val="20"/>
              </w:rPr>
              <w:t>SMN2</w:t>
            </w:r>
            <w:r w:rsidRPr="00CC18E5">
              <w:rPr>
                <w:szCs w:val="20"/>
              </w:rPr>
              <w:t xml:space="preserve"> Copies Delivering AVXS-101 by Intravenous Infusion. Protocol. (Study AVXS-101-CL-302)</w:t>
            </w:r>
          </w:p>
        </w:tc>
        <w:tc>
          <w:tcPr>
            <w:tcW w:w="1177" w:type="pct"/>
            <w:tcBorders>
              <w:bottom w:val="nil"/>
            </w:tcBorders>
            <w:vAlign w:val="center"/>
          </w:tcPr>
          <w:p w14:paraId="65004D0C" w14:textId="77777777" w:rsidR="00C0445F" w:rsidRPr="00CC18E5" w:rsidRDefault="00C0445F" w:rsidP="00516F35">
            <w:pPr>
              <w:pStyle w:val="TableText0"/>
              <w:rPr>
                <w:szCs w:val="20"/>
              </w:rPr>
            </w:pPr>
            <w:r w:rsidRPr="00CC18E5">
              <w:rPr>
                <w:szCs w:val="20"/>
              </w:rPr>
              <w:t>November 2019</w:t>
            </w:r>
          </w:p>
        </w:tc>
      </w:tr>
      <w:tr w:rsidR="00C0445F" w:rsidRPr="00CC18E5" w14:paraId="24160D6E" w14:textId="77777777" w:rsidTr="00CC18E5">
        <w:trPr>
          <w:cantSplit/>
        </w:trPr>
        <w:tc>
          <w:tcPr>
            <w:tcW w:w="796" w:type="pct"/>
            <w:vMerge w:val="restart"/>
            <w:tcBorders>
              <w:top w:val="single" w:sz="4" w:space="0" w:color="auto"/>
            </w:tcBorders>
            <w:vAlign w:val="center"/>
          </w:tcPr>
          <w:p w14:paraId="1819F6EE" w14:textId="77777777" w:rsidR="00C0445F" w:rsidRPr="00CC18E5" w:rsidRDefault="00C0445F" w:rsidP="00516F35">
            <w:pPr>
              <w:pStyle w:val="TableText0"/>
              <w:rPr>
                <w:szCs w:val="20"/>
              </w:rPr>
            </w:pPr>
            <w:r w:rsidRPr="00CC18E5">
              <w:rPr>
                <w:szCs w:val="20"/>
              </w:rPr>
              <w:t>SPR1NT</w:t>
            </w:r>
          </w:p>
          <w:p w14:paraId="3722CFF2" w14:textId="77777777" w:rsidR="00C43895" w:rsidRPr="00CC18E5" w:rsidRDefault="00C43895" w:rsidP="00516F35">
            <w:pPr>
              <w:pStyle w:val="TableText0"/>
              <w:rPr>
                <w:szCs w:val="20"/>
              </w:rPr>
            </w:pPr>
            <w:r w:rsidRPr="00CC18E5">
              <w:rPr>
                <w:szCs w:val="20"/>
              </w:rPr>
              <w:t>(Interim)</w:t>
            </w:r>
          </w:p>
        </w:tc>
        <w:tc>
          <w:tcPr>
            <w:tcW w:w="3027" w:type="pct"/>
            <w:tcBorders>
              <w:top w:val="single" w:sz="4" w:space="0" w:color="auto"/>
              <w:bottom w:val="nil"/>
            </w:tcBorders>
            <w:vAlign w:val="center"/>
          </w:tcPr>
          <w:p w14:paraId="4D903554" w14:textId="77777777" w:rsidR="00C0445F" w:rsidRPr="00CC18E5" w:rsidRDefault="00C0445F" w:rsidP="00516F35">
            <w:pPr>
              <w:pStyle w:val="TableText0"/>
              <w:rPr>
                <w:szCs w:val="20"/>
              </w:rPr>
            </w:pPr>
            <w:r w:rsidRPr="00CC18E5">
              <w:rPr>
                <w:szCs w:val="20"/>
              </w:rPr>
              <w:t xml:space="preserve">A Global Study of a Single, One-Time Dose of AVXS-101 Delivered to Infants with Genetically Diagnosed and Pre-symptomatic Spinal Muscular Atrophy with Multiple Copies of </w:t>
            </w:r>
            <w:r w:rsidR="004400AE" w:rsidRPr="00CC18E5">
              <w:rPr>
                <w:szCs w:val="20"/>
              </w:rPr>
              <w:t>SMN2</w:t>
            </w:r>
            <w:r w:rsidRPr="00CC18E5">
              <w:rPr>
                <w:szCs w:val="20"/>
              </w:rPr>
              <w:t>. Protocol. (Study AVXS-101-CL-304)</w:t>
            </w:r>
          </w:p>
        </w:tc>
        <w:tc>
          <w:tcPr>
            <w:tcW w:w="1177" w:type="pct"/>
            <w:tcBorders>
              <w:top w:val="single" w:sz="4" w:space="0" w:color="auto"/>
              <w:bottom w:val="nil"/>
            </w:tcBorders>
            <w:vAlign w:val="center"/>
          </w:tcPr>
          <w:p w14:paraId="305ABD1F" w14:textId="77777777" w:rsidR="00C0445F" w:rsidRPr="00CC18E5" w:rsidRDefault="00C0445F" w:rsidP="00516F35">
            <w:pPr>
              <w:pStyle w:val="TableText0"/>
              <w:rPr>
                <w:szCs w:val="20"/>
              </w:rPr>
            </w:pPr>
            <w:r w:rsidRPr="00CC18E5">
              <w:rPr>
                <w:szCs w:val="20"/>
              </w:rPr>
              <w:t>November 2019</w:t>
            </w:r>
          </w:p>
        </w:tc>
      </w:tr>
      <w:tr w:rsidR="00C0445F" w:rsidRPr="00CC18E5" w14:paraId="4924E26F" w14:textId="77777777" w:rsidTr="00CC18E5">
        <w:trPr>
          <w:cantSplit/>
        </w:trPr>
        <w:tc>
          <w:tcPr>
            <w:tcW w:w="796" w:type="pct"/>
            <w:vMerge/>
            <w:tcBorders>
              <w:bottom w:val="single" w:sz="4" w:space="0" w:color="auto"/>
            </w:tcBorders>
            <w:vAlign w:val="center"/>
          </w:tcPr>
          <w:p w14:paraId="7D0DED27" w14:textId="77777777" w:rsidR="00C0445F" w:rsidRPr="00CC18E5" w:rsidRDefault="00C0445F" w:rsidP="00516F35">
            <w:pPr>
              <w:pStyle w:val="TableText0"/>
              <w:rPr>
                <w:szCs w:val="20"/>
              </w:rPr>
            </w:pPr>
          </w:p>
        </w:tc>
        <w:tc>
          <w:tcPr>
            <w:tcW w:w="3027" w:type="pct"/>
            <w:tcBorders>
              <w:top w:val="nil"/>
              <w:bottom w:val="single" w:sz="4" w:space="0" w:color="auto"/>
              <w:right w:val="single" w:sz="4" w:space="0" w:color="auto"/>
            </w:tcBorders>
            <w:vAlign w:val="center"/>
          </w:tcPr>
          <w:p w14:paraId="1A4FFA37" w14:textId="77777777" w:rsidR="00C0445F" w:rsidRPr="00CC18E5" w:rsidRDefault="00C0445F" w:rsidP="00516F35">
            <w:pPr>
              <w:pStyle w:val="TableText0"/>
              <w:rPr>
                <w:szCs w:val="20"/>
              </w:rPr>
            </w:pPr>
            <w:r w:rsidRPr="00CC18E5">
              <w:rPr>
                <w:szCs w:val="20"/>
              </w:rPr>
              <w:t xml:space="preserve">Strauss KA, Farrar MA, Swoboda KJ et al. Onasemnogene abeparvovec in </w:t>
            </w:r>
            <w:r w:rsidR="003C1831" w:rsidRPr="00CC18E5">
              <w:rPr>
                <w:szCs w:val="20"/>
              </w:rPr>
              <w:t>pre-symptomatic</w:t>
            </w:r>
            <w:r w:rsidRPr="00CC18E5">
              <w:rPr>
                <w:szCs w:val="20"/>
              </w:rPr>
              <w:t xml:space="preserve"> spinal muscular atrophy: SPR1NT study update as of 31 Dec 2019</w:t>
            </w:r>
          </w:p>
        </w:tc>
        <w:tc>
          <w:tcPr>
            <w:tcW w:w="1177" w:type="pct"/>
            <w:tcBorders>
              <w:top w:val="nil"/>
              <w:left w:val="single" w:sz="4" w:space="0" w:color="auto"/>
              <w:bottom w:val="single" w:sz="4" w:space="0" w:color="auto"/>
              <w:right w:val="single" w:sz="4" w:space="0" w:color="auto"/>
            </w:tcBorders>
            <w:vAlign w:val="center"/>
          </w:tcPr>
          <w:p w14:paraId="093ECC00" w14:textId="77777777" w:rsidR="00C0445F" w:rsidRPr="00CC18E5" w:rsidRDefault="00C0445F" w:rsidP="00516F35">
            <w:pPr>
              <w:pStyle w:val="TableText0"/>
              <w:rPr>
                <w:szCs w:val="20"/>
              </w:rPr>
            </w:pPr>
            <w:r w:rsidRPr="00CC18E5">
              <w:rPr>
                <w:szCs w:val="20"/>
              </w:rPr>
              <w:t>2020 Muscular Dystrophy Association (MDA) Clinical and Scientific Conference, Virtual Poster Session.</w:t>
            </w:r>
          </w:p>
        </w:tc>
      </w:tr>
      <w:tr w:rsidR="00C0445F" w:rsidRPr="00CC18E5" w14:paraId="1A852C01" w14:textId="77777777" w:rsidTr="00CC18E5">
        <w:trPr>
          <w:cantSplit/>
        </w:trPr>
        <w:tc>
          <w:tcPr>
            <w:tcW w:w="5000" w:type="pct"/>
            <w:gridSpan w:val="3"/>
            <w:tcBorders>
              <w:top w:val="single" w:sz="4" w:space="0" w:color="auto"/>
              <w:bottom w:val="single" w:sz="4" w:space="0" w:color="auto"/>
            </w:tcBorders>
            <w:vAlign w:val="center"/>
          </w:tcPr>
          <w:p w14:paraId="270F8C46" w14:textId="77777777" w:rsidR="00C0445F" w:rsidRPr="00CC18E5" w:rsidRDefault="00EE09B5" w:rsidP="00516F35">
            <w:pPr>
              <w:pStyle w:val="TableText0"/>
              <w:rPr>
                <w:szCs w:val="20"/>
              </w:rPr>
            </w:pPr>
            <w:r w:rsidRPr="00CC18E5">
              <w:rPr>
                <w:b/>
                <w:szCs w:val="20"/>
              </w:rPr>
              <w:t>NUSI</w:t>
            </w:r>
          </w:p>
        </w:tc>
      </w:tr>
      <w:tr w:rsidR="00C0445F" w:rsidRPr="00CC18E5" w14:paraId="5EE2693D" w14:textId="77777777" w:rsidTr="00CC18E5">
        <w:trPr>
          <w:cantSplit/>
        </w:trPr>
        <w:tc>
          <w:tcPr>
            <w:tcW w:w="796" w:type="pct"/>
            <w:tcBorders>
              <w:top w:val="single" w:sz="4" w:space="0" w:color="auto"/>
              <w:bottom w:val="single" w:sz="4" w:space="0" w:color="auto"/>
            </w:tcBorders>
            <w:vAlign w:val="center"/>
          </w:tcPr>
          <w:p w14:paraId="01F5DC49" w14:textId="77777777" w:rsidR="00C0445F" w:rsidRPr="00CC18E5" w:rsidRDefault="00C0445F" w:rsidP="00516F35">
            <w:pPr>
              <w:pStyle w:val="TableText0"/>
              <w:rPr>
                <w:szCs w:val="20"/>
              </w:rPr>
            </w:pPr>
            <w:r w:rsidRPr="00CC18E5">
              <w:rPr>
                <w:szCs w:val="20"/>
              </w:rPr>
              <w:t>ENDEAR</w:t>
            </w:r>
          </w:p>
        </w:tc>
        <w:tc>
          <w:tcPr>
            <w:tcW w:w="3027" w:type="pct"/>
            <w:tcBorders>
              <w:top w:val="single" w:sz="4" w:space="0" w:color="auto"/>
              <w:bottom w:val="single" w:sz="4" w:space="0" w:color="auto"/>
            </w:tcBorders>
            <w:vAlign w:val="center"/>
          </w:tcPr>
          <w:p w14:paraId="50109FA8" w14:textId="77777777" w:rsidR="00C0445F" w:rsidRPr="00CC18E5" w:rsidRDefault="00C0445F" w:rsidP="00516F35">
            <w:pPr>
              <w:pStyle w:val="TableText0"/>
              <w:rPr>
                <w:szCs w:val="20"/>
              </w:rPr>
            </w:pPr>
            <w:r w:rsidRPr="00CC18E5">
              <w:rPr>
                <w:szCs w:val="20"/>
              </w:rPr>
              <w:t xml:space="preserve">Finkel RS, Mercuri E, Darras BT et al. </w:t>
            </w:r>
            <w:r w:rsidR="00EE09B5" w:rsidRPr="00CC18E5">
              <w:rPr>
                <w:szCs w:val="20"/>
              </w:rPr>
              <w:t>NUSI</w:t>
            </w:r>
            <w:r w:rsidRPr="00CC18E5">
              <w:rPr>
                <w:szCs w:val="20"/>
              </w:rPr>
              <w:t xml:space="preserve"> versus sham control in infantile-onset spinal muscular atrophy.</w:t>
            </w:r>
          </w:p>
        </w:tc>
        <w:tc>
          <w:tcPr>
            <w:tcW w:w="1177" w:type="pct"/>
            <w:tcBorders>
              <w:top w:val="single" w:sz="4" w:space="0" w:color="auto"/>
              <w:bottom w:val="single" w:sz="4" w:space="0" w:color="auto"/>
            </w:tcBorders>
            <w:vAlign w:val="center"/>
          </w:tcPr>
          <w:p w14:paraId="28C9C049" w14:textId="77777777" w:rsidR="00C0445F" w:rsidRPr="00CC18E5" w:rsidRDefault="00C0445F" w:rsidP="00516F35">
            <w:pPr>
              <w:pStyle w:val="TableText0"/>
              <w:rPr>
                <w:szCs w:val="20"/>
              </w:rPr>
            </w:pPr>
            <w:r w:rsidRPr="00CC18E5">
              <w:rPr>
                <w:szCs w:val="20"/>
              </w:rPr>
              <w:t>The New England Journal of Medicine 2017; 377: 1723-1732.</w:t>
            </w:r>
          </w:p>
        </w:tc>
      </w:tr>
      <w:tr w:rsidR="00C0445F" w:rsidRPr="00CC18E5" w14:paraId="64BE6EB6" w14:textId="77777777" w:rsidTr="00CC18E5">
        <w:trPr>
          <w:cantSplit/>
        </w:trPr>
        <w:tc>
          <w:tcPr>
            <w:tcW w:w="796" w:type="pct"/>
            <w:tcBorders>
              <w:top w:val="single" w:sz="4" w:space="0" w:color="auto"/>
              <w:bottom w:val="single" w:sz="4" w:space="0" w:color="auto"/>
            </w:tcBorders>
            <w:vAlign w:val="center"/>
          </w:tcPr>
          <w:p w14:paraId="2EEC3642" w14:textId="77777777" w:rsidR="00C0445F" w:rsidRPr="00CC18E5" w:rsidRDefault="00C0445F" w:rsidP="00516F35">
            <w:pPr>
              <w:pStyle w:val="TableText0"/>
              <w:keepNext w:val="0"/>
              <w:rPr>
                <w:szCs w:val="20"/>
              </w:rPr>
            </w:pPr>
            <w:r w:rsidRPr="00CC18E5">
              <w:rPr>
                <w:szCs w:val="20"/>
              </w:rPr>
              <w:t>NURTURE</w:t>
            </w:r>
          </w:p>
        </w:tc>
        <w:tc>
          <w:tcPr>
            <w:tcW w:w="3027" w:type="pct"/>
            <w:tcBorders>
              <w:top w:val="single" w:sz="4" w:space="0" w:color="auto"/>
              <w:bottom w:val="single" w:sz="4" w:space="0" w:color="auto"/>
            </w:tcBorders>
            <w:vAlign w:val="center"/>
          </w:tcPr>
          <w:p w14:paraId="36EA4770" w14:textId="77777777" w:rsidR="00C0445F" w:rsidRPr="00CC18E5" w:rsidRDefault="00C0445F" w:rsidP="00516F35">
            <w:pPr>
              <w:pStyle w:val="TableText0"/>
              <w:keepNext w:val="0"/>
              <w:rPr>
                <w:szCs w:val="20"/>
              </w:rPr>
            </w:pPr>
            <w:r w:rsidRPr="00CC18E5">
              <w:rPr>
                <w:szCs w:val="20"/>
              </w:rPr>
              <w:t xml:space="preserve">De Vivo D, Bertini E, Swoboda K et al. </w:t>
            </w:r>
            <w:r w:rsidR="00EE09B5" w:rsidRPr="00CC18E5">
              <w:rPr>
                <w:szCs w:val="20"/>
              </w:rPr>
              <w:t>NUSI</w:t>
            </w:r>
            <w:r w:rsidRPr="00CC18E5">
              <w:rPr>
                <w:szCs w:val="20"/>
              </w:rPr>
              <w:t xml:space="preserve"> initiated in infants during the </w:t>
            </w:r>
            <w:r w:rsidR="003C1831" w:rsidRPr="00CC18E5">
              <w:rPr>
                <w:szCs w:val="20"/>
              </w:rPr>
              <w:t>pre-symptomatic</w:t>
            </w:r>
            <w:r w:rsidRPr="00CC18E5">
              <w:rPr>
                <w:szCs w:val="20"/>
              </w:rPr>
              <w:t xml:space="preserve"> stage of spinal muscular atrophy: Interim efficacy and safety results from the Phase 2 NURTURE study. </w:t>
            </w:r>
          </w:p>
        </w:tc>
        <w:tc>
          <w:tcPr>
            <w:tcW w:w="1177" w:type="pct"/>
            <w:tcBorders>
              <w:top w:val="single" w:sz="4" w:space="0" w:color="auto"/>
              <w:bottom w:val="single" w:sz="4" w:space="0" w:color="auto"/>
            </w:tcBorders>
            <w:vAlign w:val="center"/>
          </w:tcPr>
          <w:p w14:paraId="54C355C6" w14:textId="77777777" w:rsidR="00C0445F" w:rsidRPr="00CC18E5" w:rsidRDefault="00C0445F" w:rsidP="00516F35">
            <w:pPr>
              <w:pStyle w:val="TableText0"/>
              <w:keepNext w:val="0"/>
              <w:rPr>
                <w:szCs w:val="20"/>
              </w:rPr>
            </w:pPr>
            <w:r w:rsidRPr="00CC18E5">
              <w:rPr>
                <w:szCs w:val="20"/>
              </w:rPr>
              <w:t>Neuromuscular Disorders 2019; 29: 842-856.</w:t>
            </w:r>
          </w:p>
        </w:tc>
      </w:tr>
      <w:tr w:rsidR="00C0445F" w:rsidRPr="00CC18E5" w14:paraId="6CDB8583" w14:textId="77777777" w:rsidTr="00CC18E5">
        <w:trPr>
          <w:cantSplit/>
        </w:trPr>
        <w:tc>
          <w:tcPr>
            <w:tcW w:w="796" w:type="pct"/>
            <w:tcBorders>
              <w:top w:val="single" w:sz="4" w:space="0" w:color="auto"/>
              <w:bottom w:val="single" w:sz="4" w:space="0" w:color="auto"/>
            </w:tcBorders>
            <w:vAlign w:val="center"/>
          </w:tcPr>
          <w:p w14:paraId="78AA1787" w14:textId="77777777" w:rsidR="00C0445F" w:rsidRPr="00CC18E5" w:rsidRDefault="00C0445F" w:rsidP="00516F35">
            <w:pPr>
              <w:pStyle w:val="TableText0"/>
              <w:keepNext w:val="0"/>
              <w:rPr>
                <w:szCs w:val="20"/>
              </w:rPr>
            </w:pPr>
            <w:r w:rsidRPr="00CC18E5">
              <w:rPr>
                <w:szCs w:val="20"/>
              </w:rPr>
              <w:t>SHINE</w:t>
            </w:r>
          </w:p>
        </w:tc>
        <w:tc>
          <w:tcPr>
            <w:tcW w:w="3027" w:type="pct"/>
            <w:tcBorders>
              <w:top w:val="single" w:sz="4" w:space="0" w:color="auto"/>
              <w:bottom w:val="single" w:sz="4" w:space="0" w:color="auto"/>
            </w:tcBorders>
            <w:vAlign w:val="center"/>
          </w:tcPr>
          <w:p w14:paraId="305586F6" w14:textId="77777777" w:rsidR="00C0445F" w:rsidRPr="00CC18E5" w:rsidRDefault="00C0445F" w:rsidP="00516F35">
            <w:pPr>
              <w:pStyle w:val="TableText0"/>
              <w:keepNext w:val="0"/>
              <w:rPr>
                <w:szCs w:val="20"/>
              </w:rPr>
            </w:pPr>
            <w:r w:rsidRPr="00CC18E5">
              <w:rPr>
                <w:szCs w:val="20"/>
              </w:rPr>
              <w:t xml:space="preserve">Castro D, Finkel RS, Farrar MA et al. </w:t>
            </w:r>
            <w:r w:rsidR="00EE09B5" w:rsidRPr="00CC18E5">
              <w:rPr>
                <w:szCs w:val="20"/>
              </w:rPr>
              <w:t>NUSI</w:t>
            </w:r>
            <w:r w:rsidRPr="00CC18E5">
              <w:rPr>
                <w:szCs w:val="20"/>
              </w:rPr>
              <w:t xml:space="preserve"> in infantile-onset spinal muscular atrophy: Results from longer-term treatment from the open-label SHINE extension study. [Conference presentation, data presented only for patients who started treatment in the ENDEAR trial]</w:t>
            </w:r>
          </w:p>
        </w:tc>
        <w:tc>
          <w:tcPr>
            <w:tcW w:w="1177" w:type="pct"/>
            <w:tcBorders>
              <w:top w:val="single" w:sz="4" w:space="0" w:color="auto"/>
              <w:bottom w:val="single" w:sz="4" w:space="0" w:color="auto"/>
            </w:tcBorders>
            <w:vAlign w:val="center"/>
          </w:tcPr>
          <w:p w14:paraId="5C275B04" w14:textId="77777777" w:rsidR="00C0445F" w:rsidRPr="00CC18E5" w:rsidRDefault="00C0445F" w:rsidP="00516F35">
            <w:pPr>
              <w:pStyle w:val="TableText0"/>
              <w:keepNext w:val="0"/>
              <w:rPr>
                <w:szCs w:val="20"/>
              </w:rPr>
            </w:pPr>
            <w:r w:rsidRPr="00CC18E5">
              <w:rPr>
                <w:szCs w:val="20"/>
              </w:rPr>
              <w:t>American Academy of Neurology Annual Meeting 2020.</w:t>
            </w:r>
          </w:p>
        </w:tc>
      </w:tr>
      <w:tr w:rsidR="00C0445F" w:rsidRPr="00CC18E5" w14:paraId="532071AF" w14:textId="77777777" w:rsidTr="00CC18E5">
        <w:trPr>
          <w:cantSplit/>
        </w:trPr>
        <w:tc>
          <w:tcPr>
            <w:tcW w:w="796" w:type="pct"/>
            <w:tcBorders>
              <w:top w:val="single" w:sz="4" w:space="0" w:color="auto"/>
              <w:bottom w:val="single" w:sz="4" w:space="0" w:color="auto"/>
            </w:tcBorders>
            <w:vAlign w:val="center"/>
          </w:tcPr>
          <w:p w14:paraId="3C9DE35C" w14:textId="77777777" w:rsidR="00C0445F" w:rsidRPr="00CC18E5" w:rsidRDefault="00C0445F" w:rsidP="00516F35">
            <w:pPr>
              <w:pStyle w:val="TableText0"/>
              <w:keepNext w:val="0"/>
              <w:rPr>
                <w:szCs w:val="20"/>
              </w:rPr>
            </w:pPr>
            <w:r w:rsidRPr="00CC18E5">
              <w:rPr>
                <w:szCs w:val="20"/>
              </w:rPr>
              <w:t>EAP</w:t>
            </w:r>
          </w:p>
        </w:tc>
        <w:tc>
          <w:tcPr>
            <w:tcW w:w="3027" w:type="pct"/>
            <w:tcBorders>
              <w:top w:val="single" w:sz="4" w:space="0" w:color="auto"/>
              <w:bottom w:val="single" w:sz="4" w:space="0" w:color="auto"/>
            </w:tcBorders>
            <w:vAlign w:val="center"/>
          </w:tcPr>
          <w:p w14:paraId="10280223" w14:textId="77777777" w:rsidR="00C0445F" w:rsidRPr="00CC18E5" w:rsidRDefault="00C0445F" w:rsidP="00516F35">
            <w:pPr>
              <w:pStyle w:val="TableText0"/>
              <w:keepNext w:val="0"/>
              <w:rPr>
                <w:szCs w:val="20"/>
              </w:rPr>
            </w:pPr>
            <w:r w:rsidRPr="00CC18E5">
              <w:rPr>
                <w:szCs w:val="20"/>
              </w:rPr>
              <w:t xml:space="preserve">Aragon-Gawinska K, Seferian AM, Daron A et al. </w:t>
            </w:r>
            <w:r w:rsidR="00EE09B5" w:rsidRPr="00CC18E5">
              <w:rPr>
                <w:szCs w:val="20"/>
              </w:rPr>
              <w:t>NUSI</w:t>
            </w:r>
            <w:r w:rsidRPr="00CC18E5">
              <w:rPr>
                <w:szCs w:val="20"/>
              </w:rPr>
              <w:t xml:space="preserve"> in patients older than 7 months with spinal muscular atrophy type 1.</w:t>
            </w:r>
          </w:p>
        </w:tc>
        <w:tc>
          <w:tcPr>
            <w:tcW w:w="1177" w:type="pct"/>
            <w:tcBorders>
              <w:top w:val="single" w:sz="4" w:space="0" w:color="auto"/>
              <w:bottom w:val="single" w:sz="4" w:space="0" w:color="auto"/>
            </w:tcBorders>
            <w:vAlign w:val="center"/>
          </w:tcPr>
          <w:p w14:paraId="69E6B7A7" w14:textId="77777777" w:rsidR="00C0445F" w:rsidRPr="00CC18E5" w:rsidRDefault="00C0445F" w:rsidP="00516F35">
            <w:pPr>
              <w:pStyle w:val="TableText0"/>
              <w:keepNext w:val="0"/>
              <w:rPr>
                <w:szCs w:val="20"/>
              </w:rPr>
            </w:pPr>
            <w:r w:rsidRPr="00CC18E5">
              <w:rPr>
                <w:szCs w:val="20"/>
              </w:rPr>
              <w:t>Neurology 2018; 91: e1312-e1318.</w:t>
            </w:r>
          </w:p>
        </w:tc>
      </w:tr>
      <w:tr w:rsidR="00C0445F" w:rsidRPr="00CC18E5" w14:paraId="0DC9570F" w14:textId="77777777" w:rsidTr="00CC18E5">
        <w:trPr>
          <w:cantSplit/>
        </w:trPr>
        <w:tc>
          <w:tcPr>
            <w:tcW w:w="796" w:type="pct"/>
            <w:tcBorders>
              <w:top w:val="single" w:sz="4" w:space="0" w:color="auto"/>
              <w:bottom w:val="single" w:sz="4" w:space="0" w:color="auto"/>
            </w:tcBorders>
            <w:vAlign w:val="center"/>
          </w:tcPr>
          <w:p w14:paraId="1EB6359F" w14:textId="77777777" w:rsidR="00C0445F" w:rsidRPr="00CC18E5" w:rsidRDefault="00C0445F" w:rsidP="00516F35">
            <w:pPr>
              <w:pStyle w:val="TableText0"/>
              <w:keepNext w:val="0"/>
              <w:rPr>
                <w:szCs w:val="20"/>
              </w:rPr>
            </w:pPr>
            <w:r w:rsidRPr="00CC18E5">
              <w:rPr>
                <w:szCs w:val="20"/>
              </w:rPr>
              <w:t>EAP AUS</w:t>
            </w:r>
          </w:p>
        </w:tc>
        <w:tc>
          <w:tcPr>
            <w:tcW w:w="3027" w:type="pct"/>
            <w:tcBorders>
              <w:top w:val="single" w:sz="4" w:space="0" w:color="auto"/>
              <w:bottom w:val="single" w:sz="4" w:space="0" w:color="auto"/>
            </w:tcBorders>
            <w:vAlign w:val="center"/>
          </w:tcPr>
          <w:p w14:paraId="4F33CF94" w14:textId="77777777" w:rsidR="00C0445F" w:rsidRPr="00CC18E5" w:rsidRDefault="00C0445F" w:rsidP="00516F35">
            <w:pPr>
              <w:pStyle w:val="TableText0"/>
              <w:keepNext w:val="0"/>
              <w:rPr>
                <w:szCs w:val="20"/>
              </w:rPr>
            </w:pPr>
            <w:r w:rsidRPr="00CC18E5">
              <w:rPr>
                <w:szCs w:val="20"/>
              </w:rPr>
              <w:t xml:space="preserve">Farrar MA, Teoh HL, Carey KA et al. </w:t>
            </w:r>
            <w:r w:rsidR="00EE09B5" w:rsidRPr="00CC18E5">
              <w:rPr>
                <w:szCs w:val="20"/>
              </w:rPr>
              <w:t>NUSI</w:t>
            </w:r>
            <w:r w:rsidRPr="00CC18E5">
              <w:rPr>
                <w:szCs w:val="20"/>
              </w:rPr>
              <w:t xml:space="preserve"> for SMA: Expanded access programme.</w:t>
            </w:r>
          </w:p>
        </w:tc>
        <w:tc>
          <w:tcPr>
            <w:tcW w:w="1177" w:type="pct"/>
            <w:tcBorders>
              <w:top w:val="single" w:sz="4" w:space="0" w:color="auto"/>
              <w:bottom w:val="single" w:sz="4" w:space="0" w:color="auto"/>
            </w:tcBorders>
            <w:vAlign w:val="center"/>
          </w:tcPr>
          <w:p w14:paraId="11AF5129" w14:textId="77777777" w:rsidR="00C0445F" w:rsidRPr="00CC18E5" w:rsidRDefault="00C0445F" w:rsidP="00516F35">
            <w:pPr>
              <w:pStyle w:val="TableText0"/>
              <w:keepNext w:val="0"/>
              <w:rPr>
                <w:szCs w:val="20"/>
              </w:rPr>
            </w:pPr>
            <w:r w:rsidRPr="00CC18E5">
              <w:rPr>
                <w:szCs w:val="20"/>
              </w:rPr>
              <w:t>J Neurology Neurosurgery Psychiatry 2018; 89: 937-942.</w:t>
            </w:r>
          </w:p>
        </w:tc>
      </w:tr>
      <w:tr w:rsidR="00C0445F" w:rsidRPr="00CC18E5" w14:paraId="3C35C3B8" w14:textId="77777777" w:rsidTr="00CC18E5">
        <w:trPr>
          <w:cantSplit/>
        </w:trPr>
        <w:tc>
          <w:tcPr>
            <w:tcW w:w="796" w:type="pct"/>
            <w:tcBorders>
              <w:top w:val="single" w:sz="4" w:space="0" w:color="auto"/>
              <w:bottom w:val="single" w:sz="4" w:space="0" w:color="auto"/>
            </w:tcBorders>
            <w:vAlign w:val="center"/>
          </w:tcPr>
          <w:p w14:paraId="001D80AB" w14:textId="77777777" w:rsidR="00C0445F" w:rsidRPr="00CC18E5" w:rsidRDefault="00C0445F" w:rsidP="00516F35">
            <w:pPr>
              <w:pStyle w:val="TableText0"/>
              <w:keepNext w:val="0"/>
              <w:rPr>
                <w:szCs w:val="20"/>
              </w:rPr>
            </w:pPr>
            <w:r w:rsidRPr="00CC18E5">
              <w:rPr>
                <w:szCs w:val="20"/>
              </w:rPr>
              <w:t>CS3A</w:t>
            </w:r>
          </w:p>
        </w:tc>
        <w:tc>
          <w:tcPr>
            <w:tcW w:w="3027" w:type="pct"/>
            <w:tcBorders>
              <w:top w:val="single" w:sz="4" w:space="0" w:color="auto"/>
              <w:bottom w:val="single" w:sz="4" w:space="0" w:color="auto"/>
            </w:tcBorders>
            <w:vAlign w:val="center"/>
          </w:tcPr>
          <w:p w14:paraId="06DDC5AA" w14:textId="77777777" w:rsidR="00C0445F" w:rsidRPr="00CC18E5" w:rsidRDefault="00C0445F" w:rsidP="00516F35">
            <w:pPr>
              <w:rPr>
                <w:rFonts w:ascii="Arial Narrow" w:hAnsi="Arial Narrow"/>
                <w:sz w:val="20"/>
                <w:szCs w:val="20"/>
              </w:rPr>
            </w:pPr>
            <w:r w:rsidRPr="00CC18E5">
              <w:rPr>
                <w:rFonts w:ascii="Arial Narrow" w:hAnsi="Arial Narrow"/>
                <w:sz w:val="20"/>
                <w:szCs w:val="20"/>
              </w:rPr>
              <w:t xml:space="preserve">Finkel RS, Chiriboga CA, Vajsar J, et al. Treatment of infantile-onset spinal muscular atrophy with </w:t>
            </w:r>
            <w:r w:rsidR="00EE09B5" w:rsidRPr="00CC18E5">
              <w:rPr>
                <w:rFonts w:ascii="Arial Narrow" w:hAnsi="Arial Narrow"/>
                <w:sz w:val="20"/>
                <w:szCs w:val="20"/>
              </w:rPr>
              <w:t>NUSI</w:t>
            </w:r>
            <w:r w:rsidRPr="00CC18E5">
              <w:rPr>
                <w:rFonts w:ascii="Arial Narrow" w:hAnsi="Arial Narrow"/>
                <w:sz w:val="20"/>
                <w:szCs w:val="20"/>
              </w:rPr>
              <w:t>: a phase 2, open-label, dose-escalation study.</w:t>
            </w:r>
          </w:p>
        </w:tc>
        <w:tc>
          <w:tcPr>
            <w:tcW w:w="1177" w:type="pct"/>
            <w:tcBorders>
              <w:top w:val="single" w:sz="4" w:space="0" w:color="auto"/>
              <w:bottom w:val="single" w:sz="4" w:space="0" w:color="auto"/>
            </w:tcBorders>
            <w:vAlign w:val="center"/>
          </w:tcPr>
          <w:p w14:paraId="04F4BE50" w14:textId="77777777" w:rsidR="00C0445F" w:rsidRPr="00CC18E5" w:rsidRDefault="00C0445F" w:rsidP="00516F35">
            <w:pPr>
              <w:jc w:val="left"/>
              <w:rPr>
                <w:rFonts w:ascii="Arial Narrow" w:hAnsi="Arial Narrow"/>
                <w:sz w:val="20"/>
                <w:szCs w:val="20"/>
              </w:rPr>
            </w:pPr>
            <w:r w:rsidRPr="00CC18E5">
              <w:rPr>
                <w:rFonts w:ascii="Arial Narrow" w:hAnsi="Arial Narrow"/>
                <w:sz w:val="20"/>
                <w:szCs w:val="20"/>
              </w:rPr>
              <w:t>The Lancet 2016; 388:3017- 3026.</w:t>
            </w:r>
          </w:p>
        </w:tc>
      </w:tr>
      <w:tr w:rsidR="00C0445F" w:rsidRPr="00CC18E5" w14:paraId="695AC0C1" w14:textId="77777777" w:rsidTr="00CC18E5">
        <w:trPr>
          <w:cantSplit/>
        </w:trPr>
        <w:tc>
          <w:tcPr>
            <w:tcW w:w="5000" w:type="pct"/>
            <w:gridSpan w:val="3"/>
            <w:tcBorders>
              <w:top w:val="single" w:sz="4" w:space="0" w:color="auto"/>
              <w:bottom w:val="single" w:sz="4" w:space="0" w:color="auto"/>
            </w:tcBorders>
            <w:vAlign w:val="center"/>
          </w:tcPr>
          <w:p w14:paraId="75A22B0E" w14:textId="77777777" w:rsidR="00C0445F" w:rsidRPr="00CC18E5" w:rsidRDefault="00C0445F" w:rsidP="00CC18E5">
            <w:pPr>
              <w:pStyle w:val="TableText0"/>
              <w:widowControl w:val="0"/>
              <w:rPr>
                <w:szCs w:val="20"/>
              </w:rPr>
            </w:pPr>
            <w:r w:rsidRPr="00CC18E5">
              <w:rPr>
                <w:b/>
                <w:szCs w:val="20"/>
              </w:rPr>
              <w:t>Natural history</w:t>
            </w:r>
          </w:p>
        </w:tc>
      </w:tr>
      <w:tr w:rsidR="00C0445F" w:rsidRPr="00CC18E5" w14:paraId="2EC999CF" w14:textId="77777777" w:rsidTr="00CC18E5">
        <w:trPr>
          <w:cantSplit/>
        </w:trPr>
        <w:tc>
          <w:tcPr>
            <w:tcW w:w="796" w:type="pct"/>
            <w:vMerge w:val="restart"/>
            <w:tcBorders>
              <w:top w:val="single" w:sz="4" w:space="0" w:color="auto"/>
            </w:tcBorders>
            <w:vAlign w:val="center"/>
          </w:tcPr>
          <w:p w14:paraId="59A191F1" w14:textId="77777777" w:rsidR="00C0445F" w:rsidRPr="00CC18E5" w:rsidRDefault="00C0445F" w:rsidP="00516F35">
            <w:pPr>
              <w:pStyle w:val="TableText0"/>
              <w:keepNext w:val="0"/>
              <w:rPr>
                <w:szCs w:val="20"/>
              </w:rPr>
            </w:pPr>
            <w:r w:rsidRPr="00CC18E5">
              <w:rPr>
                <w:szCs w:val="20"/>
              </w:rPr>
              <w:t>NeuroNEXT</w:t>
            </w:r>
          </w:p>
        </w:tc>
        <w:tc>
          <w:tcPr>
            <w:tcW w:w="3027" w:type="pct"/>
            <w:tcBorders>
              <w:top w:val="single" w:sz="4" w:space="0" w:color="auto"/>
              <w:bottom w:val="nil"/>
            </w:tcBorders>
            <w:vAlign w:val="center"/>
          </w:tcPr>
          <w:p w14:paraId="26689E9F" w14:textId="77777777" w:rsidR="00C0445F" w:rsidRPr="00CC18E5" w:rsidRDefault="00C0445F" w:rsidP="00516F35">
            <w:pPr>
              <w:pStyle w:val="TableText0"/>
              <w:keepNext w:val="0"/>
              <w:rPr>
                <w:szCs w:val="20"/>
              </w:rPr>
            </w:pPr>
            <w:r w:rsidRPr="00CC18E5">
              <w:rPr>
                <w:szCs w:val="20"/>
              </w:rPr>
              <w:t>Kolb SJ, Coffey CS, Yankey JW et al. Baseline results of the NeuroNEXT spinal muscular atrophy infant biomarker study.</w:t>
            </w:r>
          </w:p>
        </w:tc>
        <w:tc>
          <w:tcPr>
            <w:tcW w:w="1177" w:type="pct"/>
            <w:tcBorders>
              <w:top w:val="single" w:sz="4" w:space="0" w:color="auto"/>
              <w:bottom w:val="nil"/>
            </w:tcBorders>
            <w:vAlign w:val="center"/>
          </w:tcPr>
          <w:p w14:paraId="169A0BF6" w14:textId="77777777" w:rsidR="00C0445F" w:rsidRPr="00CC18E5" w:rsidRDefault="00C0445F" w:rsidP="00516F35">
            <w:pPr>
              <w:pStyle w:val="TableText0"/>
              <w:keepNext w:val="0"/>
              <w:rPr>
                <w:szCs w:val="20"/>
              </w:rPr>
            </w:pPr>
            <w:r w:rsidRPr="00CC18E5">
              <w:rPr>
                <w:szCs w:val="20"/>
              </w:rPr>
              <w:t>Annals of Clinical and Translational Neurology 2016; 3(2): 132-145.</w:t>
            </w:r>
          </w:p>
        </w:tc>
      </w:tr>
      <w:tr w:rsidR="00C0445F" w:rsidRPr="00CC18E5" w14:paraId="04528A1F" w14:textId="77777777" w:rsidTr="00CC18E5">
        <w:trPr>
          <w:cantSplit/>
        </w:trPr>
        <w:tc>
          <w:tcPr>
            <w:tcW w:w="796" w:type="pct"/>
            <w:vMerge/>
            <w:tcBorders>
              <w:bottom w:val="single" w:sz="4" w:space="0" w:color="auto"/>
            </w:tcBorders>
            <w:vAlign w:val="center"/>
          </w:tcPr>
          <w:p w14:paraId="071E71F2" w14:textId="77777777" w:rsidR="00C0445F" w:rsidRPr="00CC18E5" w:rsidRDefault="00C0445F" w:rsidP="00516F35">
            <w:pPr>
              <w:pStyle w:val="TableText0"/>
              <w:keepNext w:val="0"/>
              <w:rPr>
                <w:szCs w:val="20"/>
              </w:rPr>
            </w:pPr>
          </w:p>
        </w:tc>
        <w:tc>
          <w:tcPr>
            <w:tcW w:w="3027" w:type="pct"/>
            <w:tcBorders>
              <w:top w:val="nil"/>
              <w:bottom w:val="single" w:sz="4" w:space="0" w:color="auto"/>
              <w:right w:val="single" w:sz="4" w:space="0" w:color="auto"/>
            </w:tcBorders>
            <w:vAlign w:val="center"/>
          </w:tcPr>
          <w:p w14:paraId="3605F8ED" w14:textId="77777777" w:rsidR="00C0445F" w:rsidRPr="00CC18E5" w:rsidRDefault="00C0445F" w:rsidP="00516F35">
            <w:pPr>
              <w:pStyle w:val="TableText0"/>
              <w:keepNext w:val="0"/>
              <w:rPr>
                <w:szCs w:val="20"/>
              </w:rPr>
            </w:pPr>
            <w:r w:rsidRPr="00CC18E5">
              <w:rPr>
                <w:szCs w:val="20"/>
              </w:rPr>
              <w:t>Kolb SJ, Coffey CS, Yankey JW et al. Natural history of infantile-onset spinal muscular atrophy.</w:t>
            </w:r>
          </w:p>
        </w:tc>
        <w:tc>
          <w:tcPr>
            <w:tcW w:w="1177" w:type="pct"/>
            <w:tcBorders>
              <w:top w:val="nil"/>
              <w:left w:val="single" w:sz="4" w:space="0" w:color="auto"/>
              <w:bottom w:val="single" w:sz="4" w:space="0" w:color="auto"/>
              <w:right w:val="single" w:sz="4" w:space="0" w:color="auto"/>
            </w:tcBorders>
            <w:vAlign w:val="center"/>
          </w:tcPr>
          <w:p w14:paraId="1E2B75CA" w14:textId="77777777" w:rsidR="00C0445F" w:rsidRPr="00CC18E5" w:rsidRDefault="00C0445F" w:rsidP="00516F35">
            <w:pPr>
              <w:pStyle w:val="TableText0"/>
              <w:keepNext w:val="0"/>
              <w:rPr>
                <w:szCs w:val="20"/>
              </w:rPr>
            </w:pPr>
            <w:r w:rsidRPr="00CC18E5">
              <w:rPr>
                <w:szCs w:val="20"/>
              </w:rPr>
              <w:t>Annals of Neurology 2017; 82: 883-891.</w:t>
            </w:r>
          </w:p>
        </w:tc>
      </w:tr>
      <w:tr w:rsidR="00C0445F" w:rsidRPr="00CC18E5" w14:paraId="3E8D9E1F" w14:textId="77777777" w:rsidTr="00CC18E5">
        <w:trPr>
          <w:cantSplit/>
          <w:trHeight w:val="289"/>
        </w:trPr>
        <w:tc>
          <w:tcPr>
            <w:tcW w:w="796" w:type="pct"/>
            <w:tcBorders>
              <w:top w:val="single" w:sz="4" w:space="0" w:color="auto"/>
            </w:tcBorders>
            <w:vAlign w:val="center"/>
          </w:tcPr>
          <w:p w14:paraId="6D898287" w14:textId="77777777" w:rsidR="00C0445F" w:rsidRPr="00CC18E5" w:rsidRDefault="00C0445F" w:rsidP="00516F35">
            <w:pPr>
              <w:pStyle w:val="TableText0"/>
              <w:keepNext w:val="0"/>
              <w:rPr>
                <w:szCs w:val="20"/>
              </w:rPr>
            </w:pPr>
            <w:r w:rsidRPr="00CC18E5">
              <w:rPr>
                <w:szCs w:val="20"/>
              </w:rPr>
              <w:t>PNCR</w:t>
            </w:r>
          </w:p>
        </w:tc>
        <w:tc>
          <w:tcPr>
            <w:tcW w:w="3027" w:type="pct"/>
            <w:tcBorders>
              <w:top w:val="single" w:sz="4" w:space="0" w:color="auto"/>
            </w:tcBorders>
            <w:vAlign w:val="center"/>
          </w:tcPr>
          <w:p w14:paraId="4F6168E2" w14:textId="77777777" w:rsidR="00C0445F" w:rsidRPr="00CC18E5" w:rsidRDefault="00C0445F" w:rsidP="00516F35">
            <w:pPr>
              <w:pStyle w:val="TableText0"/>
              <w:keepNext w:val="0"/>
              <w:rPr>
                <w:szCs w:val="20"/>
              </w:rPr>
            </w:pPr>
            <w:r w:rsidRPr="00CC18E5">
              <w:rPr>
                <w:szCs w:val="20"/>
              </w:rPr>
              <w:t>Finkel RS, McDermott MP, Kaufmann P et al. Observational study of spinal muscular atrophy type I and implications for clinical trials.</w:t>
            </w:r>
          </w:p>
        </w:tc>
        <w:tc>
          <w:tcPr>
            <w:tcW w:w="1177" w:type="pct"/>
            <w:tcBorders>
              <w:top w:val="single" w:sz="4" w:space="0" w:color="auto"/>
            </w:tcBorders>
            <w:vAlign w:val="center"/>
          </w:tcPr>
          <w:p w14:paraId="6701790C" w14:textId="77777777" w:rsidR="00C0445F" w:rsidRPr="00CC18E5" w:rsidRDefault="00C0445F" w:rsidP="00516F35">
            <w:pPr>
              <w:pStyle w:val="TableText0"/>
              <w:keepNext w:val="0"/>
              <w:rPr>
                <w:szCs w:val="20"/>
              </w:rPr>
            </w:pPr>
            <w:r w:rsidRPr="00CC18E5">
              <w:rPr>
                <w:szCs w:val="20"/>
              </w:rPr>
              <w:t>Neurology 2014; 83: 910-817.</w:t>
            </w:r>
          </w:p>
        </w:tc>
      </w:tr>
      <w:tr w:rsidR="00C0445F" w:rsidRPr="00CC18E5" w14:paraId="75C257B9" w14:textId="77777777" w:rsidTr="00CC18E5">
        <w:trPr>
          <w:cantSplit/>
        </w:trPr>
        <w:tc>
          <w:tcPr>
            <w:tcW w:w="796" w:type="pct"/>
            <w:tcBorders>
              <w:top w:val="single" w:sz="4" w:space="0" w:color="auto"/>
              <w:bottom w:val="single" w:sz="4" w:space="0" w:color="auto"/>
            </w:tcBorders>
            <w:vAlign w:val="center"/>
          </w:tcPr>
          <w:p w14:paraId="59F7E027" w14:textId="77777777" w:rsidR="00C0445F" w:rsidRPr="00CC18E5" w:rsidRDefault="00C0445F" w:rsidP="00516F35">
            <w:pPr>
              <w:pStyle w:val="TableText0"/>
              <w:keepNext w:val="0"/>
              <w:rPr>
                <w:szCs w:val="20"/>
              </w:rPr>
            </w:pPr>
            <w:r w:rsidRPr="00CC18E5">
              <w:rPr>
                <w:szCs w:val="20"/>
              </w:rPr>
              <w:lastRenderedPageBreak/>
              <w:t>Farrar 2013</w:t>
            </w:r>
          </w:p>
        </w:tc>
        <w:tc>
          <w:tcPr>
            <w:tcW w:w="3027" w:type="pct"/>
            <w:tcBorders>
              <w:top w:val="single" w:sz="4" w:space="0" w:color="auto"/>
              <w:bottom w:val="single" w:sz="4" w:space="0" w:color="auto"/>
            </w:tcBorders>
            <w:vAlign w:val="center"/>
          </w:tcPr>
          <w:p w14:paraId="155F30A8" w14:textId="77777777" w:rsidR="00C0445F" w:rsidRPr="00CC18E5" w:rsidRDefault="00C0445F" w:rsidP="00516F35">
            <w:pPr>
              <w:pStyle w:val="TableText0"/>
              <w:keepNext w:val="0"/>
              <w:rPr>
                <w:szCs w:val="20"/>
              </w:rPr>
            </w:pPr>
            <w:r w:rsidRPr="00CC18E5">
              <w:rPr>
                <w:szCs w:val="20"/>
              </w:rPr>
              <w:t>Farrar MA, Vuvic S, Johnston HM et al. Pathophysiological insights derived by natural history and motor function of spinal muscular atrophy.</w:t>
            </w:r>
          </w:p>
        </w:tc>
        <w:tc>
          <w:tcPr>
            <w:tcW w:w="1177" w:type="pct"/>
            <w:tcBorders>
              <w:top w:val="single" w:sz="4" w:space="0" w:color="auto"/>
              <w:bottom w:val="single" w:sz="4" w:space="0" w:color="auto"/>
            </w:tcBorders>
            <w:vAlign w:val="center"/>
          </w:tcPr>
          <w:p w14:paraId="7FDA5380" w14:textId="77777777" w:rsidR="00C0445F" w:rsidRPr="00CC18E5" w:rsidRDefault="00C0445F" w:rsidP="00516F35">
            <w:pPr>
              <w:pStyle w:val="TableText0"/>
              <w:keepNext w:val="0"/>
              <w:rPr>
                <w:szCs w:val="20"/>
              </w:rPr>
            </w:pPr>
            <w:r w:rsidRPr="00CC18E5">
              <w:rPr>
                <w:szCs w:val="20"/>
              </w:rPr>
              <w:t>The Journal of Paediatrics 2013; 162: 155-159.</w:t>
            </w:r>
          </w:p>
        </w:tc>
      </w:tr>
      <w:tr w:rsidR="00C0445F" w:rsidRPr="00CC18E5" w14:paraId="0CCD73EA" w14:textId="77777777" w:rsidTr="00CC18E5">
        <w:trPr>
          <w:cantSplit/>
        </w:trPr>
        <w:tc>
          <w:tcPr>
            <w:tcW w:w="796" w:type="pct"/>
            <w:tcBorders>
              <w:top w:val="single" w:sz="4" w:space="0" w:color="auto"/>
              <w:bottom w:val="single" w:sz="4" w:space="0" w:color="auto"/>
            </w:tcBorders>
            <w:vAlign w:val="center"/>
          </w:tcPr>
          <w:p w14:paraId="3BAC48B9" w14:textId="77777777" w:rsidR="00C0445F" w:rsidRPr="00CC18E5" w:rsidRDefault="00C0445F" w:rsidP="00516F35">
            <w:pPr>
              <w:pStyle w:val="TableText0"/>
              <w:keepNext w:val="0"/>
              <w:rPr>
                <w:i/>
                <w:szCs w:val="20"/>
              </w:rPr>
            </w:pPr>
            <w:r w:rsidRPr="00CC18E5">
              <w:rPr>
                <w:i/>
                <w:szCs w:val="20"/>
              </w:rPr>
              <w:t>Chung 2004</w:t>
            </w:r>
          </w:p>
        </w:tc>
        <w:tc>
          <w:tcPr>
            <w:tcW w:w="3027" w:type="pct"/>
            <w:tcBorders>
              <w:top w:val="single" w:sz="4" w:space="0" w:color="auto"/>
              <w:bottom w:val="single" w:sz="4" w:space="0" w:color="auto"/>
            </w:tcBorders>
            <w:vAlign w:val="center"/>
          </w:tcPr>
          <w:p w14:paraId="5B6EA611" w14:textId="77777777" w:rsidR="00C0445F" w:rsidRPr="00CC18E5" w:rsidRDefault="00C0445F" w:rsidP="00516F35">
            <w:pPr>
              <w:pStyle w:val="TableText0"/>
              <w:keepNext w:val="0"/>
              <w:rPr>
                <w:i/>
                <w:szCs w:val="20"/>
              </w:rPr>
            </w:pPr>
            <w:r w:rsidRPr="00CC18E5">
              <w:rPr>
                <w:i/>
                <w:szCs w:val="20"/>
              </w:rPr>
              <w:t>Chung BHY, Wong VCN, and Ip P. Spinal Muscular Atrophy: Survival pattern and functional status</w:t>
            </w:r>
            <w:r w:rsidR="00917415" w:rsidRPr="00CC18E5">
              <w:rPr>
                <w:i/>
                <w:szCs w:val="20"/>
              </w:rPr>
              <w:t xml:space="preserve">. </w:t>
            </w:r>
          </w:p>
        </w:tc>
        <w:tc>
          <w:tcPr>
            <w:tcW w:w="1177" w:type="pct"/>
            <w:tcBorders>
              <w:top w:val="single" w:sz="4" w:space="0" w:color="auto"/>
              <w:bottom w:val="single" w:sz="4" w:space="0" w:color="auto"/>
            </w:tcBorders>
            <w:vAlign w:val="center"/>
          </w:tcPr>
          <w:p w14:paraId="3EE5B13E" w14:textId="77777777" w:rsidR="00C0445F" w:rsidRPr="00CC18E5" w:rsidRDefault="00C0445F" w:rsidP="00516F35">
            <w:pPr>
              <w:pStyle w:val="TableText0"/>
              <w:keepNext w:val="0"/>
              <w:rPr>
                <w:i/>
                <w:szCs w:val="20"/>
              </w:rPr>
            </w:pPr>
            <w:r w:rsidRPr="00CC18E5">
              <w:rPr>
                <w:i/>
                <w:szCs w:val="20"/>
              </w:rPr>
              <w:t>Pediatrics 2004; 114(5); e548.</w:t>
            </w:r>
          </w:p>
        </w:tc>
      </w:tr>
      <w:tr w:rsidR="00C0445F" w:rsidRPr="00CC18E5" w14:paraId="3026E12C" w14:textId="77777777" w:rsidTr="00CC18E5">
        <w:trPr>
          <w:cantSplit/>
        </w:trPr>
        <w:tc>
          <w:tcPr>
            <w:tcW w:w="796" w:type="pct"/>
            <w:tcBorders>
              <w:top w:val="single" w:sz="4" w:space="0" w:color="auto"/>
              <w:bottom w:val="single" w:sz="4" w:space="0" w:color="auto"/>
            </w:tcBorders>
            <w:vAlign w:val="center"/>
          </w:tcPr>
          <w:p w14:paraId="40E48A0F" w14:textId="77777777" w:rsidR="00C0445F" w:rsidRPr="00CC18E5" w:rsidRDefault="00C0445F" w:rsidP="00516F35">
            <w:pPr>
              <w:pStyle w:val="TableText0"/>
              <w:keepNext w:val="0"/>
              <w:rPr>
                <w:i/>
                <w:szCs w:val="20"/>
              </w:rPr>
            </w:pPr>
            <w:r w:rsidRPr="00CC18E5">
              <w:rPr>
                <w:i/>
                <w:szCs w:val="20"/>
              </w:rPr>
              <w:t>Zerres 1995</w:t>
            </w:r>
          </w:p>
        </w:tc>
        <w:tc>
          <w:tcPr>
            <w:tcW w:w="3027" w:type="pct"/>
            <w:tcBorders>
              <w:top w:val="single" w:sz="4" w:space="0" w:color="auto"/>
              <w:bottom w:val="single" w:sz="4" w:space="0" w:color="auto"/>
            </w:tcBorders>
            <w:vAlign w:val="center"/>
          </w:tcPr>
          <w:p w14:paraId="1A91482E" w14:textId="77777777" w:rsidR="00C0445F" w:rsidRPr="00CC18E5" w:rsidRDefault="00C0445F" w:rsidP="00516F35">
            <w:pPr>
              <w:pStyle w:val="TableText0"/>
              <w:keepNext w:val="0"/>
              <w:rPr>
                <w:i/>
                <w:szCs w:val="20"/>
              </w:rPr>
            </w:pPr>
            <w:r w:rsidRPr="00CC18E5">
              <w:rPr>
                <w:i/>
                <w:szCs w:val="20"/>
              </w:rPr>
              <w:t xml:space="preserve">Zerres K and Rudnik-Schoneborn S. Natural history in proximal spinal muscular atrophy. </w:t>
            </w:r>
          </w:p>
        </w:tc>
        <w:tc>
          <w:tcPr>
            <w:tcW w:w="1177" w:type="pct"/>
            <w:tcBorders>
              <w:top w:val="single" w:sz="4" w:space="0" w:color="auto"/>
              <w:bottom w:val="single" w:sz="4" w:space="0" w:color="auto"/>
            </w:tcBorders>
            <w:vAlign w:val="center"/>
          </w:tcPr>
          <w:p w14:paraId="528AC14F" w14:textId="77777777" w:rsidR="00C0445F" w:rsidRPr="00CC18E5" w:rsidRDefault="00C0445F" w:rsidP="00516F35">
            <w:pPr>
              <w:pStyle w:val="TableText0"/>
              <w:keepNext w:val="0"/>
              <w:rPr>
                <w:i/>
                <w:szCs w:val="20"/>
              </w:rPr>
            </w:pPr>
            <w:r w:rsidRPr="00CC18E5">
              <w:rPr>
                <w:i/>
                <w:szCs w:val="20"/>
              </w:rPr>
              <w:t>Arch Neurol 1995, 52: 518-523.</w:t>
            </w:r>
          </w:p>
        </w:tc>
      </w:tr>
      <w:tr w:rsidR="00C0445F" w:rsidRPr="00CC18E5" w14:paraId="46AE0F40" w14:textId="77777777" w:rsidTr="00CC18E5">
        <w:trPr>
          <w:cantSplit/>
        </w:trPr>
        <w:tc>
          <w:tcPr>
            <w:tcW w:w="796" w:type="pct"/>
            <w:tcBorders>
              <w:top w:val="single" w:sz="4" w:space="0" w:color="auto"/>
              <w:bottom w:val="single" w:sz="4" w:space="0" w:color="auto"/>
            </w:tcBorders>
            <w:vAlign w:val="center"/>
          </w:tcPr>
          <w:p w14:paraId="5E9916EB" w14:textId="77777777" w:rsidR="00C0445F" w:rsidRPr="00CC18E5" w:rsidRDefault="00C0445F" w:rsidP="00516F35">
            <w:pPr>
              <w:pStyle w:val="TableText0"/>
              <w:keepNext w:val="0"/>
              <w:rPr>
                <w:i/>
                <w:szCs w:val="20"/>
              </w:rPr>
            </w:pPr>
            <w:r w:rsidRPr="00CC18E5">
              <w:rPr>
                <w:i/>
                <w:szCs w:val="20"/>
              </w:rPr>
              <w:t>Oskouri 2007</w:t>
            </w:r>
          </w:p>
        </w:tc>
        <w:tc>
          <w:tcPr>
            <w:tcW w:w="3027" w:type="pct"/>
            <w:tcBorders>
              <w:top w:val="single" w:sz="4" w:space="0" w:color="auto"/>
              <w:bottom w:val="single" w:sz="4" w:space="0" w:color="auto"/>
            </w:tcBorders>
            <w:vAlign w:val="center"/>
          </w:tcPr>
          <w:p w14:paraId="32112F95" w14:textId="77777777" w:rsidR="00C0445F" w:rsidRPr="00CC18E5" w:rsidRDefault="00C0445F" w:rsidP="00516F35">
            <w:pPr>
              <w:pStyle w:val="TableText0"/>
              <w:keepNext w:val="0"/>
              <w:rPr>
                <w:i/>
                <w:szCs w:val="20"/>
              </w:rPr>
            </w:pPr>
            <w:r w:rsidRPr="00CC18E5">
              <w:rPr>
                <w:i/>
                <w:szCs w:val="20"/>
              </w:rPr>
              <w:t>Oskouri M, Levy G, Garland CJ et al. The changing natural history of spinal muscular atrophy type I</w:t>
            </w:r>
            <w:r w:rsidR="00917415" w:rsidRPr="00CC18E5">
              <w:rPr>
                <w:i/>
                <w:szCs w:val="20"/>
              </w:rPr>
              <w:t xml:space="preserve">. </w:t>
            </w:r>
          </w:p>
        </w:tc>
        <w:tc>
          <w:tcPr>
            <w:tcW w:w="1177" w:type="pct"/>
            <w:tcBorders>
              <w:top w:val="single" w:sz="4" w:space="0" w:color="auto"/>
              <w:bottom w:val="single" w:sz="4" w:space="0" w:color="auto"/>
            </w:tcBorders>
            <w:vAlign w:val="center"/>
          </w:tcPr>
          <w:p w14:paraId="585B246B" w14:textId="77777777" w:rsidR="00C0445F" w:rsidRPr="00CC18E5" w:rsidRDefault="00C0445F" w:rsidP="00516F35">
            <w:pPr>
              <w:pStyle w:val="FootnoteText"/>
              <w:rPr>
                <w:rFonts w:ascii="Arial Narrow" w:hAnsi="Arial Narrow"/>
                <w:i/>
              </w:rPr>
            </w:pPr>
            <w:r w:rsidRPr="00CC18E5">
              <w:rPr>
                <w:rFonts w:ascii="Arial Narrow" w:hAnsi="Arial Narrow"/>
                <w:i/>
              </w:rPr>
              <w:t>Neurology 2007; 69: 1931-1936.</w:t>
            </w:r>
          </w:p>
          <w:p w14:paraId="3B910D0A" w14:textId="77777777" w:rsidR="00C0445F" w:rsidRPr="00CC18E5" w:rsidRDefault="00C0445F" w:rsidP="00516F35">
            <w:pPr>
              <w:pStyle w:val="TableText0"/>
              <w:keepNext w:val="0"/>
              <w:rPr>
                <w:i/>
                <w:szCs w:val="20"/>
              </w:rPr>
            </w:pPr>
          </w:p>
        </w:tc>
      </w:tr>
      <w:tr w:rsidR="00C0445F" w:rsidRPr="00CC18E5" w14:paraId="247BE5B1" w14:textId="77777777" w:rsidTr="00CC18E5">
        <w:trPr>
          <w:cantSplit/>
        </w:trPr>
        <w:tc>
          <w:tcPr>
            <w:tcW w:w="796" w:type="pct"/>
            <w:tcBorders>
              <w:top w:val="single" w:sz="4" w:space="0" w:color="auto"/>
              <w:bottom w:val="single" w:sz="4" w:space="0" w:color="auto"/>
            </w:tcBorders>
            <w:vAlign w:val="center"/>
          </w:tcPr>
          <w:p w14:paraId="1E8BE331" w14:textId="77777777" w:rsidR="00C0445F" w:rsidRPr="00CC18E5" w:rsidRDefault="00C0445F" w:rsidP="00516F35">
            <w:pPr>
              <w:pStyle w:val="TableText0"/>
              <w:keepNext w:val="0"/>
              <w:rPr>
                <w:i/>
                <w:szCs w:val="20"/>
              </w:rPr>
            </w:pPr>
            <w:r w:rsidRPr="00CC18E5">
              <w:rPr>
                <w:i/>
                <w:szCs w:val="20"/>
              </w:rPr>
              <w:t>Ge 2012</w:t>
            </w:r>
          </w:p>
        </w:tc>
        <w:tc>
          <w:tcPr>
            <w:tcW w:w="3027" w:type="pct"/>
            <w:tcBorders>
              <w:top w:val="single" w:sz="4" w:space="0" w:color="auto"/>
              <w:bottom w:val="single" w:sz="4" w:space="0" w:color="auto"/>
            </w:tcBorders>
            <w:vAlign w:val="center"/>
          </w:tcPr>
          <w:p w14:paraId="77979993" w14:textId="77777777" w:rsidR="00C0445F" w:rsidRPr="00CC18E5" w:rsidRDefault="00C0445F" w:rsidP="00516F35">
            <w:pPr>
              <w:pStyle w:val="TableText0"/>
              <w:keepNext w:val="0"/>
              <w:rPr>
                <w:i/>
                <w:szCs w:val="20"/>
              </w:rPr>
            </w:pPr>
            <w:r w:rsidRPr="00CC18E5">
              <w:rPr>
                <w:i/>
                <w:szCs w:val="20"/>
              </w:rPr>
              <w:t xml:space="preserve">Ge X, Bai J, Lu Y et all. The natural history of infant spinal muscular atrophy in China: A study of 237 patients. </w:t>
            </w:r>
          </w:p>
        </w:tc>
        <w:tc>
          <w:tcPr>
            <w:tcW w:w="1177" w:type="pct"/>
            <w:tcBorders>
              <w:top w:val="single" w:sz="4" w:space="0" w:color="auto"/>
              <w:bottom w:val="single" w:sz="4" w:space="0" w:color="auto"/>
            </w:tcBorders>
            <w:vAlign w:val="center"/>
          </w:tcPr>
          <w:p w14:paraId="0DEBA73F" w14:textId="77777777" w:rsidR="00C0445F" w:rsidRPr="00CC18E5" w:rsidRDefault="00C0445F" w:rsidP="00516F35">
            <w:pPr>
              <w:pStyle w:val="TableText0"/>
              <w:keepNext w:val="0"/>
              <w:rPr>
                <w:i/>
                <w:szCs w:val="20"/>
              </w:rPr>
            </w:pPr>
            <w:r w:rsidRPr="00CC18E5">
              <w:rPr>
                <w:i/>
                <w:szCs w:val="20"/>
              </w:rPr>
              <w:t>Journal of Child Neurology 2012; 27(4): 471-477.</w:t>
            </w:r>
          </w:p>
        </w:tc>
      </w:tr>
      <w:tr w:rsidR="00C0445F" w:rsidRPr="00CC18E5" w14:paraId="4331B896" w14:textId="77777777" w:rsidTr="00CC18E5">
        <w:trPr>
          <w:cantSplit/>
        </w:trPr>
        <w:tc>
          <w:tcPr>
            <w:tcW w:w="796" w:type="pct"/>
            <w:tcBorders>
              <w:top w:val="single" w:sz="4" w:space="0" w:color="auto"/>
              <w:bottom w:val="single" w:sz="4" w:space="0" w:color="auto"/>
            </w:tcBorders>
            <w:vAlign w:val="center"/>
          </w:tcPr>
          <w:p w14:paraId="40278DEB" w14:textId="77777777" w:rsidR="00C0445F" w:rsidRPr="00CC18E5" w:rsidRDefault="00C0445F" w:rsidP="00516F35">
            <w:pPr>
              <w:pStyle w:val="TableText0"/>
              <w:keepNext w:val="0"/>
              <w:rPr>
                <w:i/>
                <w:szCs w:val="20"/>
              </w:rPr>
            </w:pPr>
            <w:r w:rsidRPr="00CC18E5">
              <w:rPr>
                <w:i/>
                <w:szCs w:val="20"/>
              </w:rPr>
              <w:t>Gregoretti 2013</w:t>
            </w:r>
          </w:p>
        </w:tc>
        <w:tc>
          <w:tcPr>
            <w:tcW w:w="3027" w:type="pct"/>
            <w:tcBorders>
              <w:top w:val="single" w:sz="4" w:space="0" w:color="auto"/>
              <w:bottom w:val="single" w:sz="4" w:space="0" w:color="auto"/>
            </w:tcBorders>
            <w:vAlign w:val="center"/>
          </w:tcPr>
          <w:p w14:paraId="487C4950" w14:textId="77777777" w:rsidR="00C0445F" w:rsidRPr="00CC18E5" w:rsidRDefault="00C0445F" w:rsidP="00516F35">
            <w:pPr>
              <w:pStyle w:val="TableText0"/>
              <w:keepNext w:val="0"/>
              <w:rPr>
                <w:i/>
                <w:szCs w:val="20"/>
              </w:rPr>
            </w:pPr>
            <w:r w:rsidRPr="00CC18E5">
              <w:rPr>
                <w:i/>
                <w:szCs w:val="20"/>
              </w:rPr>
              <w:t xml:space="preserve">Gregoretti C, Ottonello G, Beatrice M et al. Survival of patients with spinal muscular atrophy type I. </w:t>
            </w:r>
          </w:p>
        </w:tc>
        <w:tc>
          <w:tcPr>
            <w:tcW w:w="1177" w:type="pct"/>
            <w:tcBorders>
              <w:top w:val="single" w:sz="4" w:space="0" w:color="auto"/>
              <w:bottom w:val="single" w:sz="4" w:space="0" w:color="auto"/>
            </w:tcBorders>
            <w:vAlign w:val="center"/>
          </w:tcPr>
          <w:p w14:paraId="63154CD7" w14:textId="77777777" w:rsidR="00C0445F" w:rsidRPr="00CC18E5" w:rsidRDefault="00C0445F" w:rsidP="00516F35">
            <w:pPr>
              <w:pStyle w:val="TableText0"/>
              <w:keepNext w:val="0"/>
              <w:rPr>
                <w:i/>
                <w:szCs w:val="20"/>
              </w:rPr>
            </w:pPr>
            <w:r w:rsidRPr="00CC18E5">
              <w:rPr>
                <w:i/>
                <w:szCs w:val="20"/>
              </w:rPr>
              <w:t>Pediatrics 2013; 131(5): e1509-e1514.</w:t>
            </w:r>
          </w:p>
        </w:tc>
      </w:tr>
      <w:tr w:rsidR="00C0445F" w:rsidRPr="00CC18E5" w14:paraId="71DE865A" w14:textId="77777777" w:rsidTr="00CC18E5">
        <w:trPr>
          <w:cantSplit/>
        </w:trPr>
        <w:tc>
          <w:tcPr>
            <w:tcW w:w="5000" w:type="pct"/>
            <w:gridSpan w:val="3"/>
            <w:tcBorders>
              <w:top w:val="single" w:sz="4" w:space="0" w:color="auto"/>
              <w:bottom w:val="single" w:sz="4" w:space="0" w:color="auto"/>
            </w:tcBorders>
            <w:vAlign w:val="center"/>
          </w:tcPr>
          <w:p w14:paraId="65831C38" w14:textId="77777777" w:rsidR="00C0445F" w:rsidRPr="00CC18E5" w:rsidRDefault="00C0445F" w:rsidP="00516F35">
            <w:pPr>
              <w:pStyle w:val="TableText0"/>
              <w:keepNext w:val="0"/>
              <w:rPr>
                <w:szCs w:val="20"/>
              </w:rPr>
            </w:pPr>
            <w:r w:rsidRPr="00CC18E5">
              <w:rPr>
                <w:b/>
                <w:szCs w:val="20"/>
              </w:rPr>
              <w:t>Indirect comparisons</w:t>
            </w:r>
          </w:p>
        </w:tc>
      </w:tr>
      <w:tr w:rsidR="00C0445F" w:rsidRPr="00CC18E5" w14:paraId="71CB1A17" w14:textId="77777777" w:rsidTr="00CC18E5">
        <w:trPr>
          <w:cantSplit/>
        </w:trPr>
        <w:tc>
          <w:tcPr>
            <w:tcW w:w="796" w:type="pct"/>
            <w:tcBorders>
              <w:top w:val="single" w:sz="4" w:space="0" w:color="auto"/>
              <w:bottom w:val="single" w:sz="4" w:space="0" w:color="auto"/>
            </w:tcBorders>
            <w:vAlign w:val="center"/>
          </w:tcPr>
          <w:p w14:paraId="00D52E20" w14:textId="77777777" w:rsidR="00C0445F" w:rsidRPr="00CC18E5" w:rsidRDefault="00C0445F" w:rsidP="00516F35">
            <w:pPr>
              <w:pStyle w:val="TableText0"/>
              <w:keepNext w:val="0"/>
              <w:rPr>
                <w:szCs w:val="20"/>
              </w:rPr>
            </w:pPr>
            <w:r w:rsidRPr="00CC18E5">
              <w:rPr>
                <w:szCs w:val="20"/>
              </w:rPr>
              <w:t>Precisionheor</w:t>
            </w:r>
          </w:p>
        </w:tc>
        <w:tc>
          <w:tcPr>
            <w:tcW w:w="3027" w:type="pct"/>
            <w:tcBorders>
              <w:top w:val="single" w:sz="4" w:space="0" w:color="auto"/>
              <w:bottom w:val="single" w:sz="4" w:space="0" w:color="auto"/>
            </w:tcBorders>
            <w:vAlign w:val="center"/>
          </w:tcPr>
          <w:p w14:paraId="0D5725D2" w14:textId="77777777" w:rsidR="00C0445F" w:rsidRPr="00CC18E5" w:rsidRDefault="00C0445F" w:rsidP="00516F35">
            <w:pPr>
              <w:pStyle w:val="TableText0"/>
              <w:keepNext w:val="0"/>
              <w:rPr>
                <w:szCs w:val="20"/>
              </w:rPr>
            </w:pPr>
            <w:r w:rsidRPr="00CC18E5">
              <w:rPr>
                <w:szCs w:val="20"/>
              </w:rPr>
              <w:t xml:space="preserve">Indirect comparison of AVXS-101 and </w:t>
            </w:r>
            <w:r w:rsidR="00EE09B5" w:rsidRPr="00CC18E5">
              <w:rPr>
                <w:szCs w:val="20"/>
              </w:rPr>
              <w:t>NUSI</w:t>
            </w:r>
            <w:r w:rsidRPr="00CC18E5">
              <w:rPr>
                <w:szCs w:val="20"/>
              </w:rPr>
              <w:t>. Technical report. Version 5.</w:t>
            </w:r>
          </w:p>
        </w:tc>
        <w:tc>
          <w:tcPr>
            <w:tcW w:w="1177" w:type="pct"/>
            <w:tcBorders>
              <w:top w:val="single" w:sz="4" w:space="0" w:color="auto"/>
              <w:bottom w:val="single" w:sz="4" w:space="0" w:color="auto"/>
            </w:tcBorders>
            <w:vAlign w:val="center"/>
          </w:tcPr>
          <w:p w14:paraId="63529280" w14:textId="77777777" w:rsidR="00C0445F" w:rsidRPr="00CC18E5" w:rsidRDefault="00C0445F" w:rsidP="00516F35">
            <w:pPr>
              <w:pStyle w:val="TableText0"/>
              <w:keepNext w:val="0"/>
              <w:rPr>
                <w:szCs w:val="20"/>
              </w:rPr>
            </w:pPr>
            <w:r w:rsidRPr="00CC18E5">
              <w:rPr>
                <w:szCs w:val="20"/>
              </w:rPr>
              <w:t>May 2020.</w:t>
            </w:r>
          </w:p>
        </w:tc>
      </w:tr>
      <w:tr w:rsidR="00C0445F" w:rsidRPr="00CC18E5" w14:paraId="498C8384" w14:textId="77777777" w:rsidTr="00CC18E5">
        <w:trPr>
          <w:cantSplit/>
        </w:trPr>
        <w:tc>
          <w:tcPr>
            <w:tcW w:w="796" w:type="pct"/>
            <w:tcBorders>
              <w:top w:val="single" w:sz="4" w:space="0" w:color="auto"/>
              <w:bottom w:val="single" w:sz="4" w:space="0" w:color="auto"/>
            </w:tcBorders>
            <w:vAlign w:val="center"/>
          </w:tcPr>
          <w:p w14:paraId="17B4E7EF" w14:textId="77777777" w:rsidR="00C0445F" w:rsidRPr="00CC18E5" w:rsidRDefault="00C0445F" w:rsidP="00516F35">
            <w:pPr>
              <w:pStyle w:val="TableText0"/>
              <w:keepNext w:val="0"/>
              <w:rPr>
                <w:szCs w:val="20"/>
              </w:rPr>
            </w:pPr>
            <w:r w:rsidRPr="00CC18E5">
              <w:rPr>
                <w:szCs w:val="20"/>
              </w:rPr>
              <w:t>Dabbous 2019</w:t>
            </w:r>
          </w:p>
        </w:tc>
        <w:tc>
          <w:tcPr>
            <w:tcW w:w="3027" w:type="pct"/>
            <w:tcBorders>
              <w:top w:val="single" w:sz="4" w:space="0" w:color="auto"/>
              <w:bottom w:val="single" w:sz="4" w:space="0" w:color="auto"/>
            </w:tcBorders>
            <w:vAlign w:val="center"/>
          </w:tcPr>
          <w:p w14:paraId="12326DCE" w14:textId="77777777" w:rsidR="00C0445F" w:rsidRPr="00CC18E5" w:rsidRDefault="00C0445F" w:rsidP="00516F35">
            <w:pPr>
              <w:pStyle w:val="TableText0"/>
              <w:keepNext w:val="0"/>
              <w:rPr>
                <w:szCs w:val="20"/>
              </w:rPr>
            </w:pPr>
            <w:r w:rsidRPr="00CC18E5">
              <w:rPr>
                <w:szCs w:val="20"/>
              </w:rPr>
              <w:t xml:space="preserve">Dabbous O, Maru B, Jansen JP et al. Survival, motor function, and motor milestones: Comparison of AVXS-101 relative to </w:t>
            </w:r>
            <w:r w:rsidR="00EE09B5" w:rsidRPr="00CC18E5">
              <w:rPr>
                <w:szCs w:val="20"/>
              </w:rPr>
              <w:t>NUSI</w:t>
            </w:r>
            <w:r w:rsidRPr="00CC18E5">
              <w:rPr>
                <w:szCs w:val="20"/>
              </w:rPr>
              <w:t xml:space="preserve"> for the treatment of infants with spinal muscular atrophy type 1.</w:t>
            </w:r>
          </w:p>
        </w:tc>
        <w:tc>
          <w:tcPr>
            <w:tcW w:w="1177" w:type="pct"/>
            <w:tcBorders>
              <w:top w:val="single" w:sz="4" w:space="0" w:color="auto"/>
              <w:bottom w:val="single" w:sz="4" w:space="0" w:color="auto"/>
            </w:tcBorders>
            <w:vAlign w:val="center"/>
          </w:tcPr>
          <w:p w14:paraId="33AB313B" w14:textId="77777777" w:rsidR="00C0445F" w:rsidRPr="00CC18E5" w:rsidRDefault="00C0445F" w:rsidP="00516F35">
            <w:pPr>
              <w:pStyle w:val="TableText0"/>
              <w:keepNext w:val="0"/>
              <w:rPr>
                <w:szCs w:val="20"/>
              </w:rPr>
            </w:pPr>
            <w:r w:rsidRPr="00CC18E5">
              <w:rPr>
                <w:szCs w:val="20"/>
              </w:rPr>
              <w:t>Adv Ther 2019; 36: 1164-1176.</w:t>
            </w:r>
          </w:p>
        </w:tc>
      </w:tr>
    </w:tbl>
    <w:p w14:paraId="2E9E4C0D" w14:textId="77777777" w:rsidR="00C0445F" w:rsidRPr="00917415" w:rsidRDefault="00C0445F" w:rsidP="00CC18E5">
      <w:pPr>
        <w:pStyle w:val="TableFigureFooter"/>
        <w:rPr>
          <w:sz w:val="20"/>
        </w:rPr>
      </w:pPr>
      <w:r w:rsidRPr="00917415">
        <w:t>Source: pp56-69of the submission plus the additional citations sourced during the evaluation.</w:t>
      </w:r>
    </w:p>
    <w:p w14:paraId="09D8542F" w14:textId="77777777" w:rsidR="00A40C15" w:rsidRPr="00917415" w:rsidRDefault="00C0445F" w:rsidP="00CC18E5">
      <w:pPr>
        <w:pStyle w:val="TableFigureFooter"/>
        <w:rPr>
          <w:iCs/>
          <w:lang w:eastAsia="en-US"/>
        </w:rPr>
      </w:pPr>
      <w:r w:rsidRPr="00917415">
        <w:rPr>
          <w:iCs/>
          <w:lang w:eastAsia="en-US"/>
        </w:rPr>
        <w:t xml:space="preserve">Note: only main trial citations have been included in this table. </w:t>
      </w:r>
    </w:p>
    <w:p w14:paraId="4B225129" w14:textId="77777777" w:rsidR="00F07E75" w:rsidRPr="00917415" w:rsidRDefault="00C43895" w:rsidP="00516F35">
      <w:pPr>
        <w:pStyle w:val="3-BodyText"/>
      </w:pPr>
      <w:r w:rsidRPr="00917415">
        <w:t>The k</w:t>
      </w:r>
      <w:r w:rsidR="00F07E75" w:rsidRPr="00917415">
        <w:t xml:space="preserve">ey features of </w:t>
      </w:r>
      <w:r w:rsidRPr="00917415">
        <w:t xml:space="preserve">these </w:t>
      </w:r>
      <w:r w:rsidR="00F07E75" w:rsidRPr="00917415">
        <w:t xml:space="preserve">studies (including </w:t>
      </w:r>
      <w:r w:rsidR="008E6C6F" w:rsidRPr="00917415">
        <w:t xml:space="preserve">the </w:t>
      </w:r>
      <w:r w:rsidR="00F07E75" w:rsidRPr="00917415">
        <w:t>extra</w:t>
      </w:r>
      <w:r w:rsidR="00AF38D9" w:rsidRPr="00917415">
        <w:t xml:space="preserve"> </w:t>
      </w:r>
      <w:r w:rsidR="00F07E75" w:rsidRPr="00917415">
        <w:t>s</w:t>
      </w:r>
      <w:r w:rsidR="00AF38D9" w:rsidRPr="00917415">
        <w:t>tudies</w:t>
      </w:r>
      <w:r w:rsidR="00F07E75" w:rsidRPr="00917415">
        <w:t xml:space="preserve"> identified during the evaluation) are summarised in </w:t>
      </w:r>
      <w:r w:rsidR="00CD255E" w:rsidRPr="00917415">
        <w:t>the table below</w:t>
      </w:r>
      <w:r w:rsidR="00F07E75" w:rsidRPr="00917415">
        <w:t xml:space="preserve">. </w:t>
      </w:r>
      <w:r w:rsidR="00973EE2" w:rsidRPr="00917415">
        <w:t>S</w:t>
      </w:r>
      <w:r w:rsidR="00F07E75" w:rsidRPr="00917415">
        <w:t xml:space="preserve">tudies relied on by the submission in the modelled economic evaluation are highlighted in </w:t>
      </w:r>
      <w:r w:rsidR="00F07E75" w:rsidRPr="00917415">
        <w:rPr>
          <w:shd w:val="clear" w:color="auto" w:fill="F8ECEC"/>
        </w:rPr>
        <w:t xml:space="preserve">red </w:t>
      </w:r>
      <w:r w:rsidR="00F07E75" w:rsidRPr="00917415">
        <w:t xml:space="preserve">throughout </w:t>
      </w:r>
      <w:r w:rsidR="00603DEB" w:rsidRPr="00917415">
        <w:t xml:space="preserve">the clinical </w:t>
      </w:r>
      <w:r w:rsidR="00F07E75" w:rsidRPr="00917415">
        <w:t xml:space="preserve">data tables, whereas </w:t>
      </w:r>
      <w:r w:rsidR="00F07E75" w:rsidRPr="00917415">
        <w:rPr>
          <w:shd w:val="clear" w:color="auto" w:fill="EAF1DD" w:themeFill="accent3" w:themeFillTint="33"/>
        </w:rPr>
        <w:t>green</w:t>
      </w:r>
      <w:r w:rsidR="00F07E75" w:rsidRPr="00917415">
        <w:t xml:space="preserve"> highlight represents studies conducted in pre</w:t>
      </w:r>
      <w:r w:rsidR="005950FD" w:rsidRPr="00917415">
        <w:t>-</w:t>
      </w:r>
      <w:r w:rsidR="00F07E75" w:rsidRPr="00917415">
        <w:t>symptomatic patients</w:t>
      </w:r>
      <w:r w:rsidR="00531AEF" w:rsidRPr="00917415">
        <w:t xml:space="preserve">, otherwise the evidence base is in </w:t>
      </w:r>
      <w:r w:rsidR="000E29DB" w:rsidRPr="00917415">
        <w:t>symptomatic patients</w:t>
      </w:r>
      <w:r w:rsidR="00F07E75" w:rsidRPr="00917415">
        <w:t>.</w:t>
      </w:r>
    </w:p>
    <w:p w14:paraId="7E9073AC" w14:textId="77777777" w:rsidR="00A40C15" w:rsidRPr="00917415" w:rsidRDefault="00A40C15" w:rsidP="00CC18E5">
      <w:pPr>
        <w:pStyle w:val="TableFigureHeading"/>
      </w:pPr>
      <w:r w:rsidRPr="00917415">
        <w:lastRenderedPageBreak/>
        <w:t xml:space="preserve">Table </w:t>
      </w:r>
      <w:r w:rsidR="008625C6" w:rsidRPr="00917415">
        <w:t>4</w:t>
      </w:r>
      <w:r w:rsidRPr="00917415">
        <w:t>: Key features of the studies presented (including extras identified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4"/>
        <w:gridCol w:w="516"/>
        <w:gridCol w:w="1953"/>
        <w:gridCol w:w="516"/>
        <w:gridCol w:w="1871"/>
        <w:gridCol w:w="2199"/>
        <w:gridCol w:w="868"/>
      </w:tblGrid>
      <w:tr w:rsidR="003B22C1" w:rsidRPr="00CC18E5" w14:paraId="30984C3B" w14:textId="77777777" w:rsidTr="00CC18E5">
        <w:trPr>
          <w:cantSplit/>
          <w:tblHeader/>
        </w:trPr>
        <w:tc>
          <w:tcPr>
            <w:tcW w:w="613" w:type="pct"/>
            <w:shd w:val="clear" w:color="auto" w:fill="auto"/>
            <w:vAlign w:val="center"/>
          </w:tcPr>
          <w:p w14:paraId="06B28F44" w14:textId="77777777" w:rsidR="003B22C1" w:rsidRPr="00CC18E5" w:rsidRDefault="003B22C1" w:rsidP="00516F35">
            <w:pPr>
              <w:pStyle w:val="Tabletext"/>
              <w:keepNext/>
              <w:rPr>
                <w:b/>
                <w:szCs w:val="20"/>
              </w:rPr>
            </w:pPr>
            <w:r w:rsidRPr="00CC18E5">
              <w:rPr>
                <w:b/>
                <w:szCs w:val="20"/>
              </w:rPr>
              <w:t>Study</w:t>
            </w:r>
          </w:p>
        </w:tc>
        <w:tc>
          <w:tcPr>
            <w:tcW w:w="292" w:type="pct"/>
            <w:shd w:val="clear" w:color="auto" w:fill="auto"/>
            <w:vAlign w:val="center"/>
          </w:tcPr>
          <w:p w14:paraId="0B2EC7E6" w14:textId="77777777" w:rsidR="003B22C1" w:rsidRPr="00CC18E5" w:rsidRDefault="003B22C1" w:rsidP="00516F35">
            <w:pPr>
              <w:pStyle w:val="Tabletext"/>
              <w:keepNext/>
              <w:jc w:val="center"/>
              <w:rPr>
                <w:b/>
                <w:szCs w:val="20"/>
              </w:rPr>
            </w:pPr>
            <w:r w:rsidRPr="00CC18E5">
              <w:rPr>
                <w:b/>
                <w:szCs w:val="20"/>
              </w:rPr>
              <w:t>N</w:t>
            </w:r>
          </w:p>
        </w:tc>
        <w:tc>
          <w:tcPr>
            <w:tcW w:w="1089" w:type="pct"/>
            <w:shd w:val="clear" w:color="auto" w:fill="auto"/>
            <w:vAlign w:val="center"/>
          </w:tcPr>
          <w:p w14:paraId="1CB76BC5" w14:textId="77777777" w:rsidR="003B22C1" w:rsidRPr="00CC18E5" w:rsidRDefault="003B22C1" w:rsidP="00516F35">
            <w:pPr>
              <w:pStyle w:val="Tabletext"/>
              <w:keepNext/>
              <w:jc w:val="center"/>
              <w:rPr>
                <w:b/>
                <w:szCs w:val="20"/>
              </w:rPr>
            </w:pPr>
            <w:r w:rsidRPr="00CC18E5">
              <w:rPr>
                <w:b/>
                <w:szCs w:val="20"/>
              </w:rPr>
              <w:t>Design/ duration</w:t>
            </w:r>
          </w:p>
        </w:tc>
        <w:tc>
          <w:tcPr>
            <w:tcW w:w="292" w:type="pct"/>
            <w:shd w:val="clear" w:color="auto" w:fill="auto"/>
            <w:vAlign w:val="center"/>
          </w:tcPr>
          <w:p w14:paraId="43AE144C" w14:textId="77777777" w:rsidR="003B22C1" w:rsidRPr="00CC18E5" w:rsidRDefault="003B22C1" w:rsidP="00516F35">
            <w:pPr>
              <w:pStyle w:val="Tabletext"/>
              <w:keepNext/>
              <w:jc w:val="center"/>
              <w:rPr>
                <w:b/>
                <w:szCs w:val="20"/>
              </w:rPr>
            </w:pPr>
            <w:r w:rsidRPr="00CC18E5">
              <w:rPr>
                <w:b/>
                <w:szCs w:val="20"/>
              </w:rPr>
              <w:t>Risk of bias</w:t>
            </w:r>
          </w:p>
        </w:tc>
        <w:tc>
          <w:tcPr>
            <w:tcW w:w="1043" w:type="pct"/>
            <w:shd w:val="clear" w:color="auto" w:fill="auto"/>
            <w:vAlign w:val="center"/>
          </w:tcPr>
          <w:p w14:paraId="084D7623" w14:textId="77777777" w:rsidR="003B22C1" w:rsidRPr="00CC18E5" w:rsidRDefault="003B22C1" w:rsidP="00516F35">
            <w:pPr>
              <w:pStyle w:val="Tabletext"/>
              <w:keepNext/>
              <w:jc w:val="center"/>
              <w:rPr>
                <w:b/>
                <w:szCs w:val="20"/>
              </w:rPr>
            </w:pPr>
            <w:r w:rsidRPr="00CC18E5">
              <w:rPr>
                <w:b/>
                <w:szCs w:val="20"/>
              </w:rPr>
              <w:t>Patient population</w:t>
            </w:r>
          </w:p>
        </w:tc>
        <w:tc>
          <w:tcPr>
            <w:tcW w:w="1225" w:type="pct"/>
            <w:shd w:val="clear" w:color="auto" w:fill="auto"/>
            <w:vAlign w:val="center"/>
          </w:tcPr>
          <w:p w14:paraId="1EB9DDFB" w14:textId="77777777" w:rsidR="003B22C1" w:rsidRPr="00CC18E5" w:rsidRDefault="003B22C1" w:rsidP="00516F35">
            <w:pPr>
              <w:pStyle w:val="Tabletext"/>
              <w:keepNext/>
              <w:jc w:val="center"/>
              <w:rPr>
                <w:b/>
                <w:szCs w:val="20"/>
              </w:rPr>
            </w:pPr>
            <w:r w:rsidRPr="00CC18E5">
              <w:rPr>
                <w:b/>
                <w:szCs w:val="20"/>
              </w:rPr>
              <w:t>Outcomes*</w:t>
            </w:r>
          </w:p>
        </w:tc>
        <w:tc>
          <w:tcPr>
            <w:tcW w:w="446" w:type="pct"/>
            <w:shd w:val="clear" w:color="auto" w:fill="auto"/>
            <w:vAlign w:val="center"/>
          </w:tcPr>
          <w:p w14:paraId="5B85A1AD" w14:textId="77777777" w:rsidR="003B22C1" w:rsidRPr="00CC18E5" w:rsidRDefault="003B22C1" w:rsidP="00516F35">
            <w:pPr>
              <w:pStyle w:val="Tabletext"/>
              <w:keepNext/>
              <w:jc w:val="center"/>
              <w:rPr>
                <w:b/>
                <w:szCs w:val="20"/>
              </w:rPr>
            </w:pPr>
            <w:r w:rsidRPr="00CC18E5">
              <w:rPr>
                <w:b/>
                <w:szCs w:val="20"/>
              </w:rPr>
              <w:t>Use in modelled evaluation</w:t>
            </w:r>
          </w:p>
        </w:tc>
      </w:tr>
      <w:tr w:rsidR="003B22C1" w:rsidRPr="00CC18E5" w14:paraId="7305C998" w14:textId="77777777" w:rsidTr="00CC18E5">
        <w:trPr>
          <w:cantSplit/>
        </w:trPr>
        <w:tc>
          <w:tcPr>
            <w:tcW w:w="5000" w:type="pct"/>
            <w:gridSpan w:val="7"/>
            <w:shd w:val="clear" w:color="auto" w:fill="auto"/>
            <w:vAlign w:val="center"/>
          </w:tcPr>
          <w:p w14:paraId="5DB139DD" w14:textId="77777777" w:rsidR="003B22C1" w:rsidRPr="00CC18E5" w:rsidRDefault="003B22C1" w:rsidP="00516F35">
            <w:pPr>
              <w:pStyle w:val="Tabletext"/>
              <w:keepNext/>
              <w:rPr>
                <w:b/>
                <w:szCs w:val="20"/>
              </w:rPr>
            </w:pPr>
            <w:r w:rsidRPr="00CC18E5">
              <w:rPr>
                <w:b/>
                <w:szCs w:val="20"/>
              </w:rPr>
              <w:t>ONA</w:t>
            </w:r>
          </w:p>
        </w:tc>
      </w:tr>
      <w:tr w:rsidR="003B22C1" w:rsidRPr="00CC18E5" w14:paraId="6F71BBCD" w14:textId="77777777" w:rsidTr="00CC18E5">
        <w:trPr>
          <w:cantSplit/>
          <w:trHeight w:val="442"/>
        </w:trPr>
        <w:tc>
          <w:tcPr>
            <w:tcW w:w="613" w:type="pct"/>
            <w:shd w:val="clear" w:color="auto" w:fill="F8ECEC"/>
            <w:vAlign w:val="center"/>
          </w:tcPr>
          <w:p w14:paraId="4013C527" w14:textId="77777777" w:rsidR="003B22C1" w:rsidRPr="00CC18E5" w:rsidRDefault="003B22C1" w:rsidP="00516F35">
            <w:pPr>
              <w:pStyle w:val="Tabletext"/>
              <w:keepNext/>
              <w:rPr>
                <w:szCs w:val="20"/>
              </w:rPr>
            </w:pPr>
            <w:r w:rsidRPr="00CC18E5">
              <w:rPr>
                <w:szCs w:val="20"/>
              </w:rPr>
              <w:t>START</w:t>
            </w:r>
          </w:p>
        </w:tc>
        <w:tc>
          <w:tcPr>
            <w:tcW w:w="292" w:type="pct"/>
            <w:shd w:val="clear" w:color="auto" w:fill="F8ECEC"/>
            <w:vAlign w:val="center"/>
          </w:tcPr>
          <w:p w14:paraId="517F499A" w14:textId="77777777" w:rsidR="003B22C1" w:rsidRPr="00CC18E5" w:rsidRDefault="003B22C1" w:rsidP="00516F35">
            <w:pPr>
              <w:pStyle w:val="Tabletext"/>
              <w:keepNext/>
              <w:jc w:val="center"/>
              <w:rPr>
                <w:szCs w:val="20"/>
              </w:rPr>
            </w:pPr>
            <w:r w:rsidRPr="00CC18E5">
              <w:rPr>
                <w:szCs w:val="20"/>
              </w:rPr>
              <w:t>15</w:t>
            </w:r>
          </w:p>
        </w:tc>
        <w:tc>
          <w:tcPr>
            <w:tcW w:w="1089" w:type="pct"/>
            <w:shd w:val="clear" w:color="auto" w:fill="F8ECEC"/>
            <w:vAlign w:val="center"/>
          </w:tcPr>
          <w:p w14:paraId="1B376A05" w14:textId="77777777" w:rsidR="003B22C1" w:rsidRPr="00CC18E5" w:rsidRDefault="003B22C1" w:rsidP="00516F35">
            <w:pPr>
              <w:pStyle w:val="TableText0"/>
              <w:jc w:val="center"/>
              <w:rPr>
                <w:szCs w:val="20"/>
              </w:rPr>
            </w:pPr>
            <w:r w:rsidRPr="00CC18E5">
              <w:rPr>
                <w:szCs w:val="20"/>
              </w:rPr>
              <w:t>OL, NC, 2 years</w:t>
            </w:r>
          </w:p>
        </w:tc>
        <w:tc>
          <w:tcPr>
            <w:tcW w:w="292" w:type="pct"/>
            <w:shd w:val="clear" w:color="auto" w:fill="F8ECEC"/>
            <w:vAlign w:val="center"/>
          </w:tcPr>
          <w:p w14:paraId="37EB09D3" w14:textId="77777777"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14:paraId="4EE4AC7B" w14:textId="77777777" w:rsidR="003B22C1" w:rsidRPr="00CC18E5" w:rsidRDefault="003B22C1" w:rsidP="00516F35">
            <w:pPr>
              <w:pStyle w:val="Tabletext"/>
              <w:keepNext/>
              <w:jc w:val="center"/>
              <w:rPr>
                <w:szCs w:val="20"/>
              </w:rPr>
            </w:pPr>
            <w:r w:rsidRPr="00CC18E5">
              <w:rPr>
                <w:szCs w:val="20"/>
              </w:rPr>
              <w:t xml:space="preserve">Type I SMA; </w:t>
            </w:r>
          </w:p>
          <w:p w14:paraId="35B9D9CE" w14:textId="77777777"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14:paraId="35E575A0" w14:textId="77777777" w:rsidR="003B22C1" w:rsidRPr="00CC18E5" w:rsidRDefault="003B22C1" w:rsidP="00516F35">
            <w:pPr>
              <w:pStyle w:val="Tabletext"/>
              <w:keepNext/>
              <w:jc w:val="center"/>
              <w:rPr>
                <w:szCs w:val="20"/>
              </w:rPr>
            </w:pPr>
            <w:r w:rsidRPr="00CC18E5">
              <w:rPr>
                <w:szCs w:val="20"/>
              </w:rPr>
              <w:t>Safety*, EFS (≥16 hrs/day; ≥14 days), OS, Motor milestones (Bayley scale), CHOP INTEND</w:t>
            </w:r>
          </w:p>
        </w:tc>
        <w:tc>
          <w:tcPr>
            <w:tcW w:w="446" w:type="pct"/>
            <w:shd w:val="clear" w:color="auto" w:fill="F8ECEC"/>
            <w:vAlign w:val="center"/>
          </w:tcPr>
          <w:p w14:paraId="3EDE4109" w14:textId="77777777" w:rsidR="003B22C1" w:rsidRPr="00CC18E5" w:rsidRDefault="003B22C1" w:rsidP="00516F35">
            <w:pPr>
              <w:pStyle w:val="Tabletext"/>
              <w:keepNext/>
              <w:jc w:val="center"/>
              <w:rPr>
                <w:szCs w:val="20"/>
              </w:rPr>
            </w:pPr>
            <w:r w:rsidRPr="00CC18E5">
              <w:rPr>
                <w:szCs w:val="20"/>
              </w:rPr>
              <w:t>Yes</w:t>
            </w:r>
          </w:p>
        </w:tc>
      </w:tr>
      <w:tr w:rsidR="003B22C1" w:rsidRPr="00CC18E5" w14:paraId="032682C9" w14:textId="77777777" w:rsidTr="00CC18E5">
        <w:trPr>
          <w:cantSplit/>
        </w:trPr>
        <w:tc>
          <w:tcPr>
            <w:tcW w:w="613" w:type="pct"/>
            <w:shd w:val="clear" w:color="auto" w:fill="F8ECEC"/>
            <w:vAlign w:val="center"/>
          </w:tcPr>
          <w:p w14:paraId="793E96E3" w14:textId="77777777" w:rsidR="003B22C1" w:rsidRPr="00CC18E5" w:rsidRDefault="003B22C1" w:rsidP="00516F35">
            <w:pPr>
              <w:pStyle w:val="Tabletext"/>
              <w:keepNext/>
              <w:rPr>
                <w:szCs w:val="20"/>
              </w:rPr>
            </w:pPr>
            <w:r w:rsidRPr="00CC18E5">
              <w:rPr>
                <w:szCs w:val="20"/>
              </w:rPr>
              <w:t>START-LT^</w:t>
            </w:r>
          </w:p>
        </w:tc>
        <w:tc>
          <w:tcPr>
            <w:tcW w:w="292" w:type="pct"/>
            <w:shd w:val="clear" w:color="auto" w:fill="F8ECEC"/>
            <w:vAlign w:val="center"/>
          </w:tcPr>
          <w:p w14:paraId="712F8690" w14:textId="77777777" w:rsidR="003B22C1" w:rsidRPr="00CC18E5" w:rsidRDefault="003B22C1" w:rsidP="00516F35">
            <w:pPr>
              <w:pStyle w:val="Tabletext"/>
              <w:keepNext/>
              <w:jc w:val="center"/>
              <w:rPr>
                <w:szCs w:val="20"/>
              </w:rPr>
            </w:pPr>
            <w:r w:rsidRPr="00CC18E5">
              <w:rPr>
                <w:szCs w:val="20"/>
              </w:rPr>
              <w:t>15</w:t>
            </w:r>
            <w:r w:rsidRPr="00CC18E5">
              <w:rPr>
                <w:szCs w:val="20"/>
                <w:vertAlign w:val="superscript"/>
              </w:rPr>
              <w:t>b</w:t>
            </w:r>
          </w:p>
        </w:tc>
        <w:tc>
          <w:tcPr>
            <w:tcW w:w="1089" w:type="pct"/>
            <w:shd w:val="clear" w:color="auto" w:fill="F8ECEC"/>
            <w:vAlign w:val="center"/>
          </w:tcPr>
          <w:p w14:paraId="474A2525" w14:textId="77777777" w:rsidR="003B22C1" w:rsidRPr="00CC18E5" w:rsidRDefault="003B22C1" w:rsidP="00516F35">
            <w:pPr>
              <w:pStyle w:val="TableText0"/>
              <w:jc w:val="center"/>
              <w:rPr>
                <w:szCs w:val="20"/>
              </w:rPr>
            </w:pPr>
            <w:r w:rsidRPr="00CC18E5">
              <w:rPr>
                <w:szCs w:val="20"/>
              </w:rPr>
              <w:t xml:space="preserve">OL extension of START, NC, </w:t>
            </w:r>
          </w:p>
          <w:p w14:paraId="027FC666" w14:textId="77777777" w:rsidR="003B22C1" w:rsidRPr="00CC18E5" w:rsidRDefault="003B22C1" w:rsidP="00516F35">
            <w:pPr>
              <w:pStyle w:val="TableText0"/>
              <w:jc w:val="center"/>
              <w:rPr>
                <w:szCs w:val="20"/>
              </w:rPr>
            </w:pPr>
            <w:r w:rsidRPr="00CC18E5">
              <w:rPr>
                <w:szCs w:val="20"/>
              </w:rPr>
              <w:t>15 yrs planned (at Dec 2019 data cut, mean (range)</w:t>
            </w:r>
            <w:r w:rsidR="00AD6C22" w:rsidRPr="00CC18E5">
              <w:rPr>
                <w:szCs w:val="20"/>
              </w:rPr>
              <w:t>: age:</w:t>
            </w:r>
            <w:r w:rsidRPr="00CC18E5">
              <w:rPr>
                <w:szCs w:val="20"/>
              </w:rPr>
              <w:t xml:space="preserve"> 4.8 (4.3-5.6) years, time since treatment: 4.5 (4.1-5.2) years</w:t>
            </w:r>
          </w:p>
        </w:tc>
        <w:tc>
          <w:tcPr>
            <w:tcW w:w="292" w:type="pct"/>
            <w:shd w:val="clear" w:color="auto" w:fill="F8ECEC"/>
            <w:vAlign w:val="center"/>
          </w:tcPr>
          <w:p w14:paraId="7AEAF53E" w14:textId="77777777"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14:paraId="22CF4297" w14:textId="77777777" w:rsidR="003B22C1" w:rsidRPr="00CC18E5" w:rsidRDefault="003B22C1" w:rsidP="00516F35">
            <w:pPr>
              <w:pStyle w:val="Tabletext"/>
              <w:keepNext/>
              <w:jc w:val="center"/>
              <w:rPr>
                <w:szCs w:val="20"/>
              </w:rPr>
            </w:pPr>
            <w:r w:rsidRPr="00CC18E5">
              <w:rPr>
                <w:szCs w:val="20"/>
              </w:rPr>
              <w:t xml:space="preserve">Type I SMA; </w:t>
            </w:r>
          </w:p>
          <w:p w14:paraId="043A5707" w14:textId="77777777"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14:paraId="4D29558C" w14:textId="77777777" w:rsidR="003B22C1" w:rsidRPr="00CC18E5" w:rsidRDefault="003B22C1" w:rsidP="00516F35">
            <w:pPr>
              <w:pStyle w:val="Tabletext"/>
              <w:keepNext/>
              <w:jc w:val="center"/>
              <w:rPr>
                <w:szCs w:val="20"/>
              </w:rPr>
            </w:pPr>
            <w:r w:rsidRPr="00CC18E5">
              <w:rPr>
                <w:szCs w:val="20"/>
              </w:rPr>
              <w:t>EFS (≥16 hrs/day; ≥14 days); Motor milestones (Bayley scale)</w:t>
            </w:r>
          </w:p>
        </w:tc>
        <w:tc>
          <w:tcPr>
            <w:tcW w:w="446" w:type="pct"/>
            <w:shd w:val="clear" w:color="auto" w:fill="F8ECEC"/>
            <w:vAlign w:val="center"/>
          </w:tcPr>
          <w:p w14:paraId="45C3C9EE" w14:textId="77777777" w:rsidR="003B22C1" w:rsidRPr="00CC18E5" w:rsidRDefault="003B22C1" w:rsidP="00516F35">
            <w:pPr>
              <w:pStyle w:val="Tabletext"/>
              <w:keepNext/>
              <w:jc w:val="center"/>
              <w:rPr>
                <w:szCs w:val="20"/>
              </w:rPr>
            </w:pPr>
            <w:r w:rsidRPr="00CC18E5">
              <w:rPr>
                <w:szCs w:val="20"/>
              </w:rPr>
              <w:t>Yes</w:t>
            </w:r>
          </w:p>
        </w:tc>
      </w:tr>
      <w:tr w:rsidR="003B22C1" w:rsidRPr="00CC18E5" w14:paraId="071519C4" w14:textId="77777777" w:rsidTr="00CC18E5">
        <w:trPr>
          <w:cantSplit/>
        </w:trPr>
        <w:tc>
          <w:tcPr>
            <w:tcW w:w="613" w:type="pct"/>
            <w:shd w:val="clear" w:color="auto" w:fill="F8ECEC"/>
            <w:vAlign w:val="center"/>
          </w:tcPr>
          <w:p w14:paraId="77740BE5" w14:textId="77777777" w:rsidR="003B22C1" w:rsidRPr="00CC18E5" w:rsidRDefault="00BA689D" w:rsidP="00516F35">
            <w:pPr>
              <w:pStyle w:val="Tabletext"/>
              <w:keepNext/>
              <w:rPr>
                <w:szCs w:val="20"/>
              </w:rPr>
            </w:pPr>
            <w:r w:rsidRPr="00CC18E5">
              <w:rPr>
                <w:szCs w:val="20"/>
              </w:rPr>
              <w:t>STR1VE</w:t>
            </w:r>
            <w:r w:rsidR="003B22C1" w:rsidRPr="00CC18E5">
              <w:rPr>
                <w:szCs w:val="20"/>
              </w:rPr>
              <w:t>-US</w:t>
            </w:r>
          </w:p>
        </w:tc>
        <w:tc>
          <w:tcPr>
            <w:tcW w:w="292" w:type="pct"/>
            <w:shd w:val="clear" w:color="auto" w:fill="F8ECEC"/>
            <w:vAlign w:val="center"/>
          </w:tcPr>
          <w:p w14:paraId="39F936D9" w14:textId="77777777" w:rsidR="003B22C1" w:rsidRPr="00CC18E5" w:rsidRDefault="003B22C1" w:rsidP="00516F35">
            <w:pPr>
              <w:pStyle w:val="Tabletext"/>
              <w:keepNext/>
              <w:jc w:val="center"/>
              <w:rPr>
                <w:szCs w:val="20"/>
              </w:rPr>
            </w:pPr>
            <w:r w:rsidRPr="00CC18E5">
              <w:rPr>
                <w:szCs w:val="20"/>
              </w:rPr>
              <w:t>22</w:t>
            </w:r>
          </w:p>
        </w:tc>
        <w:tc>
          <w:tcPr>
            <w:tcW w:w="1089" w:type="pct"/>
            <w:shd w:val="clear" w:color="auto" w:fill="F8ECEC"/>
            <w:vAlign w:val="center"/>
          </w:tcPr>
          <w:p w14:paraId="28B9E78B" w14:textId="77777777" w:rsidR="003B22C1" w:rsidRPr="00CC18E5" w:rsidRDefault="003B22C1" w:rsidP="00516F35">
            <w:pPr>
              <w:pStyle w:val="TableText0"/>
              <w:jc w:val="center"/>
              <w:rPr>
                <w:szCs w:val="20"/>
              </w:rPr>
            </w:pPr>
            <w:r w:rsidRPr="00CC18E5">
              <w:rPr>
                <w:szCs w:val="20"/>
              </w:rPr>
              <w:t>OL, NC, up to 18 mths of age</w:t>
            </w:r>
          </w:p>
        </w:tc>
        <w:tc>
          <w:tcPr>
            <w:tcW w:w="292" w:type="pct"/>
            <w:shd w:val="clear" w:color="auto" w:fill="F8ECEC"/>
            <w:vAlign w:val="center"/>
          </w:tcPr>
          <w:p w14:paraId="7EF4889F" w14:textId="77777777"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F8ECEC"/>
            <w:vAlign w:val="center"/>
          </w:tcPr>
          <w:p w14:paraId="062A46C2" w14:textId="77777777" w:rsidR="003B22C1" w:rsidRPr="00CC18E5" w:rsidRDefault="003B22C1" w:rsidP="00516F35">
            <w:pPr>
              <w:pStyle w:val="Tabletext"/>
              <w:keepNext/>
              <w:jc w:val="center"/>
              <w:rPr>
                <w:szCs w:val="20"/>
              </w:rPr>
            </w:pPr>
            <w:r w:rsidRPr="00CC18E5">
              <w:rPr>
                <w:szCs w:val="20"/>
              </w:rPr>
              <w:t xml:space="preserve">Type I SMA; </w:t>
            </w:r>
          </w:p>
          <w:p w14:paraId="1EE931DB" w14:textId="77777777" w:rsidR="003B22C1" w:rsidRPr="00CC18E5" w:rsidRDefault="003B22C1" w:rsidP="00516F35">
            <w:pPr>
              <w:pStyle w:val="Tabletext"/>
              <w:keepNext/>
              <w:jc w:val="center"/>
              <w:rPr>
                <w:szCs w:val="20"/>
              </w:rPr>
            </w:pPr>
            <w:r w:rsidRPr="00CC18E5">
              <w:rPr>
                <w:szCs w:val="20"/>
              </w:rPr>
              <w:t xml:space="preserve">1 or 2 </w:t>
            </w:r>
            <w:r w:rsidR="004400AE" w:rsidRPr="00CC18E5">
              <w:rPr>
                <w:i/>
                <w:szCs w:val="20"/>
              </w:rPr>
              <w:t>SMN2</w:t>
            </w:r>
            <w:r w:rsidRPr="00CC18E5">
              <w:rPr>
                <w:szCs w:val="20"/>
              </w:rPr>
              <w:t xml:space="preserve"> copies</w:t>
            </w:r>
          </w:p>
        </w:tc>
        <w:tc>
          <w:tcPr>
            <w:tcW w:w="1225" w:type="pct"/>
            <w:shd w:val="clear" w:color="auto" w:fill="F8ECEC"/>
            <w:vAlign w:val="center"/>
          </w:tcPr>
          <w:p w14:paraId="732A6CEE" w14:textId="77777777" w:rsidR="003B22C1" w:rsidRPr="00CC18E5" w:rsidRDefault="003B22C1" w:rsidP="00516F35">
            <w:pPr>
              <w:pStyle w:val="Tabletext"/>
              <w:keepNext/>
              <w:jc w:val="center"/>
              <w:rPr>
                <w:szCs w:val="20"/>
              </w:rPr>
            </w:pPr>
            <w:r w:rsidRPr="00CC18E5">
              <w:rPr>
                <w:szCs w:val="20"/>
              </w:rPr>
              <w:t>EFS* (≥16 hrs/day; ≥14 days), OS, Motor milestones* (Bayley scale)</w:t>
            </w:r>
          </w:p>
        </w:tc>
        <w:tc>
          <w:tcPr>
            <w:tcW w:w="446" w:type="pct"/>
            <w:shd w:val="clear" w:color="auto" w:fill="F8ECEC"/>
            <w:vAlign w:val="center"/>
          </w:tcPr>
          <w:p w14:paraId="3DA1E684" w14:textId="77777777" w:rsidR="003B22C1" w:rsidRPr="00CC18E5" w:rsidRDefault="003B22C1" w:rsidP="00516F35">
            <w:pPr>
              <w:pStyle w:val="Tabletext"/>
              <w:keepNext/>
              <w:jc w:val="center"/>
              <w:rPr>
                <w:szCs w:val="20"/>
              </w:rPr>
            </w:pPr>
            <w:r w:rsidRPr="00CC18E5">
              <w:rPr>
                <w:szCs w:val="20"/>
              </w:rPr>
              <w:t>Yes</w:t>
            </w:r>
          </w:p>
        </w:tc>
      </w:tr>
      <w:tr w:rsidR="003B22C1" w:rsidRPr="00CC18E5" w14:paraId="59415E4B" w14:textId="77777777" w:rsidTr="00CC18E5">
        <w:trPr>
          <w:cantSplit/>
        </w:trPr>
        <w:tc>
          <w:tcPr>
            <w:tcW w:w="613" w:type="pct"/>
            <w:shd w:val="clear" w:color="auto" w:fill="auto"/>
            <w:vAlign w:val="center"/>
          </w:tcPr>
          <w:p w14:paraId="4F8A3670" w14:textId="77777777" w:rsidR="003B22C1" w:rsidRPr="00CC18E5" w:rsidRDefault="00BA689D" w:rsidP="00516F35">
            <w:pPr>
              <w:pStyle w:val="Tabletext"/>
              <w:keepNext/>
              <w:rPr>
                <w:szCs w:val="20"/>
              </w:rPr>
            </w:pPr>
            <w:r w:rsidRPr="00CC18E5">
              <w:rPr>
                <w:szCs w:val="20"/>
              </w:rPr>
              <w:t>STR1VE</w:t>
            </w:r>
            <w:r w:rsidR="003B22C1" w:rsidRPr="00CC18E5">
              <w:rPr>
                <w:szCs w:val="20"/>
              </w:rPr>
              <w:t>-EU^</w:t>
            </w:r>
          </w:p>
        </w:tc>
        <w:tc>
          <w:tcPr>
            <w:tcW w:w="292" w:type="pct"/>
            <w:shd w:val="clear" w:color="auto" w:fill="auto"/>
            <w:vAlign w:val="center"/>
          </w:tcPr>
          <w:p w14:paraId="04575669" w14:textId="77777777" w:rsidR="003B22C1" w:rsidRPr="00CC18E5" w:rsidRDefault="003B22C1" w:rsidP="00516F35">
            <w:pPr>
              <w:pStyle w:val="Tabletext"/>
              <w:keepNext/>
              <w:jc w:val="center"/>
              <w:rPr>
                <w:szCs w:val="20"/>
              </w:rPr>
            </w:pPr>
            <w:r w:rsidRPr="00CC18E5">
              <w:rPr>
                <w:szCs w:val="20"/>
              </w:rPr>
              <w:t>33</w:t>
            </w:r>
          </w:p>
        </w:tc>
        <w:tc>
          <w:tcPr>
            <w:tcW w:w="1089" w:type="pct"/>
            <w:shd w:val="clear" w:color="auto" w:fill="auto"/>
            <w:vAlign w:val="center"/>
          </w:tcPr>
          <w:p w14:paraId="259AA6F4" w14:textId="77777777" w:rsidR="00AD6C22" w:rsidRPr="00CC18E5" w:rsidRDefault="003B22C1" w:rsidP="00516F35">
            <w:pPr>
              <w:pStyle w:val="TableText0"/>
              <w:jc w:val="center"/>
              <w:rPr>
                <w:szCs w:val="20"/>
              </w:rPr>
            </w:pPr>
            <w:r w:rsidRPr="00CC18E5">
              <w:rPr>
                <w:szCs w:val="20"/>
              </w:rPr>
              <w:t>OL, NC, up to 18 months of age (Dec 2019 data cut: mean</w:t>
            </w:r>
            <w:r w:rsidR="00AD6C22" w:rsidRPr="00CC18E5">
              <w:rPr>
                <w:szCs w:val="20"/>
              </w:rPr>
              <w:t>(range)</w:t>
            </w:r>
            <w:r w:rsidRPr="00CC18E5">
              <w:rPr>
                <w:szCs w:val="20"/>
              </w:rPr>
              <w:t xml:space="preserve"> </w:t>
            </w:r>
            <w:r w:rsidR="00AD6C22" w:rsidRPr="00CC18E5">
              <w:rPr>
                <w:szCs w:val="20"/>
              </w:rPr>
              <w:t>follow up</w:t>
            </w:r>
            <w:r w:rsidRPr="00CC18E5">
              <w:rPr>
                <w:szCs w:val="20"/>
              </w:rPr>
              <w:t>:</w:t>
            </w:r>
          </w:p>
          <w:p w14:paraId="3903A9F2" w14:textId="77777777" w:rsidR="003B22C1" w:rsidRPr="00CC18E5" w:rsidRDefault="003B22C1" w:rsidP="00516F35">
            <w:pPr>
              <w:pStyle w:val="TableText0"/>
              <w:jc w:val="center"/>
              <w:rPr>
                <w:szCs w:val="20"/>
              </w:rPr>
            </w:pPr>
            <w:r w:rsidRPr="00CC18E5">
              <w:rPr>
                <w:szCs w:val="20"/>
              </w:rPr>
              <w:t>10.62 (1.8</w:t>
            </w:r>
            <w:r w:rsidR="00AD6C22" w:rsidRPr="00CC18E5">
              <w:rPr>
                <w:szCs w:val="20"/>
              </w:rPr>
              <w:t>-</w:t>
            </w:r>
            <w:r w:rsidRPr="00CC18E5">
              <w:rPr>
                <w:szCs w:val="20"/>
              </w:rPr>
              <w:t>15.4)</w:t>
            </w:r>
            <w:r w:rsidR="00AD6C22" w:rsidRPr="00CC18E5">
              <w:rPr>
                <w:szCs w:val="20"/>
              </w:rPr>
              <w:t xml:space="preserve"> mths</w:t>
            </w:r>
          </w:p>
        </w:tc>
        <w:tc>
          <w:tcPr>
            <w:tcW w:w="292" w:type="pct"/>
            <w:shd w:val="clear" w:color="auto" w:fill="auto"/>
            <w:vAlign w:val="center"/>
          </w:tcPr>
          <w:p w14:paraId="5C9B7171" w14:textId="77777777"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auto"/>
            <w:vAlign w:val="center"/>
          </w:tcPr>
          <w:p w14:paraId="525BF5A9" w14:textId="77777777" w:rsidR="003B22C1" w:rsidRPr="00CC18E5" w:rsidRDefault="003B22C1" w:rsidP="00516F35">
            <w:pPr>
              <w:pStyle w:val="Tabletext"/>
              <w:keepNext/>
              <w:jc w:val="center"/>
              <w:rPr>
                <w:szCs w:val="20"/>
              </w:rPr>
            </w:pPr>
            <w:r w:rsidRPr="00CC18E5">
              <w:rPr>
                <w:szCs w:val="20"/>
              </w:rPr>
              <w:t xml:space="preserve">Type I SMA; </w:t>
            </w:r>
          </w:p>
          <w:p w14:paraId="2CEC26AB" w14:textId="77777777" w:rsidR="003B22C1" w:rsidRPr="00CC18E5" w:rsidRDefault="003B22C1" w:rsidP="00516F35">
            <w:pPr>
              <w:pStyle w:val="Tabletext"/>
              <w:keepNext/>
              <w:jc w:val="center"/>
              <w:rPr>
                <w:szCs w:val="20"/>
              </w:rPr>
            </w:pPr>
            <w:r w:rsidRPr="00CC18E5">
              <w:rPr>
                <w:szCs w:val="20"/>
              </w:rPr>
              <w:t xml:space="preserve">1 or 2 </w:t>
            </w:r>
            <w:r w:rsidR="004400AE" w:rsidRPr="00CC18E5">
              <w:rPr>
                <w:i/>
                <w:szCs w:val="20"/>
              </w:rPr>
              <w:t>SMN2</w:t>
            </w:r>
            <w:r w:rsidRPr="00CC18E5">
              <w:rPr>
                <w:szCs w:val="20"/>
              </w:rPr>
              <w:t xml:space="preserve"> copies</w:t>
            </w:r>
          </w:p>
        </w:tc>
        <w:tc>
          <w:tcPr>
            <w:tcW w:w="1225" w:type="pct"/>
            <w:shd w:val="clear" w:color="auto" w:fill="auto"/>
            <w:vAlign w:val="center"/>
          </w:tcPr>
          <w:p w14:paraId="7A943287" w14:textId="77777777" w:rsidR="003B22C1" w:rsidRPr="00CC18E5" w:rsidRDefault="003B22C1" w:rsidP="00516F35">
            <w:pPr>
              <w:pStyle w:val="Tabletext"/>
              <w:keepNext/>
              <w:jc w:val="center"/>
              <w:rPr>
                <w:szCs w:val="20"/>
              </w:rPr>
            </w:pPr>
            <w:r w:rsidRPr="00CC18E5">
              <w:rPr>
                <w:szCs w:val="20"/>
              </w:rPr>
              <w:t>EFS (≥16 hrs/day; ≥14 days), OS Motor milestones* (WHO MGRS)</w:t>
            </w:r>
          </w:p>
        </w:tc>
        <w:tc>
          <w:tcPr>
            <w:tcW w:w="446" w:type="pct"/>
            <w:shd w:val="clear" w:color="auto" w:fill="auto"/>
            <w:vAlign w:val="center"/>
          </w:tcPr>
          <w:p w14:paraId="22635F07" w14:textId="77777777" w:rsidR="003B22C1" w:rsidRPr="00CC18E5" w:rsidRDefault="003B22C1" w:rsidP="00516F35">
            <w:pPr>
              <w:pStyle w:val="Tabletext"/>
              <w:keepNext/>
              <w:jc w:val="center"/>
              <w:rPr>
                <w:szCs w:val="20"/>
              </w:rPr>
            </w:pPr>
            <w:r w:rsidRPr="00CC18E5">
              <w:rPr>
                <w:szCs w:val="20"/>
              </w:rPr>
              <w:t>-</w:t>
            </w:r>
          </w:p>
        </w:tc>
      </w:tr>
      <w:tr w:rsidR="003B22C1" w:rsidRPr="00CC18E5" w14:paraId="4C37318F" w14:textId="77777777" w:rsidTr="00CC18E5">
        <w:trPr>
          <w:cantSplit/>
        </w:trPr>
        <w:tc>
          <w:tcPr>
            <w:tcW w:w="613" w:type="pct"/>
            <w:shd w:val="clear" w:color="auto" w:fill="EAF1DD" w:themeFill="accent3" w:themeFillTint="33"/>
            <w:vAlign w:val="center"/>
          </w:tcPr>
          <w:p w14:paraId="3BCB396A" w14:textId="77777777" w:rsidR="003B22C1" w:rsidRPr="00CC18E5" w:rsidRDefault="000D10D9" w:rsidP="00516F35">
            <w:pPr>
              <w:pStyle w:val="Tabletext"/>
              <w:keepNext/>
              <w:rPr>
                <w:szCs w:val="20"/>
                <w:vertAlign w:val="superscript"/>
              </w:rPr>
            </w:pPr>
            <w:r w:rsidRPr="00CC18E5">
              <w:rPr>
                <w:szCs w:val="20"/>
              </w:rPr>
              <w:t>SPR1NT</w:t>
            </w:r>
            <w:r w:rsidR="003B22C1" w:rsidRPr="00CC18E5">
              <w:rPr>
                <w:szCs w:val="20"/>
              </w:rPr>
              <w:t>^</w:t>
            </w:r>
          </w:p>
        </w:tc>
        <w:tc>
          <w:tcPr>
            <w:tcW w:w="292" w:type="pct"/>
            <w:shd w:val="clear" w:color="auto" w:fill="EAF1DD" w:themeFill="accent3" w:themeFillTint="33"/>
            <w:vAlign w:val="center"/>
          </w:tcPr>
          <w:p w14:paraId="7E666CFF" w14:textId="77777777" w:rsidR="003B22C1" w:rsidRPr="00CC18E5" w:rsidRDefault="003B22C1" w:rsidP="00516F35">
            <w:pPr>
              <w:pStyle w:val="Tabletext"/>
              <w:keepNext/>
              <w:jc w:val="center"/>
              <w:rPr>
                <w:szCs w:val="20"/>
              </w:rPr>
            </w:pPr>
            <w:r w:rsidRPr="00CC18E5">
              <w:rPr>
                <w:szCs w:val="20"/>
              </w:rPr>
              <w:t>29</w:t>
            </w:r>
          </w:p>
        </w:tc>
        <w:tc>
          <w:tcPr>
            <w:tcW w:w="1089" w:type="pct"/>
            <w:shd w:val="clear" w:color="auto" w:fill="EAF1DD" w:themeFill="accent3" w:themeFillTint="33"/>
            <w:vAlign w:val="center"/>
          </w:tcPr>
          <w:p w14:paraId="3A707C81" w14:textId="77777777" w:rsidR="003B22C1" w:rsidRPr="00CC18E5" w:rsidRDefault="003B22C1" w:rsidP="00516F35">
            <w:pPr>
              <w:pStyle w:val="TableText0"/>
              <w:jc w:val="center"/>
              <w:rPr>
                <w:szCs w:val="20"/>
              </w:rPr>
            </w:pPr>
            <w:r w:rsidRPr="00CC18E5">
              <w:rPr>
                <w:szCs w:val="20"/>
              </w:rPr>
              <w:t xml:space="preserve">OL, NC, up to 18 months of age (Dec 2019 data cut:  patient mean age: 11.2mth (2 </w:t>
            </w:r>
            <w:r w:rsidR="004400AE" w:rsidRPr="00CC18E5">
              <w:rPr>
                <w:i/>
                <w:szCs w:val="20"/>
              </w:rPr>
              <w:t>SMN2</w:t>
            </w:r>
            <w:r w:rsidRPr="00CC18E5">
              <w:rPr>
                <w:szCs w:val="20"/>
              </w:rPr>
              <w:t xml:space="preserve"> copies) 9.7mth (3 </w:t>
            </w:r>
            <w:r w:rsidR="004400AE" w:rsidRPr="00CC18E5">
              <w:rPr>
                <w:i/>
                <w:szCs w:val="20"/>
              </w:rPr>
              <w:t>SMN2</w:t>
            </w:r>
            <w:r w:rsidRPr="00CC18E5">
              <w:rPr>
                <w:szCs w:val="20"/>
              </w:rPr>
              <w:t xml:space="preserve"> copies)</w:t>
            </w:r>
          </w:p>
        </w:tc>
        <w:tc>
          <w:tcPr>
            <w:tcW w:w="292" w:type="pct"/>
            <w:shd w:val="clear" w:color="auto" w:fill="EAF1DD" w:themeFill="accent3" w:themeFillTint="33"/>
            <w:vAlign w:val="center"/>
          </w:tcPr>
          <w:p w14:paraId="08654319" w14:textId="77777777" w:rsidR="003B22C1" w:rsidRPr="00CC18E5" w:rsidRDefault="003B22C1" w:rsidP="00516F35">
            <w:pPr>
              <w:pStyle w:val="Tabletext"/>
              <w:keepNext/>
              <w:jc w:val="center"/>
              <w:rPr>
                <w:szCs w:val="20"/>
              </w:rPr>
            </w:pPr>
            <w:r w:rsidRPr="00CC18E5">
              <w:rPr>
                <w:szCs w:val="20"/>
              </w:rPr>
              <w:t>High</w:t>
            </w:r>
            <w:r w:rsidR="008A3883" w:rsidRPr="00CC18E5">
              <w:rPr>
                <w:szCs w:val="20"/>
                <w:vertAlign w:val="superscript"/>
              </w:rPr>
              <w:t>#</w:t>
            </w:r>
          </w:p>
        </w:tc>
        <w:tc>
          <w:tcPr>
            <w:tcW w:w="1043" w:type="pct"/>
            <w:shd w:val="clear" w:color="auto" w:fill="EAF1DD" w:themeFill="accent3" w:themeFillTint="33"/>
            <w:vAlign w:val="center"/>
          </w:tcPr>
          <w:p w14:paraId="2FCBCE94" w14:textId="77777777" w:rsidR="003B22C1" w:rsidRPr="00CC18E5" w:rsidRDefault="003B22C1" w:rsidP="00516F35">
            <w:pPr>
              <w:pStyle w:val="Tabletext"/>
              <w:keepNext/>
              <w:jc w:val="center"/>
              <w:rPr>
                <w:szCs w:val="20"/>
              </w:rPr>
            </w:pPr>
            <w:r w:rsidRPr="00CC18E5">
              <w:rPr>
                <w:szCs w:val="20"/>
              </w:rPr>
              <w:t xml:space="preserve">Age &lt;6 weeks </w:t>
            </w:r>
          </w:p>
          <w:p w14:paraId="38C0DBF5" w14:textId="77777777" w:rsidR="003B22C1" w:rsidRPr="00CC18E5" w:rsidRDefault="004400AE" w:rsidP="00516F35">
            <w:pPr>
              <w:pStyle w:val="Tabletext"/>
              <w:keepNext/>
              <w:jc w:val="center"/>
              <w:rPr>
                <w:szCs w:val="20"/>
              </w:rPr>
            </w:pPr>
            <w:r w:rsidRPr="00CC18E5">
              <w:rPr>
                <w:i/>
                <w:szCs w:val="20"/>
              </w:rPr>
              <w:t>SMN1</w:t>
            </w:r>
            <w:r w:rsidR="003B22C1" w:rsidRPr="00CC18E5">
              <w:rPr>
                <w:szCs w:val="20"/>
              </w:rPr>
              <w:t xml:space="preserve"> deletion/mutation</w:t>
            </w:r>
          </w:p>
          <w:p w14:paraId="59C317D3" w14:textId="77777777" w:rsidR="003B22C1" w:rsidRPr="00CC18E5" w:rsidRDefault="003B22C1" w:rsidP="00516F35">
            <w:pPr>
              <w:pStyle w:val="Tabletext"/>
              <w:keepNext/>
              <w:jc w:val="center"/>
              <w:rPr>
                <w:szCs w:val="20"/>
              </w:rPr>
            </w:pPr>
            <w:r w:rsidRPr="00CC18E5">
              <w:rPr>
                <w:szCs w:val="20"/>
              </w:rPr>
              <w:t xml:space="preserve">2 or 3 </w:t>
            </w:r>
            <w:r w:rsidR="004400AE" w:rsidRPr="00CC18E5">
              <w:rPr>
                <w:i/>
                <w:szCs w:val="20"/>
              </w:rPr>
              <w:t>SMN2</w:t>
            </w:r>
            <w:r w:rsidRPr="00CC18E5">
              <w:rPr>
                <w:szCs w:val="20"/>
              </w:rPr>
              <w:t xml:space="preserve"> copies</w:t>
            </w:r>
          </w:p>
          <w:p w14:paraId="2C75E0FB" w14:textId="77777777" w:rsidR="003B22C1" w:rsidRPr="00CC18E5" w:rsidRDefault="003B22C1" w:rsidP="00516F35">
            <w:pPr>
              <w:pStyle w:val="Tabletext"/>
              <w:keepNext/>
              <w:jc w:val="center"/>
              <w:rPr>
                <w:szCs w:val="20"/>
              </w:rPr>
            </w:pPr>
            <w:r w:rsidRPr="00CC18E5">
              <w:rPr>
                <w:szCs w:val="20"/>
              </w:rPr>
              <w:t>Pre</w:t>
            </w:r>
            <w:r w:rsidR="005950FD" w:rsidRPr="00CC18E5">
              <w:rPr>
                <w:szCs w:val="20"/>
              </w:rPr>
              <w:t>-</w:t>
            </w:r>
            <w:r w:rsidRPr="00CC18E5">
              <w:rPr>
                <w:szCs w:val="20"/>
              </w:rPr>
              <w:t>symptomatic</w:t>
            </w:r>
          </w:p>
        </w:tc>
        <w:tc>
          <w:tcPr>
            <w:tcW w:w="1225" w:type="pct"/>
            <w:shd w:val="clear" w:color="auto" w:fill="EAF1DD" w:themeFill="accent3" w:themeFillTint="33"/>
            <w:vAlign w:val="center"/>
          </w:tcPr>
          <w:p w14:paraId="4144C32B" w14:textId="77777777" w:rsidR="003B22C1" w:rsidRPr="00CC18E5" w:rsidRDefault="003B22C1" w:rsidP="00516F35">
            <w:pPr>
              <w:pStyle w:val="Tabletext"/>
              <w:keepNext/>
              <w:jc w:val="center"/>
              <w:rPr>
                <w:szCs w:val="20"/>
              </w:rPr>
            </w:pPr>
            <w:r w:rsidRPr="00CC18E5">
              <w:rPr>
                <w:szCs w:val="20"/>
              </w:rPr>
              <w:t>EFS</w:t>
            </w:r>
            <w:r w:rsidRPr="00CC18E5">
              <w:rPr>
                <w:szCs w:val="20"/>
                <w:vertAlign w:val="superscript"/>
              </w:rPr>
              <w:t>a</w:t>
            </w:r>
            <w:r w:rsidRPr="00CC18E5">
              <w:rPr>
                <w:szCs w:val="20"/>
              </w:rPr>
              <w:t>, OS, Motor milestones* (Bayley scale)</w:t>
            </w:r>
          </w:p>
        </w:tc>
        <w:tc>
          <w:tcPr>
            <w:tcW w:w="446" w:type="pct"/>
            <w:shd w:val="clear" w:color="auto" w:fill="EAF1DD" w:themeFill="accent3" w:themeFillTint="33"/>
            <w:vAlign w:val="center"/>
          </w:tcPr>
          <w:p w14:paraId="06001520" w14:textId="77777777" w:rsidR="003B22C1" w:rsidRPr="00CC18E5" w:rsidRDefault="003B22C1" w:rsidP="00516F35">
            <w:pPr>
              <w:pStyle w:val="Tabletext"/>
              <w:keepNext/>
              <w:jc w:val="center"/>
              <w:rPr>
                <w:szCs w:val="20"/>
              </w:rPr>
            </w:pPr>
            <w:r w:rsidRPr="00CC18E5">
              <w:rPr>
                <w:szCs w:val="20"/>
              </w:rPr>
              <w:t>-</w:t>
            </w:r>
          </w:p>
        </w:tc>
      </w:tr>
      <w:tr w:rsidR="003B22C1" w:rsidRPr="00CC18E5" w14:paraId="334C53D0" w14:textId="77777777" w:rsidTr="00CC18E5">
        <w:trPr>
          <w:cantSplit/>
        </w:trPr>
        <w:tc>
          <w:tcPr>
            <w:tcW w:w="5000" w:type="pct"/>
            <w:gridSpan w:val="7"/>
            <w:shd w:val="clear" w:color="auto" w:fill="auto"/>
            <w:vAlign w:val="center"/>
          </w:tcPr>
          <w:p w14:paraId="7C7518FB" w14:textId="77777777" w:rsidR="003B22C1" w:rsidRPr="00CC18E5" w:rsidRDefault="00EE09B5" w:rsidP="00516F35">
            <w:pPr>
              <w:pStyle w:val="Tabletext"/>
              <w:keepNext/>
              <w:rPr>
                <w:b/>
                <w:szCs w:val="20"/>
              </w:rPr>
            </w:pPr>
            <w:r w:rsidRPr="00CC18E5">
              <w:rPr>
                <w:b/>
                <w:szCs w:val="20"/>
              </w:rPr>
              <w:t>NUSI</w:t>
            </w:r>
          </w:p>
        </w:tc>
      </w:tr>
      <w:tr w:rsidR="003B22C1" w:rsidRPr="00CC18E5" w14:paraId="0D4CB394" w14:textId="77777777" w:rsidTr="00CC18E5">
        <w:trPr>
          <w:cantSplit/>
        </w:trPr>
        <w:tc>
          <w:tcPr>
            <w:tcW w:w="613" w:type="pct"/>
            <w:shd w:val="clear" w:color="auto" w:fill="F8ECEC"/>
            <w:vAlign w:val="center"/>
          </w:tcPr>
          <w:p w14:paraId="12382B81" w14:textId="77777777" w:rsidR="003B22C1" w:rsidRPr="00CC18E5" w:rsidRDefault="003B22C1" w:rsidP="00516F35">
            <w:pPr>
              <w:pStyle w:val="Tabletext"/>
              <w:keepNext/>
              <w:rPr>
                <w:szCs w:val="20"/>
              </w:rPr>
            </w:pPr>
            <w:r w:rsidRPr="00CC18E5">
              <w:rPr>
                <w:szCs w:val="20"/>
              </w:rPr>
              <w:t>ENDEAR</w:t>
            </w:r>
          </w:p>
        </w:tc>
        <w:tc>
          <w:tcPr>
            <w:tcW w:w="292" w:type="pct"/>
            <w:shd w:val="clear" w:color="auto" w:fill="F8ECEC"/>
            <w:vAlign w:val="center"/>
          </w:tcPr>
          <w:p w14:paraId="0FE9BEA5" w14:textId="77777777" w:rsidR="003B22C1" w:rsidRPr="00CC18E5" w:rsidRDefault="003B22C1" w:rsidP="00516F35">
            <w:pPr>
              <w:pStyle w:val="Tabletext"/>
              <w:keepNext/>
              <w:jc w:val="center"/>
              <w:rPr>
                <w:szCs w:val="20"/>
              </w:rPr>
            </w:pPr>
            <w:r w:rsidRPr="00CC18E5">
              <w:rPr>
                <w:szCs w:val="20"/>
              </w:rPr>
              <w:t>121</w:t>
            </w:r>
          </w:p>
        </w:tc>
        <w:tc>
          <w:tcPr>
            <w:tcW w:w="1089" w:type="pct"/>
            <w:shd w:val="clear" w:color="auto" w:fill="F8ECEC"/>
            <w:vAlign w:val="center"/>
          </w:tcPr>
          <w:p w14:paraId="15437E0F" w14:textId="77777777" w:rsidR="003B22C1" w:rsidRPr="00CC18E5" w:rsidRDefault="003B22C1" w:rsidP="00516F35">
            <w:pPr>
              <w:pStyle w:val="TableText0"/>
              <w:jc w:val="center"/>
              <w:rPr>
                <w:szCs w:val="20"/>
              </w:rPr>
            </w:pPr>
            <w:r w:rsidRPr="00CC18E5">
              <w:rPr>
                <w:szCs w:val="20"/>
              </w:rPr>
              <w:t>R, DB, MC</w:t>
            </w:r>
            <w:r w:rsidR="008A3883" w:rsidRPr="00CC18E5">
              <w:rPr>
                <w:szCs w:val="20"/>
              </w:rPr>
              <w:t xml:space="preserve">, </w:t>
            </w:r>
            <w:r w:rsidRPr="00CC18E5">
              <w:rPr>
                <w:szCs w:val="20"/>
              </w:rPr>
              <w:t>13 mths</w:t>
            </w:r>
          </w:p>
        </w:tc>
        <w:tc>
          <w:tcPr>
            <w:tcW w:w="292" w:type="pct"/>
            <w:shd w:val="clear" w:color="auto" w:fill="F8ECEC"/>
            <w:vAlign w:val="center"/>
          </w:tcPr>
          <w:p w14:paraId="5947CF2D" w14:textId="77777777" w:rsidR="003B22C1" w:rsidRPr="00CC18E5" w:rsidRDefault="003B22C1" w:rsidP="00516F35">
            <w:pPr>
              <w:pStyle w:val="Tabletext"/>
              <w:keepNext/>
              <w:jc w:val="center"/>
              <w:rPr>
                <w:szCs w:val="20"/>
              </w:rPr>
            </w:pPr>
            <w:r w:rsidRPr="00CC18E5">
              <w:rPr>
                <w:szCs w:val="20"/>
              </w:rPr>
              <w:t>Low</w:t>
            </w:r>
          </w:p>
        </w:tc>
        <w:tc>
          <w:tcPr>
            <w:tcW w:w="1043" w:type="pct"/>
            <w:shd w:val="clear" w:color="auto" w:fill="F8ECEC"/>
            <w:vAlign w:val="center"/>
          </w:tcPr>
          <w:p w14:paraId="32E3E75C" w14:textId="77777777" w:rsidR="003B22C1" w:rsidRPr="00CC18E5" w:rsidRDefault="003B22C1" w:rsidP="00516F35">
            <w:pPr>
              <w:pStyle w:val="Tabletext"/>
              <w:keepNext/>
              <w:jc w:val="center"/>
              <w:rPr>
                <w:szCs w:val="20"/>
              </w:rPr>
            </w:pPr>
            <w:r w:rsidRPr="00CC18E5">
              <w:rPr>
                <w:szCs w:val="20"/>
              </w:rPr>
              <w:t>Type I SMA;</w:t>
            </w:r>
          </w:p>
          <w:p w14:paraId="6C2F917B" w14:textId="77777777" w:rsidR="003B22C1" w:rsidRPr="00CC18E5" w:rsidRDefault="003B22C1" w:rsidP="00516F35">
            <w:pPr>
              <w:pStyle w:val="Tabletext"/>
              <w:keepNext/>
              <w:jc w:val="center"/>
              <w:rPr>
                <w:szCs w:val="20"/>
              </w:rPr>
            </w:pPr>
            <w:r w:rsidRPr="00CC18E5">
              <w:rPr>
                <w:szCs w:val="20"/>
              </w:rPr>
              <w:t xml:space="preserve">2 </w:t>
            </w:r>
            <w:r w:rsidR="004400AE" w:rsidRPr="00CC18E5">
              <w:rPr>
                <w:i/>
                <w:szCs w:val="20"/>
              </w:rPr>
              <w:t>SMN2</w:t>
            </w:r>
            <w:r w:rsidRPr="00CC18E5">
              <w:rPr>
                <w:szCs w:val="20"/>
              </w:rPr>
              <w:t xml:space="preserve"> copies</w:t>
            </w:r>
          </w:p>
        </w:tc>
        <w:tc>
          <w:tcPr>
            <w:tcW w:w="1225" w:type="pct"/>
            <w:shd w:val="clear" w:color="auto" w:fill="F8ECEC"/>
            <w:vAlign w:val="center"/>
          </w:tcPr>
          <w:p w14:paraId="77ED0C73" w14:textId="77777777" w:rsidR="003B22C1" w:rsidRPr="00CC18E5" w:rsidRDefault="003B22C1" w:rsidP="00516F35">
            <w:pPr>
              <w:pStyle w:val="Tabletext"/>
              <w:keepNext/>
              <w:jc w:val="center"/>
              <w:rPr>
                <w:szCs w:val="20"/>
              </w:rPr>
            </w:pPr>
            <w:r w:rsidRPr="00CC18E5">
              <w:rPr>
                <w:szCs w:val="20"/>
              </w:rPr>
              <w:t>EFS* (≥ 16 hrs/day, &gt; 21 days), OS, Motor milestones* (HINE)</w:t>
            </w:r>
          </w:p>
        </w:tc>
        <w:tc>
          <w:tcPr>
            <w:tcW w:w="446" w:type="pct"/>
            <w:shd w:val="clear" w:color="auto" w:fill="F8ECEC"/>
            <w:vAlign w:val="center"/>
          </w:tcPr>
          <w:p w14:paraId="5C037FDA" w14:textId="77777777" w:rsidR="003B22C1" w:rsidRPr="00CC18E5" w:rsidRDefault="003B22C1" w:rsidP="00516F35">
            <w:pPr>
              <w:pStyle w:val="Tabletext"/>
              <w:keepNext/>
              <w:jc w:val="center"/>
              <w:rPr>
                <w:szCs w:val="20"/>
              </w:rPr>
            </w:pPr>
            <w:r w:rsidRPr="00CC18E5">
              <w:rPr>
                <w:szCs w:val="20"/>
              </w:rPr>
              <w:t>Yes</w:t>
            </w:r>
          </w:p>
        </w:tc>
      </w:tr>
      <w:tr w:rsidR="003B22C1" w:rsidRPr="00CC18E5" w14:paraId="1B12A284" w14:textId="77777777" w:rsidTr="00CC18E5">
        <w:trPr>
          <w:cantSplit/>
        </w:trPr>
        <w:tc>
          <w:tcPr>
            <w:tcW w:w="613" w:type="pct"/>
            <w:shd w:val="clear" w:color="auto" w:fill="EAF1DD" w:themeFill="accent3" w:themeFillTint="33"/>
            <w:vAlign w:val="center"/>
          </w:tcPr>
          <w:p w14:paraId="5291DF06" w14:textId="77777777" w:rsidR="003B22C1" w:rsidRPr="00CC18E5" w:rsidRDefault="003B22C1" w:rsidP="00516F35">
            <w:pPr>
              <w:pStyle w:val="Tabletext"/>
              <w:keepNext/>
              <w:rPr>
                <w:szCs w:val="20"/>
                <w:vertAlign w:val="superscript"/>
              </w:rPr>
            </w:pPr>
            <w:r w:rsidRPr="00CC18E5">
              <w:rPr>
                <w:szCs w:val="20"/>
              </w:rPr>
              <w:t>NURTURE^</w:t>
            </w:r>
          </w:p>
        </w:tc>
        <w:tc>
          <w:tcPr>
            <w:tcW w:w="292" w:type="pct"/>
            <w:shd w:val="clear" w:color="auto" w:fill="EAF1DD" w:themeFill="accent3" w:themeFillTint="33"/>
            <w:vAlign w:val="center"/>
          </w:tcPr>
          <w:p w14:paraId="4125D41A" w14:textId="77777777" w:rsidR="003B22C1" w:rsidRPr="00CC18E5" w:rsidRDefault="003B22C1" w:rsidP="00516F35">
            <w:pPr>
              <w:pStyle w:val="Tabletext"/>
              <w:keepNext/>
              <w:jc w:val="center"/>
              <w:rPr>
                <w:szCs w:val="20"/>
              </w:rPr>
            </w:pPr>
            <w:r w:rsidRPr="00CC18E5">
              <w:rPr>
                <w:szCs w:val="20"/>
              </w:rPr>
              <w:t>25</w:t>
            </w:r>
          </w:p>
        </w:tc>
        <w:tc>
          <w:tcPr>
            <w:tcW w:w="1089" w:type="pct"/>
            <w:shd w:val="clear" w:color="auto" w:fill="EAF1DD" w:themeFill="accent3" w:themeFillTint="33"/>
            <w:vAlign w:val="center"/>
          </w:tcPr>
          <w:p w14:paraId="6346CB00" w14:textId="77777777" w:rsidR="003B22C1" w:rsidRPr="00CC18E5" w:rsidRDefault="003B22C1" w:rsidP="00516F35">
            <w:pPr>
              <w:pStyle w:val="Tabletext"/>
              <w:keepNext/>
              <w:jc w:val="center"/>
              <w:rPr>
                <w:szCs w:val="20"/>
              </w:rPr>
            </w:pPr>
            <w:r w:rsidRPr="00CC18E5">
              <w:rPr>
                <w:szCs w:val="20"/>
              </w:rPr>
              <w:t>OL, NC, 5 years planned (March 2019 data cut: infants at median age 34.8 mths)</w:t>
            </w:r>
          </w:p>
        </w:tc>
        <w:tc>
          <w:tcPr>
            <w:tcW w:w="292" w:type="pct"/>
            <w:shd w:val="clear" w:color="auto" w:fill="EAF1DD" w:themeFill="accent3" w:themeFillTint="33"/>
            <w:vAlign w:val="center"/>
          </w:tcPr>
          <w:p w14:paraId="2DE6ABDF" w14:textId="77777777" w:rsidR="003B22C1" w:rsidRPr="00CC18E5" w:rsidRDefault="003B22C1" w:rsidP="00516F35">
            <w:pPr>
              <w:pStyle w:val="Tabletext"/>
              <w:keepNext/>
              <w:jc w:val="center"/>
              <w:rPr>
                <w:szCs w:val="20"/>
              </w:rPr>
            </w:pPr>
            <w:r w:rsidRPr="00CC18E5">
              <w:rPr>
                <w:szCs w:val="20"/>
              </w:rPr>
              <w:t>High</w:t>
            </w:r>
            <w:r w:rsidRPr="00CC18E5">
              <w:rPr>
                <w:szCs w:val="20"/>
                <w:vertAlign w:val="superscript"/>
              </w:rPr>
              <w:t>#</w:t>
            </w:r>
          </w:p>
        </w:tc>
        <w:tc>
          <w:tcPr>
            <w:tcW w:w="1043" w:type="pct"/>
            <w:shd w:val="clear" w:color="auto" w:fill="EAF1DD" w:themeFill="accent3" w:themeFillTint="33"/>
            <w:vAlign w:val="center"/>
          </w:tcPr>
          <w:p w14:paraId="055C60EF" w14:textId="77777777" w:rsidR="003B22C1" w:rsidRPr="00CC18E5" w:rsidRDefault="003B22C1" w:rsidP="00516F35">
            <w:pPr>
              <w:pStyle w:val="Tabletext"/>
              <w:keepNext/>
              <w:jc w:val="center"/>
              <w:rPr>
                <w:szCs w:val="20"/>
              </w:rPr>
            </w:pPr>
            <w:r w:rsidRPr="00CC18E5">
              <w:rPr>
                <w:szCs w:val="20"/>
              </w:rPr>
              <w:t xml:space="preserve">Age &lt;6 weeks </w:t>
            </w:r>
          </w:p>
          <w:p w14:paraId="43FF58E9" w14:textId="77777777" w:rsidR="003B22C1" w:rsidRPr="00CC18E5" w:rsidRDefault="004400AE" w:rsidP="00516F35">
            <w:pPr>
              <w:pStyle w:val="Tabletext"/>
              <w:keepNext/>
              <w:jc w:val="center"/>
              <w:rPr>
                <w:szCs w:val="20"/>
              </w:rPr>
            </w:pPr>
            <w:r w:rsidRPr="00CC18E5">
              <w:rPr>
                <w:i/>
                <w:szCs w:val="20"/>
              </w:rPr>
              <w:t>SMN1</w:t>
            </w:r>
            <w:r w:rsidR="003B22C1" w:rsidRPr="00CC18E5">
              <w:rPr>
                <w:szCs w:val="20"/>
              </w:rPr>
              <w:t xml:space="preserve"> deletion/mutation</w:t>
            </w:r>
          </w:p>
          <w:p w14:paraId="3602C34E" w14:textId="77777777" w:rsidR="003B22C1" w:rsidRPr="00CC18E5" w:rsidRDefault="003B22C1" w:rsidP="00516F35">
            <w:pPr>
              <w:pStyle w:val="Tabletext"/>
              <w:keepNext/>
              <w:jc w:val="center"/>
              <w:rPr>
                <w:szCs w:val="20"/>
              </w:rPr>
            </w:pPr>
            <w:r w:rsidRPr="00CC18E5">
              <w:rPr>
                <w:szCs w:val="20"/>
              </w:rPr>
              <w:t xml:space="preserve">2 or 3 </w:t>
            </w:r>
            <w:r w:rsidR="004400AE" w:rsidRPr="00CC18E5">
              <w:rPr>
                <w:i/>
                <w:szCs w:val="20"/>
              </w:rPr>
              <w:t>SMN2</w:t>
            </w:r>
            <w:r w:rsidRPr="00CC18E5">
              <w:rPr>
                <w:szCs w:val="20"/>
              </w:rPr>
              <w:t xml:space="preserve"> copies</w:t>
            </w:r>
          </w:p>
          <w:p w14:paraId="230B46F4" w14:textId="77777777" w:rsidR="003B22C1" w:rsidRPr="00CC18E5" w:rsidRDefault="003B22C1" w:rsidP="00516F35">
            <w:pPr>
              <w:pStyle w:val="Tabletext"/>
              <w:keepNext/>
              <w:jc w:val="center"/>
              <w:rPr>
                <w:szCs w:val="20"/>
              </w:rPr>
            </w:pPr>
            <w:r w:rsidRPr="00CC18E5">
              <w:rPr>
                <w:szCs w:val="20"/>
              </w:rPr>
              <w:t>Pre</w:t>
            </w:r>
            <w:r w:rsidR="005950FD" w:rsidRPr="00CC18E5">
              <w:rPr>
                <w:szCs w:val="20"/>
              </w:rPr>
              <w:t>-</w:t>
            </w:r>
            <w:r w:rsidRPr="00CC18E5">
              <w:rPr>
                <w:szCs w:val="20"/>
              </w:rPr>
              <w:t>symptomatic</w:t>
            </w:r>
          </w:p>
        </w:tc>
        <w:tc>
          <w:tcPr>
            <w:tcW w:w="1225" w:type="pct"/>
            <w:shd w:val="clear" w:color="auto" w:fill="EAF1DD" w:themeFill="accent3" w:themeFillTint="33"/>
            <w:vAlign w:val="center"/>
          </w:tcPr>
          <w:p w14:paraId="02ADBA4A" w14:textId="77777777" w:rsidR="003B22C1" w:rsidRPr="00CC18E5" w:rsidRDefault="003B22C1" w:rsidP="00516F35">
            <w:pPr>
              <w:pStyle w:val="Tabletext"/>
              <w:keepNext/>
              <w:jc w:val="center"/>
              <w:rPr>
                <w:szCs w:val="20"/>
              </w:rPr>
            </w:pPr>
            <w:r w:rsidRPr="00CC18E5">
              <w:rPr>
                <w:szCs w:val="20"/>
              </w:rPr>
              <w:t>EFS* (≥6 hrs/day, ≥ 7 days; ≥ 16 hrs/day, &gt; 21 days), OS, Motor milestones (WHO, HINE), CHOP INTEND</w:t>
            </w:r>
          </w:p>
        </w:tc>
        <w:tc>
          <w:tcPr>
            <w:tcW w:w="446" w:type="pct"/>
            <w:shd w:val="clear" w:color="auto" w:fill="EAF1DD" w:themeFill="accent3" w:themeFillTint="33"/>
            <w:vAlign w:val="center"/>
          </w:tcPr>
          <w:p w14:paraId="5DD04C79" w14:textId="77777777" w:rsidR="003B22C1" w:rsidRPr="00CC18E5" w:rsidRDefault="003B22C1" w:rsidP="00516F35">
            <w:pPr>
              <w:pStyle w:val="Tabletext"/>
              <w:keepNext/>
              <w:jc w:val="center"/>
              <w:rPr>
                <w:szCs w:val="20"/>
              </w:rPr>
            </w:pPr>
            <w:r w:rsidRPr="00CC18E5">
              <w:rPr>
                <w:szCs w:val="20"/>
              </w:rPr>
              <w:t>-</w:t>
            </w:r>
          </w:p>
        </w:tc>
      </w:tr>
      <w:tr w:rsidR="003B22C1" w:rsidRPr="00CC18E5" w14:paraId="6A51D96E" w14:textId="77777777" w:rsidTr="00CC18E5">
        <w:trPr>
          <w:cantSplit/>
        </w:trPr>
        <w:tc>
          <w:tcPr>
            <w:tcW w:w="613" w:type="pct"/>
            <w:shd w:val="clear" w:color="auto" w:fill="F8ECEC"/>
            <w:vAlign w:val="center"/>
          </w:tcPr>
          <w:p w14:paraId="34F1634B" w14:textId="77777777" w:rsidR="003B22C1" w:rsidRPr="00CC18E5" w:rsidRDefault="003B22C1" w:rsidP="00516F35">
            <w:pPr>
              <w:pStyle w:val="Tabletext"/>
              <w:rPr>
                <w:szCs w:val="20"/>
              </w:rPr>
            </w:pPr>
            <w:r w:rsidRPr="00CC18E5">
              <w:rPr>
                <w:szCs w:val="20"/>
              </w:rPr>
              <w:t>SHINE/ ENDEAR^</w:t>
            </w:r>
          </w:p>
        </w:tc>
        <w:tc>
          <w:tcPr>
            <w:tcW w:w="292" w:type="pct"/>
            <w:shd w:val="clear" w:color="auto" w:fill="F8ECEC"/>
            <w:vAlign w:val="center"/>
          </w:tcPr>
          <w:p w14:paraId="2B7AF6B6" w14:textId="77777777" w:rsidR="003B22C1" w:rsidRPr="00CC18E5" w:rsidRDefault="003B22C1" w:rsidP="00516F35">
            <w:pPr>
              <w:pStyle w:val="Tabletext"/>
              <w:jc w:val="center"/>
              <w:rPr>
                <w:szCs w:val="20"/>
              </w:rPr>
            </w:pPr>
            <w:r w:rsidRPr="00CC18E5">
              <w:rPr>
                <w:szCs w:val="20"/>
              </w:rPr>
              <w:t>324</w:t>
            </w:r>
          </w:p>
        </w:tc>
        <w:tc>
          <w:tcPr>
            <w:tcW w:w="1089" w:type="pct"/>
            <w:shd w:val="clear" w:color="auto" w:fill="F8ECEC"/>
            <w:vAlign w:val="center"/>
          </w:tcPr>
          <w:p w14:paraId="27575C04" w14:textId="77777777" w:rsidR="003B22C1" w:rsidRPr="00CC18E5" w:rsidRDefault="003B22C1" w:rsidP="00516F35">
            <w:pPr>
              <w:pStyle w:val="Tabletext"/>
              <w:jc w:val="center"/>
              <w:rPr>
                <w:szCs w:val="20"/>
              </w:rPr>
            </w:pPr>
            <w:r w:rsidRPr="00CC18E5">
              <w:rPr>
                <w:szCs w:val="20"/>
              </w:rPr>
              <w:t>OL, NC, extension trial</w:t>
            </w:r>
          </w:p>
          <w:p w14:paraId="5D71CC42" w14:textId="77777777" w:rsidR="003B22C1" w:rsidRPr="00CC18E5" w:rsidRDefault="003B22C1" w:rsidP="00516F35">
            <w:pPr>
              <w:pStyle w:val="Tabletext"/>
              <w:jc w:val="center"/>
              <w:rPr>
                <w:szCs w:val="20"/>
              </w:rPr>
            </w:pPr>
            <w:r w:rsidRPr="00CC18E5">
              <w:rPr>
                <w:szCs w:val="20"/>
              </w:rPr>
              <w:t>Up to 5 years</w:t>
            </w:r>
          </w:p>
          <w:p w14:paraId="71B5F2C4" w14:textId="77777777" w:rsidR="003B22C1" w:rsidRPr="00CC18E5" w:rsidRDefault="003B22C1" w:rsidP="00516F35">
            <w:pPr>
              <w:pStyle w:val="Tabletext"/>
              <w:jc w:val="center"/>
              <w:rPr>
                <w:szCs w:val="20"/>
              </w:rPr>
            </w:pPr>
            <w:r w:rsidRPr="00CC18E5">
              <w:rPr>
                <w:szCs w:val="20"/>
              </w:rPr>
              <w:t>(latest data cut: 3.4</w:t>
            </w:r>
            <w:r w:rsidR="00AD6C22" w:rsidRPr="00CC18E5">
              <w:rPr>
                <w:szCs w:val="20"/>
              </w:rPr>
              <w:t xml:space="preserve"> </w:t>
            </w:r>
            <w:r w:rsidRPr="00CC18E5">
              <w:rPr>
                <w:szCs w:val="20"/>
              </w:rPr>
              <w:t>y</w:t>
            </w:r>
            <w:r w:rsidR="00AD6C22" w:rsidRPr="00CC18E5">
              <w:rPr>
                <w:szCs w:val="20"/>
              </w:rPr>
              <w:t>ears</w:t>
            </w:r>
            <w:r w:rsidRPr="00CC18E5">
              <w:rPr>
                <w:szCs w:val="20"/>
              </w:rPr>
              <w:t xml:space="preserve"> since 1</w:t>
            </w:r>
            <w:r w:rsidRPr="00CC18E5">
              <w:rPr>
                <w:szCs w:val="20"/>
                <w:vertAlign w:val="superscript"/>
              </w:rPr>
              <w:t>st</w:t>
            </w:r>
            <w:r w:rsidRPr="00CC18E5">
              <w:rPr>
                <w:szCs w:val="20"/>
              </w:rPr>
              <w:t xml:space="preserve"> dose in ENDEAR for </w:t>
            </w:r>
            <w:r w:rsidR="00EE09B5" w:rsidRPr="00CC18E5">
              <w:rPr>
                <w:szCs w:val="20"/>
              </w:rPr>
              <w:t>NUSI</w:t>
            </w:r>
            <w:r w:rsidRPr="00CC18E5">
              <w:rPr>
                <w:szCs w:val="20"/>
              </w:rPr>
              <w:t>)</w:t>
            </w:r>
          </w:p>
        </w:tc>
        <w:tc>
          <w:tcPr>
            <w:tcW w:w="292" w:type="pct"/>
            <w:shd w:val="clear" w:color="auto" w:fill="F8ECEC"/>
            <w:vAlign w:val="center"/>
          </w:tcPr>
          <w:p w14:paraId="6C2F2D88" w14:textId="77777777"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F8ECEC"/>
            <w:vAlign w:val="center"/>
          </w:tcPr>
          <w:p w14:paraId="68F29CA3" w14:textId="77777777" w:rsidR="003B22C1" w:rsidRPr="00CC18E5" w:rsidRDefault="003B22C1" w:rsidP="00516F35">
            <w:pPr>
              <w:pStyle w:val="Tabletext"/>
              <w:jc w:val="center"/>
              <w:rPr>
                <w:szCs w:val="20"/>
              </w:rPr>
            </w:pPr>
            <w:r w:rsidRPr="00CC18E5">
              <w:rPr>
                <w:szCs w:val="20"/>
              </w:rPr>
              <w:t>Type I (n=105) and Type II SMA patients from ENDEAR, CHERISH, CS3A or CS12, but only results for ENDEAR patients are reported in submission</w:t>
            </w:r>
          </w:p>
        </w:tc>
        <w:tc>
          <w:tcPr>
            <w:tcW w:w="1225" w:type="pct"/>
            <w:shd w:val="clear" w:color="auto" w:fill="F8ECEC"/>
            <w:vAlign w:val="center"/>
          </w:tcPr>
          <w:p w14:paraId="3E6FF826" w14:textId="77777777" w:rsidR="003B22C1" w:rsidRPr="00CC18E5" w:rsidRDefault="003B22C1" w:rsidP="00516F35">
            <w:pPr>
              <w:pStyle w:val="Tabletext"/>
              <w:jc w:val="center"/>
              <w:rPr>
                <w:szCs w:val="20"/>
              </w:rPr>
            </w:pPr>
            <w:r w:rsidRPr="00CC18E5">
              <w:rPr>
                <w:szCs w:val="20"/>
              </w:rPr>
              <w:t>EFS (≥16 hrs/day, &gt; 21 days), OS, CHOP INTEND, Motor milestones (HINE)</w:t>
            </w:r>
          </w:p>
        </w:tc>
        <w:tc>
          <w:tcPr>
            <w:tcW w:w="446" w:type="pct"/>
            <w:shd w:val="clear" w:color="auto" w:fill="F8ECEC"/>
            <w:vAlign w:val="center"/>
          </w:tcPr>
          <w:p w14:paraId="688FA8F6" w14:textId="77777777" w:rsidR="003B22C1" w:rsidRPr="00CC18E5" w:rsidRDefault="003B22C1" w:rsidP="00516F35">
            <w:pPr>
              <w:pStyle w:val="Tabletext"/>
              <w:jc w:val="center"/>
              <w:rPr>
                <w:szCs w:val="20"/>
              </w:rPr>
            </w:pPr>
            <w:r w:rsidRPr="00CC18E5">
              <w:rPr>
                <w:szCs w:val="20"/>
              </w:rPr>
              <w:t>Yes</w:t>
            </w:r>
          </w:p>
        </w:tc>
      </w:tr>
      <w:tr w:rsidR="003B22C1" w:rsidRPr="00CC18E5" w14:paraId="7837E9FE" w14:textId="77777777" w:rsidTr="00CC18E5">
        <w:trPr>
          <w:cantSplit/>
        </w:trPr>
        <w:tc>
          <w:tcPr>
            <w:tcW w:w="613" w:type="pct"/>
            <w:shd w:val="clear" w:color="auto" w:fill="auto"/>
            <w:vAlign w:val="center"/>
          </w:tcPr>
          <w:p w14:paraId="610F38A9" w14:textId="77777777" w:rsidR="003B22C1" w:rsidRPr="00CC18E5" w:rsidRDefault="003B22C1" w:rsidP="00516F35">
            <w:pPr>
              <w:pStyle w:val="Tabletext"/>
              <w:rPr>
                <w:szCs w:val="20"/>
              </w:rPr>
            </w:pPr>
            <w:r w:rsidRPr="00CC18E5">
              <w:rPr>
                <w:szCs w:val="20"/>
              </w:rPr>
              <w:t>EAP^</w:t>
            </w:r>
          </w:p>
        </w:tc>
        <w:tc>
          <w:tcPr>
            <w:tcW w:w="292" w:type="pct"/>
            <w:shd w:val="clear" w:color="auto" w:fill="auto"/>
            <w:vAlign w:val="center"/>
          </w:tcPr>
          <w:p w14:paraId="1FFD9439" w14:textId="77777777" w:rsidR="003B22C1" w:rsidRPr="00CC18E5" w:rsidRDefault="003B22C1" w:rsidP="00516F35">
            <w:pPr>
              <w:pStyle w:val="Tabletext"/>
              <w:jc w:val="center"/>
              <w:rPr>
                <w:szCs w:val="20"/>
              </w:rPr>
            </w:pPr>
            <w:r w:rsidRPr="00CC18E5">
              <w:rPr>
                <w:szCs w:val="20"/>
              </w:rPr>
              <w:t>32</w:t>
            </w:r>
          </w:p>
        </w:tc>
        <w:tc>
          <w:tcPr>
            <w:tcW w:w="1089" w:type="pct"/>
            <w:shd w:val="clear" w:color="auto" w:fill="auto"/>
            <w:vAlign w:val="center"/>
          </w:tcPr>
          <w:p w14:paraId="5E2C069A" w14:textId="77777777" w:rsidR="003B22C1" w:rsidRPr="00CC18E5" w:rsidRDefault="003B22C1" w:rsidP="00516F35">
            <w:pPr>
              <w:pStyle w:val="Tabletext"/>
              <w:jc w:val="center"/>
              <w:rPr>
                <w:szCs w:val="20"/>
              </w:rPr>
            </w:pPr>
            <w:r w:rsidRPr="00CC18E5">
              <w:rPr>
                <w:szCs w:val="20"/>
              </w:rPr>
              <w:t>OL, NC, followed for 6</w:t>
            </w:r>
            <w:r w:rsidR="008A3883" w:rsidRPr="00CC18E5">
              <w:rPr>
                <w:szCs w:val="20"/>
              </w:rPr>
              <w:t xml:space="preserve"> </w:t>
            </w:r>
            <w:r w:rsidRPr="00CC18E5">
              <w:rPr>
                <w:szCs w:val="20"/>
              </w:rPr>
              <w:t xml:space="preserve">mth at </w:t>
            </w:r>
            <w:r w:rsidR="008A3883" w:rsidRPr="00CC18E5">
              <w:rPr>
                <w:szCs w:val="20"/>
              </w:rPr>
              <w:t xml:space="preserve">last </w:t>
            </w:r>
            <w:r w:rsidRPr="00CC18E5">
              <w:rPr>
                <w:szCs w:val="20"/>
              </w:rPr>
              <w:t>data cut</w:t>
            </w:r>
          </w:p>
        </w:tc>
        <w:tc>
          <w:tcPr>
            <w:tcW w:w="292" w:type="pct"/>
            <w:shd w:val="clear" w:color="auto" w:fill="auto"/>
            <w:vAlign w:val="center"/>
          </w:tcPr>
          <w:p w14:paraId="5A062F1D" w14:textId="77777777"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auto"/>
            <w:vAlign w:val="center"/>
          </w:tcPr>
          <w:p w14:paraId="3A4A5E53" w14:textId="77777777" w:rsidR="003B22C1" w:rsidRPr="00CC18E5" w:rsidRDefault="003B22C1" w:rsidP="00516F35">
            <w:pPr>
              <w:pStyle w:val="Tabletext"/>
              <w:jc w:val="center"/>
              <w:rPr>
                <w:szCs w:val="20"/>
              </w:rPr>
            </w:pPr>
            <w:r w:rsidRPr="00CC18E5">
              <w:rPr>
                <w:szCs w:val="20"/>
              </w:rPr>
              <w:t>Type I SMA</w:t>
            </w:r>
          </w:p>
        </w:tc>
        <w:tc>
          <w:tcPr>
            <w:tcW w:w="1225" w:type="pct"/>
            <w:shd w:val="clear" w:color="auto" w:fill="auto"/>
            <w:vAlign w:val="center"/>
          </w:tcPr>
          <w:p w14:paraId="52117A7B" w14:textId="77777777" w:rsidR="003B22C1" w:rsidRPr="00CC18E5" w:rsidRDefault="003B22C1" w:rsidP="00516F35">
            <w:pPr>
              <w:pStyle w:val="Tabletext"/>
              <w:jc w:val="center"/>
              <w:rPr>
                <w:szCs w:val="20"/>
              </w:rPr>
            </w:pPr>
            <w:r w:rsidRPr="00CC18E5">
              <w:rPr>
                <w:szCs w:val="20"/>
              </w:rPr>
              <w:t>Motor milestones (HINE), CHOP INTEND</w:t>
            </w:r>
          </w:p>
        </w:tc>
        <w:tc>
          <w:tcPr>
            <w:tcW w:w="446" w:type="pct"/>
            <w:shd w:val="clear" w:color="auto" w:fill="auto"/>
            <w:vAlign w:val="center"/>
          </w:tcPr>
          <w:p w14:paraId="0394A2D8" w14:textId="77777777" w:rsidR="003B22C1" w:rsidRPr="00CC18E5" w:rsidRDefault="003B22C1" w:rsidP="00516F35">
            <w:pPr>
              <w:pStyle w:val="Tabletext"/>
              <w:jc w:val="center"/>
              <w:rPr>
                <w:szCs w:val="20"/>
              </w:rPr>
            </w:pPr>
            <w:r w:rsidRPr="00CC18E5">
              <w:rPr>
                <w:szCs w:val="20"/>
              </w:rPr>
              <w:t>-</w:t>
            </w:r>
          </w:p>
        </w:tc>
      </w:tr>
      <w:tr w:rsidR="003B22C1" w:rsidRPr="00CC18E5" w14:paraId="13FD00E1" w14:textId="77777777" w:rsidTr="00CC18E5">
        <w:trPr>
          <w:cantSplit/>
        </w:trPr>
        <w:tc>
          <w:tcPr>
            <w:tcW w:w="613" w:type="pct"/>
            <w:shd w:val="clear" w:color="auto" w:fill="auto"/>
            <w:vAlign w:val="center"/>
          </w:tcPr>
          <w:p w14:paraId="1418B7F4" w14:textId="77777777" w:rsidR="003B22C1" w:rsidRPr="00CC18E5" w:rsidRDefault="003B22C1" w:rsidP="00516F35">
            <w:pPr>
              <w:pStyle w:val="Tabletext"/>
              <w:rPr>
                <w:szCs w:val="20"/>
              </w:rPr>
            </w:pPr>
            <w:r w:rsidRPr="00CC18E5">
              <w:rPr>
                <w:szCs w:val="20"/>
              </w:rPr>
              <w:t>EAP AU^</w:t>
            </w:r>
          </w:p>
        </w:tc>
        <w:tc>
          <w:tcPr>
            <w:tcW w:w="292" w:type="pct"/>
            <w:shd w:val="clear" w:color="auto" w:fill="auto"/>
            <w:vAlign w:val="center"/>
          </w:tcPr>
          <w:p w14:paraId="1355B6BA" w14:textId="77777777" w:rsidR="003B22C1" w:rsidRPr="00CC18E5" w:rsidRDefault="003B22C1" w:rsidP="00516F35">
            <w:pPr>
              <w:pStyle w:val="Tabletext"/>
              <w:jc w:val="center"/>
              <w:rPr>
                <w:szCs w:val="20"/>
              </w:rPr>
            </w:pPr>
            <w:r w:rsidRPr="00CC18E5">
              <w:rPr>
                <w:szCs w:val="20"/>
              </w:rPr>
              <w:t>16</w:t>
            </w:r>
          </w:p>
        </w:tc>
        <w:tc>
          <w:tcPr>
            <w:tcW w:w="1089" w:type="pct"/>
            <w:shd w:val="clear" w:color="auto" w:fill="auto"/>
            <w:vAlign w:val="center"/>
          </w:tcPr>
          <w:p w14:paraId="5A4FC20E" w14:textId="77777777" w:rsidR="003B22C1" w:rsidRPr="00CC18E5" w:rsidRDefault="003B22C1" w:rsidP="00516F35">
            <w:pPr>
              <w:pStyle w:val="Tabletext"/>
              <w:jc w:val="center"/>
              <w:rPr>
                <w:szCs w:val="20"/>
              </w:rPr>
            </w:pPr>
            <w:r w:rsidRPr="00CC18E5">
              <w:rPr>
                <w:szCs w:val="20"/>
              </w:rPr>
              <w:t xml:space="preserve">OL, NC, followed for 5.1mths at </w:t>
            </w:r>
            <w:r w:rsidR="008A3883" w:rsidRPr="00CC18E5">
              <w:rPr>
                <w:szCs w:val="20"/>
              </w:rPr>
              <w:t xml:space="preserve">last </w:t>
            </w:r>
            <w:r w:rsidRPr="00CC18E5">
              <w:rPr>
                <w:szCs w:val="20"/>
              </w:rPr>
              <w:t>data cut.</w:t>
            </w:r>
          </w:p>
        </w:tc>
        <w:tc>
          <w:tcPr>
            <w:tcW w:w="292" w:type="pct"/>
            <w:shd w:val="clear" w:color="auto" w:fill="auto"/>
            <w:vAlign w:val="center"/>
          </w:tcPr>
          <w:p w14:paraId="40D46DAD" w14:textId="77777777" w:rsidR="003B22C1" w:rsidRPr="00CC18E5" w:rsidRDefault="003B22C1" w:rsidP="00516F35">
            <w:pPr>
              <w:pStyle w:val="Tabletext"/>
              <w:jc w:val="center"/>
              <w:rPr>
                <w:szCs w:val="20"/>
              </w:rPr>
            </w:pPr>
            <w:r w:rsidRPr="00CC18E5">
              <w:rPr>
                <w:szCs w:val="20"/>
              </w:rPr>
              <w:t>High</w:t>
            </w:r>
            <w:r w:rsidRPr="00CC18E5">
              <w:rPr>
                <w:szCs w:val="20"/>
                <w:vertAlign w:val="superscript"/>
              </w:rPr>
              <w:t>#</w:t>
            </w:r>
          </w:p>
        </w:tc>
        <w:tc>
          <w:tcPr>
            <w:tcW w:w="1043" w:type="pct"/>
            <w:shd w:val="clear" w:color="auto" w:fill="auto"/>
            <w:vAlign w:val="center"/>
          </w:tcPr>
          <w:p w14:paraId="3080507A" w14:textId="77777777" w:rsidR="003B22C1" w:rsidRPr="00CC18E5" w:rsidRDefault="003B22C1" w:rsidP="00516F35">
            <w:pPr>
              <w:pStyle w:val="Tabletext"/>
              <w:jc w:val="center"/>
              <w:rPr>
                <w:szCs w:val="20"/>
              </w:rPr>
            </w:pPr>
            <w:r w:rsidRPr="00CC18E5">
              <w:rPr>
                <w:szCs w:val="20"/>
              </w:rPr>
              <w:t>Type I SMA</w:t>
            </w:r>
          </w:p>
        </w:tc>
        <w:tc>
          <w:tcPr>
            <w:tcW w:w="1225" w:type="pct"/>
            <w:shd w:val="clear" w:color="auto" w:fill="auto"/>
            <w:vAlign w:val="center"/>
          </w:tcPr>
          <w:p w14:paraId="459C2EDD" w14:textId="77777777" w:rsidR="003B22C1" w:rsidRPr="00CC18E5" w:rsidRDefault="003B22C1" w:rsidP="00516F35">
            <w:pPr>
              <w:pStyle w:val="Tabletext"/>
              <w:jc w:val="center"/>
              <w:rPr>
                <w:szCs w:val="20"/>
              </w:rPr>
            </w:pPr>
            <w:r w:rsidRPr="00CC18E5">
              <w:rPr>
                <w:szCs w:val="20"/>
              </w:rPr>
              <w:t>EFS (&gt;16 hrs/day), OS</w:t>
            </w:r>
          </w:p>
        </w:tc>
        <w:tc>
          <w:tcPr>
            <w:tcW w:w="446" w:type="pct"/>
            <w:shd w:val="clear" w:color="auto" w:fill="auto"/>
            <w:vAlign w:val="center"/>
          </w:tcPr>
          <w:p w14:paraId="13BEA642" w14:textId="77777777" w:rsidR="003B22C1" w:rsidRPr="00CC18E5" w:rsidRDefault="003B22C1" w:rsidP="00516F35">
            <w:pPr>
              <w:pStyle w:val="Tabletext"/>
              <w:jc w:val="center"/>
              <w:rPr>
                <w:szCs w:val="20"/>
              </w:rPr>
            </w:pPr>
            <w:r w:rsidRPr="00CC18E5">
              <w:rPr>
                <w:szCs w:val="20"/>
              </w:rPr>
              <w:t>-</w:t>
            </w:r>
          </w:p>
        </w:tc>
      </w:tr>
      <w:tr w:rsidR="003B22C1" w:rsidRPr="00CC18E5" w14:paraId="3E85090D" w14:textId="77777777" w:rsidTr="00CC18E5">
        <w:trPr>
          <w:cantSplit/>
        </w:trPr>
        <w:tc>
          <w:tcPr>
            <w:tcW w:w="613" w:type="pct"/>
            <w:shd w:val="clear" w:color="auto" w:fill="auto"/>
            <w:vAlign w:val="center"/>
          </w:tcPr>
          <w:p w14:paraId="6C17757A" w14:textId="77777777" w:rsidR="003B22C1" w:rsidRPr="00CC18E5" w:rsidRDefault="003B22C1" w:rsidP="00516F35">
            <w:pPr>
              <w:pStyle w:val="Tabletext"/>
              <w:rPr>
                <w:i/>
                <w:szCs w:val="20"/>
              </w:rPr>
            </w:pPr>
            <w:r w:rsidRPr="00CC18E5">
              <w:rPr>
                <w:i/>
                <w:szCs w:val="20"/>
              </w:rPr>
              <w:t>CS3A^</w:t>
            </w:r>
          </w:p>
        </w:tc>
        <w:tc>
          <w:tcPr>
            <w:tcW w:w="292" w:type="pct"/>
            <w:shd w:val="clear" w:color="auto" w:fill="auto"/>
            <w:vAlign w:val="center"/>
          </w:tcPr>
          <w:p w14:paraId="5B02BCEF" w14:textId="77777777" w:rsidR="003B22C1" w:rsidRPr="00CC18E5" w:rsidRDefault="003B22C1" w:rsidP="00516F35">
            <w:pPr>
              <w:pStyle w:val="Tabletext"/>
              <w:jc w:val="center"/>
              <w:rPr>
                <w:i/>
                <w:szCs w:val="20"/>
              </w:rPr>
            </w:pPr>
            <w:r w:rsidRPr="00CC18E5">
              <w:rPr>
                <w:i/>
                <w:szCs w:val="20"/>
              </w:rPr>
              <w:t>20</w:t>
            </w:r>
          </w:p>
        </w:tc>
        <w:tc>
          <w:tcPr>
            <w:tcW w:w="1089" w:type="pct"/>
            <w:shd w:val="clear" w:color="auto" w:fill="auto"/>
            <w:vAlign w:val="center"/>
          </w:tcPr>
          <w:p w14:paraId="13170128" w14:textId="77777777" w:rsidR="003B22C1" w:rsidRPr="00CC18E5" w:rsidRDefault="003B22C1" w:rsidP="00516F35">
            <w:pPr>
              <w:pStyle w:val="Tabletext"/>
              <w:jc w:val="center"/>
              <w:rPr>
                <w:i/>
                <w:szCs w:val="20"/>
              </w:rPr>
            </w:pPr>
            <w:r w:rsidRPr="00CC18E5">
              <w:rPr>
                <w:i/>
                <w:szCs w:val="20"/>
              </w:rPr>
              <w:t>OL, NC, 32 mths</w:t>
            </w:r>
          </w:p>
        </w:tc>
        <w:tc>
          <w:tcPr>
            <w:tcW w:w="292" w:type="pct"/>
            <w:shd w:val="clear" w:color="auto" w:fill="auto"/>
            <w:vAlign w:val="center"/>
          </w:tcPr>
          <w:p w14:paraId="74941752" w14:textId="77777777" w:rsidR="003B22C1" w:rsidRPr="00CC18E5" w:rsidRDefault="003B22C1" w:rsidP="00516F35">
            <w:pPr>
              <w:pStyle w:val="Tabletext"/>
              <w:jc w:val="center"/>
              <w:rPr>
                <w:i/>
                <w:szCs w:val="20"/>
                <w:vertAlign w:val="superscript"/>
              </w:rPr>
            </w:pPr>
            <w:r w:rsidRPr="00CC18E5">
              <w:rPr>
                <w:i/>
                <w:szCs w:val="20"/>
              </w:rPr>
              <w:t>High</w:t>
            </w:r>
            <w:r w:rsidRPr="00CC18E5">
              <w:rPr>
                <w:i/>
                <w:szCs w:val="20"/>
                <w:vertAlign w:val="superscript"/>
              </w:rPr>
              <w:t>#</w:t>
            </w:r>
          </w:p>
        </w:tc>
        <w:tc>
          <w:tcPr>
            <w:tcW w:w="1043" w:type="pct"/>
            <w:shd w:val="clear" w:color="auto" w:fill="auto"/>
            <w:vAlign w:val="center"/>
          </w:tcPr>
          <w:p w14:paraId="704FA30A" w14:textId="77777777" w:rsidR="003B22C1" w:rsidRPr="00CC18E5" w:rsidRDefault="003B22C1" w:rsidP="00516F35">
            <w:pPr>
              <w:pStyle w:val="Tabletext"/>
              <w:jc w:val="center"/>
              <w:rPr>
                <w:i/>
                <w:szCs w:val="20"/>
              </w:rPr>
            </w:pPr>
            <w:r w:rsidRPr="00CC18E5">
              <w:rPr>
                <w:i/>
                <w:szCs w:val="20"/>
              </w:rPr>
              <w:t>Type I SMA</w:t>
            </w:r>
          </w:p>
        </w:tc>
        <w:tc>
          <w:tcPr>
            <w:tcW w:w="1225" w:type="pct"/>
            <w:shd w:val="clear" w:color="auto" w:fill="auto"/>
            <w:vAlign w:val="center"/>
          </w:tcPr>
          <w:p w14:paraId="3A2EB962" w14:textId="77777777" w:rsidR="003B22C1" w:rsidRPr="00CC18E5" w:rsidRDefault="003B22C1" w:rsidP="00516F35">
            <w:pPr>
              <w:pStyle w:val="Tabletext"/>
              <w:jc w:val="center"/>
              <w:rPr>
                <w:i/>
                <w:szCs w:val="20"/>
              </w:rPr>
            </w:pPr>
            <w:r w:rsidRPr="00CC18E5">
              <w:rPr>
                <w:i/>
                <w:szCs w:val="20"/>
              </w:rPr>
              <w:t>Motor milestones (HINE), CHOP INTEND, EFS (≥16 hrs/day. ≥ 14 days), OS</w:t>
            </w:r>
          </w:p>
        </w:tc>
        <w:tc>
          <w:tcPr>
            <w:tcW w:w="446" w:type="pct"/>
            <w:shd w:val="clear" w:color="auto" w:fill="auto"/>
            <w:vAlign w:val="center"/>
          </w:tcPr>
          <w:p w14:paraId="2D8ABD18" w14:textId="77777777" w:rsidR="003B22C1" w:rsidRPr="00CC18E5" w:rsidRDefault="003B22C1" w:rsidP="00516F35">
            <w:pPr>
              <w:pStyle w:val="Tabletext"/>
              <w:jc w:val="center"/>
              <w:rPr>
                <w:i/>
                <w:szCs w:val="20"/>
              </w:rPr>
            </w:pPr>
            <w:r w:rsidRPr="00CC18E5">
              <w:rPr>
                <w:i/>
                <w:szCs w:val="20"/>
              </w:rPr>
              <w:t>-</w:t>
            </w:r>
          </w:p>
        </w:tc>
      </w:tr>
      <w:tr w:rsidR="003B22C1" w:rsidRPr="00CC18E5" w14:paraId="26709829" w14:textId="77777777" w:rsidTr="00CC18E5">
        <w:trPr>
          <w:cantSplit/>
        </w:trPr>
        <w:tc>
          <w:tcPr>
            <w:tcW w:w="5000" w:type="pct"/>
            <w:gridSpan w:val="7"/>
            <w:shd w:val="clear" w:color="auto" w:fill="auto"/>
            <w:vAlign w:val="center"/>
          </w:tcPr>
          <w:p w14:paraId="10B90E91" w14:textId="77777777" w:rsidR="003B22C1" w:rsidRPr="00CC18E5" w:rsidRDefault="003B22C1" w:rsidP="00516F35">
            <w:pPr>
              <w:pStyle w:val="Tabletext"/>
              <w:rPr>
                <w:b/>
                <w:szCs w:val="20"/>
              </w:rPr>
            </w:pPr>
            <w:r w:rsidRPr="00CC18E5">
              <w:rPr>
                <w:b/>
                <w:szCs w:val="20"/>
              </w:rPr>
              <w:t>Natural history</w:t>
            </w:r>
          </w:p>
        </w:tc>
      </w:tr>
      <w:tr w:rsidR="003B22C1" w:rsidRPr="00CC18E5" w14:paraId="70B029F6" w14:textId="77777777" w:rsidTr="00CC18E5">
        <w:trPr>
          <w:cantSplit/>
        </w:trPr>
        <w:tc>
          <w:tcPr>
            <w:tcW w:w="613" w:type="pct"/>
            <w:shd w:val="clear" w:color="auto" w:fill="F8ECEC"/>
            <w:vAlign w:val="center"/>
          </w:tcPr>
          <w:p w14:paraId="488A1B4F" w14:textId="77777777" w:rsidR="003B22C1" w:rsidRPr="00CC18E5" w:rsidRDefault="003B22C1" w:rsidP="00516F35">
            <w:pPr>
              <w:pStyle w:val="Tabletext"/>
              <w:rPr>
                <w:szCs w:val="20"/>
              </w:rPr>
            </w:pPr>
            <w:r w:rsidRPr="00CC18E5">
              <w:rPr>
                <w:szCs w:val="20"/>
              </w:rPr>
              <w:lastRenderedPageBreak/>
              <w:t>PNCR</w:t>
            </w:r>
          </w:p>
        </w:tc>
        <w:tc>
          <w:tcPr>
            <w:tcW w:w="292" w:type="pct"/>
            <w:shd w:val="clear" w:color="auto" w:fill="F8ECEC"/>
            <w:vAlign w:val="center"/>
          </w:tcPr>
          <w:p w14:paraId="75468B4D" w14:textId="77777777" w:rsidR="003B22C1" w:rsidRPr="00CC18E5" w:rsidRDefault="003B22C1" w:rsidP="00516F35">
            <w:pPr>
              <w:pStyle w:val="Tabletext"/>
              <w:jc w:val="center"/>
              <w:rPr>
                <w:szCs w:val="20"/>
              </w:rPr>
            </w:pPr>
            <w:r w:rsidRPr="00CC18E5">
              <w:rPr>
                <w:szCs w:val="20"/>
              </w:rPr>
              <w:t>79</w:t>
            </w:r>
          </w:p>
        </w:tc>
        <w:tc>
          <w:tcPr>
            <w:tcW w:w="1089" w:type="pct"/>
            <w:shd w:val="clear" w:color="auto" w:fill="F8ECEC"/>
            <w:vAlign w:val="center"/>
          </w:tcPr>
          <w:p w14:paraId="2E5AEE80" w14:textId="77777777" w:rsidR="003B22C1" w:rsidRPr="00CC18E5" w:rsidRDefault="003B22C1" w:rsidP="00516F35">
            <w:pPr>
              <w:pStyle w:val="Tabletext"/>
              <w:jc w:val="center"/>
              <w:rPr>
                <w:szCs w:val="20"/>
              </w:rPr>
            </w:pPr>
            <w:r w:rsidRPr="00CC18E5">
              <w:rPr>
                <w:szCs w:val="20"/>
              </w:rPr>
              <w:t xml:space="preserve">Enrolled between 2005-2009 </w:t>
            </w:r>
          </w:p>
        </w:tc>
        <w:tc>
          <w:tcPr>
            <w:tcW w:w="292" w:type="pct"/>
            <w:shd w:val="clear" w:color="auto" w:fill="F8ECEC"/>
            <w:vAlign w:val="center"/>
          </w:tcPr>
          <w:p w14:paraId="717C8322" w14:textId="77777777" w:rsidR="003B22C1" w:rsidRPr="00CC18E5" w:rsidRDefault="003B22C1" w:rsidP="00516F35">
            <w:pPr>
              <w:pStyle w:val="Tabletext"/>
              <w:jc w:val="center"/>
              <w:rPr>
                <w:szCs w:val="20"/>
              </w:rPr>
            </w:pPr>
            <w:r w:rsidRPr="00CC18E5">
              <w:rPr>
                <w:szCs w:val="20"/>
              </w:rPr>
              <w:t>-</w:t>
            </w:r>
          </w:p>
        </w:tc>
        <w:tc>
          <w:tcPr>
            <w:tcW w:w="1043" w:type="pct"/>
            <w:shd w:val="clear" w:color="auto" w:fill="F8ECEC"/>
            <w:vAlign w:val="center"/>
          </w:tcPr>
          <w:p w14:paraId="50BF9900" w14:textId="77777777" w:rsidR="003B22C1" w:rsidRPr="00CC18E5" w:rsidRDefault="003B22C1" w:rsidP="00516F35">
            <w:pPr>
              <w:pStyle w:val="Tabletext"/>
              <w:jc w:val="center"/>
              <w:rPr>
                <w:szCs w:val="20"/>
              </w:rPr>
            </w:pPr>
            <w:r w:rsidRPr="00CC18E5">
              <w:rPr>
                <w:szCs w:val="20"/>
              </w:rPr>
              <w:t xml:space="preserve">Type I (n=34) and II SMA, </w:t>
            </w:r>
          </w:p>
          <w:p w14:paraId="615D7355" w14:textId="77777777" w:rsidR="003B22C1" w:rsidRPr="00CC18E5" w:rsidRDefault="003B22C1" w:rsidP="00516F35">
            <w:pPr>
              <w:pStyle w:val="Tabletext"/>
              <w:jc w:val="center"/>
              <w:rPr>
                <w:szCs w:val="20"/>
              </w:rPr>
            </w:pPr>
            <w:r w:rsidRPr="00CC18E5">
              <w:rPr>
                <w:szCs w:val="20"/>
              </w:rPr>
              <w:t>USA</w:t>
            </w:r>
          </w:p>
        </w:tc>
        <w:tc>
          <w:tcPr>
            <w:tcW w:w="1225" w:type="pct"/>
            <w:shd w:val="clear" w:color="auto" w:fill="F8ECEC"/>
            <w:vAlign w:val="center"/>
          </w:tcPr>
          <w:p w14:paraId="591E7804" w14:textId="77777777" w:rsidR="003B22C1" w:rsidRPr="00CC18E5" w:rsidRDefault="003B22C1" w:rsidP="00516F35">
            <w:pPr>
              <w:pStyle w:val="Tabletext"/>
              <w:jc w:val="center"/>
              <w:rPr>
                <w:szCs w:val="20"/>
              </w:rPr>
            </w:pPr>
            <w:r w:rsidRPr="00CC18E5">
              <w:rPr>
                <w:szCs w:val="20"/>
              </w:rPr>
              <w:t>EFS (≥16 hrs/day, ≥ 14 days), OS, CHOP INTEND</w:t>
            </w:r>
          </w:p>
        </w:tc>
        <w:tc>
          <w:tcPr>
            <w:tcW w:w="446" w:type="pct"/>
            <w:shd w:val="clear" w:color="auto" w:fill="F8ECEC"/>
            <w:vAlign w:val="center"/>
          </w:tcPr>
          <w:p w14:paraId="00EF2020" w14:textId="77777777" w:rsidR="003B22C1" w:rsidRPr="00CC18E5" w:rsidRDefault="003B22C1" w:rsidP="00516F35">
            <w:pPr>
              <w:pStyle w:val="Tabletext"/>
              <w:jc w:val="center"/>
              <w:rPr>
                <w:szCs w:val="20"/>
              </w:rPr>
            </w:pPr>
            <w:r w:rsidRPr="00CC18E5">
              <w:rPr>
                <w:szCs w:val="20"/>
              </w:rPr>
              <w:t>Yes</w:t>
            </w:r>
          </w:p>
        </w:tc>
      </w:tr>
      <w:tr w:rsidR="003B22C1" w:rsidRPr="00CC18E5" w14:paraId="2F44C467" w14:textId="77777777" w:rsidTr="00CC18E5">
        <w:trPr>
          <w:cantSplit/>
        </w:trPr>
        <w:tc>
          <w:tcPr>
            <w:tcW w:w="613" w:type="pct"/>
            <w:shd w:val="clear" w:color="auto" w:fill="F8ECEC"/>
            <w:vAlign w:val="center"/>
          </w:tcPr>
          <w:p w14:paraId="3146C75E" w14:textId="77777777" w:rsidR="003B22C1" w:rsidRPr="00CC18E5" w:rsidRDefault="003B22C1" w:rsidP="00516F35">
            <w:pPr>
              <w:pStyle w:val="Tabletext"/>
              <w:rPr>
                <w:szCs w:val="20"/>
              </w:rPr>
            </w:pPr>
            <w:r w:rsidRPr="00CC18E5">
              <w:rPr>
                <w:szCs w:val="20"/>
              </w:rPr>
              <w:t>NeuroNEXT</w:t>
            </w:r>
          </w:p>
        </w:tc>
        <w:tc>
          <w:tcPr>
            <w:tcW w:w="292" w:type="pct"/>
            <w:shd w:val="clear" w:color="auto" w:fill="F8ECEC"/>
            <w:vAlign w:val="center"/>
          </w:tcPr>
          <w:p w14:paraId="035B300D" w14:textId="77777777" w:rsidR="003B22C1" w:rsidRPr="00CC18E5" w:rsidRDefault="003B22C1" w:rsidP="00516F35">
            <w:pPr>
              <w:pStyle w:val="Tabletext"/>
              <w:jc w:val="center"/>
              <w:rPr>
                <w:szCs w:val="20"/>
              </w:rPr>
            </w:pPr>
            <w:r w:rsidRPr="00CC18E5">
              <w:rPr>
                <w:szCs w:val="20"/>
              </w:rPr>
              <w:t>53</w:t>
            </w:r>
          </w:p>
        </w:tc>
        <w:tc>
          <w:tcPr>
            <w:tcW w:w="1089" w:type="pct"/>
            <w:shd w:val="clear" w:color="auto" w:fill="F8ECEC"/>
            <w:vAlign w:val="center"/>
          </w:tcPr>
          <w:p w14:paraId="5C4F2076" w14:textId="77777777" w:rsidR="003B22C1" w:rsidRPr="00CC18E5" w:rsidRDefault="003B22C1" w:rsidP="00516F35">
            <w:pPr>
              <w:pStyle w:val="Tabletext"/>
              <w:jc w:val="center"/>
              <w:rPr>
                <w:szCs w:val="20"/>
              </w:rPr>
            </w:pPr>
            <w:r w:rsidRPr="00CC18E5">
              <w:rPr>
                <w:szCs w:val="20"/>
              </w:rPr>
              <w:t>Enrolled between Nov 2012 to Sept 2014</w:t>
            </w:r>
          </w:p>
        </w:tc>
        <w:tc>
          <w:tcPr>
            <w:tcW w:w="292" w:type="pct"/>
            <w:shd w:val="clear" w:color="auto" w:fill="F8ECEC"/>
            <w:vAlign w:val="center"/>
          </w:tcPr>
          <w:p w14:paraId="629D427B" w14:textId="77777777" w:rsidR="003B22C1" w:rsidRPr="00CC18E5" w:rsidRDefault="003B22C1" w:rsidP="00516F35">
            <w:pPr>
              <w:pStyle w:val="Tabletext"/>
              <w:jc w:val="center"/>
              <w:rPr>
                <w:szCs w:val="20"/>
              </w:rPr>
            </w:pPr>
            <w:r w:rsidRPr="00CC18E5">
              <w:rPr>
                <w:szCs w:val="20"/>
              </w:rPr>
              <w:t>-</w:t>
            </w:r>
          </w:p>
        </w:tc>
        <w:tc>
          <w:tcPr>
            <w:tcW w:w="1043" w:type="pct"/>
            <w:shd w:val="clear" w:color="auto" w:fill="F8ECEC"/>
            <w:vAlign w:val="center"/>
          </w:tcPr>
          <w:p w14:paraId="460C4CF0" w14:textId="77777777" w:rsidR="003B22C1" w:rsidRPr="00CC18E5" w:rsidRDefault="003B22C1" w:rsidP="00516F35">
            <w:pPr>
              <w:pStyle w:val="Tabletext"/>
              <w:jc w:val="center"/>
              <w:rPr>
                <w:szCs w:val="20"/>
              </w:rPr>
            </w:pPr>
            <w:r w:rsidRPr="00CC18E5">
              <w:rPr>
                <w:szCs w:val="20"/>
              </w:rPr>
              <w:t>SMA</w:t>
            </w:r>
            <w:r w:rsidRPr="00CC18E5">
              <w:rPr>
                <w:szCs w:val="20"/>
                <w:vertAlign w:val="superscript"/>
              </w:rPr>
              <w:t xml:space="preserve">a </w:t>
            </w:r>
            <w:r w:rsidRPr="00CC18E5">
              <w:rPr>
                <w:szCs w:val="20"/>
              </w:rPr>
              <w:t xml:space="preserve">(n=26) and healthy infants, USA </w:t>
            </w:r>
          </w:p>
        </w:tc>
        <w:tc>
          <w:tcPr>
            <w:tcW w:w="1225" w:type="pct"/>
            <w:shd w:val="clear" w:color="auto" w:fill="F8ECEC"/>
            <w:vAlign w:val="center"/>
          </w:tcPr>
          <w:p w14:paraId="60F06E60" w14:textId="77777777" w:rsidR="003B22C1" w:rsidRPr="00CC18E5" w:rsidRDefault="003B22C1" w:rsidP="00516F35">
            <w:pPr>
              <w:pStyle w:val="Tabletext"/>
              <w:jc w:val="center"/>
              <w:rPr>
                <w:szCs w:val="20"/>
              </w:rPr>
            </w:pPr>
            <w:r w:rsidRPr="00CC18E5">
              <w:rPr>
                <w:szCs w:val="20"/>
              </w:rPr>
              <w:t>EFS</w:t>
            </w:r>
            <w:r w:rsidRPr="00CC18E5">
              <w:rPr>
                <w:szCs w:val="20"/>
                <w:vertAlign w:val="superscript"/>
              </w:rPr>
              <w:t>a</w:t>
            </w:r>
            <w:r w:rsidRPr="00CC18E5">
              <w:rPr>
                <w:szCs w:val="20"/>
              </w:rPr>
              <w:t>, OS, CHOP INTEND</w:t>
            </w:r>
          </w:p>
        </w:tc>
        <w:tc>
          <w:tcPr>
            <w:tcW w:w="446" w:type="pct"/>
            <w:shd w:val="clear" w:color="auto" w:fill="F8ECEC"/>
            <w:vAlign w:val="center"/>
          </w:tcPr>
          <w:p w14:paraId="02C734E4" w14:textId="77777777" w:rsidR="003B22C1" w:rsidRPr="00CC18E5" w:rsidRDefault="003B22C1" w:rsidP="00516F35">
            <w:pPr>
              <w:pStyle w:val="Tabletext"/>
              <w:jc w:val="center"/>
              <w:rPr>
                <w:szCs w:val="20"/>
              </w:rPr>
            </w:pPr>
            <w:r w:rsidRPr="00CC18E5">
              <w:rPr>
                <w:szCs w:val="20"/>
              </w:rPr>
              <w:t>Yes</w:t>
            </w:r>
          </w:p>
        </w:tc>
      </w:tr>
      <w:tr w:rsidR="003B22C1" w:rsidRPr="00CC18E5" w14:paraId="6F64593C" w14:textId="77777777" w:rsidTr="00CC18E5">
        <w:trPr>
          <w:cantSplit/>
        </w:trPr>
        <w:tc>
          <w:tcPr>
            <w:tcW w:w="613" w:type="pct"/>
            <w:shd w:val="clear" w:color="auto" w:fill="auto"/>
            <w:vAlign w:val="center"/>
          </w:tcPr>
          <w:p w14:paraId="7C2F7863" w14:textId="77777777" w:rsidR="003B22C1" w:rsidRPr="00CC18E5" w:rsidRDefault="003B22C1" w:rsidP="00516F35">
            <w:pPr>
              <w:pStyle w:val="Tabletext"/>
              <w:rPr>
                <w:szCs w:val="20"/>
              </w:rPr>
            </w:pPr>
            <w:r w:rsidRPr="00CC18E5">
              <w:rPr>
                <w:szCs w:val="20"/>
              </w:rPr>
              <w:t>Farrar 2013</w:t>
            </w:r>
          </w:p>
        </w:tc>
        <w:tc>
          <w:tcPr>
            <w:tcW w:w="292" w:type="pct"/>
            <w:shd w:val="clear" w:color="auto" w:fill="auto"/>
            <w:vAlign w:val="center"/>
          </w:tcPr>
          <w:p w14:paraId="442A5E0F" w14:textId="77777777" w:rsidR="003B22C1" w:rsidRPr="00CC18E5" w:rsidRDefault="003B22C1" w:rsidP="00516F35">
            <w:pPr>
              <w:pStyle w:val="Tabletext"/>
              <w:jc w:val="center"/>
              <w:rPr>
                <w:szCs w:val="20"/>
              </w:rPr>
            </w:pPr>
            <w:r w:rsidRPr="00CC18E5">
              <w:rPr>
                <w:szCs w:val="20"/>
              </w:rPr>
              <w:t>70</w:t>
            </w:r>
          </w:p>
        </w:tc>
        <w:tc>
          <w:tcPr>
            <w:tcW w:w="1089" w:type="pct"/>
            <w:shd w:val="clear" w:color="auto" w:fill="auto"/>
            <w:vAlign w:val="center"/>
          </w:tcPr>
          <w:p w14:paraId="2867351A" w14:textId="77777777" w:rsidR="003B22C1" w:rsidRPr="00CC18E5" w:rsidRDefault="003B22C1" w:rsidP="00516F35">
            <w:pPr>
              <w:pStyle w:val="Tabletext"/>
              <w:jc w:val="center"/>
              <w:rPr>
                <w:szCs w:val="20"/>
              </w:rPr>
            </w:pPr>
            <w:r w:rsidRPr="00CC18E5">
              <w:rPr>
                <w:szCs w:val="20"/>
              </w:rPr>
              <w:t xml:space="preserve">Enrolled 1995-2010, </w:t>
            </w:r>
          </w:p>
        </w:tc>
        <w:tc>
          <w:tcPr>
            <w:tcW w:w="292" w:type="pct"/>
            <w:shd w:val="clear" w:color="auto" w:fill="auto"/>
            <w:vAlign w:val="center"/>
          </w:tcPr>
          <w:p w14:paraId="1A6CDD25" w14:textId="77777777" w:rsidR="003B22C1" w:rsidRPr="00CC18E5" w:rsidRDefault="003B22C1" w:rsidP="00516F35">
            <w:pPr>
              <w:pStyle w:val="Tabletext"/>
              <w:jc w:val="center"/>
              <w:rPr>
                <w:szCs w:val="20"/>
              </w:rPr>
            </w:pPr>
            <w:r w:rsidRPr="00CC18E5">
              <w:rPr>
                <w:szCs w:val="20"/>
              </w:rPr>
              <w:t>-</w:t>
            </w:r>
          </w:p>
        </w:tc>
        <w:tc>
          <w:tcPr>
            <w:tcW w:w="1043" w:type="pct"/>
            <w:shd w:val="clear" w:color="auto" w:fill="auto"/>
            <w:vAlign w:val="center"/>
          </w:tcPr>
          <w:p w14:paraId="5D6C9ED8" w14:textId="77777777" w:rsidR="003B22C1" w:rsidRPr="00CC18E5" w:rsidRDefault="003B22C1" w:rsidP="00516F35">
            <w:pPr>
              <w:pStyle w:val="Tabletext"/>
              <w:jc w:val="center"/>
              <w:rPr>
                <w:szCs w:val="20"/>
              </w:rPr>
            </w:pPr>
            <w:r w:rsidRPr="00CC18E5">
              <w:rPr>
                <w:szCs w:val="20"/>
              </w:rPr>
              <w:t>Type I, II and III SMA, Australia</w:t>
            </w:r>
          </w:p>
        </w:tc>
        <w:tc>
          <w:tcPr>
            <w:tcW w:w="1225" w:type="pct"/>
            <w:shd w:val="clear" w:color="auto" w:fill="auto"/>
            <w:vAlign w:val="center"/>
          </w:tcPr>
          <w:p w14:paraId="2B16AC79" w14:textId="77777777" w:rsidR="003B22C1" w:rsidRPr="00CC18E5" w:rsidRDefault="003B22C1" w:rsidP="00516F35">
            <w:pPr>
              <w:pStyle w:val="Tabletext"/>
              <w:jc w:val="center"/>
              <w:rPr>
                <w:szCs w:val="20"/>
              </w:rPr>
            </w:pPr>
            <w:r w:rsidRPr="00CC18E5">
              <w:rPr>
                <w:szCs w:val="20"/>
              </w:rPr>
              <w:t>OS</w:t>
            </w:r>
          </w:p>
        </w:tc>
        <w:tc>
          <w:tcPr>
            <w:tcW w:w="446" w:type="pct"/>
            <w:shd w:val="clear" w:color="auto" w:fill="auto"/>
            <w:vAlign w:val="center"/>
          </w:tcPr>
          <w:p w14:paraId="1FE355EE" w14:textId="77777777" w:rsidR="003B22C1" w:rsidRPr="00CC18E5" w:rsidRDefault="003B22C1" w:rsidP="00516F35">
            <w:pPr>
              <w:pStyle w:val="Tabletext"/>
              <w:jc w:val="center"/>
              <w:rPr>
                <w:szCs w:val="20"/>
              </w:rPr>
            </w:pPr>
            <w:r w:rsidRPr="00CC18E5">
              <w:rPr>
                <w:szCs w:val="20"/>
              </w:rPr>
              <w:t>-</w:t>
            </w:r>
          </w:p>
        </w:tc>
      </w:tr>
      <w:tr w:rsidR="003B22C1" w:rsidRPr="00CC18E5" w14:paraId="604157CF" w14:textId="77777777" w:rsidTr="00CC18E5">
        <w:trPr>
          <w:cantSplit/>
        </w:trPr>
        <w:tc>
          <w:tcPr>
            <w:tcW w:w="613" w:type="pct"/>
            <w:shd w:val="clear" w:color="auto" w:fill="auto"/>
            <w:vAlign w:val="center"/>
          </w:tcPr>
          <w:p w14:paraId="77C04176" w14:textId="77777777" w:rsidR="003B22C1" w:rsidRPr="00CC18E5" w:rsidRDefault="003B22C1" w:rsidP="00516F35">
            <w:pPr>
              <w:pStyle w:val="Tabletext"/>
              <w:rPr>
                <w:i/>
                <w:szCs w:val="20"/>
              </w:rPr>
            </w:pPr>
            <w:r w:rsidRPr="00CC18E5">
              <w:rPr>
                <w:i/>
                <w:szCs w:val="20"/>
              </w:rPr>
              <w:t>Chung 2004</w:t>
            </w:r>
          </w:p>
        </w:tc>
        <w:tc>
          <w:tcPr>
            <w:tcW w:w="292" w:type="pct"/>
            <w:shd w:val="clear" w:color="auto" w:fill="auto"/>
            <w:vAlign w:val="center"/>
          </w:tcPr>
          <w:p w14:paraId="259C5703" w14:textId="77777777" w:rsidR="003B22C1" w:rsidRPr="00CC18E5" w:rsidRDefault="003B22C1" w:rsidP="00516F35">
            <w:pPr>
              <w:pStyle w:val="Tabletext"/>
              <w:jc w:val="center"/>
              <w:rPr>
                <w:i/>
                <w:szCs w:val="20"/>
              </w:rPr>
            </w:pPr>
            <w:r w:rsidRPr="00CC18E5">
              <w:rPr>
                <w:i/>
                <w:szCs w:val="20"/>
              </w:rPr>
              <w:t>83</w:t>
            </w:r>
          </w:p>
        </w:tc>
        <w:tc>
          <w:tcPr>
            <w:tcW w:w="1089" w:type="pct"/>
            <w:shd w:val="clear" w:color="auto" w:fill="auto"/>
            <w:vAlign w:val="center"/>
          </w:tcPr>
          <w:p w14:paraId="79C2CD67" w14:textId="77777777" w:rsidR="003B22C1" w:rsidRPr="00CC18E5" w:rsidRDefault="003B22C1" w:rsidP="00516F35">
            <w:pPr>
              <w:pStyle w:val="Tabletext"/>
              <w:jc w:val="center"/>
              <w:rPr>
                <w:i/>
                <w:szCs w:val="20"/>
              </w:rPr>
            </w:pPr>
            <w:r w:rsidRPr="00CC18E5">
              <w:rPr>
                <w:i/>
                <w:szCs w:val="20"/>
              </w:rPr>
              <w:t>Enrolled Sept 2002,</w:t>
            </w:r>
          </w:p>
        </w:tc>
        <w:tc>
          <w:tcPr>
            <w:tcW w:w="292" w:type="pct"/>
            <w:shd w:val="clear" w:color="auto" w:fill="auto"/>
            <w:vAlign w:val="center"/>
          </w:tcPr>
          <w:p w14:paraId="414ED4EA" w14:textId="77777777"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14:paraId="084AEF73" w14:textId="77777777" w:rsidR="00AD6C22" w:rsidRPr="00CC18E5" w:rsidRDefault="003B22C1" w:rsidP="00516F35">
            <w:pPr>
              <w:pStyle w:val="Tabletext"/>
              <w:jc w:val="center"/>
              <w:rPr>
                <w:i/>
                <w:szCs w:val="20"/>
              </w:rPr>
            </w:pPr>
            <w:r w:rsidRPr="00CC18E5">
              <w:rPr>
                <w:i/>
                <w:szCs w:val="20"/>
              </w:rPr>
              <w:t>Type I, II and III SMA</w:t>
            </w:r>
          </w:p>
          <w:p w14:paraId="3DD0CB78" w14:textId="77777777" w:rsidR="003B22C1" w:rsidRPr="00CC18E5" w:rsidRDefault="003B22C1" w:rsidP="00516F35">
            <w:pPr>
              <w:pStyle w:val="Tabletext"/>
              <w:jc w:val="center"/>
              <w:rPr>
                <w:i/>
                <w:szCs w:val="20"/>
              </w:rPr>
            </w:pPr>
            <w:r w:rsidRPr="00CC18E5">
              <w:rPr>
                <w:i/>
                <w:szCs w:val="20"/>
              </w:rPr>
              <w:t xml:space="preserve"> Hong Kong</w:t>
            </w:r>
          </w:p>
        </w:tc>
        <w:tc>
          <w:tcPr>
            <w:tcW w:w="1225" w:type="pct"/>
            <w:shd w:val="clear" w:color="auto" w:fill="auto"/>
            <w:vAlign w:val="center"/>
          </w:tcPr>
          <w:p w14:paraId="0E1A9962" w14:textId="77777777" w:rsidR="003B22C1" w:rsidRPr="00CC18E5" w:rsidRDefault="003B22C1" w:rsidP="00516F35">
            <w:pPr>
              <w:pStyle w:val="Tabletext"/>
              <w:jc w:val="center"/>
              <w:rPr>
                <w:i/>
                <w:szCs w:val="20"/>
              </w:rPr>
            </w:pPr>
            <w:r w:rsidRPr="00CC18E5">
              <w:rPr>
                <w:i/>
                <w:szCs w:val="20"/>
              </w:rPr>
              <w:t>OS</w:t>
            </w:r>
          </w:p>
        </w:tc>
        <w:tc>
          <w:tcPr>
            <w:tcW w:w="446" w:type="pct"/>
            <w:shd w:val="clear" w:color="auto" w:fill="auto"/>
            <w:vAlign w:val="center"/>
          </w:tcPr>
          <w:p w14:paraId="2D7AEF76" w14:textId="77777777" w:rsidR="003B22C1" w:rsidRPr="00CC18E5" w:rsidRDefault="003B22C1" w:rsidP="00516F35">
            <w:pPr>
              <w:pStyle w:val="Tabletext"/>
              <w:jc w:val="center"/>
              <w:rPr>
                <w:i/>
                <w:szCs w:val="20"/>
              </w:rPr>
            </w:pPr>
            <w:r w:rsidRPr="00CC18E5">
              <w:rPr>
                <w:i/>
                <w:szCs w:val="20"/>
              </w:rPr>
              <w:t>-</w:t>
            </w:r>
          </w:p>
        </w:tc>
      </w:tr>
      <w:tr w:rsidR="003B22C1" w:rsidRPr="00CC18E5" w14:paraId="53214F8D" w14:textId="77777777" w:rsidTr="00CC18E5">
        <w:trPr>
          <w:cantSplit/>
        </w:trPr>
        <w:tc>
          <w:tcPr>
            <w:tcW w:w="613" w:type="pct"/>
            <w:shd w:val="clear" w:color="auto" w:fill="F8ECEC"/>
            <w:vAlign w:val="center"/>
          </w:tcPr>
          <w:p w14:paraId="45D28727" w14:textId="77777777" w:rsidR="003B22C1" w:rsidRPr="00CC18E5" w:rsidRDefault="003B22C1" w:rsidP="00516F35">
            <w:pPr>
              <w:pStyle w:val="Tabletext"/>
              <w:rPr>
                <w:i/>
                <w:szCs w:val="20"/>
              </w:rPr>
            </w:pPr>
            <w:r w:rsidRPr="00CC18E5">
              <w:rPr>
                <w:i/>
                <w:szCs w:val="20"/>
              </w:rPr>
              <w:t>Zerres 1995</w:t>
            </w:r>
          </w:p>
        </w:tc>
        <w:tc>
          <w:tcPr>
            <w:tcW w:w="292" w:type="pct"/>
            <w:shd w:val="clear" w:color="auto" w:fill="F8ECEC"/>
            <w:vAlign w:val="center"/>
          </w:tcPr>
          <w:p w14:paraId="3897ACAC" w14:textId="77777777" w:rsidR="003B22C1" w:rsidRPr="00CC18E5" w:rsidRDefault="003B22C1" w:rsidP="00516F35">
            <w:pPr>
              <w:pStyle w:val="Tabletext"/>
              <w:jc w:val="center"/>
              <w:rPr>
                <w:i/>
                <w:szCs w:val="20"/>
              </w:rPr>
            </w:pPr>
            <w:r w:rsidRPr="00CC18E5">
              <w:rPr>
                <w:i/>
                <w:szCs w:val="20"/>
              </w:rPr>
              <w:t>445</w:t>
            </w:r>
          </w:p>
        </w:tc>
        <w:tc>
          <w:tcPr>
            <w:tcW w:w="1089" w:type="pct"/>
            <w:shd w:val="clear" w:color="auto" w:fill="F8ECEC"/>
            <w:vAlign w:val="center"/>
          </w:tcPr>
          <w:p w14:paraId="2DC82398" w14:textId="77777777" w:rsidR="003B22C1" w:rsidRPr="00CC18E5" w:rsidRDefault="003B22C1" w:rsidP="00516F35">
            <w:pPr>
              <w:pStyle w:val="Tabletext"/>
              <w:jc w:val="center"/>
              <w:rPr>
                <w:i/>
                <w:szCs w:val="20"/>
              </w:rPr>
            </w:pPr>
            <w:r w:rsidRPr="00CC18E5">
              <w:rPr>
                <w:i/>
                <w:szCs w:val="20"/>
              </w:rPr>
              <w:t>Enrolled since 1985</w:t>
            </w:r>
          </w:p>
        </w:tc>
        <w:tc>
          <w:tcPr>
            <w:tcW w:w="292" w:type="pct"/>
            <w:shd w:val="clear" w:color="auto" w:fill="F8ECEC"/>
            <w:vAlign w:val="center"/>
          </w:tcPr>
          <w:p w14:paraId="720A4147" w14:textId="77777777" w:rsidR="003B22C1" w:rsidRPr="00CC18E5" w:rsidRDefault="003B22C1" w:rsidP="00516F35">
            <w:pPr>
              <w:pStyle w:val="Tabletext"/>
              <w:jc w:val="center"/>
              <w:rPr>
                <w:i/>
                <w:szCs w:val="20"/>
              </w:rPr>
            </w:pPr>
            <w:r w:rsidRPr="00CC18E5">
              <w:rPr>
                <w:i/>
                <w:szCs w:val="20"/>
              </w:rPr>
              <w:t>-</w:t>
            </w:r>
          </w:p>
        </w:tc>
        <w:tc>
          <w:tcPr>
            <w:tcW w:w="1043" w:type="pct"/>
            <w:shd w:val="clear" w:color="auto" w:fill="F8ECEC"/>
            <w:vAlign w:val="center"/>
          </w:tcPr>
          <w:p w14:paraId="0E773071" w14:textId="77777777" w:rsidR="003B22C1" w:rsidRPr="00CC18E5" w:rsidRDefault="003B22C1" w:rsidP="00516F35">
            <w:pPr>
              <w:pStyle w:val="Tabletext"/>
              <w:jc w:val="center"/>
              <w:rPr>
                <w:i/>
                <w:szCs w:val="20"/>
              </w:rPr>
            </w:pPr>
            <w:r w:rsidRPr="00CC18E5">
              <w:rPr>
                <w:i/>
                <w:szCs w:val="20"/>
              </w:rPr>
              <w:t>Type I, II, III and IV SMA, Germany</w:t>
            </w:r>
          </w:p>
        </w:tc>
        <w:tc>
          <w:tcPr>
            <w:tcW w:w="1225" w:type="pct"/>
            <w:shd w:val="clear" w:color="auto" w:fill="F8ECEC"/>
            <w:vAlign w:val="center"/>
          </w:tcPr>
          <w:p w14:paraId="0D8A050B" w14:textId="77777777" w:rsidR="003B22C1" w:rsidRPr="00CC18E5" w:rsidRDefault="003B22C1" w:rsidP="00516F35">
            <w:pPr>
              <w:pStyle w:val="Tabletext"/>
              <w:jc w:val="center"/>
              <w:rPr>
                <w:i/>
                <w:szCs w:val="20"/>
              </w:rPr>
            </w:pPr>
            <w:r w:rsidRPr="00CC18E5">
              <w:rPr>
                <w:i/>
                <w:szCs w:val="20"/>
              </w:rPr>
              <w:t>OS</w:t>
            </w:r>
          </w:p>
        </w:tc>
        <w:tc>
          <w:tcPr>
            <w:tcW w:w="446" w:type="pct"/>
            <w:shd w:val="clear" w:color="auto" w:fill="F8ECEC"/>
            <w:vAlign w:val="center"/>
          </w:tcPr>
          <w:p w14:paraId="02F02DFF" w14:textId="77777777" w:rsidR="003B22C1" w:rsidRPr="00CC18E5" w:rsidRDefault="003B22C1" w:rsidP="00516F35">
            <w:pPr>
              <w:pStyle w:val="Tabletext"/>
              <w:jc w:val="center"/>
              <w:rPr>
                <w:i/>
                <w:szCs w:val="20"/>
              </w:rPr>
            </w:pPr>
            <w:r w:rsidRPr="00CC18E5">
              <w:rPr>
                <w:i/>
                <w:szCs w:val="20"/>
              </w:rPr>
              <w:t>-</w:t>
            </w:r>
          </w:p>
        </w:tc>
      </w:tr>
      <w:tr w:rsidR="003B22C1" w:rsidRPr="00CC18E5" w14:paraId="04CAE386" w14:textId="77777777" w:rsidTr="00CC18E5">
        <w:trPr>
          <w:cantSplit/>
        </w:trPr>
        <w:tc>
          <w:tcPr>
            <w:tcW w:w="613" w:type="pct"/>
            <w:shd w:val="clear" w:color="auto" w:fill="auto"/>
            <w:vAlign w:val="center"/>
          </w:tcPr>
          <w:p w14:paraId="3FF5ABBE" w14:textId="77777777" w:rsidR="003B22C1" w:rsidRPr="00CC18E5" w:rsidRDefault="003B22C1" w:rsidP="00516F35">
            <w:pPr>
              <w:pStyle w:val="Tabletext"/>
              <w:rPr>
                <w:i/>
                <w:szCs w:val="20"/>
              </w:rPr>
            </w:pPr>
            <w:r w:rsidRPr="00CC18E5">
              <w:rPr>
                <w:i/>
                <w:szCs w:val="20"/>
              </w:rPr>
              <w:t>Oskouri 2007</w:t>
            </w:r>
          </w:p>
        </w:tc>
        <w:tc>
          <w:tcPr>
            <w:tcW w:w="292" w:type="pct"/>
            <w:shd w:val="clear" w:color="auto" w:fill="auto"/>
            <w:vAlign w:val="center"/>
          </w:tcPr>
          <w:p w14:paraId="4ECA687F" w14:textId="77777777" w:rsidR="003B22C1" w:rsidRPr="00CC18E5" w:rsidRDefault="003B22C1" w:rsidP="00516F35">
            <w:pPr>
              <w:pStyle w:val="Tabletext"/>
              <w:jc w:val="center"/>
              <w:rPr>
                <w:i/>
                <w:szCs w:val="20"/>
              </w:rPr>
            </w:pPr>
            <w:r w:rsidRPr="00CC18E5">
              <w:rPr>
                <w:i/>
                <w:szCs w:val="20"/>
              </w:rPr>
              <w:t>143</w:t>
            </w:r>
          </w:p>
        </w:tc>
        <w:tc>
          <w:tcPr>
            <w:tcW w:w="1089" w:type="pct"/>
            <w:shd w:val="clear" w:color="auto" w:fill="auto"/>
            <w:vAlign w:val="center"/>
          </w:tcPr>
          <w:p w14:paraId="4617AD1F" w14:textId="77777777" w:rsidR="003B22C1" w:rsidRPr="00CC18E5" w:rsidRDefault="003B22C1" w:rsidP="00516F35">
            <w:pPr>
              <w:pStyle w:val="Tabletext"/>
              <w:jc w:val="center"/>
              <w:rPr>
                <w:i/>
                <w:szCs w:val="20"/>
              </w:rPr>
            </w:pPr>
            <w:r w:rsidRPr="00CC18E5">
              <w:rPr>
                <w:i/>
                <w:szCs w:val="20"/>
              </w:rPr>
              <w:t xml:space="preserve">Registry data from 1986-2006 </w:t>
            </w:r>
          </w:p>
        </w:tc>
        <w:tc>
          <w:tcPr>
            <w:tcW w:w="292" w:type="pct"/>
            <w:shd w:val="clear" w:color="auto" w:fill="auto"/>
            <w:vAlign w:val="center"/>
          </w:tcPr>
          <w:p w14:paraId="15596810" w14:textId="77777777"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14:paraId="21F9F393" w14:textId="77777777" w:rsidR="003B22C1" w:rsidRPr="00CC18E5" w:rsidRDefault="003B22C1" w:rsidP="00516F35">
            <w:pPr>
              <w:pStyle w:val="Tabletext"/>
              <w:jc w:val="center"/>
              <w:rPr>
                <w:i/>
                <w:szCs w:val="20"/>
              </w:rPr>
            </w:pPr>
            <w:r w:rsidRPr="00CC18E5">
              <w:rPr>
                <w:i/>
                <w:szCs w:val="20"/>
              </w:rPr>
              <w:t>Type I SMA, USA</w:t>
            </w:r>
          </w:p>
        </w:tc>
        <w:tc>
          <w:tcPr>
            <w:tcW w:w="1225" w:type="pct"/>
            <w:shd w:val="clear" w:color="auto" w:fill="auto"/>
            <w:vAlign w:val="center"/>
          </w:tcPr>
          <w:p w14:paraId="0D020601" w14:textId="77777777" w:rsidR="003B22C1" w:rsidRPr="00CC18E5" w:rsidRDefault="003B22C1" w:rsidP="00516F35">
            <w:pPr>
              <w:pStyle w:val="Tabletext"/>
              <w:jc w:val="center"/>
              <w:rPr>
                <w:i/>
                <w:szCs w:val="20"/>
              </w:rPr>
            </w:pPr>
            <w:r w:rsidRPr="00CC18E5">
              <w:rPr>
                <w:i/>
                <w:szCs w:val="20"/>
              </w:rPr>
              <w:t>OS, EFS</w:t>
            </w:r>
          </w:p>
        </w:tc>
        <w:tc>
          <w:tcPr>
            <w:tcW w:w="446" w:type="pct"/>
            <w:shd w:val="clear" w:color="auto" w:fill="auto"/>
            <w:vAlign w:val="center"/>
          </w:tcPr>
          <w:p w14:paraId="21ACFF4D" w14:textId="77777777" w:rsidR="003B22C1" w:rsidRPr="00CC18E5" w:rsidRDefault="003B22C1" w:rsidP="00516F35">
            <w:pPr>
              <w:pStyle w:val="Tabletext"/>
              <w:jc w:val="center"/>
              <w:rPr>
                <w:i/>
                <w:szCs w:val="20"/>
              </w:rPr>
            </w:pPr>
            <w:r w:rsidRPr="00CC18E5">
              <w:rPr>
                <w:i/>
                <w:szCs w:val="20"/>
              </w:rPr>
              <w:t>-</w:t>
            </w:r>
          </w:p>
        </w:tc>
      </w:tr>
      <w:tr w:rsidR="003B22C1" w:rsidRPr="00CC18E5" w14:paraId="0BAB55FD" w14:textId="77777777" w:rsidTr="00CC18E5">
        <w:trPr>
          <w:cantSplit/>
        </w:trPr>
        <w:tc>
          <w:tcPr>
            <w:tcW w:w="613" w:type="pct"/>
            <w:shd w:val="clear" w:color="auto" w:fill="auto"/>
            <w:vAlign w:val="center"/>
          </w:tcPr>
          <w:p w14:paraId="76874825" w14:textId="77777777" w:rsidR="003B22C1" w:rsidRPr="00CC18E5" w:rsidRDefault="003B22C1" w:rsidP="00516F35">
            <w:pPr>
              <w:pStyle w:val="Tabletext"/>
              <w:rPr>
                <w:i/>
                <w:szCs w:val="20"/>
              </w:rPr>
            </w:pPr>
            <w:r w:rsidRPr="00CC18E5">
              <w:rPr>
                <w:i/>
                <w:szCs w:val="20"/>
              </w:rPr>
              <w:t>Ge 2012</w:t>
            </w:r>
          </w:p>
        </w:tc>
        <w:tc>
          <w:tcPr>
            <w:tcW w:w="292" w:type="pct"/>
            <w:shd w:val="clear" w:color="auto" w:fill="auto"/>
            <w:vAlign w:val="center"/>
          </w:tcPr>
          <w:p w14:paraId="3EE7A3AF" w14:textId="77777777" w:rsidR="003B22C1" w:rsidRPr="00CC18E5" w:rsidRDefault="003B22C1" w:rsidP="00516F35">
            <w:pPr>
              <w:pStyle w:val="Tabletext"/>
              <w:jc w:val="center"/>
              <w:rPr>
                <w:i/>
                <w:szCs w:val="20"/>
              </w:rPr>
            </w:pPr>
            <w:r w:rsidRPr="00CC18E5">
              <w:rPr>
                <w:i/>
                <w:szCs w:val="20"/>
              </w:rPr>
              <w:t>237</w:t>
            </w:r>
          </w:p>
        </w:tc>
        <w:tc>
          <w:tcPr>
            <w:tcW w:w="1089" w:type="pct"/>
            <w:shd w:val="clear" w:color="auto" w:fill="auto"/>
            <w:vAlign w:val="center"/>
          </w:tcPr>
          <w:p w14:paraId="577F4E4F" w14:textId="77777777" w:rsidR="003B22C1" w:rsidRPr="00CC18E5" w:rsidRDefault="003B22C1" w:rsidP="00516F35">
            <w:pPr>
              <w:pStyle w:val="Tabletext"/>
              <w:jc w:val="center"/>
              <w:rPr>
                <w:i/>
                <w:szCs w:val="20"/>
              </w:rPr>
            </w:pPr>
            <w:r w:rsidRPr="00CC18E5">
              <w:rPr>
                <w:i/>
                <w:szCs w:val="20"/>
              </w:rPr>
              <w:t>Enrolled 2003-2008</w:t>
            </w:r>
          </w:p>
        </w:tc>
        <w:tc>
          <w:tcPr>
            <w:tcW w:w="292" w:type="pct"/>
            <w:shd w:val="clear" w:color="auto" w:fill="auto"/>
            <w:vAlign w:val="center"/>
          </w:tcPr>
          <w:p w14:paraId="49EC0F74" w14:textId="77777777" w:rsidR="003B22C1" w:rsidRPr="00CC18E5" w:rsidRDefault="003B22C1" w:rsidP="00516F35">
            <w:pPr>
              <w:pStyle w:val="Tabletext"/>
              <w:jc w:val="center"/>
              <w:rPr>
                <w:i/>
                <w:szCs w:val="20"/>
              </w:rPr>
            </w:pPr>
            <w:r w:rsidRPr="00CC18E5">
              <w:rPr>
                <w:i/>
                <w:szCs w:val="20"/>
              </w:rPr>
              <w:t>-</w:t>
            </w:r>
          </w:p>
        </w:tc>
        <w:tc>
          <w:tcPr>
            <w:tcW w:w="1043" w:type="pct"/>
            <w:shd w:val="clear" w:color="auto" w:fill="auto"/>
            <w:vAlign w:val="center"/>
          </w:tcPr>
          <w:p w14:paraId="0019BE6B" w14:textId="77777777" w:rsidR="003B22C1" w:rsidRPr="00CC18E5" w:rsidRDefault="003B22C1" w:rsidP="00516F35">
            <w:pPr>
              <w:pStyle w:val="Tabletext"/>
              <w:jc w:val="center"/>
              <w:rPr>
                <w:i/>
                <w:szCs w:val="20"/>
              </w:rPr>
            </w:pPr>
            <w:r w:rsidRPr="00CC18E5">
              <w:rPr>
                <w:i/>
                <w:szCs w:val="20"/>
              </w:rPr>
              <w:t>Type I, II and III SMA, China</w:t>
            </w:r>
          </w:p>
        </w:tc>
        <w:tc>
          <w:tcPr>
            <w:tcW w:w="1225" w:type="pct"/>
            <w:shd w:val="clear" w:color="auto" w:fill="auto"/>
            <w:vAlign w:val="center"/>
          </w:tcPr>
          <w:p w14:paraId="76AACA36" w14:textId="77777777" w:rsidR="003B22C1" w:rsidRPr="00CC18E5" w:rsidRDefault="003B22C1" w:rsidP="00516F35">
            <w:pPr>
              <w:pStyle w:val="Tabletext"/>
              <w:jc w:val="center"/>
              <w:rPr>
                <w:i/>
                <w:szCs w:val="20"/>
              </w:rPr>
            </w:pPr>
            <w:r w:rsidRPr="00CC18E5">
              <w:rPr>
                <w:i/>
                <w:szCs w:val="20"/>
              </w:rPr>
              <w:t>OS</w:t>
            </w:r>
          </w:p>
        </w:tc>
        <w:tc>
          <w:tcPr>
            <w:tcW w:w="446" w:type="pct"/>
            <w:shd w:val="clear" w:color="auto" w:fill="auto"/>
            <w:vAlign w:val="center"/>
          </w:tcPr>
          <w:p w14:paraId="111C746E" w14:textId="77777777" w:rsidR="003B22C1" w:rsidRPr="00CC18E5" w:rsidRDefault="003B22C1" w:rsidP="00516F35">
            <w:pPr>
              <w:pStyle w:val="Tabletext"/>
              <w:jc w:val="center"/>
              <w:rPr>
                <w:i/>
                <w:szCs w:val="20"/>
              </w:rPr>
            </w:pPr>
            <w:r w:rsidRPr="00CC18E5">
              <w:rPr>
                <w:i/>
                <w:szCs w:val="20"/>
              </w:rPr>
              <w:t>Yes</w:t>
            </w:r>
          </w:p>
        </w:tc>
      </w:tr>
      <w:tr w:rsidR="003B22C1" w:rsidRPr="00CC18E5" w14:paraId="21774324" w14:textId="77777777" w:rsidTr="00CC18E5">
        <w:trPr>
          <w:cantSplit/>
        </w:trPr>
        <w:tc>
          <w:tcPr>
            <w:tcW w:w="613" w:type="pct"/>
            <w:shd w:val="clear" w:color="auto" w:fill="F8ECEC"/>
            <w:vAlign w:val="center"/>
          </w:tcPr>
          <w:p w14:paraId="470E7CF6" w14:textId="77777777" w:rsidR="003B22C1" w:rsidRPr="00CC18E5" w:rsidRDefault="003B22C1" w:rsidP="00516F35">
            <w:pPr>
              <w:pStyle w:val="Tabletext"/>
              <w:rPr>
                <w:i/>
                <w:szCs w:val="20"/>
              </w:rPr>
            </w:pPr>
            <w:r w:rsidRPr="00CC18E5">
              <w:rPr>
                <w:i/>
                <w:szCs w:val="20"/>
              </w:rPr>
              <w:t>Gregoretti 2013</w:t>
            </w:r>
          </w:p>
        </w:tc>
        <w:tc>
          <w:tcPr>
            <w:tcW w:w="292" w:type="pct"/>
            <w:shd w:val="clear" w:color="auto" w:fill="F8ECEC"/>
            <w:vAlign w:val="center"/>
          </w:tcPr>
          <w:p w14:paraId="11DCD019" w14:textId="77777777" w:rsidR="003B22C1" w:rsidRPr="00CC18E5" w:rsidRDefault="003B22C1" w:rsidP="00516F35">
            <w:pPr>
              <w:pStyle w:val="Tabletext"/>
              <w:jc w:val="center"/>
              <w:rPr>
                <w:i/>
                <w:szCs w:val="20"/>
              </w:rPr>
            </w:pPr>
            <w:r w:rsidRPr="00CC18E5">
              <w:rPr>
                <w:i/>
                <w:szCs w:val="20"/>
              </w:rPr>
              <w:t>194</w:t>
            </w:r>
          </w:p>
        </w:tc>
        <w:tc>
          <w:tcPr>
            <w:tcW w:w="1089" w:type="pct"/>
            <w:shd w:val="clear" w:color="auto" w:fill="F8ECEC"/>
            <w:vAlign w:val="center"/>
          </w:tcPr>
          <w:p w14:paraId="5F2803AE" w14:textId="77777777" w:rsidR="003B22C1" w:rsidRPr="00CC18E5" w:rsidRDefault="003B22C1" w:rsidP="00516F35">
            <w:pPr>
              <w:pStyle w:val="Tabletext"/>
              <w:jc w:val="center"/>
              <w:rPr>
                <w:i/>
                <w:szCs w:val="20"/>
              </w:rPr>
            </w:pPr>
            <w:r w:rsidRPr="00CC18E5">
              <w:rPr>
                <w:i/>
                <w:szCs w:val="20"/>
              </w:rPr>
              <w:t>Followed up 1992-2010</w:t>
            </w:r>
          </w:p>
        </w:tc>
        <w:tc>
          <w:tcPr>
            <w:tcW w:w="292" w:type="pct"/>
            <w:shd w:val="clear" w:color="auto" w:fill="F8ECEC"/>
            <w:vAlign w:val="center"/>
          </w:tcPr>
          <w:p w14:paraId="1D2217AF" w14:textId="77777777" w:rsidR="003B22C1" w:rsidRPr="00CC18E5" w:rsidRDefault="003B22C1" w:rsidP="00516F35">
            <w:pPr>
              <w:pStyle w:val="Tabletext"/>
              <w:jc w:val="center"/>
              <w:rPr>
                <w:i/>
                <w:szCs w:val="20"/>
              </w:rPr>
            </w:pPr>
            <w:r w:rsidRPr="00CC18E5">
              <w:rPr>
                <w:i/>
                <w:szCs w:val="20"/>
              </w:rPr>
              <w:t>-</w:t>
            </w:r>
          </w:p>
        </w:tc>
        <w:tc>
          <w:tcPr>
            <w:tcW w:w="1043" w:type="pct"/>
            <w:shd w:val="clear" w:color="auto" w:fill="F8ECEC"/>
            <w:vAlign w:val="center"/>
          </w:tcPr>
          <w:p w14:paraId="3FF35683" w14:textId="77777777" w:rsidR="003B22C1" w:rsidRPr="00CC18E5" w:rsidRDefault="003B22C1" w:rsidP="00516F35">
            <w:pPr>
              <w:pStyle w:val="Tabletext"/>
              <w:jc w:val="center"/>
              <w:rPr>
                <w:i/>
                <w:szCs w:val="20"/>
              </w:rPr>
            </w:pPr>
            <w:r w:rsidRPr="00CC18E5">
              <w:rPr>
                <w:i/>
                <w:szCs w:val="20"/>
              </w:rPr>
              <w:t>Type I SMA, Italy</w:t>
            </w:r>
          </w:p>
        </w:tc>
        <w:tc>
          <w:tcPr>
            <w:tcW w:w="1225" w:type="pct"/>
            <w:shd w:val="clear" w:color="auto" w:fill="F8ECEC"/>
            <w:vAlign w:val="center"/>
          </w:tcPr>
          <w:p w14:paraId="754AB36F" w14:textId="77777777" w:rsidR="003B22C1" w:rsidRPr="00CC18E5" w:rsidRDefault="003B22C1" w:rsidP="00516F35">
            <w:pPr>
              <w:pStyle w:val="Tabletext"/>
              <w:jc w:val="center"/>
              <w:rPr>
                <w:i/>
                <w:szCs w:val="20"/>
              </w:rPr>
            </w:pPr>
            <w:r w:rsidRPr="00CC18E5">
              <w:rPr>
                <w:i/>
                <w:szCs w:val="20"/>
              </w:rPr>
              <w:t>OS</w:t>
            </w:r>
          </w:p>
        </w:tc>
        <w:tc>
          <w:tcPr>
            <w:tcW w:w="446" w:type="pct"/>
            <w:shd w:val="clear" w:color="auto" w:fill="F8ECEC"/>
            <w:vAlign w:val="center"/>
          </w:tcPr>
          <w:p w14:paraId="4DD28CFA" w14:textId="77777777" w:rsidR="003B22C1" w:rsidRPr="00CC18E5" w:rsidRDefault="003B22C1" w:rsidP="00516F35">
            <w:pPr>
              <w:pStyle w:val="Tabletext"/>
              <w:jc w:val="center"/>
              <w:rPr>
                <w:i/>
                <w:szCs w:val="20"/>
              </w:rPr>
            </w:pPr>
            <w:r w:rsidRPr="00CC18E5">
              <w:rPr>
                <w:i/>
                <w:szCs w:val="20"/>
              </w:rPr>
              <w:t>Yes</w:t>
            </w:r>
          </w:p>
        </w:tc>
      </w:tr>
    </w:tbl>
    <w:p w14:paraId="77577A44" w14:textId="77777777" w:rsidR="001F52B7" w:rsidRPr="00CC18E5" w:rsidRDefault="00A40C15" w:rsidP="00CC18E5">
      <w:pPr>
        <w:pStyle w:val="TableFigureFooter"/>
      </w:pPr>
      <w:r w:rsidRPr="00CC18E5">
        <w:t xml:space="preserve">Source: constructed during the evaluation from source reports and publications. Italics indicate data extracted during the evaluation. </w:t>
      </w:r>
    </w:p>
    <w:p w14:paraId="71FA79C3" w14:textId="77777777" w:rsidR="00A40C15" w:rsidRPr="00CC18E5" w:rsidRDefault="008A3883" w:rsidP="00CC18E5">
      <w:pPr>
        <w:pStyle w:val="TableFigureFooter"/>
      </w:pPr>
      <w:r w:rsidRPr="00CC18E5">
        <w:t xml:space="preserve">CHOP INTEND, Children’s Hospital of Philadelphia Infant Test of Neuromuscular Disorders; DB, double-blind, EFS, event-free survival (survival without permanent ventilation); FU, follow up, HINE, Hammersmith Infant Neurological Examination; </w:t>
      </w:r>
      <w:r w:rsidR="00A40C15" w:rsidRPr="00CC18E5">
        <w:t>NC, non-comparative single arm study</w:t>
      </w:r>
      <w:r w:rsidRPr="00CC18E5">
        <w:t>, hrs, hours,</w:t>
      </w:r>
      <w:r w:rsidR="00A40C15" w:rsidRPr="00CC18E5">
        <w:t xml:space="preserve"> </w:t>
      </w:r>
      <w:r w:rsidRPr="00CC18E5">
        <w:t xml:space="preserve">MGRS, Multicentre Growth Reference Study; </w:t>
      </w:r>
      <w:r w:rsidR="00A40C15" w:rsidRPr="00CC18E5">
        <w:t>Mth</w:t>
      </w:r>
      <w:r w:rsidRPr="00CC18E5">
        <w:t xml:space="preserve">s, </w:t>
      </w:r>
      <w:r w:rsidR="00A40C15" w:rsidRPr="00CC18E5">
        <w:t xml:space="preserve">months, MC, multi-centre; </w:t>
      </w:r>
      <w:r w:rsidRPr="00CC18E5">
        <w:t xml:space="preserve">R, randomised: SMA, spinal muscular atrophy; </w:t>
      </w:r>
      <w:r w:rsidR="00A40C15" w:rsidRPr="00CC18E5">
        <w:t>Yrs</w:t>
      </w:r>
      <w:r w:rsidRPr="00CC18E5">
        <w:t xml:space="preserve">, </w:t>
      </w:r>
      <w:r w:rsidR="00A40C15" w:rsidRPr="00CC18E5">
        <w:t xml:space="preserve">years, </w:t>
      </w:r>
      <w:r w:rsidRPr="00CC18E5">
        <w:t>OL, open label; OS, overall survival, WHO, World Health Organisation.</w:t>
      </w:r>
    </w:p>
    <w:p w14:paraId="311E1FCF" w14:textId="77777777" w:rsidR="00A40C15" w:rsidRPr="00CC18E5" w:rsidRDefault="00A40C15" w:rsidP="00CC18E5">
      <w:pPr>
        <w:pStyle w:val="TableFigureFooter"/>
      </w:pPr>
      <w:r w:rsidRPr="00CC18E5">
        <w:t>*</w:t>
      </w:r>
      <w:r w:rsidRPr="00CC18E5">
        <w:tab/>
        <w:t>primary outcome</w:t>
      </w:r>
      <w:r w:rsidR="00794AFC" w:rsidRPr="00CC18E5">
        <w:t xml:space="preserve">; </w:t>
      </w:r>
      <w:r w:rsidRPr="00CC18E5">
        <w:t>^</w:t>
      </w:r>
      <w:r w:rsidRPr="00CC18E5">
        <w:tab/>
        <w:t>Study is still ongoing</w:t>
      </w:r>
      <w:r w:rsidR="00794AFC" w:rsidRPr="00CC18E5">
        <w:t xml:space="preserve">; </w:t>
      </w:r>
      <w:r w:rsidRPr="00CC18E5">
        <w:t>#</w:t>
      </w:r>
      <w:r w:rsidRPr="00CC18E5">
        <w:tab/>
        <w:t>Considered to be high risk of bias being open-label studies.</w:t>
      </w:r>
    </w:p>
    <w:p w14:paraId="6BB70650" w14:textId="77777777" w:rsidR="00A40C15" w:rsidRPr="00CC18E5" w:rsidRDefault="00A40C15" w:rsidP="00CC18E5">
      <w:pPr>
        <w:pStyle w:val="TableFigureFooter"/>
      </w:pPr>
      <w:r w:rsidRPr="00CC18E5">
        <w:rPr>
          <w:vertAlign w:val="superscript"/>
        </w:rPr>
        <w:t>a</w:t>
      </w:r>
      <w:r w:rsidRPr="00CC18E5">
        <w:tab/>
      </w:r>
      <w:r w:rsidR="008A3883" w:rsidRPr="00CC18E5">
        <w:t>the</w:t>
      </w:r>
      <w:r w:rsidRPr="00CC18E5">
        <w:t xml:space="preserve"> number of hours per day of ventilation, and the number of consecutive days of ventilation, were not defined.</w:t>
      </w:r>
    </w:p>
    <w:p w14:paraId="677A1B27" w14:textId="77777777" w:rsidR="00DC4DE6" w:rsidRPr="00917415" w:rsidRDefault="00A40C15" w:rsidP="00CC18E5">
      <w:pPr>
        <w:pStyle w:val="TableFigureFooter"/>
      </w:pPr>
      <w:r w:rsidRPr="00CC18E5">
        <w:rPr>
          <w:vertAlign w:val="superscript"/>
        </w:rPr>
        <w:t>b</w:t>
      </w:r>
      <w:r w:rsidRPr="00CC18E5">
        <w:tab/>
        <w:t>All 15 patient who enrolled in START were recruited to START-LT, but results only reported for 13 patients, as 2 patients had discontinued.</w:t>
      </w:r>
    </w:p>
    <w:p w14:paraId="52709D2E" w14:textId="77777777" w:rsidR="00EA7DEE" w:rsidRPr="00917415" w:rsidRDefault="00EA7DEE" w:rsidP="00516F35">
      <w:pPr>
        <w:pStyle w:val="3-BodyText"/>
      </w:pPr>
      <w:r w:rsidRPr="00917415">
        <w:t>All studies</w:t>
      </w:r>
      <w:r w:rsidR="00A22EE4" w:rsidRPr="00917415">
        <w:t>,</w:t>
      </w:r>
      <w:r w:rsidRPr="00917415">
        <w:t xml:space="preserve"> with the exception of the ENDEAR </w:t>
      </w:r>
      <w:r w:rsidR="009E4289" w:rsidRPr="00917415">
        <w:t>RCT</w:t>
      </w:r>
      <w:r w:rsidR="00A22EE4" w:rsidRPr="00917415">
        <w:t>,</w:t>
      </w:r>
      <w:r w:rsidRPr="00917415">
        <w:t xml:space="preserve"> were open label, non-comparative single arm studies (including Phase I studies</w:t>
      </w:r>
      <w:r w:rsidR="00973EE2" w:rsidRPr="00917415">
        <w:t>).</w:t>
      </w:r>
      <w:r w:rsidRPr="00917415">
        <w:t xml:space="preserve"> For ONA, the included studies had also enrolled small numbers of patients (N&lt;35 in any one study)</w:t>
      </w:r>
      <w:r w:rsidR="00C9060F" w:rsidRPr="00917415">
        <w:t xml:space="preserve">. </w:t>
      </w:r>
      <w:r w:rsidRPr="00917415">
        <w:t xml:space="preserve">Common efficacy outcomes across the studies include overall survival (OS), event free survival (EFS) or survival without permanent ventilation and motor function assessments, however definitions of these outcomes differed across </w:t>
      </w:r>
      <w:r w:rsidR="000E29DB" w:rsidRPr="00917415">
        <w:t xml:space="preserve">the </w:t>
      </w:r>
      <w:r w:rsidRPr="00917415">
        <w:t xml:space="preserve">studies. </w:t>
      </w:r>
    </w:p>
    <w:p w14:paraId="454ACAC6" w14:textId="77777777" w:rsidR="00EA7DEE" w:rsidRPr="00917415" w:rsidRDefault="00EA7DEE" w:rsidP="00516F35">
      <w:pPr>
        <w:pStyle w:val="3-BodyText"/>
      </w:pPr>
      <w:r w:rsidRPr="00917415">
        <w:t xml:space="preserve">Overall the risk of bias in the ENDEAR study was low. </w:t>
      </w:r>
      <w:r w:rsidR="00794AFC" w:rsidRPr="00917415">
        <w:t>A</w:t>
      </w:r>
      <w:r w:rsidRPr="00917415">
        <w:t>ll other studies</w:t>
      </w:r>
      <w:r w:rsidR="00794AFC" w:rsidRPr="00917415">
        <w:t xml:space="preserve"> were considered to be at a high risk of bias</w:t>
      </w:r>
      <w:r w:rsidRPr="00917415">
        <w:t xml:space="preserve"> due to their study design, being small, single arm, non-comparative studies</w:t>
      </w:r>
      <w:r w:rsidR="00085385" w:rsidRPr="00917415">
        <w:t>.</w:t>
      </w:r>
      <w:r w:rsidRPr="00917415">
        <w:t xml:space="preserve"> </w:t>
      </w:r>
    </w:p>
    <w:p w14:paraId="6151D855" w14:textId="4A43CACF" w:rsidR="000242BE" w:rsidRPr="00917415" w:rsidRDefault="000242BE" w:rsidP="00516F35">
      <w:pPr>
        <w:pStyle w:val="3-BodyText"/>
      </w:pPr>
      <w:r w:rsidRPr="00917415">
        <w:t xml:space="preserve">The </w:t>
      </w:r>
      <w:r w:rsidR="00111D95">
        <w:t xml:space="preserve">Pre-Sub-Committee </w:t>
      </w:r>
      <w:r w:rsidR="00D016F5">
        <w:t>Response (PSCR)</w:t>
      </w:r>
      <w:r w:rsidRPr="00917415">
        <w:t xml:space="preserve"> argued that the nature of the disease being rare and having a high mortality rate, meant that “single arm trials are the ethical and appropriate design for this group”. </w:t>
      </w:r>
      <w:r w:rsidR="00B67AAE" w:rsidRPr="00917415">
        <w:t>However, t</w:t>
      </w:r>
      <w:r w:rsidRPr="00917415">
        <w:t xml:space="preserve">he </w:t>
      </w:r>
      <w:r w:rsidR="000217F5" w:rsidRPr="00917415">
        <w:t>PBAC noted comparative studies against active comparators would be possible.</w:t>
      </w:r>
    </w:p>
    <w:p w14:paraId="1BE51CE2" w14:textId="77777777" w:rsidR="00266C14" w:rsidRPr="00917415" w:rsidRDefault="00B26749" w:rsidP="00516F35">
      <w:pPr>
        <w:pStyle w:val="3-BodyText"/>
      </w:pPr>
      <w:r w:rsidRPr="00917415">
        <w:t>The</w:t>
      </w:r>
      <w:r w:rsidR="00B67AAE" w:rsidRPr="00917415">
        <w:t xml:space="preserve"> PBAC noted there were </w:t>
      </w:r>
      <w:r w:rsidRPr="00917415">
        <w:t>s</w:t>
      </w:r>
      <w:r w:rsidR="00266C14" w:rsidRPr="00917415">
        <w:t>ome important study differences.</w:t>
      </w:r>
    </w:p>
    <w:p w14:paraId="3F91C213" w14:textId="77777777" w:rsidR="003B22C1" w:rsidRPr="00917415" w:rsidRDefault="003B22C1" w:rsidP="00516F35">
      <w:pPr>
        <w:ind w:left="709"/>
        <w:rPr>
          <w:i/>
          <w:iCs/>
          <w:szCs w:val="22"/>
          <w:lang w:eastAsia="en-US"/>
        </w:rPr>
      </w:pPr>
      <w:r w:rsidRPr="00917415">
        <w:rPr>
          <w:b/>
          <w:i/>
          <w:iCs/>
          <w:szCs w:val="22"/>
          <w:lang w:eastAsia="en-US"/>
        </w:rPr>
        <w:t xml:space="preserve">For studies conducted in symptomatic SMA </w:t>
      </w:r>
      <w:r w:rsidR="00B26749" w:rsidRPr="00917415">
        <w:rPr>
          <w:b/>
          <w:i/>
          <w:iCs/>
          <w:szCs w:val="22"/>
          <w:lang w:eastAsia="en-US"/>
        </w:rPr>
        <w:t>T</w:t>
      </w:r>
      <w:r w:rsidRPr="00917415">
        <w:rPr>
          <w:b/>
          <w:i/>
          <w:iCs/>
          <w:szCs w:val="22"/>
          <w:lang w:eastAsia="en-US"/>
        </w:rPr>
        <w:t>ype I patients</w:t>
      </w:r>
    </w:p>
    <w:p w14:paraId="55CF20AD" w14:textId="77777777" w:rsidR="003B22C1" w:rsidRPr="00917415" w:rsidRDefault="003B22C1" w:rsidP="00516F35">
      <w:pPr>
        <w:pStyle w:val="ListParagraph"/>
        <w:numPr>
          <w:ilvl w:val="0"/>
          <w:numId w:val="10"/>
        </w:numPr>
        <w:ind w:left="993" w:hanging="284"/>
      </w:pPr>
      <w:r w:rsidRPr="00917415">
        <w:rPr>
          <w:b/>
          <w:iCs/>
          <w:szCs w:val="22"/>
          <w:lang w:eastAsia="en-US"/>
        </w:rPr>
        <w:t>Baseline age:</w:t>
      </w:r>
      <w:r w:rsidRPr="00917415">
        <w:rPr>
          <w:iCs/>
          <w:szCs w:val="22"/>
          <w:lang w:eastAsia="en-US"/>
        </w:rPr>
        <w:t xml:space="preserve"> The ages at start of treatment in the ONA studies (3.4, 3.7 and 4.1 months in START Cohort 2, STR1VE-US and STR1VE-EU, respectively) were lower compared to the </w:t>
      </w:r>
      <w:r w:rsidR="00EE09B5" w:rsidRPr="00917415">
        <w:rPr>
          <w:iCs/>
          <w:szCs w:val="22"/>
          <w:lang w:eastAsia="en-US"/>
        </w:rPr>
        <w:t>NUSI</w:t>
      </w:r>
      <w:r w:rsidRPr="00917415">
        <w:rPr>
          <w:iCs/>
          <w:szCs w:val="22"/>
          <w:lang w:eastAsia="en-US"/>
        </w:rPr>
        <w:t xml:space="preserve"> studies (5.4 and 6.0 months for ENDEAR </w:t>
      </w:r>
      <w:r w:rsidR="00EE09B5" w:rsidRPr="00917415">
        <w:rPr>
          <w:iCs/>
          <w:szCs w:val="22"/>
          <w:lang w:eastAsia="en-US"/>
        </w:rPr>
        <w:t>NUSI</w:t>
      </w:r>
      <w:r w:rsidRPr="00917415">
        <w:rPr>
          <w:iCs/>
          <w:szCs w:val="22"/>
          <w:lang w:eastAsia="en-US"/>
        </w:rPr>
        <w:t xml:space="preserve"> and control groups, respectively, and 4.6 months for CS3A approved dose subgroup). The </w:t>
      </w:r>
      <w:r w:rsidRPr="00917415">
        <w:rPr>
          <w:iCs/>
          <w:szCs w:val="22"/>
          <w:lang w:eastAsia="en-US"/>
        </w:rPr>
        <w:lastRenderedPageBreak/>
        <w:t xml:space="preserve">median age at first </w:t>
      </w:r>
      <w:r w:rsidR="00EE09B5" w:rsidRPr="00917415">
        <w:rPr>
          <w:iCs/>
          <w:szCs w:val="22"/>
          <w:lang w:eastAsia="en-US"/>
        </w:rPr>
        <w:t>NUSI</w:t>
      </w:r>
      <w:r w:rsidRPr="00917415">
        <w:rPr>
          <w:iCs/>
          <w:szCs w:val="22"/>
          <w:lang w:eastAsia="en-US"/>
        </w:rPr>
        <w:t xml:space="preserve"> injection was even older in the EAP studies, 21.3 months and 20.0 months in EAP and EAP-AU, respectively. </w:t>
      </w:r>
    </w:p>
    <w:p w14:paraId="06257B85" w14:textId="77777777" w:rsidR="003B22C1" w:rsidRPr="00917415" w:rsidRDefault="003B22C1" w:rsidP="00516F35">
      <w:pPr>
        <w:pStyle w:val="ListParagraph"/>
        <w:numPr>
          <w:ilvl w:val="0"/>
          <w:numId w:val="10"/>
        </w:numPr>
        <w:ind w:left="993" w:hanging="284"/>
        <w:rPr>
          <w:iCs/>
          <w:szCs w:val="22"/>
          <w:lang w:eastAsia="en-US"/>
        </w:rPr>
      </w:pPr>
      <w:r w:rsidRPr="00917415">
        <w:rPr>
          <w:b/>
          <w:iCs/>
          <w:szCs w:val="22"/>
          <w:lang w:eastAsia="en-US"/>
        </w:rPr>
        <w:t>Disease duration:</w:t>
      </w:r>
      <w:r w:rsidRPr="00917415">
        <w:rPr>
          <w:iCs/>
          <w:szCs w:val="22"/>
          <w:lang w:eastAsia="en-US"/>
        </w:rPr>
        <w:t xml:space="preserve"> </w:t>
      </w:r>
      <w:r w:rsidR="00730E33" w:rsidRPr="00917415">
        <w:rPr>
          <w:iCs/>
          <w:szCs w:val="22"/>
          <w:lang w:eastAsia="en-US"/>
        </w:rPr>
        <w:t>M</w:t>
      </w:r>
      <w:r w:rsidRPr="00917415">
        <w:rPr>
          <w:iCs/>
          <w:szCs w:val="22"/>
          <w:lang w:eastAsia="en-US"/>
        </w:rPr>
        <w:t xml:space="preserve">ean disease duration (where reported) was shorter in the ONA studies (2 months in START and 1.8 months in STR1VE-US) compared to </w:t>
      </w:r>
      <w:r w:rsidR="00EE09B5" w:rsidRPr="00917415">
        <w:rPr>
          <w:iCs/>
          <w:szCs w:val="22"/>
          <w:lang w:eastAsia="en-US"/>
        </w:rPr>
        <w:t>NUSI</w:t>
      </w:r>
      <w:r w:rsidRPr="00917415">
        <w:rPr>
          <w:iCs/>
          <w:szCs w:val="22"/>
          <w:lang w:eastAsia="en-US"/>
        </w:rPr>
        <w:t xml:space="preserve"> (3.6 months and 3.8 months for </w:t>
      </w:r>
      <w:r w:rsidR="00EE09B5" w:rsidRPr="00917415">
        <w:rPr>
          <w:iCs/>
          <w:szCs w:val="22"/>
          <w:lang w:eastAsia="en-US"/>
        </w:rPr>
        <w:t>NUSI</w:t>
      </w:r>
      <w:r w:rsidRPr="00917415">
        <w:rPr>
          <w:iCs/>
          <w:szCs w:val="22"/>
          <w:lang w:eastAsia="en-US"/>
        </w:rPr>
        <w:t xml:space="preserve"> and control arms, respectively, in ENDEAR). </w:t>
      </w:r>
    </w:p>
    <w:p w14:paraId="67005BA8" w14:textId="77777777" w:rsidR="003B22C1" w:rsidRPr="00917415" w:rsidRDefault="003B22C1" w:rsidP="00516F35">
      <w:pPr>
        <w:pStyle w:val="ListParagraph"/>
        <w:numPr>
          <w:ilvl w:val="0"/>
          <w:numId w:val="10"/>
        </w:numPr>
        <w:ind w:left="993" w:hanging="284"/>
        <w:rPr>
          <w:lang w:eastAsia="en-US"/>
        </w:rPr>
      </w:pPr>
      <w:r w:rsidRPr="00917415">
        <w:rPr>
          <w:b/>
          <w:lang w:eastAsia="en-US"/>
        </w:rPr>
        <w:t>Ventilatory support:</w:t>
      </w:r>
      <w:r w:rsidRPr="00917415">
        <w:rPr>
          <w:lang w:eastAsia="en-US"/>
        </w:rPr>
        <w:t xml:space="preserve"> </w:t>
      </w:r>
      <w:r w:rsidR="0077074E" w:rsidRPr="00917415">
        <w:rPr>
          <w:lang w:eastAsia="en-US"/>
        </w:rPr>
        <w:t xml:space="preserve">All ONA studies excluded patients </w:t>
      </w:r>
      <w:r w:rsidR="00BA689D" w:rsidRPr="00917415">
        <w:rPr>
          <w:lang w:eastAsia="en-US"/>
        </w:rPr>
        <w:t>needing</w:t>
      </w:r>
      <w:r w:rsidR="0077074E" w:rsidRPr="00917415">
        <w:rPr>
          <w:lang w:eastAsia="en-US"/>
        </w:rPr>
        <w:t xml:space="preserve"> invasive ventilatory support </w:t>
      </w:r>
      <w:r w:rsidR="00BA689D" w:rsidRPr="00917415">
        <w:rPr>
          <w:lang w:eastAsia="en-US"/>
        </w:rPr>
        <w:t xml:space="preserve">or </w:t>
      </w:r>
      <w:r w:rsidR="0077074E" w:rsidRPr="00917415">
        <w:rPr>
          <w:lang w:eastAsia="en-US"/>
        </w:rPr>
        <w:t>non-invasive ventilatory support</w:t>
      </w:r>
      <w:r w:rsidR="00746175" w:rsidRPr="00917415">
        <w:rPr>
          <w:lang w:eastAsia="en-US"/>
        </w:rPr>
        <w:t xml:space="preserve"> (</w:t>
      </w:r>
      <w:r w:rsidR="00BA689D" w:rsidRPr="00917415">
        <w:rPr>
          <w:lang w:eastAsia="en-US"/>
        </w:rPr>
        <w:t xml:space="preserve">for </w:t>
      </w:r>
      <w:r w:rsidR="00746175" w:rsidRPr="00917415">
        <w:rPr>
          <w:rFonts w:cs="Calibri"/>
        </w:rPr>
        <w:t>≥</w:t>
      </w:r>
      <w:r w:rsidR="00746175" w:rsidRPr="00917415">
        <w:t xml:space="preserve"> 16 hours/day in START, </w:t>
      </w:r>
      <w:r w:rsidR="00746175" w:rsidRPr="00917415">
        <w:rPr>
          <w:rFonts w:cs="Calibri"/>
        </w:rPr>
        <w:t>≥</w:t>
      </w:r>
      <w:r w:rsidR="00746175" w:rsidRPr="00917415">
        <w:t xml:space="preserve"> 6 hours/day in the STR1VE studies, and for any duration in SPR1NT)</w:t>
      </w:r>
      <w:r w:rsidR="0077074E" w:rsidRPr="00917415">
        <w:rPr>
          <w:lang w:eastAsia="en-US"/>
        </w:rPr>
        <w:t xml:space="preserve">, whereas these exclusion criteria did not apply in the </w:t>
      </w:r>
      <w:r w:rsidR="00EE09B5" w:rsidRPr="00917415">
        <w:rPr>
          <w:lang w:eastAsia="en-US"/>
        </w:rPr>
        <w:t>NUSI</w:t>
      </w:r>
      <w:r w:rsidR="0077074E" w:rsidRPr="00917415">
        <w:rPr>
          <w:lang w:eastAsia="en-US"/>
        </w:rPr>
        <w:t xml:space="preserve"> studies</w:t>
      </w:r>
      <w:r w:rsidR="00C76A47" w:rsidRPr="00917415">
        <w:rPr>
          <w:lang w:eastAsia="en-US"/>
        </w:rPr>
        <w:t>.</w:t>
      </w:r>
      <w:r w:rsidR="0077074E" w:rsidRPr="00917415">
        <w:rPr>
          <w:lang w:eastAsia="en-US"/>
        </w:rPr>
        <w:t xml:space="preserve"> </w:t>
      </w:r>
      <w:r w:rsidRPr="00917415">
        <w:rPr>
          <w:lang w:eastAsia="en-US"/>
        </w:rPr>
        <w:t xml:space="preserve">No patient in STR1VE-US reported the need for ventilatory support at baseline compared to 17% of START, 27.3% of STR1VE-EU and 26.3% and 14.3% of the ENDEAR </w:t>
      </w:r>
      <w:r w:rsidR="00EE09B5" w:rsidRPr="00917415">
        <w:rPr>
          <w:lang w:eastAsia="en-US"/>
        </w:rPr>
        <w:t>NUSI</w:t>
      </w:r>
      <w:r w:rsidRPr="00917415">
        <w:rPr>
          <w:lang w:eastAsia="en-US"/>
        </w:rPr>
        <w:t xml:space="preserve"> and control groups </w:t>
      </w:r>
      <w:r w:rsidRPr="00917415">
        <w:rPr>
          <w:iCs/>
          <w:szCs w:val="22"/>
          <w:lang w:eastAsia="en-US"/>
        </w:rPr>
        <w:t>respectively</w:t>
      </w:r>
      <w:r w:rsidRPr="00917415">
        <w:rPr>
          <w:lang w:eastAsia="en-US"/>
        </w:rPr>
        <w:t>.</w:t>
      </w:r>
    </w:p>
    <w:p w14:paraId="13C91AAB" w14:textId="77777777" w:rsidR="003B22C1" w:rsidRPr="00917415" w:rsidRDefault="003B22C1" w:rsidP="00516F35">
      <w:pPr>
        <w:pStyle w:val="ListParagraph"/>
        <w:numPr>
          <w:ilvl w:val="0"/>
          <w:numId w:val="8"/>
        </w:numPr>
        <w:ind w:left="993" w:hanging="284"/>
        <w:rPr>
          <w:szCs w:val="22"/>
          <w:lang w:eastAsia="en-US"/>
        </w:rPr>
      </w:pPr>
      <w:r w:rsidRPr="00917415">
        <w:rPr>
          <w:b/>
          <w:lang w:eastAsia="en-US"/>
        </w:rPr>
        <w:t>Nutritional support:</w:t>
      </w:r>
      <w:r w:rsidRPr="00917415">
        <w:rPr>
          <w:lang w:eastAsia="en-US"/>
        </w:rPr>
        <w:t xml:space="preserve"> </w:t>
      </w:r>
      <w:r w:rsidR="00730E33" w:rsidRPr="00917415">
        <w:rPr>
          <w:lang w:eastAsia="en-US"/>
        </w:rPr>
        <w:t>P</w:t>
      </w:r>
      <w:r w:rsidRPr="00917415">
        <w:rPr>
          <w:lang w:eastAsia="en-US"/>
        </w:rPr>
        <w:t xml:space="preserve">atients with swallowing difficulties were excluded from </w:t>
      </w:r>
      <w:r w:rsidRPr="00917415">
        <w:rPr>
          <w:szCs w:val="22"/>
          <w:lang w:eastAsia="en-US"/>
        </w:rPr>
        <w:t>START unless they received surgery for placement of a gastrostomy or nasogastric tube</w:t>
      </w:r>
      <w:r w:rsidRPr="00917415">
        <w:rPr>
          <w:szCs w:val="22"/>
          <w:vertAlign w:val="superscript"/>
          <w:lang w:eastAsia="en-US"/>
        </w:rPr>
        <w:t>7</w:t>
      </w:r>
      <w:r w:rsidRPr="00917415">
        <w:rPr>
          <w:szCs w:val="22"/>
          <w:lang w:eastAsia="en-US"/>
        </w:rPr>
        <w:t xml:space="preserve">, </w:t>
      </w:r>
      <w:r w:rsidR="00730E33" w:rsidRPr="00917415">
        <w:rPr>
          <w:szCs w:val="22"/>
          <w:lang w:eastAsia="en-US"/>
        </w:rPr>
        <w:t xml:space="preserve">so </w:t>
      </w:r>
      <w:r w:rsidRPr="00917415">
        <w:rPr>
          <w:szCs w:val="22"/>
          <w:lang w:eastAsia="en-US"/>
        </w:rPr>
        <w:t xml:space="preserve">the proportion of patients requiring nutritional support was higher for START (41.7%) compared to other ONA and </w:t>
      </w:r>
      <w:r w:rsidR="00EE09B5" w:rsidRPr="00917415">
        <w:rPr>
          <w:szCs w:val="22"/>
          <w:lang w:eastAsia="en-US"/>
        </w:rPr>
        <w:t>NUSI</w:t>
      </w:r>
      <w:r w:rsidRPr="00917415">
        <w:rPr>
          <w:szCs w:val="22"/>
          <w:lang w:eastAsia="en-US"/>
        </w:rPr>
        <w:t xml:space="preserve"> studies (</w:t>
      </w:r>
      <w:r w:rsidR="00401E4D" w:rsidRPr="00917415">
        <w:rPr>
          <w:szCs w:val="22"/>
          <w:lang w:eastAsia="en-US"/>
        </w:rPr>
        <w:t>e.g.</w:t>
      </w:r>
      <w:r w:rsidRPr="00917415">
        <w:rPr>
          <w:szCs w:val="22"/>
          <w:lang w:eastAsia="en-US"/>
        </w:rPr>
        <w:t>, 0</w:t>
      </w:r>
      <w:r w:rsidRPr="00917415">
        <w:rPr>
          <w:lang w:eastAsia="en-US"/>
        </w:rPr>
        <w:t xml:space="preserve">% and 30.3% in STR1VE-US and STR1VE-EU and 8.8% and 12.2% for ENDEAR </w:t>
      </w:r>
      <w:r w:rsidR="00EE09B5" w:rsidRPr="00917415">
        <w:rPr>
          <w:lang w:eastAsia="en-US"/>
        </w:rPr>
        <w:t>NUSI</w:t>
      </w:r>
      <w:r w:rsidRPr="00917415">
        <w:rPr>
          <w:lang w:eastAsia="en-US"/>
        </w:rPr>
        <w:t xml:space="preserve"> and control group respectively).</w:t>
      </w:r>
    </w:p>
    <w:p w14:paraId="2510D569" w14:textId="77777777" w:rsidR="003B22C1" w:rsidRPr="00917415" w:rsidRDefault="003B22C1" w:rsidP="00516F35">
      <w:pPr>
        <w:pStyle w:val="ListBullet"/>
        <w:numPr>
          <w:ilvl w:val="0"/>
          <w:numId w:val="10"/>
        </w:numPr>
        <w:spacing w:after="120"/>
        <w:ind w:left="993" w:hanging="284"/>
        <w:rPr>
          <w:lang w:eastAsia="en-US"/>
        </w:rPr>
      </w:pPr>
      <w:r w:rsidRPr="00917415">
        <w:rPr>
          <w:b/>
          <w:lang w:eastAsia="en-US"/>
        </w:rPr>
        <w:t>CHOP-INTEND</w:t>
      </w:r>
      <w:r w:rsidR="009E5552" w:rsidRPr="00917415">
        <w:rPr>
          <w:b/>
          <w:lang w:eastAsia="en-US"/>
        </w:rPr>
        <w:t xml:space="preserve"> (Children’s Hospital of Philadelphia Infant Test of Neuromuscular Disorders)</w:t>
      </w:r>
      <w:r w:rsidRPr="00917415">
        <w:rPr>
          <w:b/>
          <w:lang w:eastAsia="en-US"/>
        </w:rPr>
        <w:t>:</w:t>
      </w:r>
      <w:r w:rsidRPr="00917415">
        <w:rPr>
          <w:lang w:eastAsia="en-US"/>
        </w:rPr>
        <w:t xml:space="preserve"> Higher baseline mean CHOP-INTEND scores indicating better motor function for those enrolled in the ONA studies (</w:t>
      </w:r>
      <w:r w:rsidR="00401E4D" w:rsidRPr="00917415">
        <w:rPr>
          <w:lang w:eastAsia="en-US"/>
        </w:rPr>
        <w:t>i.e.</w:t>
      </w:r>
      <w:r w:rsidRPr="00917415">
        <w:rPr>
          <w:lang w:eastAsia="en-US"/>
        </w:rPr>
        <w:t xml:space="preserve">, STR1VE-US 32 and START 28) compared to the </w:t>
      </w:r>
      <w:r w:rsidR="00EE09B5" w:rsidRPr="00917415">
        <w:rPr>
          <w:lang w:eastAsia="en-US"/>
        </w:rPr>
        <w:t>NUSI</w:t>
      </w:r>
      <w:r w:rsidRPr="00917415">
        <w:rPr>
          <w:lang w:eastAsia="en-US"/>
        </w:rPr>
        <w:t xml:space="preserve"> studies (ENDEAR 26.6 and 28.4 for </w:t>
      </w:r>
      <w:r w:rsidR="00EE09B5" w:rsidRPr="00917415">
        <w:rPr>
          <w:lang w:eastAsia="en-US"/>
        </w:rPr>
        <w:t>NUSI</w:t>
      </w:r>
      <w:r w:rsidRPr="00917415">
        <w:rPr>
          <w:lang w:eastAsia="en-US"/>
        </w:rPr>
        <w:t xml:space="preserve"> and placebo arms respectively and 26.7 and 17.3 in SHINE for previous </w:t>
      </w:r>
      <w:r w:rsidR="00EE09B5" w:rsidRPr="00917415">
        <w:rPr>
          <w:lang w:eastAsia="en-US"/>
        </w:rPr>
        <w:t>NUSI</w:t>
      </w:r>
      <w:r w:rsidRPr="00917415">
        <w:rPr>
          <w:lang w:eastAsia="en-US"/>
        </w:rPr>
        <w:t xml:space="preserve"> and control arm patients respectively). Two of the 12 (17%) patients in START cohort 2 also had baseline scores above the range expected for symptomatic Type I patients (</w:t>
      </w:r>
      <w:r w:rsidR="00401E4D" w:rsidRPr="00917415">
        <w:rPr>
          <w:lang w:eastAsia="en-US"/>
        </w:rPr>
        <w:t>i.e.</w:t>
      </w:r>
      <w:r w:rsidRPr="00917415">
        <w:rPr>
          <w:lang w:eastAsia="en-US"/>
        </w:rPr>
        <w:t>, above 40)</w:t>
      </w:r>
      <w:r w:rsidR="000242BE" w:rsidRPr="00917415">
        <w:rPr>
          <w:lang w:eastAsia="en-US"/>
        </w:rPr>
        <w:t xml:space="preserve">. </w:t>
      </w:r>
    </w:p>
    <w:p w14:paraId="11D7D4F8" w14:textId="77777777" w:rsidR="003B22C1" w:rsidRPr="00917415" w:rsidRDefault="003B22C1" w:rsidP="00CC18E5">
      <w:pPr>
        <w:ind w:left="709"/>
        <w:rPr>
          <w:b/>
          <w:i/>
          <w:iCs/>
          <w:szCs w:val="22"/>
          <w:lang w:eastAsia="en-US"/>
        </w:rPr>
      </w:pPr>
      <w:r w:rsidRPr="00917415">
        <w:rPr>
          <w:b/>
          <w:i/>
          <w:iCs/>
          <w:szCs w:val="22"/>
          <w:lang w:eastAsia="en-US"/>
        </w:rPr>
        <w:t>Differences across the natural history studies</w:t>
      </w:r>
    </w:p>
    <w:p w14:paraId="2011EDEF" w14:textId="77777777" w:rsidR="007F1755" w:rsidRPr="00917415" w:rsidRDefault="003B22C1" w:rsidP="00516F35">
      <w:pPr>
        <w:pStyle w:val="ListBullet"/>
        <w:numPr>
          <w:ilvl w:val="0"/>
          <w:numId w:val="10"/>
        </w:numPr>
        <w:spacing w:after="120"/>
        <w:ind w:left="993" w:hanging="284"/>
        <w:rPr>
          <w:lang w:eastAsia="en-US"/>
        </w:rPr>
      </w:pPr>
      <w:r w:rsidRPr="00917415">
        <w:rPr>
          <w:lang w:eastAsia="en-US"/>
        </w:rPr>
        <w:t xml:space="preserve">The key </w:t>
      </w:r>
      <w:r w:rsidRPr="00917415">
        <w:rPr>
          <w:iCs/>
          <w:szCs w:val="22"/>
          <w:lang w:eastAsia="en-US"/>
        </w:rPr>
        <w:t>differences</w:t>
      </w:r>
      <w:r w:rsidRPr="00917415">
        <w:rPr>
          <w:lang w:eastAsia="en-US"/>
        </w:rPr>
        <w:t xml:space="preserve"> were the time period and country of conduct, with the </w:t>
      </w:r>
      <w:r w:rsidRPr="00917415">
        <w:rPr>
          <w:iCs/>
          <w:szCs w:val="22"/>
          <w:lang w:eastAsia="en-US"/>
        </w:rPr>
        <w:t>data</w:t>
      </w:r>
      <w:r w:rsidRPr="00917415">
        <w:rPr>
          <w:lang w:eastAsia="en-US"/>
        </w:rPr>
        <w:t xml:space="preserve"> periods spanning 4 decades and studies conducted across Asia, Europe, US and Australia</w:t>
      </w:r>
      <w:r w:rsidR="00FA5291" w:rsidRPr="00917415">
        <w:rPr>
          <w:lang w:eastAsia="en-US"/>
        </w:rPr>
        <w:t>.</w:t>
      </w:r>
      <w:r w:rsidR="00AF6606" w:rsidRPr="00917415">
        <w:rPr>
          <w:lang w:eastAsia="en-US"/>
        </w:rPr>
        <w:t xml:space="preserve"> </w:t>
      </w:r>
    </w:p>
    <w:p w14:paraId="6AE1BA5F" w14:textId="77777777" w:rsidR="00C9060F" w:rsidRPr="00917415" w:rsidRDefault="00C9060F" w:rsidP="00516F35">
      <w:pPr>
        <w:pStyle w:val="3-BodyText"/>
      </w:pPr>
      <w:r w:rsidRPr="00917415">
        <w:t>In contrast, the SPR1NT (ONA) and NURTURE (NUSI) studies were conducted in pre-symptomatic patients and included patients who were younger and healthier than patients in the symptomatic studies. This was evident in their generally higher baseline CHOP intend scores (&gt;40, indicating a lack of SMA symptoms).</w:t>
      </w:r>
    </w:p>
    <w:p w14:paraId="70B7B277" w14:textId="77777777" w:rsidR="007F1755" w:rsidRPr="00917415" w:rsidRDefault="00446652" w:rsidP="00516F35">
      <w:pPr>
        <w:pStyle w:val="3-BodyText"/>
        <w:keepNext/>
      </w:pPr>
      <w:r w:rsidRPr="00917415">
        <w:t>The dosages</w:t>
      </w:r>
      <w:r w:rsidR="000217F5" w:rsidRPr="00917415">
        <w:t xml:space="preserve"> of ONA</w:t>
      </w:r>
      <w:r w:rsidRPr="00917415">
        <w:t xml:space="preserve"> used in </w:t>
      </w:r>
      <w:r w:rsidR="007F1755" w:rsidRPr="00917415">
        <w:t>Cohort 1 and Cohort 3 of START</w:t>
      </w:r>
      <w:r w:rsidRPr="00917415">
        <w:t xml:space="preserve"> </w:t>
      </w:r>
      <w:r w:rsidR="007F1755" w:rsidRPr="00917415">
        <w:t>were lower and higher than the</w:t>
      </w:r>
      <w:r w:rsidR="000217F5" w:rsidRPr="00917415">
        <w:t xml:space="preserve"> PI</w:t>
      </w:r>
      <w:r w:rsidR="007F1755" w:rsidRPr="00917415">
        <w:t xml:space="preserve"> recommended dose respectively</w:t>
      </w:r>
      <w:r w:rsidR="00917415">
        <w:t xml:space="preserve">. </w:t>
      </w:r>
      <w:r w:rsidR="007F1755" w:rsidRPr="00917415">
        <w:t xml:space="preserve">Therefore, only results from </w:t>
      </w:r>
      <w:r w:rsidRPr="00917415">
        <w:t xml:space="preserve">Cohort 2 of START </w:t>
      </w:r>
      <w:r w:rsidR="002C0DEE" w:rsidRPr="00917415">
        <w:t>are directly</w:t>
      </w:r>
      <w:r w:rsidRPr="00917415">
        <w:t xml:space="preserve"> relevant to the </w:t>
      </w:r>
      <w:r w:rsidR="00C9060F" w:rsidRPr="00917415">
        <w:t>submission</w:t>
      </w:r>
      <w:r w:rsidRPr="00917415">
        <w:t>.</w:t>
      </w:r>
      <w:r w:rsidR="00BE4304" w:rsidRPr="00917415">
        <w:t xml:space="preserve"> Use of prednisolone pre- and post-treatment in the ONA studies </w:t>
      </w:r>
      <w:r w:rsidR="000242BE" w:rsidRPr="00917415">
        <w:t xml:space="preserve">was </w:t>
      </w:r>
      <w:r w:rsidR="00BE4304" w:rsidRPr="00917415">
        <w:t>consistent with the recommendations in the PI.</w:t>
      </w:r>
      <w:r w:rsidR="007E25D4">
        <w:t xml:space="preserve"> </w:t>
      </w:r>
      <w:r w:rsidR="007F1755" w:rsidRPr="00917415">
        <w:t>Median follow up in the ONA studies (up 2 years) w</w:t>
      </w:r>
      <w:r w:rsidR="00CF08CF" w:rsidRPr="00917415">
        <w:t>as</w:t>
      </w:r>
      <w:r w:rsidR="007F1755" w:rsidRPr="00917415">
        <w:t xml:space="preserve"> generally longer than the </w:t>
      </w:r>
      <w:r w:rsidR="00EE09B5" w:rsidRPr="00917415">
        <w:t>NUSI</w:t>
      </w:r>
      <w:r w:rsidR="007F1755" w:rsidRPr="00917415">
        <w:t xml:space="preserve"> studies (less than 12 months), however for both ONA and </w:t>
      </w:r>
      <w:r w:rsidR="00EE09B5" w:rsidRPr="00917415">
        <w:t>NUSI</w:t>
      </w:r>
      <w:r w:rsidR="00AD1A5C" w:rsidRPr="00917415">
        <w:t>,</w:t>
      </w:r>
      <w:r w:rsidR="007F1755" w:rsidRPr="00917415">
        <w:t xml:space="preserve"> patients </w:t>
      </w:r>
      <w:r w:rsidR="000242BE" w:rsidRPr="00917415">
        <w:t>were</w:t>
      </w:r>
      <w:r w:rsidR="007F1755" w:rsidRPr="00917415">
        <w:t xml:space="preserve"> rolled over into</w:t>
      </w:r>
      <w:r w:rsidR="00CF08CF" w:rsidRPr="00917415">
        <w:t xml:space="preserve"> </w:t>
      </w:r>
      <w:r w:rsidR="007F1755" w:rsidRPr="00917415">
        <w:t>long term follow up stud</w:t>
      </w:r>
      <w:r w:rsidR="000217F5" w:rsidRPr="00917415">
        <w:t>ies</w:t>
      </w:r>
      <w:r w:rsidR="007F1755" w:rsidRPr="00917415">
        <w:t xml:space="preserve">, with the long term study for ONA, START-LT </w:t>
      </w:r>
      <w:r w:rsidR="007F1755" w:rsidRPr="00917415">
        <w:lastRenderedPageBreak/>
        <w:t>planning to follow patients for 15 years</w:t>
      </w:r>
      <w:r w:rsidR="000217F5" w:rsidRPr="00917415">
        <w:t xml:space="preserve">, </w:t>
      </w:r>
      <w:r w:rsidR="007F1755" w:rsidRPr="00917415">
        <w:t xml:space="preserve">and the long term follow up study for </w:t>
      </w:r>
      <w:r w:rsidR="00EE09B5" w:rsidRPr="00917415">
        <w:t>NUSI</w:t>
      </w:r>
      <w:r w:rsidR="007F1755" w:rsidRPr="00917415">
        <w:t>, SHINE, planning to follow patients up to 5 years</w:t>
      </w:r>
      <w:r w:rsidR="000217F5" w:rsidRPr="00917415">
        <w:t>.</w:t>
      </w:r>
      <w:r w:rsidR="007F1755" w:rsidRPr="00917415">
        <w:t xml:space="preserve"> </w:t>
      </w:r>
      <w:r w:rsidR="00367E1F" w:rsidRPr="00917415">
        <w:t xml:space="preserve">As SHINE enrolled patients from other trials of </w:t>
      </w:r>
      <w:r w:rsidR="00EE09B5" w:rsidRPr="00917415">
        <w:t>NUSI</w:t>
      </w:r>
      <w:r w:rsidR="00367E1F" w:rsidRPr="00917415">
        <w:t>, the only results presented in the submission were for patients who were originally enrolled in ENDEAR.</w:t>
      </w:r>
      <w:r w:rsidR="009E4289" w:rsidRPr="00917415">
        <w:t xml:space="preserve"> The PSCR noted that from the single-arm </w:t>
      </w:r>
      <w:r w:rsidR="00994DAE" w:rsidRPr="00917415">
        <w:t xml:space="preserve">ONA </w:t>
      </w:r>
      <w:r w:rsidR="009E4289" w:rsidRPr="00917415">
        <w:t>trials, all children in the original Phase 1 study are still alive at a mean age of 4.8 years (START-LT) – noting the life expectancy of patients with Type I SMA is “considered to be 2 years of age”.</w:t>
      </w:r>
      <w:r w:rsidR="00073338" w:rsidRPr="00917415">
        <w:t xml:space="preserve"> The </w:t>
      </w:r>
      <w:r w:rsidR="002F17E6" w:rsidRPr="00917415">
        <w:t>PBAC</w:t>
      </w:r>
      <w:r w:rsidR="00073338" w:rsidRPr="00917415">
        <w:t xml:space="preserve"> noted that only 13 of the 15 patients from START are reflected in the</w:t>
      </w:r>
      <w:r w:rsidR="00B83EC4" w:rsidRPr="00917415">
        <w:t xml:space="preserve"> OS</w:t>
      </w:r>
      <w:r w:rsidR="00073338" w:rsidRPr="00917415">
        <w:t xml:space="preserve"> results for START-LT however, SHINE </w:t>
      </w:r>
      <w:r w:rsidR="00B83EC4" w:rsidRPr="00917415">
        <w:t xml:space="preserve">OS results included data from 81 patients treated with </w:t>
      </w:r>
      <w:r w:rsidR="00EE09B5" w:rsidRPr="00917415">
        <w:t>NUSI</w:t>
      </w:r>
      <w:r w:rsidR="00B83EC4" w:rsidRPr="00917415">
        <w:t>.</w:t>
      </w:r>
      <w:r w:rsidR="00073338" w:rsidRPr="00917415">
        <w:t xml:space="preserve"> </w:t>
      </w:r>
    </w:p>
    <w:p w14:paraId="5246650F" w14:textId="77777777" w:rsidR="00B60939" w:rsidRPr="00917415" w:rsidRDefault="00B60939" w:rsidP="00516F35">
      <w:pPr>
        <w:pStyle w:val="4-SubsectionHeading"/>
      </w:pPr>
      <w:bookmarkStart w:id="11" w:name="_Toc22897641"/>
      <w:bookmarkStart w:id="12" w:name="_Toc51152456"/>
      <w:r w:rsidRPr="00917415">
        <w:t>Comparative effectiveness</w:t>
      </w:r>
      <w:bookmarkEnd w:id="11"/>
      <w:bookmarkEnd w:id="12"/>
    </w:p>
    <w:p w14:paraId="719FC497" w14:textId="77777777" w:rsidR="0017530E" w:rsidRPr="00917415" w:rsidRDefault="000242BE" w:rsidP="00516F35">
      <w:pPr>
        <w:pStyle w:val="3-BodyText"/>
        <w:rPr>
          <w:rFonts w:cstheme="minorHAnsi"/>
        </w:rPr>
      </w:pPr>
      <w:r w:rsidRPr="00917415">
        <w:rPr>
          <w:rFonts w:cstheme="minorHAnsi"/>
        </w:rPr>
        <w:t>E</w:t>
      </w:r>
      <w:r w:rsidR="00B83EC4" w:rsidRPr="00917415">
        <w:rPr>
          <w:rFonts w:cstheme="minorHAnsi"/>
        </w:rPr>
        <w:t xml:space="preserve">fficacy outcome </w:t>
      </w:r>
      <w:r w:rsidR="007A032D" w:rsidRPr="00917415">
        <w:rPr>
          <w:rFonts w:cstheme="minorHAnsi"/>
        </w:rPr>
        <w:t xml:space="preserve">results were </w:t>
      </w:r>
      <w:r w:rsidR="00B44C74" w:rsidRPr="00917415">
        <w:rPr>
          <w:rFonts w:cstheme="minorHAnsi"/>
        </w:rPr>
        <w:t>summarised during the evaluation and are</w:t>
      </w:r>
      <w:r w:rsidR="0017530E" w:rsidRPr="00917415">
        <w:rPr>
          <w:rFonts w:cstheme="minorHAnsi"/>
        </w:rPr>
        <w:t xml:space="preserve"> presented by outcom</w:t>
      </w:r>
      <w:r w:rsidR="007A032D" w:rsidRPr="00917415">
        <w:rPr>
          <w:rFonts w:cstheme="minorHAnsi"/>
        </w:rPr>
        <w:t>e for</w:t>
      </w:r>
      <w:r w:rsidR="0017530E" w:rsidRPr="00917415">
        <w:rPr>
          <w:rFonts w:cstheme="minorHAnsi"/>
        </w:rPr>
        <w:t>:</w:t>
      </w:r>
      <w:r w:rsidR="00C964BC" w:rsidRPr="00917415">
        <w:rPr>
          <w:rFonts w:cstheme="minorHAnsi"/>
        </w:rPr>
        <w:t xml:space="preserve"> </w:t>
      </w:r>
      <w:r w:rsidR="007932C4" w:rsidRPr="00917415">
        <w:rPr>
          <w:rFonts w:cstheme="minorHAnsi"/>
        </w:rPr>
        <w:t xml:space="preserve">i) </w:t>
      </w:r>
      <w:r w:rsidR="004D29AF" w:rsidRPr="00917415">
        <w:rPr>
          <w:rFonts w:cstheme="minorHAnsi"/>
        </w:rPr>
        <w:t>OS,</w:t>
      </w:r>
      <w:r w:rsidR="00AC0800" w:rsidRPr="00917415">
        <w:rPr>
          <w:rFonts w:cstheme="minorHAnsi"/>
        </w:rPr>
        <w:t xml:space="preserve"> </w:t>
      </w:r>
      <w:r w:rsidR="007932C4" w:rsidRPr="00917415">
        <w:rPr>
          <w:rFonts w:cstheme="minorHAnsi"/>
        </w:rPr>
        <w:t xml:space="preserve">ii) </w:t>
      </w:r>
      <w:r w:rsidR="004D29AF" w:rsidRPr="00917415">
        <w:t>EFS</w:t>
      </w:r>
      <w:r w:rsidR="006C6F84" w:rsidRPr="00917415">
        <w:t xml:space="preserve"> </w:t>
      </w:r>
      <w:r w:rsidR="006C6F84" w:rsidRPr="00917415">
        <w:rPr>
          <w:szCs w:val="22"/>
          <w:lang w:eastAsia="en-US"/>
        </w:rPr>
        <w:t>o</w:t>
      </w:r>
      <w:r w:rsidR="0017530E" w:rsidRPr="00917415">
        <w:rPr>
          <w:szCs w:val="22"/>
          <w:lang w:eastAsia="en-US"/>
        </w:rPr>
        <w:t>r</w:t>
      </w:r>
      <w:r w:rsidR="007932C4" w:rsidRPr="00917415">
        <w:rPr>
          <w:szCs w:val="22"/>
          <w:lang w:eastAsia="en-US"/>
        </w:rPr>
        <w:t xml:space="preserve"> </w:t>
      </w:r>
      <w:r w:rsidR="006C6F84" w:rsidRPr="00917415">
        <w:rPr>
          <w:szCs w:val="22"/>
          <w:lang w:eastAsia="en-US"/>
        </w:rPr>
        <w:t>survival without need for permanent ventilation</w:t>
      </w:r>
      <w:r w:rsidR="00AC0800" w:rsidRPr="00917415">
        <w:rPr>
          <w:szCs w:val="22"/>
          <w:lang w:eastAsia="en-US"/>
        </w:rPr>
        <w:t xml:space="preserve">, </w:t>
      </w:r>
      <w:r w:rsidR="007932C4" w:rsidRPr="00917415">
        <w:rPr>
          <w:szCs w:val="22"/>
          <w:lang w:eastAsia="en-US"/>
        </w:rPr>
        <w:t>i</w:t>
      </w:r>
      <w:r w:rsidR="008625C6" w:rsidRPr="00917415">
        <w:rPr>
          <w:szCs w:val="22"/>
          <w:lang w:eastAsia="en-US"/>
        </w:rPr>
        <w:t>ii</w:t>
      </w:r>
      <w:r w:rsidR="007932C4" w:rsidRPr="00917415">
        <w:rPr>
          <w:szCs w:val="22"/>
          <w:lang w:eastAsia="en-US"/>
        </w:rPr>
        <w:t xml:space="preserve">) </w:t>
      </w:r>
      <w:r w:rsidR="00AC0800" w:rsidRPr="00917415">
        <w:rPr>
          <w:szCs w:val="22"/>
          <w:lang w:eastAsia="en-US"/>
        </w:rPr>
        <w:t>m</w:t>
      </w:r>
      <w:r w:rsidR="004D29AF" w:rsidRPr="00917415">
        <w:t>otor functioning</w:t>
      </w:r>
      <w:r w:rsidR="000217F5" w:rsidRPr="00917415">
        <w:t>,</w:t>
      </w:r>
      <w:r w:rsidR="004D29AF" w:rsidRPr="00917415">
        <w:t xml:space="preserve"> </w:t>
      </w:r>
      <w:r w:rsidR="008625C6" w:rsidRPr="00917415">
        <w:t xml:space="preserve">iv) </w:t>
      </w:r>
      <w:r w:rsidR="007932C4" w:rsidRPr="00917415">
        <w:rPr>
          <w:rFonts w:cstheme="minorHAnsi"/>
        </w:rPr>
        <w:t>f</w:t>
      </w:r>
      <w:r w:rsidR="004D29AF" w:rsidRPr="00917415">
        <w:rPr>
          <w:rFonts w:cstheme="minorHAnsi"/>
        </w:rPr>
        <w:t>eeding and ventilatory support outcomes and</w:t>
      </w:r>
      <w:r w:rsidR="008625C6" w:rsidRPr="00917415">
        <w:rPr>
          <w:rFonts w:cstheme="minorHAnsi"/>
        </w:rPr>
        <w:t xml:space="preserve"> v)</w:t>
      </w:r>
      <w:r w:rsidR="004D29AF" w:rsidRPr="00917415">
        <w:rPr>
          <w:rFonts w:cstheme="minorHAnsi"/>
        </w:rPr>
        <w:t xml:space="preserve"> </w:t>
      </w:r>
      <w:r w:rsidR="007932C4" w:rsidRPr="00917415">
        <w:rPr>
          <w:rFonts w:cstheme="minorHAnsi"/>
        </w:rPr>
        <w:t>s</w:t>
      </w:r>
      <w:r w:rsidR="004D29AF" w:rsidRPr="00917415">
        <w:rPr>
          <w:rFonts w:cstheme="minorHAnsi"/>
        </w:rPr>
        <w:t>afety</w:t>
      </w:r>
      <w:r w:rsidR="007932C4" w:rsidRPr="00917415">
        <w:rPr>
          <w:rFonts w:cstheme="minorHAnsi"/>
        </w:rPr>
        <w:t>.</w:t>
      </w:r>
      <w:r w:rsidR="00595AED" w:rsidRPr="00917415">
        <w:rPr>
          <w:rFonts w:cstheme="minorHAnsi"/>
        </w:rPr>
        <w:t xml:space="preserve"> </w:t>
      </w:r>
      <w:r w:rsidR="0017530E" w:rsidRPr="00917415">
        <w:rPr>
          <w:rFonts w:cstheme="minorHAnsi"/>
        </w:rPr>
        <w:t xml:space="preserve">These </w:t>
      </w:r>
      <w:r w:rsidR="00C964BC" w:rsidRPr="00917415">
        <w:rPr>
          <w:rFonts w:cstheme="minorHAnsi"/>
        </w:rPr>
        <w:t xml:space="preserve">outcomes were </w:t>
      </w:r>
      <w:r w:rsidR="007A032D" w:rsidRPr="00917415">
        <w:rPr>
          <w:rFonts w:cstheme="minorHAnsi"/>
        </w:rPr>
        <w:t xml:space="preserve">reported </w:t>
      </w:r>
      <w:r w:rsidR="00C37EB6" w:rsidRPr="00917415">
        <w:rPr>
          <w:rFonts w:cstheme="minorHAnsi"/>
        </w:rPr>
        <w:t>in most</w:t>
      </w:r>
      <w:r w:rsidR="00C964BC" w:rsidRPr="00917415">
        <w:rPr>
          <w:rFonts w:cstheme="minorHAnsi"/>
        </w:rPr>
        <w:t xml:space="preserve"> </w:t>
      </w:r>
      <w:r w:rsidR="007B35A1" w:rsidRPr="00917415">
        <w:rPr>
          <w:rFonts w:cstheme="minorHAnsi"/>
        </w:rPr>
        <w:t xml:space="preserve">of the </w:t>
      </w:r>
      <w:r w:rsidR="00C37EB6" w:rsidRPr="00917415">
        <w:rPr>
          <w:rFonts w:cstheme="minorHAnsi"/>
        </w:rPr>
        <w:t xml:space="preserve">included </w:t>
      </w:r>
      <w:r w:rsidR="00C964BC" w:rsidRPr="00917415">
        <w:rPr>
          <w:rFonts w:cstheme="minorHAnsi"/>
        </w:rPr>
        <w:t>studies</w:t>
      </w:r>
      <w:r w:rsidR="007A032D" w:rsidRPr="00917415">
        <w:rPr>
          <w:rFonts w:cstheme="minorHAnsi"/>
        </w:rPr>
        <w:t xml:space="preserve">, </w:t>
      </w:r>
      <w:r w:rsidR="00C964BC" w:rsidRPr="00917415">
        <w:rPr>
          <w:rFonts w:cstheme="minorHAnsi"/>
        </w:rPr>
        <w:t>although their definitions and measurement</w:t>
      </w:r>
      <w:r w:rsidR="00C37EB6" w:rsidRPr="00917415">
        <w:rPr>
          <w:rFonts w:cstheme="minorHAnsi"/>
        </w:rPr>
        <w:t>s</w:t>
      </w:r>
      <w:r w:rsidR="00C964BC" w:rsidRPr="00917415">
        <w:rPr>
          <w:rFonts w:cstheme="minorHAnsi"/>
        </w:rPr>
        <w:t xml:space="preserve"> </w:t>
      </w:r>
      <w:r w:rsidR="008B5079" w:rsidRPr="00917415">
        <w:rPr>
          <w:rFonts w:cstheme="minorHAnsi"/>
        </w:rPr>
        <w:t>including</w:t>
      </w:r>
      <w:r w:rsidR="00C964BC" w:rsidRPr="00917415">
        <w:rPr>
          <w:rFonts w:cstheme="minorHAnsi"/>
        </w:rPr>
        <w:t xml:space="preserve"> scales used and </w:t>
      </w:r>
      <w:r w:rsidR="00951469" w:rsidRPr="00917415">
        <w:rPr>
          <w:rFonts w:cstheme="minorHAnsi"/>
        </w:rPr>
        <w:t>time points</w:t>
      </w:r>
      <w:r w:rsidR="00C37EB6" w:rsidRPr="00917415">
        <w:rPr>
          <w:rFonts w:cstheme="minorHAnsi"/>
        </w:rPr>
        <w:t xml:space="preserve"> </w:t>
      </w:r>
      <w:r w:rsidR="008B5079" w:rsidRPr="00917415">
        <w:rPr>
          <w:rFonts w:cstheme="minorHAnsi"/>
        </w:rPr>
        <w:t>differed</w:t>
      </w:r>
      <w:r w:rsidR="006E03C5" w:rsidRPr="00917415">
        <w:rPr>
          <w:rFonts w:cstheme="minorHAnsi"/>
        </w:rPr>
        <w:t>.</w:t>
      </w:r>
    </w:p>
    <w:p w14:paraId="1945D463" w14:textId="77777777" w:rsidR="001666D9" w:rsidRPr="00917415" w:rsidRDefault="006B7180" w:rsidP="00516F35">
      <w:pPr>
        <w:pStyle w:val="3-BodyText"/>
        <w:rPr>
          <w:rFonts w:cstheme="minorHAnsi"/>
        </w:rPr>
      </w:pPr>
      <w:r w:rsidRPr="00917415">
        <w:t>Quality of life (</w:t>
      </w:r>
      <w:r w:rsidR="0010095D" w:rsidRPr="00917415">
        <w:t>QoL</w:t>
      </w:r>
      <w:r w:rsidRPr="00917415">
        <w:t>)</w:t>
      </w:r>
      <w:r w:rsidR="0010095D" w:rsidRPr="00917415">
        <w:t xml:space="preserve"> </w:t>
      </w:r>
      <w:r w:rsidR="00595AED" w:rsidRPr="00917415">
        <w:t>w</w:t>
      </w:r>
      <w:r w:rsidR="0010095D" w:rsidRPr="00917415">
        <w:t xml:space="preserve">as </w:t>
      </w:r>
      <w:r w:rsidR="00595AED" w:rsidRPr="00917415">
        <w:t>not measured in the included studies</w:t>
      </w:r>
      <w:r w:rsidR="000217F5" w:rsidRPr="00917415">
        <w:t>.</w:t>
      </w:r>
    </w:p>
    <w:p w14:paraId="26F19370" w14:textId="77777777" w:rsidR="00C92469" w:rsidRPr="00917415" w:rsidRDefault="00C92469" w:rsidP="00516F35">
      <w:pPr>
        <w:pStyle w:val="Heading3"/>
      </w:pPr>
      <w:r w:rsidRPr="00917415">
        <w:t>Overall Survival (OS)</w:t>
      </w:r>
    </w:p>
    <w:p w14:paraId="1CB1EF61" w14:textId="77777777" w:rsidR="007A29C6" w:rsidRPr="00917415" w:rsidRDefault="001E7496" w:rsidP="00516F35">
      <w:pPr>
        <w:pStyle w:val="3-BodyText"/>
        <w:rPr>
          <w:rFonts w:ascii="Arial Narrow" w:eastAsiaTheme="minorHAnsi" w:hAnsi="Arial Narrow" w:cstheme="minorBidi"/>
          <w:b/>
          <w:bCs/>
          <w:sz w:val="20"/>
          <w:szCs w:val="20"/>
          <w:lang w:eastAsia="en-US"/>
        </w:rPr>
      </w:pPr>
      <w:r w:rsidRPr="00917415">
        <w:rPr>
          <w:rFonts w:cstheme="minorHAnsi"/>
        </w:rPr>
        <w:t xml:space="preserve">OS </w:t>
      </w:r>
      <w:r w:rsidR="008A5052" w:rsidRPr="00917415">
        <w:rPr>
          <w:rFonts w:cstheme="minorHAnsi"/>
        </w:rPr>
        <w:t>outcomes</w:t>
      </w:r>
      <w:r w:rsidR="001666D9" w:rsidRPr="00917415">
        <w:rPr>
          <w:rFonts w:cstheme="minorHAnsi"/>
        </w:rPr>
        <w:t xml:space="preserve"> in </w:t>
      </w:r>
      <w:r w:rsidR="007A29C6" w:rsidRPr="00917415">
        <w:rPr>
          <w:rFonts w:cstheme="minorHAnsi"/>
        </w:rPr>
        <w:t xml:space="preserve">the ONA and </w:t>
      </w:r>
      <w:r w:rsidR="00EE09B5" w:rsidRPr="00917415">
        <w:rPr>
          <w:rFonts w:cstheme="minorHAnsi"/>
        </w:rPr>
        <w:t>NUSI</w:t>
      </w:r>
      <w:r w:rsidR="007A29C6" w:rsidRPr="00917415">
        <w:rPr>
          <w:rFonts w:cstheme="minorHAnsi"/>
        </w:rPr>
        <w:t xml:space="preserve"> studies are </w:t>
      </w:r>
      <w:r w:rsidR="008A5052" w:rsidRPr="00917415">
        <w:rPr>
          <w:rFonts w:cstheme="minorHAnsi"/>
        </w:rPr>
        <w:t xml:space="preserve">summarised in </w:t>
      </w:r>
      <w:r w:rsidR="00CD255E" w:rsidRPr="00917415">
        <w:rPr>
          <w:rFonts w:cstheme="minorHAnsi"/>
        </w:rPr>
        <w:t>the table below</w:t>
      </w:r>
      <w:r w:rsidR="008A5052" w:rsidRPr="00917415">
        <w:rPr>
          <w:rFonts w:cstheme="minorHAnsi"/>
        </w:rPr>
        <w:t xml:space="preserve">, survival as reported in natural history studies </w:t>
      </w:r>
      <w:r w:rsidR="005D476D" w:rsidRPr="00917415">
        <w:rPr>
          <w:rFonts w:cstheme="minorHAnsi"/>
        </w:rPr>
        <w:t xml:space="preserve">is summarised in Figure </w:t>
      </w:r>
      <w:r w:rsidR="008625C6" w:rsidRPr="00917415">
        <w:rPr>
          <w:rFonts w:cstheme="minorHAnsi"/>
        </w:rPr>
        <w:t>2.</w:t>
      </w:r>
    </w:p>
    <w:p w14:paraId="71391ED9" w14:textId="77777777" w:rsidR="007A29C6" w:rsidRPr="00917415" w:rsidRDefault="007A29C6" w:rsidP="00CC18E5">
      <w:pPr>
        <w:pStyle w:val="TableFigureHeading"/>
        <w:keepLines/>
        <w:rPr>
          <w:lang w:eastAsia="en-US"/>
        </w:rPr>
      </w:pPr>
      <w:r w:rsidRPr="00917415">
        <w:rPr>
          <w:lang w:eastAsia="en-US"/>
        </w:rPr>
        <w:lastRenderedPageBreak/>
        <w:t xml:space="preserve">Table </w:t>
      </w:r>
      <w:r w:rsidR="008625C6" w:rsidRPr="00917415">
        <w:rPr>
          <w:lang w:eastAsia="en-US"/>
        </w:rPr>
        <w:t>5</w:t>
      </w:r>
      <w:r w:rsidRPr="00917415">
        <w:rPr>
          <w:lang w:eastAsia="en-US"/>
        </w:rPr>
        <w:t xml:space="preserve">: OS (proportion alive) in ONA and </w:t>
      </w:r>
      <w:r w:rsidR="00EE09B5" w:rsidRPr="00917415">
        <w:rPr>
          <w:lang w:eastAsia="en-US"/>
        </w:rPr>
        <w:t>NUSI</w:t>
      </w:r>
      <w:r w:rsidRPr="00917415">
        <w:rPr>
          <w:lang w:eastAsia="en-US"/>
        </w:rPr>
        <w:t xml:space="preserve"> studies</w:t>
      </w:r>
    </w:p>
    <w:tbl>
      <w:tblPr>
        <w:tblStyle w:val="TableGrid"/>
        <w:tblW w:w="5000" w:type="pct"/>
        <w:tblCellMar>
          <w:left w:w="28" w:type="dxa"/>
          <w:right w:w="28" w:type="dxa"/>
        </w:tblCellMar>
        <w:tblLook w:val="04A0" w:firstRow="1" w:lastRow="0" w:firstColumn="1" w:lastColumn="0" w:noHBand="0" w:noVBand="1"/>
        <w:tblCaption w:val="Table 5: OS (proportion alive) in ONA and NUSI studies"/>
      </w:tblPr>
      <w:tblGrid>
        <w:gridCol w:w="4083"/>
        <w:gridCol w:w="1270"/>
        <w:gridCol w:w="1408"/>
        <w:gridCol w:w="988"/>
        <w:gridCol w:w="1268"/>
      </w:tblGrid>
      <w:tr w:rsidR="007A29C6" w:rsidRPr="00CC18E5" w14:paraId="25FBE7E4" w14:textId="77777777" w:rsidTr="002E0331">
        <w:trPr>
          <w:tblHeader/>
        </w:trPr>
        <w:tc>
          <w:tcPr>
            <w:tcW w:w="2264" w:type="pct"/>
            <w:shd w:val="clear" w:color="auto" w:fill="auto"/>
            <w:vAlign w:val="center"/>
          </w:tcPr>
          <w:p w14:paraId="37615708" w14:textId="77777777" w:rsidR="007A29C6" w:rsidRPr="00CC18E5" w:rsidRDefault="007A29C6" w:rsidP="00CC18E5">
            <w:pPr>
              <w:keepNext/>
              <w:keepLines/>
              <w:widowControl w:val="0"/>
              <w:jc w:val="left"/>
              <w:rPr>
                <w:rFonts w:ascii="Arial Narrow" w:hAnsi="Arial Narrow"/>
                <w:b/>
                <w:snapToGrid w:val="0"/>
                <w:sz w:val="20"/>
                <w:szCs w:val="20"/>
                <w:lang w:eastAsia="en-US"/>
              </w:rPr>
            </w:pPr>
            <w:r w:rsidRPr="00CC18E5">
              <w:rPr>
                <w:rFonts w:ascii="Arial Narrow" w:hAnsi="Arial Narrow"/>
                <w:b/>
                <w:snapToGrid w:val="0"/>
                <w:sz w:val="20"/>
                <w:szCs w:val="20"/>
                <w:lang w:eastAsia="en-US"/>
              </w:rPr>
              <w:t>Study</w:t>
            </w:r>
          </w:p>
        </w:tc>
        <w:tc>
          <w:tcPr>
            <w:tcW w:w="704" w:type="pct"/>
            <w:tcBorders>
              <w:bottom w:val="single" w:sz="4" w:space="0" w:color="auto"/>
            </w:tcBorders>
            <w:shd w:val="clear" w:color="auto" w:fill="auto"/>
            <w:vAlign w:val="center"/>
          </w:tcPr>
          <w:p w14:paraId="2C548C79" w14:textId="77777777"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ONA</w:t>
            </w:r>
          </w:p>
          <w:p w14:paraId="429DCB22" w14:textId="77777777"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781" w:type="pct"/>
            <w:tcBorders>
              <w:bottom w:val="single" w:sz="4" w:space="0" w:color="auto"/>
            </w:tcBorders>
            <w:shd w:val="clear" w:color="auto" w:fill="auto"/>
            <w:vAlign w:val="center"/>
          </w:tcPr>
          <w:p w14:paraId="3A86B4A3" w14:textId="77777777"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Control</w:t>
            </w:r>
          </w:p>
          <w:p w14:paraId="5CCCB086" w14:textId="77777777"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548" w:type="pct"/>
            <w:tcBorders>
              <w:bottom w:val="single" w:sz="4" w:space="0" w:color="auto"/>
            </w:tcBorders>
            <w:shd w:val="clear" w:color="auto" w:fill="auto"/>
            <w:vAlign w:val="center"/>
          </w:tcPr>
          <w:p w14:paraId="339CE051" w14:textId="77777777" w:rsidR="007A29C6" w:rsidRPr="00CC18E5" w:rsidRDefault="00EE09B5"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NUSI</w:t>
            </w:r>
          </w:p>
          <w:p w14:paraId="245662E3" w14:textId="77777777"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n/N (%)</w:t>
            </w:r>
          </w:p>
        </w:tc>
        <w:tc>
          <w:tcPr>
            <w:tcW w:w="703" w:type="pct"/>
            <w:tcBorders>
              <w:bottom w:val="single" w:sz="4" w:space="0" w:color="auto"/>
            </w:tcBorders>
            <w:shd w:val="clear" w:color="auto" w:fill="auto"/>
          </w:tcPr>
          <w:p w14:paraId="211C61AE" w14:textId="77777777"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HR</w:t>
            </w:r>
          </w:p>
          <w:p w14:paraId="58DC0110" w14:textId="77777777"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(95%CI)</w:t>
            </w:r>
          </w:p>
          <w:p w14:paraId="0B21AD24" w14:textId="77777777" w:rsidR="007A29C6" w:rsidRPr="00CC18E5" w:rsidRDefault="007A29C6" w:rsidP="00CC18E5">
            <w:pPr>
              <w:keepNext/>
              <w:keepLines/>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p-value</w:t>
            </w:r>
          </w:p>
        </w:tc>
      </w:tr>
      <w:tr w:rsidR="007A29C6" w:rsidRPr="00CC18E5" w14:paraId="1771AF79" w14:textId="77777777" w:rsidTr="00CC18E5">
        <w:tc>
          <w:tcPr>
            <w:tcW w:w="5000" w:type="pct"/>
            <w:gridSpan w:val="5"/>
            <w:tcBorders>
              <w:bottom w:val="single" w:sz="4" w:space="0" w:color="auto"/>
            </w:tcBorders>
            <w:shd w:val="clear" w:color="auto" w:fill="auto"/>
            <w:vAlign w:val="center"/>
          </w:tcPr>
          <w:p w14:paraId="4BFBD6F1" w14:textId="77777777" w:rsidR="007A29C6" w:rsidRPr="00CC18E5" w:rsidRDefault="007A29C6" w:rsidP="00CC18E5">
            <w:pPr>
              <w:keepNext/>
              <w:keepLines/>
              <w:widowControl w:val="0"/>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ONA studies</w:t>
            </w:r>
          </w:p>
        </w:tc>
      </w:tr>
      <w:tr w:rsidR="007A29C6" w:rsidRPr="00CC18E5" w14:paraId="64F03D96" w14:textId="77777777" w:rsidTr="00CC18E5">
        <w:tc>
          <w:tcPr>
            <w:tcW w:w="2264" w:type="pct"/>
            <w:tcBorders>
              <w:bottom w:val="nil"/>
            </w:tcBorders>
            <w:shd w:val="clear" w:color="auto" w:fill="F8ECEC"/>
          </w:tcPr>
          <w:p w14:paraId="7F657937" w14:textId="77777777"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START (Cohort 2)</w:t>
            </w:r>
            <w:r w:rsidRPr="00CC18E5">
              <w:rPr>
                <w:rFonts w:ascii="Arial Narrow" w:hAnsi="Arial Narrow"/>
                <w:snapToGrid w:val="0"/>
                <w:sz w:val="20"/>
                <w:szCs w:val="20"/>
                <w:vertAlign w:val="superscript"/>
                <w:lang w:eastAsia="en-US"/>
              </w:rPr>
              <w:t>a</w:t>
            </w:r>
          </w:p>
        </w:tc>
        <w:tc>
          <w:tcPr>
            <w:tcW w:w="704" w:type="pct"/>
            <w:vMerge w:val="restart"/>
            <w:shd w:val="clear" w:color="auto" w:fill="F8ECEC"/>
          </w:tcPr>
          <w:p w14:paraId="72E81F06" w14:textId="77777777" w:rsidR="007A29C6" w:rsidRPr="00CC18E5" w:rsidRDefault="007A29C6" w:rsidP="00CC18E5">
            <w:pPr>
              <w:keepNext/>
              <w:keepLines/>
              <w:widowControl w:val="0"/>
              <w:jc w:val="center"/>
              <w:rPr>
                <w:rFonts w:ascii="Arial Narrow" w:hAnsi="Arial Narrow"/>
                <w:snapToGrid w:val="0"/>
                <w:sz w:val="20"/>
                <w:szCs w:val="20"/>
                <w:lang w:eastAsia="en-US"/>
              </w:rPr>
            </w:pPr>
          </w:p>
          <w:p w14:paraId="4DFB26AF"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(100.0%)</w:t>
            </w:r>
          </w:p>
          <w:p w14:paraId="3707EB01"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(100.0%)</w:t>
            </w:r>
          </w:p>
          <w:p w14:paraId="45CF60A0"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w:t>
            </w:r>
            <w:r w:rsidRPr="00CC18E5">
              <w:rPr>
                <w:rFonts w:ascii="Arial Narrow" w:hAnsi="Arial Narrow"/>
                <w:snapToGrid w:val="0"/>
                <w:sz w:val="20"/>
                <w:szCs w:val="20"/>
                <w:vertAlign w:val="superscript"/>
                <w:lang w:eastAsia="en-US"/>
              </w:rPr>
              <w:t>b</w:t>
            </w:r>
            <w:r w:rsidRPr="00CC18E5">
              <w:rPr>
                <w:rFonts w:ascii="Arial Narrow" w:hAnsi="Arial Narrow"/>
                <w:snapToGrid w:val="0"/>
                <w:sz w:val="20"/>
                <w:szCs w:val="20"/>
                <w:lang w:eastAsia="en-US"/>
              </w:rPr>
              <w:t>/12 (100.0%)</w:t>
            </w:r>
          </w:p>
        </w:tc>
        <w:tc>
          <w:tcPr>
            <w:tcW w:w="781" w:type="pct"/>
            <w:vMerge w:val="restart"/>
            <w:shd w:val="clear" w:color="auto" w:fill="F8ECEC"/>
          </w:tcPr>
          <w:p w14:paraId="3FBABD1B" w14:textId="77777777" w:rsidR="007A29C6" w:rsidRPr="00CC18E5" w:rsidRDefault="007A29C6" w:rsidP="00CC18E5">
            <w:pPr>
              <w:keepNext/>
              <w:keepLines/>
              <w:widowControl w:val="0"/>
              <w:jc w:val="center"/>
              <w:rPr>
                <w:rFonts w:ascii="Arial Narrow" w:hAnsi="Arial Narrow"/>
                <w:snapToGrid w:val="0"/>
                <w:sz w:val="20"/>
                <w:szCs w:val="20"/>
                <w:lang w:eastAsia="en-US"/>
              </w:rPr>
            </w:pPr>
          </w:p>
          <w:p w14:paraId="79F58C9F"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 (PNCR)</w:t>
            </w:r>
          </w:p>
        </w:tc>
        <w:tc>
          <w:tcPr>
            <w:tcW w:w="548" w:type="pct"/>
            <w:vMerge w:val="restart"/>
            <w:shd w:val="clear" w:color="auto" w:fill="F8ECEC"/>
            <w:vAlign w:val="center"/>
          </w:tcPr>
          <w:p w14:paraId="5C20AB78"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shd w:val="clear" w:color="auto" w:fill="F8ECEC"/>
          </w:tcPr>
          <w:p w14:paraId="6C5EF03C" w14:textId="77777777" w:rsidR="007A29C6" w:rsidRPr="00CC18E5" w:rsidRDefault="007A29C6" w:rsidP="00CC18E5">
            <w:pPr>
              <w:keepNext/>
              <w:keepLines/>
              <w:widowControl w:val="0"/>
              <w:jc w:val="center"/>
              <w:rPr>
                <w:rFonts w:ascii="Arial Narrow" w:hAnsi="Arial Narrow"/>
                <w:snapToGrid w:val="0"/>
                <w:sz w:val="20"/>
                <w:szCs w:val="20"/>
                <w:lang w:eastAsia="en-US"/>
              </w:rPr>
            </w:pPr>
          </w:p>
          <w:p w14:paraId="11331F3E" w14:textId="77777777" w:rsidR="007A29C6" w:rsidRPr="00CC18E5" w:rsidRDefault="007A29C6" w:rsidP="00CC18E5">
            <w:pPr>
              <w:keepNext/>
              <w:keepLines/>
              <w:widowControl w:val="0"/>
              <w:jc w:val="center"/>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p&lt;0.0001</w:t>
            </w:r>
            <w:r w:rsidRPr="00CC18E5">
              <w:rPr>
                <w:rFonts w:ascii="Arial Narrow" w:hAnsi="Arial Narrow"/>
                <w:snapToGrid w:val="0"/>
                <w:sz w:val="20"/>
                <w:szCs w:val="20"/>
                <w:vertAlign w:val="superscript"/>
                <w:lang w:eastAsia="en-US"/>
              </w:rPr>
              <w:t>§</w:t>
            </w:r>
          </w:p>
          <w:p w14:paraId="7142414C"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p w14:paraId="15CFEE28"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14:paraId="6270665D" w14:textId="77777777" w:rsidTr="00CC18E5">
        <w:tc>
          <w:tcPr>
            <w:tcW w:w="2264" w:type="pct"/>
            <w:tcBorders>
              <w:top w:val="nil"/>
              <w:bottom w:val="single" w:sz="4" w:space="0" w:color="auto"/>
            </w:tcBorders>
            <w:shd w:val="clear" w:color="auto" w:fill="F8ECEC"/>
          </w:tcPr>
          <w:p w14:paraId="6F778126" w14:textId="77777777"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14:paraId="56A290F4" w14:textId="77777777" w:rsidR="007A29C6" w:rsidRPr="00CC18E5" w:rsidRDefault="007A29C6" w:rsidP="00CC18E5">
            <w:pPr>
              <w:keepNext/>
              <w:keepLines/>
              <w:widowControl w:val="0"/>
              <w:numPr>
                <w:ilvl w:val="0"/>
                <w:numId w:val="9"/>
              </w:numPr>
              <w:ind w:left="255" w:hanging="181"/>
              <w:rPr>
                <w:rFonts w:ascii="Arial Narrow" w:hAnsi="Arial Narrow"/>
                <w:b/>
                <w:snapToGrid w:val="0"/>
                <w:sz w:val="20"/>
                <w:szCs w:val="20"/>
                <w:lang w:eastAsia="en-US"/>
              </w:rPr>
            </w:pPr>
            <w:r w:rsidRPr="00CC18E5">
              <w:rPr>
                <w:rFonts w:ascii="Arial Narrow" w:hAnsi="Arial Narrow"/>
                <w:snapToGrid w:val="0"/>
                <w:sz w:val="20"/>
                <w:szCs w:val="20"/>
                <w:lang w:eastAsia="en-US"/>
              </w:rPr>
              <w:t>20 months of age</w:t>
            </w:r>
          </w:p>
          <w:p w14:paraId="359FCE1D" w14:textId="77777777"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24 months post-dose</w:t>
            </w:r>
            <w:r w:rsidRPr="00CC18E5">
              <w:rPr>
                <w:rFonts w:ascii="Arial Narrow" w:hAnsi="Arial Narrow"/>
                <w:snapToGrid w:val="0"/>
                <w:sz w:val="20"/>
                <w:szCs w:val="20"/>
                <w:vertAlign w:val="superscript"/>
                <w:lang w:eastAsia="en-US"/>
              </w:rPr>
              <w:t>b</w:t>
            </w:r>
          </w:p>
        </w:tc>
        <w:tc>
          <w:tcPr>
            <w:tcW w:w="704" w:type="pct"/>
            <w:vMerge/>
            <w:tcBorders>
              <w:bottom w:val="single" w:sz="4" w:space="0" w:color="auto"/>
            </w:tcBorders>
            <w:shd w:val="clear" w:color="auto" w:fill="F8ECEC"/>
            <w:vAlign w:val="center"/>
          </w:tcPr>
          <w:p w14:paraId="4EB2F079"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single" w:sz="4" w:space="0" w:color="auto"/>
            </w:tcBorders>
            <w:shd w:val="clear" w:color="auto" w:fill="F8ECEC"/>
            <w:vAlign w:val="center"/>
          </w:tcPr>
          <w:p w14:paraId="41C025CD"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single" w:sz="4" w:space="0" w:color="auto"/>
            </w:tcBorders>
            <w:shd w:val="clear" w:color="auto" w:fill="F8ECEC"/>
            <w:vAlign w:val="center"/>
          </w:tcPr>
          <w:p w14:paraId="03770D22" w14:textId="77777777" w:rsidR="007A29C6" w:rsidRPr="00CC18E5" w:rsidRDefault="007A29C6" w:rsidP="00CC18E5">
            <w:pPr>
              <w:keepNext/>
              <w:keepLines/>
              <w:widowControl w:val="0"/>
              <w:jc w:val="center"/>
              <w:rPr>
                <w:rFonts w:ascii="Arial Narrow" w:hAnsi="Arial Narrow"/>
                <w:b/>
                <w:bCs/>
                <w:snapToGrid w:val="0"/>
                <w:sz w:val="20"/>
                <w:szCs w:val="20"/>
                <w:lang w:eastAsia="en-US"/>
              </w:rPr>
            </w:pPr>
          </w:p>
        </w:tc>
        <w:tc>
          <w:tcPr>
            <w:tcW w:w="703" w:type="pct"/>
            <w:vMerge/>
            <w:tcBorders>
              <w:bottom w:val="single" w:sz="4" w:space="0" w:color="auto"/>
            </w:tcBorders>
            <w:shd w:val="clear" w:color="auto" w:fill="F8ECEC"/>
            <w:vAlign w:val="center"/>
          </w:tcPr>
          <w:p w14:paraId="093F74CC" w14:textId="77777777"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7A29C6" w:rsidRPr="00CC18E5" w14:paraId="5508F140" w14:textId="77777777" w:rsidTr="00CC18E5">
        <w:tc>
          <w:tcPr>
            <w:tcW w:w="2264" w:type="pct"/>
            <w:tcBorders>
              <w:top w:val="single" w:sz="4" w:space="0" w:color="auto"/>
              <w:left w:val="single" w:sz="4" w:space="0" w:color="auto"/>
              <w:bottom w:val="nil"/>
              <w:right w:val="single" w:sz="4" w:space="0" w:color="auto"/>
            </w:tcBorders>
            <w:shd w:val="clear" w:color="auto" w:fill="F8ECEC"/>
          </w:tcPr>
          <w:p w14:paraId="0D13D6BA" w14:textId="77777777" w:rsidR="007A29C6" w:rsidRPr="00CC18E5" w:rsidRDefault="007A29C6" w:rsidP="00CC18E5">
            <w:pPr>
              <w:keepNext/>
              <w:keepLines/>
              <w:widowControl w:val="0"/>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START-LT</w:t>
            </w:r>
          </w:p>
        </w:tc>
        <w:tc>
          <w:tcPr>
            <w:tcW w:w="704" w:type="pct"/>
            <w:vMerge w:val="restart"/>
            <w:tcBorders>
              <w:top w:val="single" w:sz="4" w:space="0" w:color="auto"/>
              <w:left w:val="single" w:sz="4" w:space="0" w:color="auto"/>
              <w:right w:val="single" w:sz="4" w:space="0" w:color="auto"/>
            </w:tcBorders>
            <w:shd w:val="clear" w:color="auto" w:fill="F8ECEC"/>
            <w:vAlign w:val="bottom"/>
          </w:tcPr>
          <w:p w14:paraId="4D216859"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13/13</w:t>
            </w:r>
            <w:r w:rsidRPr="00CC18E5">
              <w:rPr>
                <w:rFonts w:ascii="Arial Narrow" w:hAnsi="Arial Narrow"/>
                <w:snapToGrid w:val="0"/>
                <w:sz w:val="20"/>
                <w:szCs w:val="20"/>
                <w:vertAlign w:val="superscript"/>
                <w:lang w:eastAsia="en-US"/>
              </w:rPr>
              <w:t>f</w:t>
            </w:r>
            <w:r w:rsidRPr="00CC18E5">
              <w:rPr>
                <w:rFonts w:ascii="Arial Narrow" w:hAnsi="Arial Narrow"/>
                <w:snapToGrid w:val="0"/>
                <w:sz w:val="20"/>
                <w:szCs w:val="20"/>
                <w:lang w:eastAsia="en-US"/>
              </w:rPr>
              <w:t xml:space="preserve"> (100.0%)</w:t>
            </w:r>
          </w:p>
        </w:tc>
        <w:tc>
          <w:tcPr>
            <w:tcW w:w="781" w:type="pct"/>
            <w:vMerge w:val="restart"/>
            <w:tcBorders>
              <w:top w:val="single" w:sz="4" w:space="0" w:color="auto"/>
              <w:left w:val="single" w:sz="4" w:space="0" w:color="auto"/>
              <w:right w:val="single" w:sz="4" w:space="0" w:color="auto"/>
            </w:tcBorders>
            <w:shd w:val="clear" w:color="auto" w:fill="F8ECEC"/>
            <w:vAlign w:val="center"/>
          </w:tcPr>
          <w:p w14:paraId="15AD02D0"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tcBorders>
              <w:top w:val="single" w:sz="4" w:space="0" w:color="auto"/>
              <w:left w:val="single" w:sz="4" w:space="0" w:color="auto"/>
              <w:right w:val="single" w:sz="4" w:space="0" w:color="auto"/>
            </w:tcBorders>
            <w:shd w:val="clear" w:color="auto" w:fill="F8ECEC"/>
            <w:vAlign w:val="center"/>
          </w:tcPr>
          <w:p w14:paraId="2951AF4B" w14:textId="77777777"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703" w:type="pct"/>
            <w:vMerge w:val="restart"/>
            <w:tcBorders>
              <w:top w:val="single" w:sz="4" w:space="0" w:color="auto"/>
              <w:left w:val="single" w:sz="4" w:space="0" w:color="auto"/>
              <w:right w:val="single" w:sz="4" w:space="0" w:color="auto"/>
            </w:tcBorders>
            <w:shd w:val="clear" w:color="auto" w:fill="F8ECEC"/>
            <w:vAlign w:val="center"/>
          </w:tcPr>
          <w:p w14:paraId="3DBE9FE5" w14:textId="77777777"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14:paraId="6003778F" w14:textId="77777777" w:rsidTr="00CC18E5">
        <w:tc>
          <w:tcPr>
            <w:tcW w:w="2264" w:type="pct"/>
            <w:tcBorders>
              <w:top w:val="nil"/>
              <w:bottom w:val="single" w:sz="4" w:space="0" w:color="auto"/>
              <w:right w:val="single" w:sz="4" w:space="0" w:color="auto"/>
            </w:tcBorders>
            <w:shd w:val="clear" w:color="auto" w:fill="F8ECEC"/>
          </w:tcPr>
          <w:p w14:paraId="531C1504" w14:textId="77777777"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Mean age at last data snapshot 4.8 years (range: 4.3-5.6)</w:t>
            </w:r>
          </w:p>
        </w:tc>
        <w:tc>
          <w:tcPr>
            <w:tcW w:w="704" w:type="pct"/>
            <w:vMerge/>
            <w:tcBorders>
              <w:left w:val="single" w:sz="4" w:space="0" w:color="auto"/>
              <w:bottom w:val="single" w:sz="4" w:space="0" w:color="auto"/>
              <w:right w:val="single" w:sz="4" w:space="0" w:color="auto"/>
            </w:tcBorders>
            <w:shd w:val="clear" w:color="auto" w:fill="F8ECEC"/>
            <w:vAlign w:val="center"/>
          </w:tcPr>
          <w:p w14:paraId="775F2273"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left w:val="single" w:sz="4" w:space="0" w:color="auto"/>
              <w:bottom w:val="single" w:sz="4" w:space="0" w:color="auto"/>
              <w:right w:val="single" w:sz="4" w:space="0" w:color="auto"/>
            </w:tcBorders>
            <w:shd w:val="clear" w:color="auto" w:fill="F8ECEC"/>
            <w:vAlign w:val="center"/>
          </w:tcPr>
          <w:p w14:paraId="17B99A7A"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left w:val="single" w:sz="4" w:space="0" w:color="auto"/>
              <w:bottom w:val="single" w:sz="4" w:space="0" w:color="auto"/>
              <w:right w:val="single" w:sz="4" w:space="0" w:color="auto"/>
            </w:tcBorders>
            <w:shd w:val="clear" w:color="auto" w:fill="F8ECEC"/>
            <w:vAlign w:val="center"/>
          </w:tcPr>
          <w:p w14:paraId="4668082C" w14:textId="77777777" w:rsidR="007A29C6" w:rsidRPr="00CC18E5" w:rsidRDefault="007A29C6" w:rsidP="00CC18E5">
            <w:pPr>
              <w:keepNext/>
              <w:keepLines/>
              <w:widowControl w:val="0"/>
              <w:jc w:val="center"/>
              <w:rPr>
                <w:rFonts w:ascii="Arial Narrow" w:hAnsi="Arial Narrow"/>
                <w:bCs/>
                <w:snapToGrid w:val="0"/>
                <w:sz w:val="20"/>
                <w:szCs w:val="20"/>
                <w:lang w:eastAsia="en-US"/>
              </w:rPr>
            </w:pPr>
          </w:p>
        </w:tc>
        <w:tc>
          <w:tcPr>
            <w:tcW w:w="703" w:type="pct"/>
            <w:vMerge/>
            <w:tcBorders>
              <w:left w:val="single" w:sz="4" w:space="0" w:color="auto"/>
              <w:bottom w:val="single" w:sz="4" w:space="0" w:color="auto"/>
              <w:right w:val="single" w:sz="4" w:space="0" w:color="auto"/>
            </w:tcBorders>
            <w:shd w:val="clear" w:color="auto" w:fill="F8ECEC"/>
            <w:vAlign w:val="center"/>
          </w:tcPr>
          <w:p w14:paraId="200E4F43" w14:textId="77777777" w:rsidR="007A29C6" w:rsidRPr="00CC18E5" w:rsidRDefault="007A29C6" w:rsidP="00CC18E5">
            <w:pPr>
              <w:keepNext/>
              <w:keepLines/>
              <w:widowControl w:val="0"/>
              <w:jc w:val="center"/>
              <w:rPr>
                <w:rFonts w:ascii="Arial Narrow" w:hAnsi="Arial Narrow"/>
                <w:bCs/>
                <w:snapToGrid w:val="0"/>
                <w:sz w:val="20"/>
                <w:szCs w:val="20"/>
                <w:lang w:eastAsia="en-US"/>
              </w:rPr>
            </w:pPr>
          </w:p>
        </w:tc>
      </w:tr>
      <w:tr w:rsidR="007A29C6" w:rsidRPr="00CC18E5" w14:paraId="0612D6B4" w14:textId="77777777" w:rsidTr="00CC18E5">
        <w:tc>
          <w:tcPr>
            <w:tcW w:w="2264" w:type="pct"/>
            <w:tcBorders>
              <w:bottom w:val="nil"/>
            </w:tcBorders>
            <w:shd w:val="clear" w:color="auto" w:fill="F8ECEC"/>
          </w:tcPr>
          <w:p w14:paraId="000E87F6" w14:textId="77777777" w:rsidR="007A29C6" w:rsidRPr="00CC18E5" w:rsidRDefault="00BA689D"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US</w:t>
            </w:r>
          </w:p>
        </w:tc>
        <w:tc>
          <w:tcPr>
            <w:tcW w:w="704" w:type="pct"/>
            <w:vMerge w:val="restart"/>
            <w:shd w:val="clear" w:color="auto" w:fill="F8ECEC"/>
            <w:vAlign w:val="bottom"/>
          </w:tcPr>
          <w:p w14:paraId="4882A822"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14:paraId="5778E9EE"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14:paraId="54B3452C"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tc>
        <w:tc>
          <w:tcPr>
            <w:tcW w:w="781" w:type="pct"/>
            <w:vMerge w:val="restart"/>
            <w:shd w:val="clear" w:color="auto" w:fill="auto"/>
            <w:vAlign w:val="center"/>
          </w:tcPr>
          <w:p w14:paraId="7C719088"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shd w:val="clear" w:color="auto" w:fill="auto"/>
            <w:vAlign w:val="center"/>
          </w:tcPr>
          <w:p w14:paraId="2BC2B2A9"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vAlign w:val="center"/>
          </w:tcPr>
          <w:p w14:paraId="674CBD9B"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14:paraId="5F5FE275" w14:textId="77777777" w:rsidTr="00CC18E5">
        <w:tc>
          <w:tcPr>
            <w:tcW w:w="2264" w:type="pct"/>
            <w:tcBorders>
              <w:top w:val="nil"/>
              <w:bottom w:val="nil"/>
            </w:tcBorders>
            <w:shd w:val="clear" w:color="auto" w:fill="F8ECEC"/>
          </w:tcPr>
          <w:p w14:paraId="1BC36061" w14:textId="77777777"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10.5 months of age</w:t>
            </w:r>
          </w:p>
          <w:p w14:paraId="31552A6D" w14:textId="77777777"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14:paraId="2B49727D" w14:textId="77777777" w:rsidR="007A29C6" w:rsidRPr="00CC18E5" w:rsidRDefault="007A29C6" w:rsidP="00CC18E5">
            <w:pPr>
              <w:keepNext/>
              <w:keepLines/>
              <w:widowControl w:val="0"/>
              <w:numPr>
                <w:ilvl w:val="0"/>
                <w:numId w:val="9"/>
              </w:numPr>
              <w:shd w:val="clear" w:color="auto" w:fill="F8ECEC"/>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18 months of age</w:t>
            </w:r>
          </w:p>
        </w:tc>
        <w:tc>
          <w:tcPr>
            <w:tcW w:w="704" w:type="pct"/>
            <w:vMerge/>
            <w:tcBorders>
              <w:bottom w:val="nil"/>
            </w:tcBorders>
            <w:shd w:val="clear" w:color="auto" w:fill="auto"/>
            <w:vAlign w:val="center"/>
          </w:tcPr>
          <w:p w14:paraId="3BB9E58D"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auto"/>
            <w:vAlign w:val="center"/>
          </w:tcPr>
          <w:p w14:paraId="65A81847"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auto"/>
            <w:vAlign w:val="center"/>
          </w:tcPr>
          <w:p w14:paraId="7CB8559F" w14:textId="77777777" w:rsidR="007A29C6" w:rsidRPr="00CC18E5" w:rsidRDefault="007A29C6" w:rsidP="00CC18E5">
            <w:pPr>
              <w:keepNext/>
              <w:keepLines/>
              <w:widowControl w:val="0"/>
              <w:jc w:val="center"/>
              <w:rPr>
                <w:rFonts w:ascii="Arial Narrow" w:hAnsi="Arial Narrow"/>
                <w:b/>
                <w:bCs/>
                <w:snapToGrid w:val="0"/>
                <w:sz w:val="20"/>
                <w:szCs w:val="20"/>
                <w:lang w:eastAsia="en-US"/>
              </w:rPr>
            </w:pPr>
          </w:p>
        </w:tc>
        <w:tc>
          <w:tcPr>
            <w:tcW w:w="703" w:type="pct"/>
            <w:vMerge/>
            <w:tcBorders>
              <w:bottom w:val="nil"/>
            </w:tcBorders>
            <w:vAlign w:val="center"/>
          </w:tcPr>
          <w:p w14:paraId="46B9C24D" w14:textId="77777777"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7A29C6" w:rsidRPr="00CC18E5" w14:paraId="2FD14B14" w14:textId="77777777" w:rsidTr="00CC18E5">
        <w:trPr>
          <w:trHeight w:val="105"/>
        </w:trPr>
        <w:tc>
          <w:tcPr>
            <w:tcW w:w="2264" w:type="pct"/>
            <w:tcBorders>
              <w:bottom w:val="nil"/>
            </w:tcBorders>
            <w:shd w:val="clear" w:color="auto" w:fill="auto"/>
          </w:tcPr>
          <w:p w14:paraId="7C7F7E36" w14:textId="77777777" w:rsidR="007A29C6" w:rsidRPr="00CC18E5" w:rsidRDefault="00BA689D" w:rsidP="00CC18E5">
            <w:pPr>
              <w:keepNext/>
              <w:keepLines/>
              <w:widowControl w:val="0"/>
              <w:rPr>
                <w:rFonts w:ascii="Arial Narrow" w:hAnsi="Arial Narrow"/>
                <w:snapToGrid w:val="0"/>
                <w:sz w:val="20"/>
                <w:szCs w:val="20"/>
                <w:vertAlign w:val="superscript"/>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EU:</w:t>
            </w:r>
          </w:p>
        </w:tc>
        <w:tc>
          <w:tcPr>
            <w:tcW w:w="704" w:type="pct"/>
            <w:vMerge w:val="restart"/>
            <w:shd w:val="clear" w:color="auto" w:fill="auto"/>
            <w:vAlign w:val="bottom"/>
          </w:tcPr>
          <w:p w14:paraId="4219EA68"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32/33 (97.0%)</w:t>
            </w:r>
          </w:p>
        </w:tc>
        <w:tc>
          <w:tcPr>
            <w:tcW w:w="781" w:type="pct"/>
            <w:vMerge w:val="restart"/>
            <w:shd w:val="clear" w:color="auto" w:fill="auto"/>
            <w:vAlign w:val="center"/>
          </w:tcPr>
          <w:p w14:paraId="77427D4E"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shd w:val="clear" w:color="auto" w:fill="auto"/>
            <w:vAlign w:val="center"/>
          </w:tcPr>
          <w:p w14:paraId="4CCE1E42"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03" w:type="pct"/>
            <w:vMerge w:val="restart"/>
            <w:vAlign w:val="center"/>
          </w:tcPr>
          <w:p w14:paraId="1A6BACCF"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14:paraId="4D2B2B53" w14:textId="77777777" w:rsidTr="00CC18E5">
        <w:trPr>
          <w:trHeight w:val="105"/>
        </w:trPr>
        <w:tc>
          <w:tcPr>
            <w:tcW w:w="2264" w:type="pct"/>
            <w:tcBorders>
              <w:top w:val="nil"/>
              <w:bottom w:val="nil"/>
            </w:tcBorders>
            <w:shd w:val="clear" w:color="auto" w:fill="auto"/>
          </w:tcPr>
          <w:p w14:paraId="0B3A1BDB" w14:textId="77777777"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31/12/19 data cut (average age 10.62 months</w:t>
            </w:r>
            <w:r w:rsidRPr="00CC18E5">
              <w:rPr>
                <w:rFonts w:ascii="Arial Narrow" w:hAnsi="Arial Narrow"/>
                <w:snapToGrid w:val="0"/>
                <w:sz w:val="20"/>
                <w:szCs w:val="20"/>
                <w:vertAlign w:val="superscript"/>
                <w:lang w:eastAsia="en-US"/>
              </w:rPr>
              <w:t>c</w:t>
            </w:r>
            <w:r w:rsidRPr="00CC18E5">
              <w:rPr>
                <w:rFonts w:ascii="Arial Narrow" w:hAnsi="Arial Narrow"/>
                <w:snapToGrid w:val="0"/>
                <w:sz w:val="20"/>
                <w:szCs w:val="20"/>
                <w:lang w:eastAsia="en-US"/>
              </w:rPr>
              <w:t>)</w:t>
            </w:r>
          </w:p>
        </w:tc>
        <w:tc>
          <w:tcPr>
            <w:tcW w:w="704" w:type="pct"/>
            <w:vMerge/>
            <w:tcBorders>
              <w:bottom w:val="nil"/>
            </w:tcBorders>
            <w:shd w:val="clear" w:color="auto" w:fill="auto"/>
            <w:vAlign w:val="center"/>
          </w:tcPr>
          <w:p w14:paraId="4F4B4F03"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auto"/>
            <w:vAlign w:val="center"/>
          </w:tcPr>
          <w:p w14:paraId="1723179C"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auto"/>
            <w:vAlign w:val="center"/>
          </w:tcPr>
          <w:p w14:paraId="384D7644" w14:textId="77777777" w:rsidR="007A29C6" w:rsidRPr="00CC18E5" w:rsidRDefault="007A29C6" w:rsidP="00CC18E5">
            <w:pPr>
              <w:keepNext/>
              <w:keepLines/>
              <w:widowControl w:val="0"/>
              <w:jc w:val="center"/>
              <w:rPr>
                <w:rFonts w:ascii="Arial Narrow" w:hAnsi="Arial Narrow"/>
                <w:b/>
                <w:snapToGrid w:val="0"/>
                <w:sz w:val="20"/>
                <w:szCs w:val="20"/>
                <w:lang w:eastAsia="en-US"/>
              </w:rPr>
            </w:pPr>
          </w:p>
        </w:tc>
        <w:tc>
          <w:tcPr>
            <w:tcW w:w="703" w:type="pct"/>
            <w:vMerge/>
            <w:tcBorders>
              <w:bottom w:val="nil"/>
            </w:tcBorders>
            <w:vAlign w:val="center"/>
          </w:tcPr>
          <w:p w14:paraId="0EBEEA32" w14:textId="77777777" w:rsidR="007A29C6" w:rsidRPr="00CC18E5" w:rsidRDefault="007A29C6" w:rsidP="00CC18E5">
            <w:pPr>
              <w:keepNext/>
              <w:keepLines/>
              <w:widowControl w:val="0"/>
              <w:jc w:val="center"/>
              <w:rPr>
                <w:rFonts w:ascii="Arial Narrow" w:hAnsi="Arial Narrow"/>
                <w:b/>
                <w:snapToGrid w:val="0"/>
                <w:sz w:val="20"/>
                <w:szCs w:val="20"/>
                <w:lang w:eastAsia="en-US"/>
              </w:rPr>
            </w:pPr>
          </w:p>
        </w:tc>
      </w:tr>
      <w:tr w:rsidR="007A29C6" w:rsidRPr="00CC18E5" w14:paraId="7535021D" w14:textId="77777777" w:rsidTr="00CC18E5">
        <w:trPr>
          <w:trHeight w:val="172"/>
        </w:trPr>
        <w:tc>
          <w:tcPr>
            <w:tcW w:w="2264" w:type="pct"/>
            <w:tcBorders>
              <w:top w:val="single" w:sz="4" w:space="0" w:color="auto"/>
              <w:bottom w:val="nil"/>
            </w:tcBorders>
            <w:shd w:val="clear" w:color="auto" w:fill="EAF1DD" w:themeFill="accent3" w:themeFillTint="33"/>
          </w:tcPr>
          <w:p w14:paraId="0C29DA9C" w14:textId="77777777" w:rsidR="007A29C6" w:rsidRPr="00CC18E5" w:rsidRDefault="000D10D9"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SPR1NT</w:t>
            </w:r>
            <w:r w:rsidR="007A29C6" w:rsidRPr="00CC18E5">
              <w:rPr>
                <w:rFonts w:ascii="Arial Narrow" w:hAnsi="Arial Narrow"/>
                <w:snapToGrid w:val="0"/>
                <w:sz w:val="20"/>
                <w:szCs w:val="20"/>
                <w:lang w:eastAsia="en-US"/>
              </w:rPr>
              <w:t xml:space="preserve"> (</w:t>
            </w:r>
            <w:r w:rsidR="003C1831" w:rsidRPr="00CC18E5">
              <w:rPr>
                <w:rFonts w:ascii="Arial Narrow" w:hAnsi="Arial Narrow"/>
                <w:snapToGrid w:val="0"/>
                <w:sz w:val="20"/>
                <w:szCs w:val="20"/>
                <w:lang w:eastAsia="en-US"/>
              </w:rPr>
              <w:t>pre-symptomatic</w:t>
            </w:r>
            <w:r w:rsidR="007A29C6" w:rsidRPr="00CC18E5">
              <w:rPr>
                <w:rFonts w:ascii="Arial Narrow" w:hAnsi="Arial Narrow"/>
                <w:snapToGrid w:val="0"/>
                <w:sz w:val="20"/>
                <w:szCs w:val="20"/>
                <w:lang w:eastAsia="en-US"/>
              </w:rPr>
              <w:t>)</w:t>
            </w:r>
          </w:p>
        </w:tc>
        <w:tc>
          <w:tcPr>
            <w:tcW w:w="704" w:type="pct"/>
            <w:vMerge w:val="restart"/>
            <w:tcBorders>
              <w:top w:val="single" w:sz="4" w:space="0" w:color="auto"/>
            </w:tcBorders>
            <w:shd w:val="clear" w:color="auto" w:fill="EAF1DD" w:themeFill="accent3" w:themeFillTint="33"/>
            <w:vAlign w:val="center"/>
          </w:tcPr>
          <w:p w14:paraId="3CB442C7"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29/29 (100.0%)</w:t>
            </w:r>
          </w:p>
        </w:tc>
        <w:tc>
          <w:tcPr>
            <w:tcW w:w="781" w:type="pct"/>
            <w:vMerge w:val="restart"/>
            <w:tcBorders>
              <w:top w:val="single" w:sz="4" w:space="0" w:color="auto"/>
            </w:tcBorders>
            <w:shd w:val="clear" w:color="auto" w:fill="EAF1DD" w:themeFill="accent3" w:themeFillTint="33"/>
            <w:vAlign w:val="center"/>
          </w:tcPr>
          <w:p w14:paraId="6A72974B"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vMerge w:val="restart"/>
            <w:tcBorders>
              <w:top w:val="single" w:sz="4" w:space="0" w:color="auto"/>
            </w:tcBorders>
            <w:shd w:val="clear" w:color="auto" w:fill="EAF1DD" w:themeFill="accent3" w:themeFillTint="33"/>
            <w:vAlign w:val="center"/>
          </w:tcPr>
          <w:p w14:paraId="492311A1" w14:textId="77777777"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703" w:type="pct"/>
            <w:vMerge w:val="restart"/>
            <w:tcBorders>
              <w:top w:val="single" w:sz="4" w:space="0" w:color="auto"/>
            </w:tcBorders>
            <w:shd w:val="clear" w:color="auto" w:fill="EAF1DD" w:themeFill="accent3" w:themeFillTint="33"/>
            <w:vAlign w:val="center"/>
          </w:tcPr>
          <w:p w14:paraId="61683137" w14:textId="77777777" w:rsidR="007A29C6" w:rsidRPr="00CC18E5" w:rsidRDefault="007A29C6"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14:paraId="54573463" w14:textId="77777777" w:rsidTr="00CC18E5">
        <w:trPr>
          <w:trHeight w:val="105"/>
        </w:trPr>
        <w:tc>
          <w:tcPr>
            <w:tcW w:w="2264" w:type="pct"/>
            <w:tcBorders>
              <w:top w:val="nil"/>
              <w:bottom w:val="nil"/>
            </w:tcBorders>
            <w:shd w:val="clear" w:color="auto" w:fill="EAF1DD" w:themeFill="accent3" w:themeFillTint="33"/>
          </w:tcPr>
          <w:p w14:paraId="0D9F0B66" w14:textId="77777777" w:rsidR="007A29C6" w:rsidRPr="00CC18E5" w:rsidRDefault="007A29C6" w:rsidP="00CC18E5">
            <w:pPr>
              <w:keepNext/>
              <w:keepLines/>
              <w:widowControl w:val="0"/>
              <w:numPr>
                <w:ilvl w:val="0"/>
                <w:numId w:val="9"/>
              </w:numPr>
              <w:ind w:left="255" w:hanging="181"/>
              <w:rPr>
                <w:rFonts w:ascii="Arial Narrow" w:hAnsi="Arial Narrow"/>
                <w:snapToGrid w:val="0"/>
                <w:sz w:val="20"/>
                <w:szCs w:val="20"/>
                <w:lang w:eastAsia="en-US"/>
              </w:rPr>
            </w:pPr>
            <w:r w:rsidRPr="00CC18E5">
              <w:rPr>
                <w:rFonts w:ascii="Arial Narrow" w:hAnsi="Arial Narrow"/>
                <w:snapToGrid w:val="0"/>
                <w:sz w:val="20"/>
                <w:szCs w:val="20"/>
                <w:lang w:eastAsia="en-US"/>
              </w:rPr>
              <w:t>31/12/2019 data cut (mean age 11.2 months and 9.7 months</w:t>
            </w:r>
            <w:r w:rsidRPr="00CC18E5">
              <w:rPr>
                <w:rFonts w:ascii="Arial Narrow" w:hAnsi="Arial Narrow"/>
                <w:snapToGrid w:val="0"/>
                <w:sz w:val="20"/>
                <w:szCs w:val="20"/>
                <w:vertAlign w:val="superscript"/>
                <w:lang w:eastAsia="en-US"/>
              </w:rPr>
              <w:t>d</w:t>
            </w:r>
            <w:r w:rsidRPr="00CC18E5">
              <w:rPr>
                <w:rFonts w:ascii="Arial Narrow" w:hAnsi="Arial Narrow"/>
                <w:snapToGrid w:val="0"/>
                <w:sz w:val="20"/>
                <w:szCs w:val="20"/>
                <w:lang w:eastAsia="en-US"/>
              </w:rPr>
              <w:t xml:space="preserve"> for 2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xml:space="preserve"> and 3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respectively)</w:t>
            </w:r>
          </w:p>
        </w:tc>
        <w:tc>
          <w:tcPr>
            <w:tcW w:w="704" w:type="pct"/>
            <w:vMerge/>
            <w:tcBorders>
              <w:bottom w:val="nil"/>
            </w:tcBorders>
            <w:shd w:val="clear" w:color="auto" w:fill="EAF1DD" w:themeFill="accent3" w:themeFillTint="33"/>
            <w:vAlign w:val="center"/>
          </w:tcPr>
          <w:p w14:paraId="2984FB15"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vMerge/>
            <w:tcBorders>
              <w:bottom w:val="nil"/>
            </w:tcBorders>
            <w:shd w:val="clear" w:color="auto" w:fill="EAF1DD" w:themeFill="accent3" w:themeFillTint="33"/>
            <w:vAlign w:val="center"/>
          </w:tcPr>
          <w:p w14:paraId="6DA122DA"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548" w:type="pct"/>
            <w:vMerge/>
            <w:tcBorders>
              <w:bottom w:val="nil"/>
            </w:tcBorders>
            <w:shd w:val="clear" w:color="auto" w:fill="EAF1DD" w:themeFill="accent3" w:themeFillTint="33"/>
            <w:vAlign w:val="center"/>
          </w:tcPr>
          <w:p w14:paraId="59C2F74F" w14:textId="77777777" w:rsidR="007A29C6" w:rsidRPr="00CC18E5" w:rsidRDefault="007A29C6" w:rsidP="00CC18E5">
            <w:pPr>
              <w:keepNext/>
              <w:keepLines/>
              <w:widowControl w:val="0"/>
              <w:jc w:val="center"/>
              <w:rPr>
                <w:rFonts w:ascii="Arial Narrow" w:hAnsi="Arial Narrow"/>
                <w:bCs/>
                <w:snapToGrid w:val="0"/>
                <w:sz w:val="20"/>
                <w:szCs w:val="20"/>
                <w:lang w:eastAsia="en-US"/>
              </w:rPr>
            </w:pPr>
          </w:p>
        </w:tc>
        <w:tc>
          <w:tcPr>
            <w:tcW w:w="703" w:type="pct"/>
            <w:vMerge/>
            <w:tcBorders>
              <w:bottom w:val="nil"/>
            </w:tcBorders>
            <w:shd w:val="clear" w:color="auto" w:fill="EAF1DD" w:themeFill="accent3" w:themeFillTint="33"/>
          </w:tcPr>
          <w:p w14:paraId="2796841E" w14:textId="77777777" w:rsidR="007A29C6" w:rsidRPr="00CC18E5" w:rsidRDefault="007A29C6" w:rsidP="00CC18E5">
            <w:pPr>
              <w:keepNext/>
              <w:keepLines/>
              <w:widowControl w:val="0"/>
              <w:jc w:val="center"/>
              <w:rPr>
                <w:rFonts w:ascii="Arial Narrow" w:hAnsi="Arial Narrow"/>
                <w:bCs/>
                <w:snapToGrid w:val="0"/>
                <w:sz w:val="20"/>
                <w:szCs w:val="20"/>
                <w:lang w:eastAsia="en-US"/>
              </w:rPr>
            </w:pPr>
          </w:p>
        </w:tc>
      </w:tr>
      <w:tr w:rsidR="007A29C6" w:rsidRPr="00CC18E5" w14:paraId="74A5E7CD" w14:textId="77777777" w:rsidTr="00CC18E5">
        <w:trPr>
          <w:trHeight w:val="70"/>
        </w:trPr>
        <w:tc>
          <w:tcPr>
            <w:tcW w:w="5000" w:type="pct"/>
            <w:gridSpan w:val="5"/>
            <w:tcBorders>
              <w:bottom w:val="single" w:sz="4" w:space="0" w:color="auto"/>
            </w:tcBorders>
            <w:shd w:val="clear" w:color="auto" w:fill="auto"/>
            <w:vAlign w:val="center"/>
          </w:tcPr>
          <w:p w14:paraId="30818A5D" w14:textId="77777777" w:rsidR="007A29C6" w:rsidRPr="00CC18E5" w:rsidRDefault="00EE09B5" w:rsidP="00CC18E5">
            <w:pPr>
              <w:keepNext/>
              <w:keepLines/>
              <w:widowControl w:val="0"/>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NUSI</w:t>
            </w:r>
            <w:r w:rsidR="007A29C6" w:rsidRPr="00CC18E5">
              <w:rPr>
                <w:rFonts w:ascii="Arial Narrow" w:hAnsi="Arial Narrow"/>
                <w:b/>
                <w:bCs/>
                <w:snapToGrid w:val="0"/>
                <w:sz w:val="20"/>
                <w:szCs w:val="20"/>
                <w:lang w:eastAsia="en-US"/>
              </w:rPr>
              <w:t xml:space="preserve"> studies</w:t>
            </w:r>
          </w:p>
        </w:tc>
      </w:tr>
      <w:tr w:rsidR="007A29C6" w:rsidRPr="00CC18E5" w14:paraId="6389B15B" w14:textId="77777777" w:rsidTr="00CC18E5">
        <w:tc>
          <w:tcPr>
            <w:tcW w:w="2264" w:type="pct"/>
            <w:tcBorders>
              <w:top w:val="single" w:sz="4" w:space="0" w:color="auto"/>
              <w:bottom w:val="single" w:sz="4" w:space="0" w:color="auto"/>
              <w:right w:val="single" w:sz="4" w:space="0" w:color="auto"/>
            </w:tcBorders>
            <w:shd w:val="clear" w:color="auto" w:fill="F8ECEC"/>
          </w:tcPr>
          <w:p w14:paraId="1BBA9165" w14:textId="77777777"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ENDEAR</w:t>
            </w:r>
          </w:p>
          <w:p w14:paraId="5F689526" w14:textId="77777777" w:rsidR="007A29C6" w:rsidRPr="00CC18E5" w:rsidRDefault="007A29C6"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 xml:space="preserve">Median follow-up 280 days </w:t>
            </w:r>
            <w:r w:rsidR="007A3BC3" w:rsidRPr="00CC18E5">
              <w:rPr>
                <w:rFonts w:ascii="Arial Narrow" w:hAnsi="Arial Narrow"/>
                <w:sz w:val="20"/>
                <w:szCs w:val="20"/>
                <w:lang w:eastAsia="en-US"/>
              </w:rPr>
              <w:t xml:space="preserve">(9.2mth) </w:t>
            </w:r>
            <w:r w:rsidR="00EE09B5" w:rsidRPr="00CC18E5">
              <w:rPr>
                <w:rFonts w:ascii="Arial Narrow" w:hAnsi="Arial Narrow"/>
                <w:sz w:val="20"/>
                <w:szCs w:val="20"/>
                <w:lang w:eastAsia="en-US"/>
              </w:rPr>
              <w:t>NUSI</w:t>
            </w:r>
            <w:r w:rsidRPr="00CC18E5">
              <w:rPr>
                <w:rFonts w:ascii="Arial Narrow" w:hAnsi="Arial Narrow"/>
                <w:sz w:val="20"/>
                <w:szCs w:val="20"/>
                <w:lang w:eastAsia="en-US"/>
              </w:rPr>
              <w:t>; 187</w:t>
            </w:r>
            <w:r w:rsidR="00AB57D5" w:rsidRPr="00CC18E5">
              <w:rPr>
                <w:rFonts w:ascii="Arial Narrow" w:hAnsi="Arial Narrow"/>
                <w:sz w:val="20"/>
                <w:szCs w:val="20"/>
                <w:lang w:eastAsia="en-US"/>
              </w:rPr>
              <w:t xml:space="preserve"> </w:t>
            </w:r>
            <w:r w:rsidR="007A3BC3" w:rsidRPr="00CC18E5">
              <w:rPr>
                <w:rFonts w:ascii="Arial Narrow" w:hAnsi="Arial Narrow"/>
                <w:sz w:val="20"/>
                <w:szCs w:val="20"/>
                <w:lang w:eastAsia="en-US"/>
              </w:rPr>
              <w:t>days (6.1mth)</w:t>
            </w:r>
            <w:r w:rsidRPr="00CC18E5">
              <w:rPr>
                <w:rFonts w:ascii="Arial Narrow" w:hAnsi="Arial Narrow"/>
                <w:sz w:val="20"/>
                <w:szCs w:val="20"/>
                <w:lang w:eastAsia="en-US"/>
              </w:rPr>
              <w:t xml:space="preserve"> control</w:t>
            </w:r>
          </w:p>
        </w:tc>
        <w:tc>
          <w:tcPr>
            <w:tcW w:w="704" w:type="pct"/>
            <w:tcBorders>
              <w:top w:val="single" w:sz="4" w:space="0" w:color="auto"/>
              <w:left w:val="single" w:sz="4" w:space="0" w:color="auto"/>
              <w:bottom w:val="single" w:sz="4" w:space="0" w:color="auto"/>
              <w:right w:val="single" w:sz="4" w:space="0" w:color="auto"/>
            </w:tcBorders>
            <w:shd w:val="clear" w:color="auto" w:fill="F8ECEC"/>
            <w:vAlign w:val="center"/>
          </w:tcPr>
          <w:p w14:paraId="4A2EBB41"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left w:val="single" w:sz="4" w:space="0" w:color="auto"/>
              <w:bottom w:val="single" w:sz="4" w:space="0" w:color="auto"/>
              <w:right w:val="single" w:sz="4" w:space="0" w:color="auto"/>
            </w:tcBorders>
            <w:shd w:val="clear" w:color="auto" w:fill="F8ECEC"/>
            <w:vAlign w:val="center"/>
          </w:tcPr>
          <w:p w14:paraId="7DD28E64"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25/41 (61.0%)</w:t>
            </w:r>
          </w:p>
        </w:tc>
        <w:tc>
          <w:tcPr>
            <w:tcW w:w="548" w:type="pct"/>
            <w:tcBorders>
              <w:top w:val="single" w:sz="4" w:space="0" w:color="auto"/>
              <w:left w:val="single" w:sz="4" w:space="0" w:color="auto"/>
              <w:bottom w:val="single" w:sz="4" w:space="0" w:color="auto"/>
            </w:tcBorders>
            <w:shd w:val="clear" w:color="auto" w:fill="F8ECEC"/>
            <w:vAlign w:val="center"/>
          </w:tcPr>
          <w:p w14:paraId="11AD941B" w14:textId="77777777" w:rsidR="007A29C6" w:rsidRPr="00CC18E5" w:rsidRDefault="007A29C6"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67/81 (82.7%)</w:t>
            </w:r>
          </w:p>
        </w:tc>
        <w:tc>
          <w:tcPr>
            <w:tcW w:w="703" w:type="pct"/>
            <w:tcBorders>
              <w:top w:val="single" w:sz="4" w:space="0" w:color="auto"/>
              <w:bottom w:val="single" w:sz="4" w:space="0" w:color="auto"/>
            </w:tcBorders>
            <w:shd w:val="clear" w:color="auto" w:fill="F8ECEC"/>
            <w:vAlign w:val="center"/>
          </w:tcPr>
          <w:p w14:paraId="4B179A5D" w14:textId="77777777" w:rsidR="007A29C6" w:rsidRPr="00CC18E5" w:rsidRDefault="007A29C6"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0.37 (0.18, 0.77)</w:t>
            </w:r>
          </w:p>
        </w:tc>
      </w:tr>
      <w:tr w:rsidR="007A29C6" w:rsidRPr="00CC18E5" w14:paraId="68BD85B5" w14:textId="77777777" w:rsidTr="00CC18E5">
        <w:tc>
          <w:tcPr>
            <w:tcW w:w="2264" w:type="pct"/>
            <w:tcBorders>
              <w:top w:val="single" w:sz="4" w:space="0" w:color="auto"/>
              <w:left w:val="single" w:sz="4" w:space="0" w:color="auto"/>
              <w:bottom w:val="nil"/>
              <w:right w:val="single" w:sz="4" w:space="0" w:color="auto"/>
            </w:tcBorders>
            <w:shd w:val="clear" w:color="auto" w:fill="F8ECEC"/>
          </w:tcPr>
          <w:p w14:paraId="3465EC84" w14:textId="77777777" w:rsidR="007A29C6" w:rsidRPr="00CC18E5" w:rsidRDefault="007A29C6"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SHINE/ENDEAR</w:t>
            </w:r>
          </w:p>
        </w:tc>
        <w:tc>
          <w:tcPr>
            <w:tcW w:w="704" w:type="pct"/>
            <w:tcBorders>
              <w:top w:val="single" w:sz="4" w:space="0" w:color="auto"/>
              <w:left w:val="single" w:sz="4" w:space="0" w:color="auto"/>
              <w:bottom w:val="nil"/>
              <w:right w:val="single" w:sz="4" w:space="0" w:color="auto"/>
            </w:tcBorders>
            <w:shd w:val="clear" w:color="auto" w:fill="F8ECEC"/>
            <w:vAlign w:val="center"/>
          </w:tcPr>
          <w:p w14:paraId="452F527A" w14:textId="77777777" w:rsidR="007A29C6" w:rsidRPr="00CC18E5" w:rsidRDefault="007A29C6" w:rsidP="00CC18E5">
            <w:pPr>
              <w:keepNext/>
              <w:keepLines/>
              <w:widowControl w:val="0"/>
              <w:jc w:val="center"/>
              <w:rPr>
                <w:rFonts w:ascii="Arial Narrow" w:hAnsi="Arial Narrow"/>
                <w:snapToGrid w:val="0"/>
                <w:sz w:val="20"/>
                <w:szCs w:val="20"/>
                <w:lang w:eastAsia="en-US"/>
              </w:rPr>
            </w:pPr>
          </w:p>
        </w:tc>
        <w:tc>
          <w:tcPr>
            <w:tcW w:w="781" w:type="pct"/>
            <w:tcBorders>
              <w:top w:val="single" w:sz="4" w:space="0" w:color="auto"/>
              <w:left w:val="single" w:sz="4" w:space="0" w:color="auto"/>
              <w:bottom w:val="nil"/>
              <w:right w:val="single" w:sz="4" w:space="0" w:color="auto"/>
            </w:tcBorders>
            <w:shd w:val="clear" w:color="auto" w:fill="F8ECEC"/>
            <w:vAlign w:val="center"/>
          </w:tcPr>
          <w:p w14:paraId="437BF9F2" w14:textId="77777777" w:rsidR="007A29C6" w:rsidRPr="00CC18E5" w:rsidRDefault="007B35A1" w:rsidP="00CC18E5">
            <w:pPr>
              <w:keepNext/>
              <w:keepLines/>
              <w:widowControl w:val="0"/>
              <w:jc w:val="center"/>
              <w:rPr>
                <w:rFonts w:ascii="Arial Narrow" w:hAnsi="Arial Narrow"/>
                <w:snapToGrid w:val="0"/>
                <w:sz w:val="20"/>
                <w:szCs w:val="20"/>
                <w:lang w:eastAsia="en-US"/>
              </w:rPr>
            </w:pPr>
            <w:r w:rsidRPr="00CC18E5">
              <w:rPr>
                <w:rFonts w:ascii="Arial Narrow" w:hAnsi="Arial Narrow"/>
                <w:b/>
                <w:bCs/>
                <w:snapToGrid w:val="0"/>
                <w:sz w:val="20"/>
                <w:szCs w:val="20"/>
                <w:lang w:eastAsia="en-US"/>
              </w:rPr>
              <w:t>^</w:t>
            </w:r>
          </w:p>
        </w:tc>
        <w:tc>
          <w:tcPr>
            <w:tcW w:w="548" w:type="pct"/>
            <w:tcBorders>
              <w:top w:val="single" w:sz="4" w:space="0" w:color="auto"/>
              <w:left w:val="single" w:sz="4" w:space="0" w:color="auto"/>
              <w:bottom w:val="nil"/>
              <w:right w:val="single" w:sz="4" w:space="0" w:color="auto"/>
            </w:tcBorders>
            <w:shd w:val="clear" w:color="auto" w:fill="F8ECEC"/>
            <w:vAlign w:val="center"/>
          </w:tcPr>
          <w:p w14:paraId="06309AC6" w14:textId="77777777" w:rsidR="007A29C6" w:rsidRPr="00CC18E5" w:rsidRDefault="007A29C6" w:rsidP="00CC18E5">
            <w:pPr>
              <w:keepNext/>
              <w:keepLines/>
              <w:widowControl w:val="0"/>
              <w:jc w:val="center"/>
              <w:rPr>
                <w:rFonts w:ascii="Arial Narrow" w:hAnsi="Arial Narrow"/>
                <w:snapToGrid w:val="0"/>
                <w:sz w:val="20"/>
                <w:szCs w:val="20"/>
                <w:vertAlign w:val="superscript"/>
                <w:lang w:eastAsia="en-US"/>
              </w:rPr>
            </w:pPr>
            <w:r w:rsidRPr="00CC18E5">
              <w:rPr>
                <w:rFonts w:ascii="Arial Narrow" w:hAnsi="Arial Narrow"/>
                <w:bCs/>
                <w:snapToGrid w:val="0"/>
                <w:sz w:val="20"/>
                <w:szCs w:val="20"/>
                <w:vertAlign w:val="superscript"/>
                <w:lang w:eastAsia="en-US"/>
              </w:rPr>
              <w:t>#</w:t>
            </w:r>
          </w:p>
        </w:tc>
        <w:tc>
          <w:tcPr>
            <w:tcW w:w="703" w:type="pct"/>
            <w:tcBorders>
              <w:top w:val="single" w:sz="4" w:space="0" w:color="auto"/>
              <w:left w:val="single" w:sz="4" w:space="0" w:color="auto"/>
              <w:bottom w:val="nil"/>
              <w:right w:val="single" w:sz="4" w:space="0" w:color="auto"/>
            </w:tcBorders>
            <w:shd w:val="clear" w:color="auto" w:fill="F8ECEC"/>
            <w:vAlign w:val="center"/>
          </w:tcPr>
          <w:p w14:paraId="11AE59F3" w14:textId="77777777" w:rsidR="007A29C6" w:rsidRPr="00CC18E5" w:rsidRDefault="007A29C6" w:rsidP="00CC18E5">
            <w:pPr>
              <w:keepNext/>
              <w:keepLines/>
              <w:widowControl w:val="0"/>
              <w:jc w:val="center"/>
              <w:rPr>
                <w:rFonts w:ascii="Arial Narrow" w:hAnsi="Arial Narrow"/>
                <w:b/>
                <w:bCs/>
                <w:snapToGrid w:val="0"/>
                <w:sz w:val="20"/>
                <w:szCs w:val="20"/>
                <w:lang w:eastAsia="en-US"/>
              </w:rPr>
            </w:pPr>
          </w:p>
        </w:tc>
      </w:tr>
      <w:tr w:rsidR="00E626EF" w:rsidRPr="00CC18E5" w14:paraId="7C0331F1" w14:textId="77777777" w:rsidTr="00CC18E5">
        <w:tc>
          <w:tcPr>
            <w:tcW w:w="2264" w:type="pct"/>
            <w:tcBorders>
              <w:top w:val="nil"/>
              <w:left w:val="single" w:sz="4" w:space="0" w:color="auto"/>
              <w:bottom w:val="nil"/>
            </w:tcBorders>
            <w:shd w:val="clear" w:color="auto" w:fill="F8ECEC"/>
          </w:tcPr>
          <w:p w14:paraId="49BF6711" w14:textId="77777777"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- 6 months in SHINE</w:t>
            </w:r>
          </w:p>
          <w:p w14:paraId="4EE1C9BF" w14:textId="77777777"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- 12 months in SHINE</w:t>
            </w:r>
          </w:p>
          <w:p w14:paraId="470584AB" w14:textId="77777777"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- 18 months in SHINE</w:t>
            </w:r>
          </w:p>
        </w:tc>
        <w:tc>
          <w:tcPr>
            <w:tcW w:w="704" w:type="pct"/>
            <w:tcBorders>
              <w:top w:val="nil"/>
              <w:left w:val="single" w:sz="4" w:space="0" w:color="auto"/>
              <w:bottom w:val="nil"/>
              <w:right w:val="single" w:sz="4" w:space="0" w:color="auto"/>
            </w:tcBorders>
            <w:shd w:val="clear" w:color="auto" w:fill="F8ECEC"/>
            <w:vAlign w:val="center"/>
          </w:tcPr>
          <w:p w14:paraId="39BF7D9F"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bCs/>
                <w:snapToGrid w:val="0"/>
                <w:sz w:val="20"/>
                <w:szCs w:val="20"/>
                <w:lang w:eastAsia="en-US"/>
              </w:rPr>
              <w:t>-</w:t>
            </w:r>
          </w:p>
        </w:tc>
        <w:tc>
          <w:tcPr>
            <w:tcW w:w="781" w:type="pct"/>
            <w:tcBorders>
              <w:top w:val="nil"/>
              <w:left w:val="single" w:sz="4" w:space="0" w:color="auto"/>
              <w:bottom w:val="nil"/>
            </w:tcBorders>
            <w:shd w:val="clear" w:color="auto" w:fill="F8ECEC"/>
            <w:vAlign w:val="center"/>
          </w:tcPr>
          <w:p w14:paraId="02430D04"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27 (65.9%)</w:t>
            </w:r>
          </w:p>
          <w:p w14:paraId="6156F42B" w14:textId="77777777"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23 (56.1%)</w:t>
            </w:r>
          </w:p>
          <w:p w14:paraId="5FE20BC9" w14:textId="77777777" w:rsidR="00E626EF" w:rsidRPr="00CC18E5" w:rsidRDefault="00E626EF"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Cs/>
                <w:snapToGrid w:val="0"/>
                <w:sz w:val="20"/>
                <w:szCs w:val="20"/>
                <w:lang w:eastAsia="en-US"/>
              </w:rPr>
              <w:t>15 (56.1%)</w:t>
            </w:r>
          </w:p>
        </w:tc>
        <w:tc>
          <w:tcPr>
            <w:tcW w:w="548" w:type="pct"/>
            <w:tcBorders>
              <w:top w:val="nil"/>
              <w:left w:val="single" w:sz="4" w:space="0" w:color="auto"/>
              <w:bottom w:val="nil"/>
            </w:tcBorders>
            <w:shd w:val="clear" w:color="auto" w:fill="F8ECEC"/>
            <w:vAlign w:val="center"/>
          </w:tcPr>
          <w:p w14:paraId="7DEAF9A7"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68 (85.3%)</w:t>
            </w:r>
          </w:p>
          <w:p w14:paraId="3A78817E" w14:textId="77777777"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64 (81.6%)</w:t>
            </w:r>
          </w:p>
          <w:p w14:paraId="3C0C8222" w14:textId="77777777"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(77.5%)</w:t>
            </w:r>
          </w:p>
        </w:tc>
        <w:tc>
          <w:tcPr>
            <w:tcW w:w="703" w:type="pct"/>
            <w:tcBorders>
              <w:top w:val="nil"/>
              <w:left w:val="single" w:sz="4" w:space="0" w:color="auto"/>
              <w:bottom w:val="nil"/>
            </w:tcBorders>
            <w:shd w:val="clear" w:color="auto" w:fill="F8ECEC"/>
            <w:vAlign w:val="center"/>
          </w:tcPr>
          <w:p w14:paraId="46E93781" w14:textId="77777777" w:rsidR="00E626EF" w:rsidRPr="00CC18E5" w:rsidRDefault="00E626EF" w:rsidP="00CC18E5">
            <w:pPr>
              <w:keepNext/>
              <w:keepLines/>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r>
      <w:tr w:rsidR="00E626EF" w:rsidRPr="00CC18E5" w14:paraId="5D16BC79" w14:textId="77777777" w:rsidTr="00CC18E5">
        <w:trPr>
          <w:trHeight w:val="277"/>
        </w:trPr>
        <w:tc>
          <w:tcPr>
            <w:tcW w:w="2264" w:type="pct"/>
            <w:tcBorders>
              <w:top w:val="single" w:sz="4" w:space="0" w:color="auto"/>
            </w:tcBorders>
            <w:shd w:val="clear" w:color="auto" w:fill="EAF1DD" w:themeFill="accent3" w:themeFillTint="33"/>
          </w:tcPr>
          <w:p w14:paraId="219FE1D7" w14:textId="77777777"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NURTURE</w:t>
            </w:r>
          </w:p>
          <w:p w14:paraId="0DA7AF2E" w14:textId="77777777" w:rsidR="00E626EF" w:rsidRPr="00CC18E5" w:rsidRDefault="00E626EF"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Interim analysis data cut 29/03/19 (median 34.8 months of age)</w:t>
            </w:r>
          </w:p>
        </w:tc>
        <w:tc>
          <w:tcPr>
            <w:tcW w:w="704" w:type="pct"/>
            <w:tcBorders>
              <w:top w:val="single" w:sz="4" w:space="0" w:color="auto"/>
            </w:tcBorders>
            <w:shd w:val="clear" w:color="auto" w:fill="EAF1DD" w:themeFill="accent3" w:themeFillTint="33"/>
            <w:vAlign w:val="center"/>
          </w:tcPr>
          <w:p w14:paraId="74F8226B"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tcBorders>
            <w:shd w:val="clear" w:color="auto" w:fill="EAF1DD" w:themeFill="accent3" w:themeFillTint="33"/>
            <w:vAlign w:val="center"/>
          </w:tcPr>
          <w:p w14:paraId="6E4D513D"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top w:val="single" w:sz="4" w:space="0" w:color="auto"/>
            </w:tcBorders>
            <w:shd w:val="clear" w:color="auto" w:fill="EAF1DD" w:themeFill="accent3" w:themeFillTint="33"/>
            <w:vAlign w:val="center"/>
          </w:tcPr>
          <w:p w14:paraId="2732806E"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25/25 (100.0%)</w:t>
            </w:r>
          </w:p>
        </w:tc>
        <w:tc>
          <w:tcPr>
            <w:tcW w:w="703" w:type="pct"/>
            <w:tcBorders>
              <w:top w:val="single" w:sz="4" w:space="0" w:color="auto"/>
            </w:tcBorders>
            <w:shd w:val="clear" w:color="auto" w:fill="EAF1DD" w:themeFill="accent3" w:themeFillTint="33"/>
            <w:vAlign w:val="center"/>
          </w:tcPr>
          <w:p w14:paraId="5775CBC2"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bCs/>
                <w:snapToGrid w:val="0"/>
                <w:sz w:val="20"/>
                <w:szCs w:val="20"/>
                <w:lang w:eastAsia="en-US"/>
              </w:rPr>
              <w:t>-</w:t>
            </w:r>
          </w:p>
        </w:tc>
      </w:tr>
      <w:tr w:rsidR="00E626EF" w:rsidRPr="00CC18E5" w14:paraId="462CB0DF" w14:textId="77777777" w:rsidTr="00CC18E5">
        <w:tc>
          <w:tcPr>
            <w:tcW w:w="2264" w:type="pct"/>
            <w:tcBorders>
              <w:bottom w:val="nil"/>
            </w:tcBorders>
            <w:shd w:val="clear" w:color="auto" w:fill="auto"/>
          </w:tcPr>
          <w:p w14:paraId="4C49567B" w14:textId="77777777"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EAP-AU – 6 months follow up</w:t>
            </w:r>
          </w:p>
          <w:p w14:paraId="3487956F" w14:textId="77777777" w:rsidR="00E626EF" w:rsidRPr="00CC18E5" w:rsidRDefault="004400AE"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SMN2</w:t>
            </w:r>
            <w:r w:rsidR="00E626EF" w:rsidRPr="00CC18E5">
              <w:rPr>
                <w:rFonts w:ascii="Arial Narrow" w:hAnsi="Arial Narrow"/>
                <w:sz w:val="20"/>
                <w:szCs w:val="20"/>
                <w:lang w:eastAsia="en-US"/>
              </w:rPr>
              <w:t>=2 copies (median age at follow up: 25.8 months</w:t>
            </w:r>
            <w:r w:rsidR="00E626EF" w:rsidRPr="00CC18E5">
              <w:rPr>
                <w:rFonts w:ascii="Arial Narrow" w:hAnsi="Arial Narrow"/>
                <w:sz w:val="20"/>
                <w:szCs w:val="20"/>
                <w:vertAlign w:val="superscript"/>
                <w:lang w:eastAsia="en-US"/>
              </w:rPr>
              <w:t>e</w:t>
            </w:r>
            <w:r w:rsidR="00E626EF" w:rsidRPr="00CC18E5">
              <w:rPr>
                <w:rFonts w:ascii="Arial Narrow" w:hAnsi="Arial Narrow"/>
                <w:sz w:val="20"/>
                <w:szCs w:val="20"/>
                <w:lang w:eastAsia="en-US"/>
              </w:rPr>
              <w:t>)</w:t>
            </w:r>
          </w:p>
          <w:p w14:paraId="507C9A9D" w14:textId="77777777" w:rsidR="00E626EF" w:rsidRPr="00CC18E5" w:rsidRDefault="004400AE"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SMN2</w:t>
            </w:r>
            <w:r w:rsidR="00E626EF" w:rsidRPr="00CC18E5">
              <w:rPr>
                <w:rFonts w:ascii="Arial Narrow" w:hAnsi="Arial Narrow"/>
                <w:sz w:val="20"/>
                <w:szCs w:val="20"/>
                <w:lang w:eastAsia="en-US"/>
              </w:rPr>
              <w:t>=3 copies (median age at follow up: 33.7months</w:t>
            </w:r>
            <w:r w:rsidR="00E626EF" w:rsidRPr="00CC18E5">
              <w:rPr>
                <w:rFonts w:ascii="Arial Narrow" w:hAnsi="Arial Narrow"/>
                <w:sz w:val="20"/>
                <w:szCs w:val="20"/>
                <w:vertAlign w:val="superscript"/>
                <w:lang w:eastAsia="en-US"/>
              </w:rPr>
              <w:t>e</w:t>
            </w:r>
            <w:r w:rsidR="00E626EF" w:rsidRPr="00CC18E5">
              <w:rPr>
                <w:rFonts w:ascii="Arial Narrow" w:hAnsi="Arial Narrow"/>
                <w:sz w:val="20"/>
                <w:szCs w:val="20"/>
                <w:lang w:eastAsia="en-US"/>
              </w:rPr>
              <w:t xml:space="preserve">) </w:t>
            </w:r>
          </w:p>
        </w:tc>
        <w:tc>
          <w:tcPr>
            <w:tcW w:w="704" w:type="pct"/>
            <w:tcBorders>
              <w:bottom w:val="nil"/>
            </w:tcBorders>
            <w:shd w:val="clear" w:color="auto" w:fill="auto"/>
            <w:vAlign w:val="center"/>
          </w:tcPr>
          <w:p w14:paraId="57446A53"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bottom w:val="nil"/>
            </w:tcBorders>
            <w:shd w:val="clear" w:color="auto" w:fill="auto"/>
            <w:vAlign w:val="center"/>
          </w:tcPr>
          <w:p w14:paraId="76AFE491"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bottom w:val="single" w:sz="4" w:space="0" w:color="auto"/>
            </w:tcBorders>
            <w:shd w:val="clear" w:color="auto" w:fill="auto"/>
          </w:tcPr>
          <w:p w14:paraId="54E07687" w14:textId="77777777" w:rsidR="00E626EF" w:rsidRPr="00CC18E5" w:rsidRDefault="00E626EF" w:rsidP="00CC18E5">
            <w:pPr>
              <w:keepNext/>
              <w:keepLines/>
              <w:widowControl w:val="0"/>
              <w:jc w:val="center"/>
              <w:rPr>
                <w:rFonts w:ascii="Arial Narrow" w:hAnsi="Arial Narrow"/>
                <w:snapToGrid w:val="0"/>
                <w:sz w:val="20"/>
                <w:szCs w:val="20"/>
                <w:lang w:eastAsia="en-US"/>
              </w:rPr>
            </w:pPr>
          </w:p>
          <w:p w14:paraId="422FE997"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15/15 (100%)</w:t>
            </w:r>
          </w:p>
          <w:p w14:paraId="432129CF"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17/17 (100%)</w:t>
            </w:r>
          </w:p>
        </w:tc>
        <w:tc>
          <w:tcPr>
            <w:tcW w:w="703" w:type="pct"/>
            <w:tcBorders>
              <w:bottom w:val="single" w:sz="4" w:space="0" w:color="auto"/>
            </w:tcBorders>
            <w:vAlign w:val="center"/>
          </w:tcPr>
          <w:p w14:paraId="6A4DCFE0"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E626EF" w:rsidRPr="00CC18E5" w14:paraId="047D1215" w14:textId="77777777" w:rsidTr="00CC18E5">
        <w:tc>
          <w:tcPr>
            <w:tcW w:w="2264" w:type="pct"/>
            <w:tcBorders>
              <w:bottom w:val="nil"/>
            </w:tcBorders>
            <w:shd w:val="clear" w:color="auto" w:fill="auto"/>
          </w:tcPr>
          <w:p w14:paraId="3B8A3573" w14:textId="77777777"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EAP-AU ((median treatment duration 5.1 months)</w:t>
            </w:r>
          </w:p>
        </w:tc>
        <w:tc>
          <w:tcPr>
            <w:tcW w:w="704" w:type="pct"/>
            <w:tcBorders>
              <w:bottom w:val="nil"/>
            </w:tcBorders>
            <w:shd w:val="clear" w:color="auto" w:fill="auto"/>
            <w:vAlign w:val="center"/>
          </w:tcPr>
          <w:p w14:paraId="40315FD5"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bottom w:val="nil"/>
            </w:tcBorders>
            <w:shd w:val="clear" w:color="auto" w:fill="auto"/>
            <w:vAlign w:val="center"/>
          </w:tcPr>
          <w:p w14:paraId="41364D2A"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bottom w:val="single" w:sz="4" w:space="0" w:color="auto"/>
            </w:tcBorders>
            <w:shd w:val="clear" w:color="auto" w:fill="auto"/>
            <w:vAlign w:val="center"/>
          </w:tcPr>
          <w:p w14:paraId="5B3B157B"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16/16 (100%)</w:t>
            </w:r>
          </w:p>
        </w:tc>
        <w:tc>
          <w:tcPr>
            <w:tcW w:w="703" w:type="pct"/>
            <w:tcBorders>
              <w:bottom w:val="single" w:sz="4" w:space="0" w:color="auto"/>
            </w:tcBorders>
            <w:vAlign w:val="center"/>
          </w:tcPr>
          <w:p w14:paraId="04B3E5A1"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E626EF" w:rsidRPr="00CC18E5" w14:paraId="26F10436" w14:textId="77777777" w:rsidTr="00CC18E5">
        <w:trPr>
          <w:trHeight w:val="76"/>
        </w:trPr>
        <w:tc>
          <w:tcPr>
            <w:tcW w:w="2264" w:type="pct"/>
            <w:tcBorders>
              <w:top w:val="single" w:sz="4" w:space="0" w:color="auto"/>
            </w:tcBorders>
            <w:shd w:val="clear" w:color="auto" w:fill="auto"/>
          </w:tcPr>
          <w:p w14:paraId="4D2B52C5" w14:textId="77777777" w:rsidR="00E626EF" w:rsidRPr="00CC18E5" w:rsidRDefault="00E626EF" w:rsidP="00CC18E5">
            <w:pPr>
              <w:keepNext/>
              <w:keepLines/>
              <w:widowControl w:val="0"/>
              <w:rPr>
                <w:rFonts w:ascii="Arial Narrow" w:hAnsi="Arial Narrow"/>
                <w:snapToGrid w:val="0"/>
                <w:sz w:val="20"/>
                <w:szCs w:val="20"/>
                <w:lang w:eastAsia="en-US"/>
              </w:rPr>
            </w:pPr>
            <w:r w:rsidRPr="00CC18E5">
              <w:rPr>
                <w:rFonts w:ascii="Arial Narrow" w:hAnsi="Arial Narrow"/>
                <w:snapToGrid w:val="0"/>
                <w:sz w:val="20"/>
                <w:szCs w:val="20"/>
                <w:lang w:eastAsia="en-US"/>
              </w:rPr>
              <w:t>CS3A (12 mg group)</w:t>
            </w:r>
          </w:p>
          <w:p w14:paraId="121330AD" w14:textId="77777777" w:rsidR="00E626EF" w:rsidRPr="00CC18E5" w:rsidRDefault="00E626EF" w:rsidP="00CC18E5">
            <w:pPr>
              <w:pStyle w:val="ListParagraph"/>
              <w:keepNext/>
              <w:keepLines/>
              <w:widowControl w:val="0"/>
              <w:numPr>
                <w:ilvl w:val="0"/>
                <w:numId w:val="11"/>
              </w:numPr>
              <w:spacing w:after="0"/>
              <w:ind w:left="110" w:hanging="142"/>
              <w:rPr>
                <w:rFonts w:ascii="Arial Narrow" w:hAnsi="Arial Narrow"/>
                <w:sz w:val="20"/>
                <w:szCs w:val="20"/>
                <w:lang w:eastAsia="en-US"/>
              </w:rPr>
            </w:pPr>
            <w:r w:rsidRPr="00CC18E5">
              <w:rPr>
                <w:rFonts w:ascii="Arial Narrow" w:hAnsi="Arial Narrow"/>
                <w:sz w:val="20"/>
                <w:szCs w:val="20"/>
                <w:lang w:eastAsia="en-US"/>
              </w:rPr>
              <w:t>Interim analysis data cut 26/01/16 (2-27 months follow-up)</w:t>
            </w:r>
          </w:p>
        </w:tc>
        <w:tc>
          <w:tcPr>
            <w:tcW w:w="704" w:type="pct"/>
            <w:tcBorders>
              <w:top w:val="single" w:sz="4" w:space="0" w:color="auto"/>
            </w:tcBorders>
            <w:shd w:val="clear" w:color="auto" w:fill="auto"/>
            <w:vAlign w:val="center"/>
          </w:tcPr>
          <w:p w14:paraId="053F1FEA"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81" w:type="pct"/>
            <w:tcBorders>
              <w:top w:val="single" w:sz="4" w:space="0" w:color="auto"/>
            </w:tcBorders>
            <w:shd w:val="clear" w:color="auto" w:fill="auto"/>
            <w:vAlign w:val="center"/>
          </w:tcPr>
          <w:p w14:paraId="61B7F6EC" w14:textId="77777777" w:rsidR="00E626EF" w:rsidRPr="00CC18E5" w:rsidRDefault="00E626EF" w:rsidP="00CC18E5">
            <w:pPr>
              <w:keepNext/>
              <w:keepLines/>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548" w:type="pct"/>
            <w:tcBorders>
              <w:top w:val="single" w:sz="4" w:space="0" w:color="auto"/>
            </w:tcBorders>
            <w:shd w:val="clear" w:color="auto" w:fill="auto"/>
            <w:vAlign w:val="bottom"/>
          </w:tcPr>
          <w:p w14:paraId="6988AE4C" w14:textId="77777777" w:rsidR="00E626EF" w:rsidRPr="00CC18E5" w:rsidRDefault="00E626EF" w:rsidP="00CC18E5">
            <w:pPr>
              <w:keepNext/>
              <w:keepLines/>
              <w:widowControl w:val="0"/>
              <w:jc w:val="center"/>
              <w:rPr>
                <w:rFonts w:ascii="Arial Narrow" w:hAnsi="Arial Narrow"/>
                <w:bCs/>
                <w:snapToGrid w:val="0"/>
                <w:sz w:val="20"/>
                <w:szCs w:val="20"/>
                <w:vertAlign w:val="superscript"/>
                <w:lang w:eastAsia="en-US"/>
              </w:rPr>
            </w:pPr>
            <w:r w:rsidRPr="00CC18E5">
              <w:rPr>
                <w:rFonts w:ascii="Arial Narrow" w:hAnsi="Arial Narrow"/>
                <w:snapToGrid w:val="0"/>
                <w:sz w:val="20"/>
                <w:szCs w:val="20"/>
                <w:lang w:eastAsia="en-US"/>
              </w:rPr>
              <w:t>13/16 (81.3%)</w:t>
            </w:r>
          </w:p>
        </w:tc>
        <w:tc>
          <w:tcPr>
            <w:tcW w:w="703" w:type="pct"/>
            <w:tcBorders>
              <w:top w:val="single" w:sz="4" w:space="0" w:color="auto"/>
            </w:tcBorders>
            <w:vAlign w:val="center"/>
          </w:tcPr>
          <w:p w14:paraId="3B938F66" w14:textId="77777777" w:rsidR="00E626EF" w:rsidRPr="00CC18E5" w:rsidRDefault="00E626EF" w:rsidP="00CC18E5">
            <w:pPr>
              <w:keepNext/>
              <w:keepLines/>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bl>
    <w:p w14:paraId="073B6263" w14:textId="77777777" w:rsidR="007A29C6" w:rsidRPr="00917415" w:rsidRDefault="007A29C6" w:rsidP="00CC18E5">
      <w:pPr>
        <w:pStyle w:val="TableFigureFooter"/>
      </w:pPr>
      <w:r w:rsidRPr="00917415">
        <w:t>Source: constructed during the evaluation based on pp.110-167 of the submission, Data for SHINE from Figure 3 of NICE assessment report with digitised data from Nsn_ENDEAR_SHINE worksheet of Section 3 EXCEL model, and Finkel et al. 2016 publication for CS3A study</w:t>
      </w:r>
    </w:p>
    <w:p w14:paraId="0C3A307B" w14:textId="77777777" w:rsidR="008A5052" w:rsidRPr="00CC18E5" w:rsidRDefault="007A29C6" w:rsidP="00CC18E5">
      <w:pPr>
        <w:pStyle w:val="TableFigureFooter"/>
      </w:pPr>
      <w:r w:rsidRPr="00917415">
        <w:rPr>
          <w:vertAlign w:val="superscript"/>
        </w:rPr>
        <w:t>§</w:t>
      </w:r>
      <w:r w:rsidRPr="00917415">
        <w:tab/>
        <w:t xml:space="preserve">Against PNCR </w:t>
      </w:r>
      <w:r w:rsidR="00BA7C91" w:rsidRPr="00917415">
        <w:t xml:space="preserve"> </w:t>
      </w:r>
      <w:r w:rsidRPr="00917415">
        <w:t>#</w:t>
      </w:r>
      <w:r w:rsidRPr="00917415">
        <w:tab/>
        <w:t xml:space="preserve">ENDEAR </w:t>
      </w:r>
      <w:r w:rsidR="00EE09B5" w:rsidRPr="00917415">
        <w:t>NUSI</w:t>
      </w:r>
      <w:r w:rsidRPr="00917415">
        <w:t xml:space="preserve"> and SHINE </w:t>
      </w:r>
      <w:r w:rsidR="00EE09B5" w:rsidRPr="00917415">
        <w:t>NUSI</w:t>
      </w:r>
      <w:r w:rsidR="00BA7C91" w:rsidRPr="00917415">
        <w:t xml:space="preserve"> </w:t>
      </w:r>
      <w:r w:rsidRPr="00917415">
        <w:t>^</w:t>
      </w:r>
      <w:r w:rsidRPr="00917415">
        <w:tab/>
        <w:t xml:space="preserve">ENDEAR control /SHINE </w:t>
      </w:r>
      <w:r w:rsidR="00EE09B5" w:rsidRPr="00917415">
        <w:t>NUSI</w:t>
      </w:r>
      <w:r w:rsidR="00730E33" w:rsidRPr="00917415">
        <w:t xml:space="preserve">; </w:t>
      </w:r>
      <w:r w:rsidRPr="00917415">
        <w:rPr>
          <w:vertAlign w:val="superscript"/>
        </w:rPr>
        <w:t>a</w:t>
      </w:r>
      <w:r w:rsidRPr="00917415">
        <w:t xml:space="preserve"> </w:t>
      </w:r>
      <w:r w:rsidRPr="00917415">
        <w:tab/>
        <w:t>In START, only results from Cohort 2 with the recommended ONA dose are reported here</w:t>
      </w:r>
      <w:r w:rsidR="00917415">
        <w:t xml:space="preserve">. </w:t>
      </w:r>
      <w:r w:rsidRPr="00917415">
        <w:t>Results from Cohort 1 with a lower than recommended ONA dose, are not reported here</w:t>
      </w:r>
      <w:r w:rsidR="00730E33" w:rsidRPr="00917415">
        <w:t xml:space="preserve">; </w:t>
      </w:r>
      <w:r w:rsidRPr="00917415">
        <w:rPr>
          <w:vertAlign w:val="superscript"/>
        </w:rPr>
        <w:t>b</w:t>
      </w:r>
      <w:r w:rsidRPr="00917415">
        <w:t xml:space="preserve"> </w:t>
      </w:r>
      <w:r w:rsidRPr="00917415">
        <w:tab/>
        <w:t>In START, at the final timepoint of 24 months post-dose, the age at the visit was mean (SD) of 27.9 (2.2) months, median 27.8 mo</w:t>
      </w:r>
      <w:r w:rsidR="00730E33" w:rsidRPr="00917415">
        <w:t>nths, range 25.3 to 32.4 months;</w:t>
      </w:r>
      <w:r w:rsidRPr="00917415">
        <w:rPr>
          <w:vertAlign w:val="superscript"/>
        </w:rPr>
        <w:t>c</w:t>
      </w:r>
      <w:r w:rsidRPr="00917415">
        <w:t xml:space="preserve"> </w:t>
      </w:r>
      <w:r w:rsidRPr="00917415">
        <w:tab/>
        <w:t>At the time of the data cut, 30 of the 32 patients were ≥ 10.5 months of age, 18 were ≥ 14 months of age and 4 were ≥ 18 months of age. The 2 remaining patients had not</w:t>
      </w:r>
      <w:r w:rsidR="00730E33" w:rsidRPr="00917415">
        <w:t xml:space="preserve"> yet reached 10.5 months of age; </w:t>
      </w:r>
      <w:r w:rsidRPr="00917415">
        <w:rPr>
          <w:vertAlign w:val="superscript"/>
        </w:rPr>
        <w:t>d</w:t>
      </w:r>
      <w:r w:rsidRPr="00917415">
        <w:t xml:space="preserve"> </w:t>
      </w:r>
      <w:r w:rsidRPr="00917415">
        <w:tab/>
        <w:t>Sourced from Strauss et al. (2020)</w:t>
      </w:r>
      <w:r w:rsidR="00730E33" w:rsidRPr="00917415">
        <w:t xml:space="preserve">; </w:t>
      </w:r>
      <w:r w:rsidRPr="00917415">
        <w:rPr>
          <w:vertAlign w:val="superscript"/>
        </w:rPr>
        <w:t>e</w:t>
      </w:r>
      <w:r w:rsidRPr="00917415">
        <w:rPr>
          <w:vertAlign w:val="superscript"/>
        </w:rPr>
        <w:tab/>
      </w:r>
      <w:r w:rsidRPr="00917415">
        <w:t>median age for the cohort</w:t>
      </w:r>
      <w:r w:rsidR="00730E33" w:rsidRPr="00917415">
        <w:t>;v</w:t>
      </w:r>
      <w:r w:rsidRPr="00917415">
        <w:rPr>
          <w:vertAlign w:val="superscript"/>
        </w:rPr>
        <w:t>f</w:t>
      </w:r>
      <w:r w:rsidRPr="00917415">
        <w:rPr>
          <w:vertAlign w:val="superscript"/>
        </w:rPr>
        <w:tab/>
      </w:r>
      <w:r w:rsidRPr="00917415">
        <w:t>3</w:t>
      </w:r>
      <w:r w:rsidRPr="00917415">
        <w:rPr>
          <w:vertAlign w:val="superscript"/>
        </w:rPr>
        <w:t xml:space="preserve"> </w:t>
      </w:r>
      <w:r w:rsidRPr="00917415">
        <w:t>patients from Cohort 1 and 10 patients from Cohort 2.</w:t>
      </w:r>
    </w:p>
    <w:p w14:paraId="2F62A139" w14:textId="77777777" w:rsidR="007A29C6" w:rsidRPr="00917415" w:rsidRDefault="007A29C6" w:rsidP="00CC18E5">
      <w:pPr>
        <w:pStyle w:val="TableFigureHeading"/>
      </w:pPr>
      <w:r w:rsidRPr="00917415">
        <w:lastRenderedPageBreak/>
        <w:t xml:space="preserve">Figure </w:t>
      </w:r>
      <w:r w:rsidR="008625C6" w:rsidRPr="00917415">
        <w:t>2</w:t>
      </w:r>
      <w:r w:rsidRPr="00917415">
        <w:t>: Summary of OS from natural history studies for patients with SMA Type I</w:t>
      </w:r>
    </w:p>
    <w:p w14:paraId="75CFC692" w14:textId="462007BE" w:rsidR="007A29C6" w:rsidRPr="00917415" w:rsidRDefault="002E0331" w:rsidP="00516F35">
      <w:pPr>
        <w:keepNext/>
        <w:jc w:val="left"/>
        <w:rPr>
          <w:rFonts w:ascii="Arial Narrow" w:hAnsi="Arial Narrow" w:cstheme="minorHAnsi"/>
          <w:b/>
          <w:i/>
          <w:sz w:val="20"/>
          <w:szCs w:val="20"/>
        </w:rPr>
      </w:pPr>
      <w:r>
        <w:rPr>
          <w:rFonts w:ascii="Arial Narrow" w:hAnsi="Arial Narrow" w:cstheme="minorHAnsi"/>
          <w:b/>
          <w:i/>
          <w:noProof/>
          <w:sz w:val="20"/>
          <w:szCs w:val="20"/>
        </w:rPr>
        <w:drawing>
          <wp:inline distT="0" distB="0" distL="0" distR="0" wp14:anchorId="646AD704" wp14:editId="6AE036DF">
            <wp:extent cx="5737860" cy="3649980"/>
            <wp:effectExtent l="0" t="0" r="0" b="7620"/>
            <wp:docPr id="10" name="Picture 10" title="Figure 2: Summary of OS from natural history studies for patients with SMA Typ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7860" cy="3649980"/>
                    </a:xfrm>
                    <a:prstGeom prst="rect">
                      <a:avLst/>
                    </a:prstGeom>
                    <a:noFill/>
                  </pic:spPr>
                </pic:pic>
              </a:graphicData>
            </a:graphic>
          </wp:inline>
        </w:drawing>
      </w:r>
    </w:p>
    <w:p w14:paraId="3F01B817" w14:textId="77777777" w:rsidR="007A29C6" w:rsidRPr="00917415" w:rsidRDefault="007A29C6" w:rsidP="00CC18E5">
      <w:pPr>
        <w:pStyle w:val="TableFigureFooter"/>
      </w:pPr>
      <w:r w:rsidRPr="00917415">
        <w:t>Source: Constructed during the evaluation from identified natural history studies</w:t>
      </w:r>
      <w:r w:rsidR="00730E33" w:rsidRPr="00917415">
        <w:t>.</w:t>
      </w:r>
      <w:r w:rsidRPr="00917415">
        <w:t xml:space="preserve"> Note this graph summarises % alive at each time point and is not to be misinterpreted as Kaplan Meier data.</w:t>
      </w:r>
    </w:p>
    <w:p w14:paraId="4000174F" w14:textId="77777777" w:rsidR="006B7180" w:rsidRPr="00CC18E5" w:rsidRDefault="007A29C6" w:rsidP="00CC18E5">
      <w:pPr>
        <w:pStyle w:val="TableFigureFooter"/>
      </w:pPr>
      <w:r w:rsidRPr="00917415">
        <w:t>NINV=non-invasive nasal ventilation</w:t>
      </w:r>
    </w:p>
    <w:p w14:paraId="5E8AFA14" w14:textId="77777777" w:rsidR="007A29C6" w:rsidRPr="00917415" w:rsidRDefault="007A29C6" w:rsidP="00516F35">
      <w:pPr>
        <w:pStyle w:val="3-BodyText"/>
        <w:rPr>
          <w:snapToGrid/>
        </w:rPr>
      </w:pPr>
      <w:r w:rsidRPr="00917415">
        <w:rPr>
          <w:rFonts w:cstheme="minorHAnsi"/>
        </w:rPr>
        <w:t xml:space="preserve">Both ONA and </w:t>
      </w:r>
      <w:r w:rsidR="00EE09B5" w:rsidRPr="00917415">
        <w:rPr>
          <w:rFonts w:cstheme="minorHAnsi"/>
        </w:rPr>
        <w:t>NUSI</w:t>
      </w:r>
      <w:r w:rsidRPr="00917415">
        <w:rPr>
          <w:rFonts w:cstheme="minorHAnsi"/>
        </w:rPr>
        <w:t xml:space="preserve"> studies reported</w:t>
      </w:r>
      <w:r w:rsidR="00EF0B77" w:rsidRPr="00917415">
        <w:rPr>
          <w:rFonts w:cstheme="minorHAnsi"/>
        </w:rPr>
        <w:t xml:space="preserve"> much</w:t>
      </w:r>
      <w:r w:rsidRPr="00917415">
        <w:rPr>
          <w:rFonts w:cstheme="minorHAnsi"/>
        </w:rPr>
        <w:t xml:space="preserve"> higher OS compared to natural history results reviewed during the evaluation for SMA Type I</w:t>
      </w:r>
      <w:r w:rsidR="007342A7" w:rsidRPr="00917415">
        <w:rPr>
          <w:rFonts w:cstheme="minorHAnsi"/>
        </w:rPr>
        <w:t>, w</w:t>
      </w:r>
      <w:r w:rsidRPr="00917415">
        <w:rPr>
          <w:rFonts w:cstheme="minorHAnsi"/>
        </w:rPr>
        <w:t xml:space="preserve">ith OS at 2 years of age ranging between 3% and 73.9% in the natural history studies with most reporting 30% to 40% survival (Oskouri 2007 – cohort born 1980-1994, Zerres 1995, Ge 2012, Chung 2004). </w:t>
      </w:r>
      <w:r w:rsidR="008B72F8" w:rsidRPr="00917415">
        <w:rPr>
          <w:rFonts w:cstheme="minorHAnsi"/>
        </w:rPr>
        <w:t xml:space="preserve">Less than 45% of patients </w:t>
      </w:r>
      <w:r w:rsidRPr="00917415">
        <w:rPr>
          <w:rFonts w:cstheme="minorHAnsi"/>
        </w:rPr>
        <w:t xml:space="preserve">in NeuroNEXT </w:t>
      </w:r>
      <w:r w:rsidR="008B72F8" w:rsidRPr="00917415">
        <w:rPr>
          <w:rFonts w:cstheme="minorHAnsi"/>
        </w:rPr>
        <w:t>were alive at 2 years of age.</w:t>
      </w:r>
    </w:p>
    <w:p w14:paraId="14A8BCF1" w14:textId="77777777" w:rsidR="0059318E" w:rsidRPr="00917415" w:rsidRDefault="0059318E" w:rsidP="0059318E">
      <w:pPr>
        <w:pStyle w:val="3-BodyText"/>
        <w:rPr>
          <w:rFonts w:cstheme="minorHAnsi"/>
        </w:rPr>
      </w:pPr>
      <w:r w:rsidRPr="00917415">
        <w:rPr>
          <w:rFonts w:cstheme="minorHAnsi"/>
        </w:rPr>
        <w:t>The PBAC noted that the results are potentially biased against NUSI given patients had received treatment much later in ENDEAR than in the ONA studies, with earlier treatment potentially associated with greater benefit. In NURTURE, where patients had initiated NUSI treatment earlier (i.e., pre-symptomatic), 100% of the patients are still alive at a median of age of 34.8 months.</w:t>
      </w:r>
    </w:p>
    <w:p w14:paraId="28651DB4" w14:textId="77777777" w:rsidR="007A29C6" w:rsidRPr="00917415" w:rsidRDefault="007A29C6" w:rsidP="00516F35">
      <w:pPr>
        <w:pStyle w:val="Heading3"/>
      </w:pPr>
      <w:r w:rsidRPr="00917415">
        <w:t>Event Free Survival (survival without permanent ventilation)</w:t>
      </w:r>
    </w:p>
    <w:p w14:paraId="4A31460D" w14:textId="77777777" w:rsidR="0059318E" w:rsidRPr="00CC18E5" w:rsidRDefault="007A29C6" w:rsidP="00CC18E5">
      <w:pPr>
        <w:pStyle w:val="3-BodyText"/>
        <w:rPr>
          <w:rFonts w:cstheme="minorHAnsi"/>
        </w:rPr>
      </w:pPr>
      <w:r w:rsidRPr="00917415">
        <w:rPr>
          <w:rFonts w:cstheme="minorHAnsi"/>
        </w:rPr>
        <w:t>Event-free survival</w:t>
      </w:r>
      <w:r w:rsidR="003B29D1" w:rsidRPr="00917415">
        <w:rPr>
          <w:rFonts w:cstheme="minorHAnsi"/>
        </w:rPr>
        <w:t xml:space="preserve"> (EFS)</w:t>
      </w:r>
      <w:r w:rsidRPr="00917415">
        <w:rPr>
          <w:rFonts w:cstheme="minorHAnsi"/>
        </w:rPr>
        <w:t xml:space="preserve"> (survival without permanent ventilation)</w:t>
      </w:r>
      <w:r w:rsidR="00F0724A" w:rsidRPr="00917415">
        <w:rPr>
          <w:rFonts w:cstheme="minorHAnsi"/>
        </w:rPr>
        <w:t xml:space="preserve"> outcomes</w:t>
      </w:r>
      <w:r w:rsidRPr="00917415">
        <w:rPr>
          <w:rFonts w:cstheme="minorHAnsi"/>
        </w:rPr>
        <w:t xml:space="preserve"> </w:t>
      </w:r>
      <w:r w:rsidR="00AF44B5" w:rsidRPr="00917415">
        <w:rPr>
          <w:rFonts w:cstheme="minorHAnsi"/>
        </w:rPr>
        <w:t xml:space="preserve">are summarised </w:t>
      </w:r>
      <w:r w:rsidRPr="00917415">
        <w:rPr>
          <w:rFonts w:cstheme="minorHAnsi"/>
        </w:rPr>
        <w:t>in</w:t>
      </w:r>
      <w:r w:rsidR="00F402A0" w:rsidRPr="00917415">
        <w:rPr>
          <w:rFonts w:cstheme="minorHAnsi"/>
        </w:rPr>
        <w:t xml:space="preserve"> </w:t>
      </w:r>
      <w:r w:rsidR="00CD255E" w:rsidRPr="00917415">
        <w:rPr>
          <w:rFonts w:cstheme="minorHAnsi"/>
        </w:rPr>
        <w:t xml:space="preserve">the table below </w:t>
      </w:r>
      <w:r w:rsidR="00053505" w:rsidRPr="00917415">
        <w:rPr>
          <w:rFonts w:cstheme="minorHAnsi"/>
        </w:rPr>
        <w:t>f</w:t>
      </w:r>
      <w:r w:rsidR="00F402A0" w:rsidRPr="00917415">
        <w:rPr>
          <w:rFonts w:cstheme="minorHAnsi"/>
        </w:rPr>
        <w:t>or</w:t>
      </w:r>
      <w:r w:rsidR="00AF44B5" w:rsidRPr="00917415">
        <w:rPr>
          <w:rFonts w:cstheme="minorHAnsi"/>
        </w:rPr>
        <w:t xml:space="preserve"> all ONA and </w:t>
      </w:r>
      <w:r w:rsidR="00EE09B5" w:rsidRPr="00917415">
        <w:rPr>
          <w:rFonts w:cstheme="minorHAnsi"/>
        </w:rPr>
        <w:t>NUSI</w:t>
      </w:r>
      <w:r w:rsidR="00AF44B5" w:rsidRPr="00917415">
        <w:rPr>
          <w:rFonts w:cstheme="minorHAnsi"/>
        </w:rPr>
        <w:t xml:space="preserve"> studies</w:t>
      </w:r>
      <w:r w:rsidR="00F402A0" w:rsidRPr="00917415">
        <w:rPr>
          <w:rFonts w:cstheme="minorHAnsi"/>
        </w:rPr>
        <w:t xml:space="preserve"> and </w:t>
      </w:r>
      <w:r w:rsidR="00AF44B5" w:rsidRPr="00917415">
        <w:rPr>
          <w:rFonts w:cstheme="minorHAnsi"/>
        </w:rPr>
        <w:t xml:space="preserve">Figure </w:t>
      </w:r>
      <w:r w:rsidR="008625C6" w:rsidRPr="00917415">
        <w:rPr>
          <w:rFonts w:cstheme="minorHAnsi"/>
        </w:rPr>
        <w:t>3</w:t>
      </w:r>
      <w:r w:rsidR="00AF44B5" w:rsidRPr="00917415">
        <w:rPr>
          <w:rFonts w:cstheme="minorHAnsi"/>
        </w:rPr>
        <w:t>, from n</w:t>
      </w:r>
      <w:r w:rsidRPr="00917415">
        <w:rPr>
          <w:rFonts w:cstheme="minorHAnsi"/>
        </w:rPr>
        <w:t>atural history studies</w:t>
      </w:r>
      <w:r w:rsidR="00F402A0" w:rsidRPr="00917415">
        <w:rPr>
          <w:rFonts w:cstheme="minorHAnsi"/>
        </w:rPr>
        <w:t>.</w:t>
      </w:r>
      <w:r w:rsidR="00AF44B5" w:rsidRPr="00917415">
        <w:rPr>
          <w:rFonts w:cstheme="minorHAnsi"/>
        </w:rPr>
        <w:t xml:space="preserve"> </w:t>
      </w:r>
      <w:r w:rsidRPr="00917415">
        <w:rPr>
          <w:rFonts w:cstheme="minorHAnsi"/>
        </w:rPr>
        <w:t xml:space="preserve">Kaplan Meier curves </w:t>
      </w:r>
      <w:r w:rsidR="00F402A0" w:rsidRPr="00917415">
        <w:rPr>
          <w:rFonts w:cstheme="minorHAnsi"/>
        </w:rPr>
        <w:t xml:space="preserve">comparing results </w:t>
      </w:r>
      <w:r w:rsidRPr="00917415">
        <w:rPr>
          <w:rFonts w:cstheme="minorHAnsi"/>
        </w:rPr>
        <w:t>from START</w:t>
      </w:r>
      <w:r w:rsidR="00AF44B5" w:rsidRPr="00917415">
        <w:rPr>
          <w:rFonts w:cstheme="minorHAnsi"/>
        </w:rPr>
        <w:t>, STR1VE-U</w:t>
      </w:r>
      <w:r w:rsidR="005F352F" w:rsidRPr="00917415">
        <w:rPr>
          <w:rFonts w:cstheme="minorHAnsi"/>
        </w:rPr>
        <w:t>S</w:t>
      </w:r>
      <w:r w:rsidR="00AF44B5" w:rsidRPr="00917415">
        <w:rPr>
          <w:rFonts w:cstheme="minorHAnsi"/>
        </w:rPr>
        <w:t xml:space="preserve"> and START-LT </w:t>
      </w:r>
      <w:r w:rsidR="00F402A0" w:rsidRPr="00917415">
        <w:rPr>
          <w:rFonts w:cstheme="minorHAnsi"/>
        </w:rPr>
        <w:t xml:space="preserve">to </w:t>
      </w:r>
      <w:r w:rsidRPr="00917415">
        <w:rPr>
          <w:rFonts w:cstheme="minorHAnsi"/>
        </w:rPr>
        <w:t xml:space="preserve">PNCR and NeuroNEXT are presented in Figure </w:t>
      </w:r>
      <w:r w:rsidR="008625C6" w:rsidRPr="00917415">
        <w:rPr>
          <w:rFonts w:cstheme="minorHAnsi"/>
        </w:rPr>
        <w:t>4</w:t>
      </w:r>
      <w:r w:rsidRPr="00917415">
        <w:rPr>
          <w:rFonts w:cstheme="minorHAnsi"/>
        </w:rPr>
        <w:t xml:space="preserve"> </w:t>
      </w:r>
      <w:r w:rsidR="008E6C6F" w:rsidRPr="00917415">
        <w:rPr>
          <w:rFonts w:cstheme="minorHAnsi"/>
        </w:rPr>
        <w:t>(Append</w:t>
      </w:r>
      <w:r w:rsidR="006E2C2C" w:rsidRPr="00917415">
        <w:rPr>
          <w:rFonts w:cstheme="minorHAnsi"/>
        </w:rPr>
        <w:t>i</w:t>
      </w:r>
      <w:r w:rsidR="008E6C6F" w:rsidRPr="00917415">
        <w:rPr>
          <w:rFonts w:cstheme="minorHAnsi"/>
        </w:rPr>
        <w:t xml:space="preserve">x 1) </w:t>
      </w:r>
      <w:r w:rsidR="00F402A0" w:rsidRPr="00917415">
        <w:rPr>
          <w:rFonts w:cstheme="minorHAnsi"/>
        </w:rPr>
        <w:t xml:space="preserve">and </w:t>
      </w:r>
      <w:r w:rsidR="00A54B2F" w:rsidRPr="00917415">
        <w:rPr>
          <w:rFonts w:cstheme="minorHAnsi"/>
        </w:rPr>
        <w:t xml:space="preserve">Kaplan Meier curves from the </w:t>
      </w:r>
      <w:r w:rsidR="00EE09B5" w:rsidRPr="00917415">
        <w:rPr>
          <w:rFonts w:cstheme="minorHAnsi"/>
        </w:rPr>
        <w:t>NUSI</w:t>
      </w:r>
      <w:r w:rsidR="00A54B2F" w:rsidRPr="00917415">
        <w:rPr>
          <w:rFonts w:cstheme="minorHAnsi"/>
        </w:rPr>
        <w:t xml:space="preserve"> trial ENDEAR and the extension study </w:t>
      </w:r>
      <w:r w:rsidRPr="00917415">
        <w:rPr>
          <w:rFonts w:cstheme="minorHAnsi"/>
        </w:rPr>
        <w:t xml:space="preserve">are presented in Figure </w:t>
      </w:r>
      <w:r w:rsidR="00E14A62" w:rsidRPr="00917415">
        <w:rPr>
          <w:rFonts w:cstheme="minorHAnsi"/>
        </w:rPr>
        <w:t>5</w:t>
      </w:r>
      <w:r w:rsidR="008E6C6F" w:rsidRPr="00917415">
        <w:rPr>
          <w:rFonts w:cstheme="minorHAnsi"/>
        </w:rPr>
        <w:t xml:space="preserve"> (Appendix 1)</w:t>
      </w:r>
      <w:r w:rsidRPr="00917415">
        <w:rPr>
          <w:rFonts w:cstheme="minorHAnsi"/>
        </w:rPr>
        <w:t>.</w:t>
      </w:r>
    </w:p>
    <w:p w14:paraId="5F593B62" w14:textId="77777777" w:rsidR="007A29C6" w:rsidRPr="00917415" w:rsidRDefault="007A29C6" w:rsidP="00CC18E5">
      <w:pPr>
        <w:pStyle w:val="TableFigureHeading"/>
        <w:rPr>
          <w:rFonts w:eastAsiaTheme="minorHAnsi" w:cstheme="minorBidi"/>
          <w:lang w:eastAsia="en-US"/>
        </w:rPr>
      </w:pPr>
      <w:r w:rsidRPr="00917415">
        <w:rPr>
          <w:rFonts w:eastAsiaTheme="minorHAnsi" w:cstheme="minorBidi"/>
          <w:lang w:eastAsia="en-US"/>
        </w:rPr>
        <w:lastRenderedPageBreak/>
        <w:t xml:space="preserve">Table </w:t>
      </w:r>
      <w:r w:rsidR="008625C6" w:rsidRPr="00917415">
        <w:rPr>
          <w:rFonts w:eastAsiaTheme="minorHAnsi" w:cstheme="minorBidi"/>
          <w:lang w:eastAsia="en-US"/>
        </w:rPr>
        <w:t>6</w:t>
      </w:r>
      <w:r w:rsidRPr="00917415">
        <w:rPr>
          <w:rFonts w:eastAsiaTheme="minorHAnsi" w:cstheme="minorBidi"/>
          <w:lang w:eastAsia="en-US"/>
        </w:rPr>
        <w:t xml:space="preserve">: Survival </w:t>
      </w:r>
      <w:r w:rsidRPr="00917415">
        <w:rPr>
          <w:snapToGrid w:val="0"/>
          <w:lang w:eastAsia="en-US"/>
        </w:rPr>
        <w:t>without permanent ventilation</w:t>
      </w:r>
      <w:r w:rsidRPr="00917415">
        <w:rPr>
          <w:snapToGrid w:val="0"/>
          <w:vertAlign w:val="superscript"/>
          <w:lang w:eastAsia="en-US"/>
        </w:rPr>
        <w:t>†</w:t>
      </w:r>
      <w:r w:rsidRPr="00917415">
        <w:rPr>
          <w:snapToGrid w:val="0"/>
          <w:lang w:eastAsia="en-US"/>
        </w:rPr>
        <w:t xml:space="preserve"> (event-free survival)</w:t>
      </w:r>
    </w:p>
    <w:tbl>
      <w:tblPr>
        <w:tblStyle w:val="TableGrid"/>
        <w:tblW w:w="5000" w:type="pct"/>
        <w:tblCellMar>
          <w:left w:w="28" w:type="dxa"/>
          <w:right w:w="28" w:type="dxa"/>
        </w:tblCellMar>
        <w:tblLook w:val="04A0" w:firstRow="1" w:lastRow="0" w:firstColumn="1" w:lastColumn="0" w:noHBand="0" w:noVBand="1"/>
        <w:tblCaption w:val="Table 6: Survival without permanent ventilation† (event-free survival)"/>
      </w:tblPr>
      <w:tblGrid>
        <w:gridCol w:w="3114"/>
        <w:gridCol w:w="1181"/>
        <w:gridCol w:w="1111"/>
        <w:gridCol w:w="974"/>
        <w:gridCol w:w="1387"/>
        <w:gridCol w:w="1250"/>
      </w:tblGrid>
      <w:tr w:rsidR="007A29C6" w:rsidRPr="00CC18E5" w14:paraId="6C0188DB" w14:textId="77777777" w:rsidTr="003B5AF7">
        <w:trPr>
          <w:tblHeader/>
        </w:trPr>
        <w:tc>
          <w:tcPr>
            <w:tcW w:w="1727" w:type="pct"/>
            <w:tcBorders>
              <w:bottom w:val="nil"/>
            </w:tcBorders>
            <w:shd w:val="clear" w:color="auto" w:fill="auto"/>
            <w:vAlign w:val="center"/>
          </w:tcPr>
          <w:p w14:paraId="7D48168F" w14:textId="77777777" w:rsidR="007A29C6" w:rsidRPr="00CC18E5" w:rsidRDefault="007A29C6" w:rsidP="00516F35">
            <w:pPr>
              <w:widowControl w:val="0"/>
              <w:jc w:val="left"/>
              <w:rPr>
                <w:rFonts w:ascii="Arial Narrow" w:hAnsi="Arial Narrow"/>
                <w:b/>
                <w:snapToGrid w:val="0"/>
                <w:sz w:val="20"/>
                <w:szCs w:val="20"/>
                <w:lang w:eastAsia="en-US"/>
              </w:rPr>
            </w:pPr>
            <w:r w:rsidRPr="00CC18E5">
              <w:rPr>
                <w:rFonts w:ascii="Arial Narrow" w:hAnsi="Arial Narrow"/>
                <w:b/>
                <w:snapToGrid w:val="0"/>
                <w:sz w:val="20"/>
                <w:szCs w:val="20"/>
                <w:lang w:eastAsia="en-US"/>
              </w:rPr>
              <w:t>Proportion alive and without event</w:t>
            </w:r>
          </w:p>
        </w:tc>
        <w:tc>
          <w:tcPr>
            <w:tcW w:w="655" w:type="pct"/>
            <w:tcBorders>
              <w:bottom w:val="single" w:sz="4" w:space="0" w:color="auto"/>
            </w:tcBorders>
            <w:shd w:val="clear" w:color="auto" w:fill="auto"/>
          </w:tcPr>
          <w:p w14:paraId="519664BC" w14:textId="77777777"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ONA</w:t>
            </w:r>
          </w:p>
          <w:p w14:paraId="11A352A5"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snapToGrid w:val="0"/>
                <w:sz w:val="20"/>
                <w:szCs w:val="20"/>
                <w:lang w:eastAsia="en-US"/>
              </w:rPr>
              <w:t>n/N (%)</w:t>
            </w:r>
          </w:p>
        </w:tc>
        <w:tc>
          <w:tcPr>
            <w:tcW w:w="1156" w:type="pct"/>
            <w:gridSpan w:val="2"/>
            <w:tcBorders>
              <w:bottom w:val="single" w:sz="4" w:space="0" w:color="auto"/>
            </w:tcBorders>
            <w:shd w:val="clear" w:color="auto" w:fill="auto"/>
            <w:vAlign w:val="center"/>
          </w:tcPr>
          <w:p w14:paraId="41A64F52" w14:textId="77777777"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Control</w:t>
            </w:r>
          </w:p>
          <w:p w14:paraId="243DCC4A"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snapToGrid w:val="0"/>
                <w:sz w:val="20"/>
                <w:szCs w:val="20"/>
                <w:lang w:eastAsia="en-US"/>
              </w:rPr>
              <w:t>n/N (%)</w:t>
            </w:r>
          </w:p>
        </w:tc>
        <w:tc>
          <w:tcPr>
            <w:tcW w:w="769" w:type="pct"/>
            <w:tcBorders>
              <w:bottom w:val="single" w:sz="4" w:space="0" w:color="auto"/>
            </w:tcBorders>
            <w:shd w:val="clear" w:color="auto" w:fill="auto"/>
            <w:vAlign w:val="center"/>
          </w:tcPr>
          <w:p w14:paraId="71D30201" w14:textId="77777777" w:rsidR="007A29C6" w:rsidRPr="00CC18E5" w:rsidRDefault="00EE09B5"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NUSI</w:t>
            </w:r>
          </w:p>
          <w:p w14:paraId="4700D95F"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snapToGrid w:val="0"/>
                <w:sz w:val="20"/>
                <w:szCs w:val="20"/>
                <w:lang w:eastAsia="en-US"/>
              </w:rPr>
              <w:t>n/N (%)</w:t>
            </w:r>
          </w:p>
        </w:tc>
        <w:tc>
          <w:tcPr>
            <w:tcW w:w="693" w:type="pct"/>
            <w:tcBorders>
              <w:bottom w:val="single" w:sz="4" w:space="0" w:color="auto"/>
            </w:tcBorders>
            <w:shd w:val="clear" w:color="auto" w:fill="auto"/>
            <w:vAlign w:val="center"/>
          </w:tcPr>
          <w:p w14:paraId="069FF8D7" w14:textId="77777777"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HR</w:t>
            </w:r>
          </w:p>
          <w:p w14:paraId="421A1617" w14:textId="77777777"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(95% CI)</w:t>
            </w:r>
          </w:p>
          <w:p w14:paraId="7DCE3CDB" w14:textId="77777777" w:rsidR="007A29C6" w:rsidRPr="00CC18E5" w:rsidRDefault="007A29C6" w:rsidP="00516F35">
            <w:pPr>
              <w:widowControl w:val="0"/>
              <w:jc w:val="center"/>
              <w:rPr>
                <w:rFonts w:ascii="Arial Narrow" w:hAnsi="Arial Narrow"/>
                <w:b/>
                <w:snapToGrid w:val="0"/>
                <w:sz w:val="20"/>
                <w:szCs w:val="20"/>
                <w:lang w:eastAsia="en-US"/>
              </w:rPr>
            </w:pPr>
            <w:r w:rsidRPr="00CC18E5">
              <w:rPr>
                <w:rFonts w:ascii="Arial Narrow" w:hAnsi="Arial Narrow"/>
                <w:b/>
                <w:snapToGrid w:val="0"/>
                <w:sz w:val="20"/>
                <w:szCs w:val="20"/>
                <w:lang w:eastAsia="en-US"/>
              </w:rPr>
              <w:t>P-value</w:t>
            </w:r>
          </w:p>
        </w:tc>
      </w:tr>
      <w:tr w:rsidR="007A29C6" w:rsidRPr="00CC18E5" w14:paraId="2951FA90" w14:textId="77777777" w:rsidTr="00CC18E5">
        <w:tc>
          <w:tcPr>
            <w:tcW w:w="5000" w:type="pct"/>
            <w:gridSpan w:val="6"/>
            <w:tcBorders>
              <w:bottom w:val="nil"/>
            </w:tcBorders>
            <w:shd w:val="clear" w:color="auto" w:fill="auto"/>
          </w:tcPr>
          <w:p w14:paraId="11EC1799" w14:textId="77777777" w:rsidR="007A29C6" w:rsidRPr="00CC18E5" w:rsidRDefault="007A29C6" w:rsidP="00516F35">
            <w:pPr>
              <w:widowControl w:val="0"/>
              <w:jc w:val="left"/>
              <w:rPr>
                <w:rFonts w:ascii="Arial Narrow" w:hAnsi="Arial Narrow"/>
                <w:snapToGrid w:val="0"/>
                <w:sz w:val="20"/>
                <w:szCs w:val="20"/>
                <w:lang w:eastAsia="en-US"/>
              </w:rPr>
            </w:pPr>
            <w:r w:rsidRPr="00CC18E5">
              <w:rPr>
                <w:rFonts w:ascii="Arial Narrow" w:hAnsi="Arial Narrow"/>
                <w:b/>
                <w:snapToGrid w:val="0"/>
                <w:sz w:val="20"/>
                <w:szCs w:val="20"/>
                <w:lang w:eastAsia="en-US"/>
              </w:rPr>
              <w:t>ONA studies</w:t>
            </w:r>
          </w:p>
        </w:tc>
      </w:tr>
      <w:tr w:rsidR="007A29C6" w:rsidRPr="00CC18E5" w14:paraId="736AF5DD" w14:textId="77777777" w:rsidTr="003B5AF7">
        <w:tc>
          <w:tcPr>
            <w:tcW w:w="1727" w:type="pct"/>
            <w:tcBorders>
              <w:bottom w:val="nil"/>
            </w:tcBorders>
            <w:shd w:val="clear" w:color="auto" w:fill="auto"/>
          </w:tcPr>
          <w:p w14:paraId="49061FB5" w14:textId="77777777"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START</w:t>
            </w:r>
            <w:r w:rsidRPr="00CC18E5">
              <w:rPr>
                <w:rFonts w:ascii="Arial Narrow" w:hAnsi="Arial Narrow"/>
                <w:snapToGrid w:val="0"/>
                <w:sz w:val="20"/>
                <w:szCs w:val="20"/>
                <w:vertAlign w:val="superscript"/>
                <w:lang w:eastAsia="en-US"/>
              </w:rPr>
              <w:t>a</w:t>
            </w:r>
          </w:p>
        </w:tc>
        <w:tc>
          <w:tcPr>
            <w:tcW w:w="655" w:type="pct"/>
            <w:tcBorders>
              <w:bottom w:val="nil"/>
            </w:tcBorders>
            <w:shd w:val="clear" w:color="auto" w:fill="auto"/>
          </w:tcPr>
          <w:p w14:paraId="0AFB41D7" w14:textId="77777777" w:rsidR="007A29C6" w:rsidRPr="00CC18E5" w:rsidRDefault="007A29C6" w:rsidP="00516F35">
            <w:pPr>
              <w:widowControl w:val="0"/>
              <w:jc w:val="center"/>
              <w:rPr>
                <w:rFonts w:ascii="Arial Narrow" w:hAnsi="Arial Narrow"/>
                <w:snapToGrid w:val="0"/>
                <w:sz w:val="20"/>
                <w:szCs w:val="20"/>
                <w:lang w:eastAsia="en-US"/>
              </w:rPr>
            </w:pPr>
          </w:p>
        </w:tc>
        <w:tc>
          <w:tcPr>
            <w:tcW w:w="616" w:type="pct"/>
            <w:vMerge w:val="restart"/>
            <w:shd w:val="clear" w:color="auto" w:fill="auto"/>
          </w:tcPr>
          <w:p w14:paraId="64199BD6"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PNCR</w:t>
            </w:r>
          </w:p>
          <w:p w14:paraId="457C4C90"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5/23 (21.7%)</w:t>
            </w:r>
          </w:p>
        </w:tc>
        <w:tc>
          <w:tcPr>
            <w:tcW w:w="540" w:type="pct"/>
            <w:vMerge w:val="restart"/>
            <w:shd w:val="clear" w:color="auto" w:fill="auto"/>
          </w:tcPr>
          <w:p w14:paraId="4C9218C3"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NeuroNext</w:t>
            </w:r>
          </w:p>
          <w:p w14:paraId="1BCCD2A0"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6/16 (37.5%)</w:t>
            </w:r>
          </w:p>
        </w:tc>
        <w:tc>
          <w:tcPr>
            <w:tcW w:w="769" w:type="pct"/>
            <w:vMerge w:val="restart"/>
            <w:shd w:val="clear" w:color="auto" w:fill="auto"/>
            <w:vAlign w:val="center"/>
          </w:tcPr>
          <w:p w14:paraId="1BB8F92D"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b/>
                <w:bCs/>
                <w:snapToGrid w:val="0"/>
                <w:sz w:val="20"/>
                <w:szCs w:val="20"/>
                <w:lang w:eastAsia="en-US"/>
              </w:rPr>
              <w:t>-</w:t>
            </w:r>
          </w:p>
        </w:tc>
        <w:tc>
          <w:tcPr>
            <w:tcW w:w="693" w:type="pct"/>
            <w:vMerge w:val="restart"/>
            <w:shd w:val="clear" w:color="auto" w:fill="auto"/>
          </w:tcPr>
          <w:p w14:paraId="223BFDE7" w14:textId="77777777" w:rsidR="007A29C6" w:rsidRPr="00CC18E5" w:rsidRDefault="007A29C6" w:rsidP="00516F35">
            <w:pPr>
              <w:widowControl w:val="0"/>
              <w:jc w:val="center"/>
              <w:rPr>
                <w:rFonts w:ascii="Arial Narrow" w:hAnsi="Arial Narrow"/>
                <w:snapToGrid w:val="0"/>
                <w:sz w:val="20"/>
                <w:szCs w:val="20"/>
                <w:lang w:eastAsia="en-US"/>
              </w:rPr>
            </w:pPr>
          </w:p>
          <w:p w14:paraId="7288567D"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P&lt;0.0001</w:t>
            </w:r>
            <w:r w:rsidRPr="00CC18E5">
              <w:rPr>
                <w:rFonts w:ascii="Arial Narrow" w:hAnsi="Arial Narrow"/>
                <w:snapToGrid w:val="0"/>
                <w:sz w:val="20"/>
                <w:szCs w:val="20"/>
                <w:vertAlign w:val="superscript"/>
                <w:lang w:eastAsia="en-US"/>
              </w:rPr>
              <w:t>§</w:t>
            </w:r>
          </w:p>
        </w:tc>
      </w:tr>
      <w:tr w:rsidR="007A29C6" w:rsidRPr="00CC18E5" w14:paraId="33D081A9" w14:textId="77777777" w:rsidTr="003B5AF7">
        <w:tc>
          <w:tcPr>
            <w:tcW w:w="1727" w:type="pct"/>
            <w:tcBorders>
              <w:top w:val="nil"/>
              <w:bottom w:val="single" w:sz="4" w:space="0" w:color="auto"/>
            </w:tcBorders>
            <w:shd w:val="clear" w:color="auto" w:fill="auto"/>
          </w:tcPr>
          <w:p w14:paraId="6967143F"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14:paraId="3280A38F"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20 months of age</w:t>
            </w:r>
          </w:p>
          <w:p w14:paraId="0C0F634B"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24 months post-dose</w:t>
            </w:r>
          </w:p>
        </w:tc>
        <w:tc>
          <w:tcPr>
            <w:tcW w:w="655" w:type="pct"/>
            <w:tcBorders>
              <w:top w:val="nil"/>
              <w:bottom w:val="single" w:sz="4" w:space="0" w:color="auto"/>
            </w:tcBorders>
            <w:shd w:val="clear" w:color="auto" w:fill="auto"/>
            <w:vAlign w:val="center"/>
          </w:tcPr>
          <w:p w14:paraId="4560EC84"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p w14:paraId="325E6D9A"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p w14:paraId="6B9F8B21"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12/12 (100%)</w:t>
            </w:r>
          </w:p>
        </w:tc>
        <w:tc>
          <w:tcPr>
            <w:tcW w:w="616" w:type="pct"/>
            <w:vMerge/>
            <w:tcBorders>
              <w:bottom w:val="single" w:sz="4" w:space="0" w:color="auto"/>
            </w:tcBorders>
            <w:shd w:val="clear" w:color="auto" w:fill="auto"/>
            <w:vAlign w:val="center"/>
          </w:tcPr>
          <w:p w14:paraId="62A95730" w14:textId="77777777" w:rsidR="007A29C6" w:rsidRPr="00CC18E5" w:rsidRDefault="007A29C6" w:rsidP="00516F35">
            <w:pPr>
              <w:widowControl w:val="0"/>
              <w:jc w:val="center"/>
              <w:rPr>
                <w:rFonts w:ascii="Arial Narrow" w:hAnsi="Arial Narrow"/>
                <w:snapToGrid w:val="0"/>
                <w:sz w:val="20"/>
                <w:szCs w:val="20"/>
                <w:lang w:eastAsia="en-US"/>
              </w:rPr>
            </w:pPr>
          </w:p>
        </w:tc>
        <w:tc>
          <w:tcPr>
            <w:tcW w:w="540" w:type="pct"/>
            <w:vMerge/>
            <w:tcBorders>
              <w:bottom w:val="single" w:sz="4" w:space="0" w:color="auto"/>
            </w:tcBorders>
            <w:shd w:val="clear" w:color="auto" w:fill="auto"/>
            <w:vAlign w:val="center"/>
          </w:tcPr>
          <w:p w14:paraId="1582C35A" w14:textId="77777777"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14:paraId="548D1149" w14:textId="77777777" w:rsidR="007A29C6" w:rsidRPr="00CC18E5" w:rsidRDefault="007A29C6" w:rsidP="00516F35">
            <w:pPr>
              <w:widowControl w:val="0"/>
              <w:jc w:val="center"/>
              <w:rPr>
                <w:rFonts w:ascii="Arial Narrow" w:hAnsi="Arial Narrow"/>
                <w:b/>
                <w:bCs/>
                <w:snapToGrid w:val="0"/>
                <w:sz w:val="20"/>
                <w:szCs w:val="20"/>
                <w:lang w:eastAsia="en-US"/>
              </w:rPr>
            </w:pPr>
          </w:p>
        </w:tc>
        <w:tc>
          <w:tcPr>
            <w:tcW w:w="693" w:type="pct"/>
            <w:vMerge/>
            <w:tcBorders>
              <w:bottom w:val="single" w:sz="4" w:space="0" w:color="auto"/>
            </w:tcBorders>
            <w:shd w:val="clear" w:color="auto" w:fill="auto"/>
            <w:vAlign w:val="center"/>
          </w:tcPr>
          <w:p w14:paraId="42DD0333" w14:textId="77777777" w:rsidR="007A29C6" w:rsidRPr="00CC18E5" w:rsidRDefault="007A29C6" w:rsidP="00516F35">
            <w:pPr>
              <w:widowControl w:val="0"/>
              <w:jc w:val="center"/>
              <w:rPr>
                <w:rFonts w:ascii="Arial Narrow" w:hAnsi="Arial Narrow"/>
                <w:b/>
                <w:bCs/>
                <w:snapToGrid w:val="0"/>
                <w:sz w:val="20"/>
                <w:szCs w:val="20"/>
                <w:lang w:eastAsia="en-US"/>
              </w:rPr>
            </w:pPr>
          </w:p>
        </w:tc>
      </w:tr>
      <w:tr w:rsidR="007A29C6" w:rsidRPr="00CC18E5" w14:paraId="325BDF91" w14:textId="77777777" w:rsidTr="003B5AF7">
        <w:tc>
          <w:tcPr>
            <w:tcW w:w="1727" w:type="pct"/>
            <w:tcBorders>
              <w:bottom w:val="nil"/>
            </w:tcBorders>
            <w:shd w:val="clear" w:color="auto" w:fill="auto"/>
          </w:tcPr>
          <w:p w14:paraId="610B0AD5" w14:textId="77777777"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START LT (Dec 2019 cut) (Cohort 2)</w:t>
            </w:r>
          </w:p>
        </w:tc>
        <w:tc>
          <w:tcPr>
            <w:tcW w:w="655" w:type="pct"/>
            <w:tcBorders>
              <w:bottom w:val="nil"/>
            </w:tcBorders>
            <w:shd w:val="clear" w:color="auto" w:fill="auto"/>
            <w:vAlign w:val="center"/>
          </w:tcPr>
          <w:p w14:paraId="7FAB706E"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10/10 (100%)</w:t>
            </w:r>
          </w:p>
        </w:tc>
        <w:tc>
          <w:tcPr>
            <w:tcW w:w="1156" w:type="pct"/>
            <w:gridSpan w:val="2"/>
            <w:shd w:val="clear" w:color="auto" w:fill="auto"/>
            <w:vAlign w:val="center"/>
          </w:tcPr>
          <w:p w14:paraId="6F05311B"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shd w:val="clear" w:color="auto" w:fill="auto"/>
            <w:vAlign w:val="center"/>
          </w:tcPr>
          <w:p w14:paraId="3539D078"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shd w:val="clear" w:color="auto" w:fill="auto"/>
            <w:vAlign w:val="center"/>
          </w:tcPr>
          <w:p w14:paraId="05FF6895"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14:paraId="77431F5B" w14:textId="77777777" w:rsidTr="003B5AF7">
        <w:tc>
          <w:tcPr>
            <w:tcW w:w="1727" w:type="pct"/>
            <w:tcBorders>
              <w:bottom w:val="nil"/>
            </w:tcBorders>
            <w:shd w:val="clear" w:color="auto" w:fill="auto"/>
          </w:tcPr>
          <w:p w14:paraId="099C8370" w14:textId="77777777" w:rsidR="007A29C6" w:rsidRPr="00CC18E5" w:rsidRDefault="00BA689D"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US</w:t>
            </w:r>
          </w:p>
        </w:tc>
        <w:tc>
          <w:tcPr>
            <w:tcW w:w="655" w:type="pct"/>
            <w:tcBorders>
              <w:bottom w:val="nil"/>
            </w:tcBorders>
            <w:shd w:val="clear" w:color="auto" w:fill="auto"/>
            <w:vAlign w:val="center"/>
          </w:tcPr>
          <w:p w14:paraId="546B1749" w14:textId="77777777"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shd w:val="clear" w:color="auto" w:fill="auto"/>
            <w:vAlign w:val="center"/>
          </w:tcPr>
          <w:p w14:paraId="2B691CD1"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shd w:val="clear" w:color="auto" w:fill="auto"/>
            <w:vAlign w:val="center"/>
          </w:tcPr>
          <w:p w14:paraId="7A835AD5"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vMerge w:val="restart"/>
            <w:shd w:val="clear" w:color="auto" w:fill="auto"/>
            <w:vAlign w:val="center"/>
          </w:tcPr>
          <w:p w14:paraId="1C40A693"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14:paraId="029A6F58" w14:textId="77777777" w:rsidTr="003B5AF7">
        <w:tc>
          <w:tcPr>
            <w:tcW w:w="1727" w:type="pct"/>
            <w:tcBorders>
              <w:top w:val="nil"/>
              <w:bottom w:val="nil"/>
            </w:tcBorders>
            <w:shd w:val="clear" w:color="auto" w:fill="auto"/>
          </w:tcPr>
          <w:p w14:paraId="6516CA9C"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10.5 months of age</w:t>
            </w:r>
          </w:p>
          <w:p w14:paraId="3667B9E2"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13.6 months of age*</w:t>
            </w:r>
          </w:p>
          <w:p w14:paraId="4452EC91"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18 months of age</w:t>
            </w:r>
          </w:p>
        </w:tc>
        <w:tc>
          <w:tcPr>
            <w:tcW w:w="655" w:type="pct"/>
            <w:tcBorders>
              <w:top w:val="nil"/>
              <w:bottom w:val="nil"/>
            </w:tcBorders>
            <w:shd w:val="clear" w:color="auto" w:fill="auto"/>
            <w:vAlign w:val="center"/>
          </w:tcPr>
          <w:p w14:paraId="3C4A4BDF"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21/22 (95.5%)</w:t>
            </w:r>
          </w:p>
          <w:p w14:paraId="094D71A6"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20/22 (90.9%)</w:t>
            </w:r>
          </w:p>
          <w:p w14:paraId="7B0D934A"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20/22 (90.9%)</w:t>
            </w:r>
          </w:p>
        </w:tc>
        <w:tc>
          <w:tcPr>
            <w:tcW w:w="1156" w:type="pct"/>
            <w:gridSpan w:val="2"/>
            <w:vMerge/>
            <w:tcBorders>
              <w:bottom w:val="nil"/>
            </w:tcBorders>
            <w:shd w:val="clear" w:color="auto" w:fill="auto"/>
            <w:vAlign w:val="center"/>
          </w:tcPr>
          <w:p w14:paraId="52D8819B" w14:textId="77777777"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nil"/>
            </w:tcBorders>
            <w:shd w:val="clear" w:color="auto" w:fill="auto"/>
            <w:vAlign w:val="center"/>
          </w:tcPr>
          <w:p w14:paraId="56F0FDBC" w14:textId="77777777" w:rsidR="007A29C6" w:rsidRPr="00CC18E5" w:rsidRDefault="007A29C6" w:rsidP="00516F35">
            <w:pPr>
              <w:widowControl w:val="0"/>
              <w:jc w:val="center"/>
              <w:rPr>
                <w:rFonts w:ascii="Arial Narrow" w:hAnsi="Arial Narrow"/>
                <w:b/>
                <w:bCs/>
                <w:snapToGrid w:val="0"/>
                <w:sz w:val="20"/>
                <w:szCs w:val="20"/>
                <w:lang w:eastAsia="en-US"/>
              </w:rPr>
            </w:pPr>
          </w:p>
        </w:tc>
        <w:tc>
          <w:tcPr>
            <w:tcW w:w="693" w:type="pct"/>
            <w:vMerge/>
            <w:tcBorders>
              <w:bottom w:val="nil"/>
            </w:tcBorders>
            <w:shd w:val="clear" w:color="auto" w:fill="auto"/>
            <w:vAlign w:val="center"/>
          </w:tcPr>
          <w:p w14:paraId="7642FABF" w14:textId="77777777" w:rsidR="007A29C6" w:rsidRPr="00CC18E5" w:rsidRDefault="007A29C6" w:rsidP="00516F35">
            <w:pPr>
              <w:widowControl w:val="0"/>
              <w:jc w:val="center"/>
              <w:rPr>
                <w:rFonts w:ascii="Arial Narrow" w:hAnsi="Arial Narrow"/>
                <w:b/>
                <w:bCs/>
                <w:snapToGrid w:val="0"/>
                <w:sz w:val="20"/>
                <w:szCs w:val="20"/>
                <w:lang w:eastAsia="en-US"/>
              </w:rPr>
            </w:pPr>
          </w:p>
        </w:tc>
      </w:tr>
      <w:tr w:rsidR="007A29C6" w:rsidRPr="00CC18E5" w14:paraId="146E0CB8" w14:textId="77777777" w:rsidTr="003B5AF7">
        <w:tc>
          <w:tcPr>
            <w:tcW w:w="1727" w:type="pct"/>
            <w:tcBorders>
              <w:bottom w:val="nil"/>
            </w:tcBorders>
            <w:shd w:val="clear" w:color="auto" w:fill="auto"/>
          </w:tcPr>
          <w:p w14:paraId="79AE437B" w14:textId="77777777" w:rsidR="007A29C6" w:rsidRPr="00CC18E5" w:rsidRDefault="00BA689D"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STR1VE</w:t>
            </w:r>
            <w:r w:rsidR="007A29C6" w:rsidRPr="00CC18E5">
              <w:rPr>
                <w:rFonts w:ascii="Arial Narrow" w:hAnsi="Arial Narrow"/>
                <w:snapToGrid w:val="0"/>
                <w:sz w:val="20"/>
                <w:szCs w:val="20"/>
                <w:lang w:eastAsia="en-US"/>
              </w:rPr>
              <w:t xml:space="preserve"> EU:</w:t>
            </w:r>
          </w:p>
        </w:tc>
        <w:tc>
          <w:tcPr>
            <w:tcW w:w="655" w:type="pct"/>
            <w:tcBorders>
              <w:bottom w:val="nil"/>
            </w:tcBorders>
            <w:shd w:val="clear" w:color="auto" w:fill="auto"/>
            <w:vAlign w:val="center"/>
          </w:tcPr>
          <w:p w14:paraId="2D5FAE96" w14:textId="77777777"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shd w:val="clear" w:color="auto" w:fill="auto"/>
            <w:vAlign w:val="center"/>
          </w:tcPr>
          <w:p w14:paraId="4AB9866F"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shd w:val="clear" w:color="auto" w:fill="auto"/>
            <w:vAlign w:val="center"/>
          </w:tcPr>
          <w:p w14:paraId="4A673746"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693" w:type="pct"/>
            <w:vMerge w:val="restart"/>
            <w:shd w:val="clear" w:color="auto" w:fill="auto"/>
            <w:vAlign w:val="center"/>
          </w:tcPr>
          <w:p w14:paraId="74C0684B"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r>
      <w:tr w:rsidR="007A29C6" w:rsidRPr="00CC18E5" w14:paraId="2A9ACF76" w14:textId="77777777" w:rsidTr="003B5AF7">
        <w:tc>
          <w:tcPr>
            <w:tcW w:w="1727" w:type="pct"/>
            <w:tcBorders>
              <w:top w:val="nil"/>
              <w:bottom w:val="single" w:sz="4" w:space="0" w:color="auto"/>
            </w:tcBorders>
            <w:shd w:val="clear" w:color="auto" w:fill="auto"/>
          </w:tcPr>
          <w:p w14:paraId="5CEAB1E7"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31/12/19 data cut (average age 10.62 months</w:t>
            </w:r>
            <w:r w:rsidRPr="00CC18E5">
              <w:rPr>
                <w:rFonts w:ascii="Arial Narrow" w:hAnsi="Arial Narrow"/>
                <w:snapToGrid w:val="0"/>
                <w:sz w:val="20"/>
                <w:szCs w:val="20"/>
                <w:vertAlign w:val="superscript"/>
                <w:lang w:eastAsia="en-US"/>
              </w:rPr>
              <w:t>b</w:t>
            </w:r>
            <w:r w:rsidRPr="00CC18E5">
              <w:rPr>
                <w:rFonts w:ascii="Arial Narrow" w:hAnsi="Arial Narrow"/>
                <w:snapToGrid w:val="0"/>
                <w:sz w:val="20"/>
                <w:szCs w:val="20"/>
                <w:lang w:eastAsia="en-US"/>
              </w:rPr>
              <w:t>)</w:t>
            </w:r>
          </w:p>
        </w:tc>
        <w:tc>
          <w:tcPr>
            <w:tcW w:w="655" w:type="pct"/>
            <w:tcBorders>
              <w:top w:val="nil"/>
              <w:bottom w:val="single" w:sz="4" w:space="0" w:color="auto"/>
            </w:tcBorders>
            <w:shd w:val="clear" w:color="auto" w:fill="auto"/>
            <w:vAlign w:val="center"/>
          </w:tcPr>
          <w:p w14:paraId="32B7DA90"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32/33 (97.0%)</w:t>
            </w:r>
          </w:p>
        </w:tc>
        <w:tc>
          <w:tcPr>
            <w:tcW w:w="1156" w:type="pct"/>
            <w:gridSpan w:val="2"/>
            <w:vMerge/>
            <w:tcBorders>
              <w:bottom w:val="single" w:sz="4" w:space="0" w:color="auto"/>
            </w:tcBorders>
            <w:shd w:val="clear" w:color="auto" w:fill="auto"/>
            <w:vAlign w:val="center"/>
          </w:tcPr>
          <w:p w14:paraId="52489284" w14:textId="77777777"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14:paraId="4529A161" w14:textId="77777777" w:rsidR="007A29C6" w:rsidRPr="00CC18E5" w:rsidRDefault="007A29C6" w:rsidP="00516F35">
            <w:pPr>
              <w:widowControl w:val="0"/>
              <w:jc w:val="center"/>
              <w:rPr>
                <w:rFonts w:ascii="Arial Narrow" w:hAnsi="Arial Narrow"/>
                <w:b/>
                <w:snapToGrid w:val="0"/>
                <w:sz w:val="20"/>
                <w:szCs w:val="20"/>
                <w:lang w:eastAsia="en-US"/>
              </w:rPr>
            </w:pPr>
          </w:p>
        </w:tc>
        <w:tc>
          <w:tcPr>
            <w:tcW w:w="693" w:type="pct"/>
            <w:vMerge/>
            <w:tcBorders>
              <w:bottom w:val="single" w:sz="4" w:space="0" w:color="auto"/>
            </w:tcBorders>
            <w:shd w:val="clear" w:color="auto" w:fill="auto"/>
            <w:vAlign w:val="center"/>
          </w:tcPr>
          <w:p w14:paraId="6920CE64" w14:textId="77777777" w:rsidR="007A29C6" w:rsidRPr="00CC18E5" w:rsidRDefault="007A29C6" w:rsidP="00516F35">
            <w:pPr>
              <w:widowControl w:val="0"/>
              <w:jc w:val="center"/>
              <w:rPr>
                <w:rFonts w:ascii="Arial Narrow" w:hAnsi="Arial Narrow"/>
                <w:b/>
                <w:snapToGrid w:val="0"/>
                <w:sz w:val="20"/>
                <w:szCs w:val="20"/>
                <w:lang w:eastAsia="en-US"/>
              </w:rPr>
            </w:pPr>
          </w:p>
        </w:tc>
      </w:tr>
      <w:tr w:rsidR="007A29C6" w:rsidRPr="00CC18E5" w14:paraId="2A5B1103" w14:textId="77777777" w:rsidTr="003B5AF7">
        <w:tc>
          <w:tcPr>
            <w:tcW w:w="1727" w:type="pct"/>
            <w:tcBorders>
              <w:top w:val="single" w:sz="4" w:space="0" w:color="auto"/>
              <w:bottom w:val="nil"/>
            </w:tcBorders>
            <w:shd w:val="clear" w:color="auto" w:fill="auto"/>
          </w:tcPr>
          <w:p w14:paraId="1015A262" w14:textId="77777777" w:rsidR="007A29C6" w:rsidRPr="00CC18E5" w:rsidRDefault="000D10D9"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SPR1NT</w:t>
            </w:r>
            <w:r w:rsidR="007A29C6" w:rsidRPr="00CC18E5">
              <w:rPr>
                <w:rFonts w:ascii="Arial Narrow" w:hAnsi="Arial Narrow"/>
                <w:snapToGrid w:val="0"/>
                <w:sz w:val="20"/>
                <w:szCs w:val="20"/>
                <w:lang w:eastAsia="en-US"/>
              </w:rPr>
              <w:t xml:space="preserve"> (pre-symptomatic)</w:t>
            </w:r>
          </w:p>
        </w:tc>
        <w:tc>
          <w:tcPr>
            <w:tcW w:w="655" w:type="pct"/>
            <w:tcBorders>
              <w:top w:val="single" w:sz="4" w:space="0" w:color="auto"/>
              <w:bottom w:val="nil"/>
            </w:tcBorders>
            <w:shd w:val="clear" w:color="auto" w:fill="auto"/>
            <w:vAlign w:val="center"/>
          </w:tcPr>
          <w:p w14:paraId="29034C24" w14:textId="77777777"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vMerge w:val="restart"/>
            <w:tcBorders>
              <w:top w:val="single" w:sz="4" w:space="0" w:color="auto"/>
            </w:tcBorders>
            <w:shd w:val="clear" w:color="auto" w:fill="auto"/>
            <w:vAlign w:val="center"/>
          </w:tcPr>
          <w:p w14:paraId="7E8CBFF1"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vMerge w:val="restart"/>
            <w:tcBorders>
              <w:top w:val="single" w:sz="4" w:space="0" w:color="auto"/>
            </w:tcBorders>
            <w:shd w:val="clear" w:color="auto" w:fill="auto"/>
            <w:vAlign w:val="center"/>
          </w:tcPr>
          <w:p w14:paraId="78AC6999"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693" w:type="pct"/>
            <w:vMerge w:val="restart"/>
            <w:tcBorders>
              <w:top w:val="single" w:sz="4" w:space="0" w:color="auto"/>
            </w:tcBorders>
            <w:shd w:val="clear" w:color="auto" w:fill="auto"/>
            <w:vAlign w:val="center"/>
          </w:tcPr>
          <w:p w14:paraId="095C05E6"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14:paraId="68CD0C73" w14:textId="77777777" w:rsidTr="003B5AF7">
        <w:tc>
          <w:tcPr>
            <w:tcW w:w="1727" w:type="pct"/>
            <w:tcBorders>
              <w:top w:val="nil"/>
              <w:bottom w:val="single" w:sz="4" w:space="0" w:color="auto"/>
            </w:tcBorders>
            <w:shd w:val="clear" w:color="auto" w:fill="auto"/>
          </w:tcPr>
          <w:p w14:paraId="02A86C5F"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31/12/19 data cut (mean age 11.2 months and 9.7 months for 2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xml:space="preserve"> and 3 copies </w:t>
            </w:r>
            <w:r w:rsidR="004400AE" w:rsidRPr="00CC18E5">
              <w:rPr>
                <w:rFonts w:ascii="Arial Narrow" w:hAnsi="Arial Narrow"/>
                <w:snapToGrid w:val="0"/>
                <w:sz w:val="20"/>
                <w:szCs w:val="20"/>
                <w:lang w:eastAsia="en-US"/>
              </w:rPr>
              <w:t>SMN2</w:t>
            </w:r>
            <w:r w:rsidRPr="00CC18E5">
              <w:rPr>
                <w:rFonts w:ascii="Arial Narrow" w:hAnsi="Arial Narrow"/>
                <w:snapToGrid w:val="0"/>
                <w:sz w:val="20"/>
                <w:szCs w:val="20"/>
                <w:lang w:eastAsia="en-US"/>
              </w:rPr>
              <w:t>, respectively)</w:t>
            </w:r>
          </w:p>
        </w:tc>
        <w:tc>
          <w:tcPr>
            <w:tcW w:w="655" w:type="pct"/>
            <w:tcBorders>
              <w:top w:val="nil"/>
              <w:bottom w:val="single" w:sz="4" w:space="0" w:color="auto"/>
            </w:tcBorders>
            <w:shd w:val="clear" w:color="auto" w:fill="auto"/>
            <w:vAlign w:val="center"/>
          </w:tcPr>
          <w:p w14:paraId="1252288B"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29/29 (100%)</w:t>
            </w:r>
          </w:p>
        </w:tc>
        <w:tc>
          <w:tcPr>
            <w:tcW w:w="1156" w:type="pct"/>
            <w:gridSpan w:val="2"/>
            <w:vMerge/>
            <w:tcBorders>
              <w:bottom w:val="single" w:sz="4" w:space="0" w:color="auto"/>
            </w:tcBorders>
            <w:shd w:val="clear" w:color="auto" w:fill="auto"/>
            <w:vAlign w:val="center"/>
          </w:tcPr>
          <w:p w14:paraId="74EA2088" w14:textId="77777777" w:rsidR="007A29C6" w:rsidRPr="00CC18E5" w:rsidRDefault="007A29C6" w:rsidP="00516F35">
            <w:pPr>
              <w:widowControl w:val="0"/>
              <w:jc w:val="center"/>
              <w:rPr>
                <w:rFonts w:ascii="Arial Narrow" w:hAnsi="Arial Narrow"/>
                <w:snapToGrid w:val="0"/>
                <w:sz w:val="20"/>
                <w:szCs w:val="20"/>
                <w:lang w:eastAsia="en-US"/>
              </w:rPr>
            </w:pPr>
          </w:p>
        </w:tc>
        <w:tc>
          <w:tcPr>
            <w:tcW w:w="769" w:type="pct"/>
            <w:vMerge/>
            <w:tcBorders>
              <w:bottom w:val="single" w:sz="4" w:space="0" w:color="auto"/>
            </w:tcBorders>
            <w:shd w:val="clear" w:color="auto" w:fill="auto"/>
            <w:vAlign w:val="center"/>
          </w:tcPr>
          <w:p w14:paraId="54EEEF8D" w14:textId="77777777" w:rsidR="007A29C6" w:rsidRPr="00CC18E5" w:rsidRDefault="007A29C6" w:rsidP="00516F35">
            <w:pPr>
              <w:widowControl w:val="0"/>
              <w:jc w:val="center"/>
              <w:rPr>
                <w:rFonts w:ascii="Arial Narrow" w:hAnsi="Arial Narrow"/>
                <w:bCs/>
                <w:snapToGrid w:val="0"/>
                <w:sz w:val="20"/>
                <w:szCs w:val="20"/>
                <w:lang w:eastAsia="en-US"/>
              </w:rPr>
            </w:pPr>
          </w:p>
        </w:tc>
        <w:tc>
          <w:tcPr>
            <w:tcW w:w="693" w:type="pct"/>
            <w:vMerge/>
            <w:tcBorders>
              <w:bottom w:val="single" w:sz="4" w:space="0" w:color="auto"/>
            </w:tcBorders>
            <w:shd w:val="clear" w:color="auto" w:fill="auto"/>
            <w:vAlign w:val="center"/>
          </w:tcPr>
          <w:p w14:paraId="6D68CEA9" w14:textId="77777777"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14:paraId="0BCE0348" w14:textId="77777777" w:rsidTr="00CC18E5">
        <w:tc>
          <w:tcPr>
            <w:tcW w:w="5000" w:type="pct"/>
            <w:gridSpan w:val="6"/>
            <w:tcBorders>
              <w:top w:val="single" w:sz="4" w:space="0" w:color="auto"/>
              <w:bottom w:val="nil"/>
            </w:tcBorders>
            <w:shd w:val="clear" w:color="auto" w:fill="auto"/>
          </w:tcPr>
          <w:p w14:paraId="1D6376B7" w14:textId="77777777" w:rsidR="007A29C6" w:rsidRPr="00CC18E5" w:rsidRDefault="00EE09B5" w:rsidP="00516F35">
            <w:pPr>
              <w:widowControl w:val="0"/>
              <w:jc w:val="left"/>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NUSI</w:t>
            </w:r>
            <w:r w:rsidR="007A29C6" w:rsidRPr="00CC18E5">
              <w:rPr>
                <w:rFonts w:ascii="Arial Narrow" w:hAnsi="Arial Narrow"/>
                <w:b/>
                <w:bCs/>
                <w:snapToGrid w:val="0"/>
                <w:sz w:val="20"/>
                <w:szCs w:val="20"/>
                <w:lang w:eastAsia="en-US"/>
              </w:rPr>
              <w:t xml:space="preserve"> studies</w:t>
            </w:r>
          </w:p>
        </w:tc>
      </w:tr>
      <w:tr w:rsidR="007A29C6" w:rsidRPr="00CC18E5" w14:paraId="20B99173" w14:textId="77777777" w:rsidTr="003B5AF7">
        <w:tc>
          <w:tcPr>
            <w:tcW w:w="1727" w:type="pct"/>
            <w:tcBorders>
              <w:top w:val="single" w:sz="4" w:space="0" w:color="auto"/>
              <w:left w:val="single" w:sz="4" w:space="0" w:color="auto"/>
              <w:bottom w:val="nil"/>
            </w:tcBorders>
            <w:shd w:val="clear" w:color="auto" w:fill="auto"/>
          </w:tcPr>
          <w:p w14:paraId="7960887E" w14:textId="77777777"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ENDEAR*</w:t>
            </w:r>
          </w:p>
          <w:p w14:paraId="0761317A"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Interim analysis data cut 15/06/16 (Median follow-up 9.2 months </w:t>
            </w:r>
            <w:r w:rsidR="00EE09B5" w:rsidRPr="00CC18E5">
              <w:rPr>
                <w:rFonts w:ascii="Arial Narrow" w:hAnsi="Arial Narrow"/>
                <w:snapToGrid w:val="0"/>
                <w:sz w:val="20"/>
                <w:szCs w:val="20"/>
                <w:lang w:eastAsia="en-US"/>
              </w:rPr>
              <w:t>NUSI</w:t>
            </w:r>
            <w:r w:rsidRPr="00CC18E5">
              <w:rPr>
                <w:rFonts w:ascii="Arial Narrow" w:hAnsi="Arial Narrow"/>
                <w:snapToGrid w:val="0"/>
                <w:sz w:val="20"/>
                <w:szCs w:val="20"/>
                <w:lang w:eastAsia="en-US"/>
              </w:rPr>
              <w:t>; 6.2 months control)</w:t>
            </w:r>
          </w:p>
        </w:tc>
        <w:tc>
          <w:tcPr>
            <w:tcW w:w="655" w:type="pct"/>
            <w:tcBorders>
              <w:left w:val="single" w:sz="4" w:space="0" w:color="auto"/>
              <w:bottom w:val="nil"/>
              <w:right w:val="single" w:sz="4" w:space="0" w:color="auto"/>
            </w:tcBorders>
            <w:shd w:val="clear" w:color="auto" w:fill="auto"/>
            <w:vAlign w:val="center"/>
          </w:tcPr>
          <w:p w14:paraId="36B3D7C8"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left w:val="single" w:sz="4" w:space="0" w:color="auto"/>
              <w:bottom w:val="nil"/>
            </w:tcBorders>
            <w:shd w:val="clear" w:color="auto" w:fill="auto"/>
            <w:vAlign w:val="center"/>
          </w:tcPr>
          <w:p w14:paraId="2C69F1EB"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13/41 (31.7%)</w:t>
            </w:r>
          </w:p>
        </w:tc>
        <w:tc>
          <w:tcPr>
            <w:tcW w:w="769" w:type="pct"/>
            <w:tcBorders>
              <w:left w:val="single" w:sz="4" w:space="0" w:color="auto"/>
              <w:bottom w:val="nil"/>
            </w:tcBorders>
            <w:shd w:val="clear" w:color="auto" w:fill="auto"/>
            <w:vAlign w:val="center"/>
          </w:tcPr>
          <w:p w14:paraId="77728B2D"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49/81(60.5%)</w:t>
            </w:r>
          </w:p>
        </w:tc>
        <w:tc>
          <w:tcPr>
            <w:tcW w:w="693" w:type="pct"/>
            <w:tcBorders>
              <w:left w:val="single" w:sz="4" w:space="0" w:color="auto"/>
              <w:bottom w:val="nil"/>
            </w:tcBorders>
            <w:shd w:val="clear" w:color="auto" w:fill="auto"/>
            <w:vAlign w:val="center"/>
          </w:tcPr>
          <w:p w14:paraId="00523024" w14:textId="77777777" w:rsidR="007A29C6" w:rsidRPr="00CC18E5" w:rsidRDefault="007A29C6" w:rsidP="00516F35">
            <w:pPr>
              <w:widowControl w:val="0"/>
              <w:jc w:val="center"/>
              <w:rPr>
                <w:rFonts w:ascii="Arial Narrow" w:hAnsi="Arial Narrow"/>
                <w:b/>
                <w:bCs/>
                <w:snapToGrid w:val="0"/>
                <w:sz w:val="20"/>
                <w:szCs w:val="20"/>
                <w:lang w:eastAsia="en-US"/>
              </w:rPr>
            </w:pPr>
          </w:p>
          <w:p w14:paraId="6C0D930B"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0.53 (0.32, 0.89)</w:t>
            </w:r>
          </w:p>
          <w:p w14:paraId="5FCEEF27"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P=0.005</w:t>
            </w:r>
          </w:p>
        </w:tc>
      </w:tr>
      <w:tr w:rsidR="007A29C6" w:rsidRPr="00CC18E5" w14:paraId="1B813F15" w14:textId="77777777" w:rsidTr="003B5AF7">
        <w:tc>
          <w:tcPr>
            <w:tcW w:w="1727" w:type="pct"/>
            <w:tcBorders>
              <w:top w:val="nil"/>
              <w:left w:val="single" w:sz="4" w:space="0" w:color="auto"/>
              <w:bottom w:val="single" w:sz="4" w:space="0" w:color="auto"/>
              <w:right w:val="single" w:sz="4" w:space="0" w:color="auto"/>
            </w:tcBorders>
            <w:shd w:val="clear" w:color="auto" w:fill="auto"/>
          </w:tcPr>
          <w:p w14:paraId="0A0D99EF"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Median time to death or permanent ventilation</w:t>
            </w:r>
            <w:r w:rsidRPr="00CC18E5">
              <w:rPr>
                <w:rFonts w:ascii="Arial Narrow" w:hAnsi="Arial Narrow"/>
                <w:snapToGrid w:val="0"/>
                <w:sz w:val="20"/>
                <w:szCs w:val="20"/>
                <w:vertAlign w:val="superscript"/>
                <w:lang w:eastAsia="en-US"/>
              </w:rPr>
              <w:t>d</w:t>
            </w:r>
          </w:p>
        </w:tc>
        <w:tc>
          <w:tcPr>
            <w:tcW w:w="655" w:type="pct"/>
            <w:tcBorders>
              <w:top w:val="nil"/>
              <w:left w:val="single" w:sz="4" w:space="0" w:color="auto"/>
              <w:bottom w:val="single" w:sz="4" w:space="0" w:color="auto"/>
              <w:right w:val="single" w:sz="4" w:space="0" w:color="auto"/>
            </w:tcBorders>
            <w:shd w:val="clear" w:color="auto" w:fill="auto"/>
            <w:vAlign w:val="center"/>
          </w:tcPr>
          <w:p w14:paraId="46D71F4B"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single" w:sz="4" w:space="0" w:color="auto"/>
              <w:right w:val="single" w:sz="4" w:space="0" w:color="auto"/>
            </w:tcBorders>
            <w:shd w:val="clear" w:color="auto" w:fill="auto"/>
            <w:vAlign w:val="center"/>
          </w:tcPr>
          <w:p w14:paraId="45D8664C"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22.6 weeks</w:t>
            </w:r>
          </w:p>
        </w:tc>
        <w:tc>
          <w:tcPr>
            <w:tcW w:w="769" w:type="pct"/>
            <w:tcBorders>
              <w:top w:val="nil"/>
              <w:left w:val="single" w:sz="4" w:space="0" w:color="auto"/>
              <w:bottom w:val="single" w:sz="4" w:space="0" w:color="auto"/>
              <w:right w:val="single" w:sz="4" w:space="0" w:color="auto"/>
            </w:tcBorders>
            <w:shd w:val="clear" w:color="auto" w:fill="auto"/>
            <w:vAlign w:val="center"/>
          </w:tcPr>
          <w:p w14:paraId="19D95A96"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Not reached</w:t>
            </w:r>
          </w:p>
        </w:tc>
        <w:tc>
          <w:tcPr>
            <w:tcW w:w="693" w:type="pct"/>
            <w:tcBorders>
              <w:top w:val="nil"/>
              <w:left w:val="single" w:sz="4" w:space="0" w:color="auto"/>
              <w:bottom w:val="single" w:sz="4" w:space="0" w:color="auto"/>
              <w:right w:val="single" w:sz="4" w:space="0" w:color="auto"/>
            </w:tcBorders>
            <w:shd w:val="clear" w:color="auto" w:fill="auto"/>
          </w:tcPr>
          <w:p w14:paraId="4274F253"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r>
      <w:tr w:rsidR="007A29C6" w:rsidRPr="00CC18E5" w14:paraId="68A772C7" w14:textId="77777777" w:rsidTr="003B5AF7">
        <w:tc>
          <w:tcPr>
            <w:tcW w:w="1727" w:type="pct"/>
            <w:tcBorders>
              <w:top w:val="single" w:sz="4" w:space="0" w:color="auto"/>
              <w:left w:val="single" w:sz="4" w:space="0" w:color="auto"/>
              <w:bottom w:val="nil"/>
              <w:right w:val="single" w:sz="4" w:space="0" w:color="auto"/>
            </w:tcBorders>
            <w:shd w:val="clear" w:color="auto" w:fill="auto"/>
          </w:tcPr>
          <w:p w14:paraId="485DD5CE" w14:textId="77777777"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SHINE/ENDEAR</w:t>
            </w:r>
          </w:p>
        </w:tc>
        <w:tc>
          <w:tcPr>
            <w:tcW w:w="655" w:type="pct"/>
            <w:tcBorders>
              <w:top w:val="single" w:sz="4" w:space="0" w:color="auto"/>
              <w:left w:val="single" w:sz="4" w:space="0" w:color="auto"/>
              <w:bottom w:val="nil"/>
              <w:right w:val="single" w:sz="4" w:space="0" w:color="auto"/>
            </w:tcBorders>
            <w:shd w:val="clear" w:color="auto" w:fill="auto"/>
            <w:vAlign w:val="center"/>
          </w:tcPr>
          <w:p w14:paraId="52E01D1F" w14:textId="77777777" w:rsidR="007A29C6" w:rsidRPr="00CC18E5" w:rsidRDefault="007A29C6" w:rsidP="00516F35">
            <w:pPr>
              <w:widowControl w:val="0"/>
              <w:jc w:val="center"/>
              <w:rPr>
                <w:rFonts w:ascii="Arial Narrow" w:hAnsi="Arial Narrow"/>
                <w:bCs/>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14:paraId="7ACA0D91"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c>
          <w:tcPr>
            <w:tcW w:w="769" w:type="pct"/>
            <w:tcBorders>
              <w:top w:val="single" w:sz="4" w:space="0" w:color="auto"/>
              <w:left w:val="single" w:sz="4" w:space="0" w:color="auto"/>
              <w:bottom w:val="nil"/>
              <w:right w:val="single" w:sz="4" w:space="0" w:color="auto"/>
            </w:tcBorders>
            <w:shd w:val="clear" w:color="auto" w:fill="auto"/>
            <w:vAlign w:val="center"/>
          </w:tcPr>
          <w:p w14:paraId="347775AD"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693" w:type="pct"/>
            <w:tcBorders>
              <w:top w:val="single" w:sz="4" w:space="0" w:color="auto"/>
              <w:left w:val="single" w:sz="4" w:space="0" w:color="auto"/>
              <w:bottom w:val="nil"/>
              <w:right w:val="single" w:sz="4" w:space="0" w:color="auto"/>
            </w:tcBorders>
            <w:shd w:val="clear" w:color="auto" w:fill="auto"/>
            <w:vAlign w:val="center"/>
          </w:tcPr>
          <w:p w14:paraId="65EA4D61" w14:textId="77777777"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14:paraId="52EEB500" w14:textId="77777777" w:rsidTr="003B5AF7">
        <w:tc>
          <w:tcPr>
            <w:tcW w:w="1727" w:type="pct"/>
            <w:tcBorders>
              <w:top w:val="nil"/>
              <w:left w:val="single" w:sz="4" w:space="0" w:color="auto"/>
              <w:bottom w:val="nil"/>
            </w:tcBorders>
            <w:shd w:val="clear" w:color="auto" w:fill="auto"/>
          </w:tcPr>
          <w:p w14:paraId="7AEB35C0"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At a median follow up of 9.2 months in SHINE</w:t>
            </w:r>
          </w:p>
        </w:tc>
        <w:tc>
          <w:tcPr>
            <w:tcW w:w="655" w:type="pct"/>
            <w:tcBorders>
              <w:top w:val="nil"/>
              <w:left w:val="single" w:sz="4" w:space="0" w:color="auto"/>
              <w:bottom w:val="nil"/>
              <w:right w:val="single" w:sz="4" w:space="0" w:color="auto"/>
            </w:tcBorders>
            <w:shd w:val="clear" w:color="auto" w:fill="auto"/>
            <w:vAlign w:val="center"/>
          </w:tcPr>
          <w:p w14:paraId="2C79F173"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nil"/>
            </w:tcBorders>
            <w:shd w:val="clear" w:color="auto" w:fill="auto"/>
            <w:vAlign w:val="center"/>
          </w:tcPr>
          <w:p w14:paraId="5D30956D"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b/>
                <w:bCs/>
                <w:snapToGrid w:val="0"/>
                <w:sz w:val="20"/>
                <w:szCs w:val="20"/>
                <w:lang w:eastAsia="en-US"/>
              </w:rPr>
              <w:t>-</w:t>
            </w:r>
          </w:p>
        </w:tc>
        <w:tc>
          <w:tcPr>
            <w:tcW w:w="769" w:type="pct"/>
            <w:tcBorders>
              <w:top w:val="nil"/>
              <w:left w:val="single" w:sz="4" w:space="0" w:color="auto"/>
              <w:bottom w:val="nil"/>
            </w:tcBorders>
            <w:shd w:val="clear" w:color="auto" w:fill="auto"/>
            <w:vAlign w:val="center"/>
          </w:tcPr>
          <w:p w14:paraId="2BE16FD5"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7/12 (58.3%)</w:t>
            </w:r>
          </w:p>
        </w:tc>
        <w:tc>
          <w:tcPr>
            <w:tcW w:w="693" w:type="pct"/>
            <w:tcBorders>
              <w:top w:val="nil"/>
              <w:left w:val="single" w:sz="4" w:space="0" w:color="auto"/>
              <w:bottom w:val="nil"/>
            </w:tcBorders>
            <w:shd w:val="clear" w:color="auto" w:fill="auto"/>
            <w:vAlign w:val="center"/>
          </w:tcPr>
          <w:p w14:paraId="028C142D"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14:paraId="50D795B6" w14:textId="77777777" w:rsidTr="003B5AF7">
        <w:tc>
          <w:tcPr>
            <w:tcW w:w="1727" w:type="pct"/>
            <w:tcBorders>
              <w:top w:val="nil"/>
              <w:left w:val="single" w:sz="4" w:space="0" w:color="auto"/>
              <w:bottom w:val="single" w:sz="4" w:space="0" w:color="auto"/>
              <w:right w:val="single" w:sz="4" w:space="0" w:color="auto"/>
            </w:tcBorders>
            <w:shd w:val="clear" w:color="auto" w:fill="auto"/>
          </w:tcPr>
          <w:p w14:paraId="2AA292C0"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Median time (95%CI) to death or permanent ventilation</w:t>
            </w:r>
          </w:p>
        </w:tc>
        <w:tc>
          <w:tcPr>
            <w:tcW w:w="655" w:type="pct"/>
            <w:tcBorders>
              <w:top w:val="nil"/>
              <w:left w:val="single" w:sz="4" w:space="0" w:color="auto"/>
              <w:bottom w:val="single" w:sz="4" w:space="0" w:color="auto"/>
              <w:right w:val="single" w:sz="4" w:space="0" w:color="auto"/>
            </w:tcBorders>
            <w:shd w:val="clear" w:color="auto" w:fill="auto"/>
            <w:vAlign w:val="center"/>
          </w:tcPr>
          <w:p w14:paraId="39E4A0C0"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c>
          <w:tcPr>
            <w:tcW w:w="1156" w:type="pct"/>
            <w:gridSpan w:val="2"/>
            <w:tcBorders>
              <w:top w:val="nil"/>
              <w:left w:val="single" w:sz="4" w:space="0" w:color="auto"/>
              <w:bottom w:val="single" w:sz="4" w:space="0" w:color="auto"/>
              <w:right w:val="single" w:sz="4" w:space="0" w:color="auto"/>
            </w:tcBorders>
            <w:shd w:val="clear" w:color="auto" w:fill="auto"/>
            <w:vAlign w:val="center"/>
          </w:tcPr>
          <w:p w14:paraId="12F7A6CA"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22.6 weeks</w:t>
            </w:r>
          </w:p>
          <w:p w14:paraId="41C66056" w14:textId="77777777" w:rsidR="007A29C6" w:rsidRPr="00CC18E5" w:rsidRDefault="007A29C6" w:rsidP="00516F35">
            <w:pPr>
              <w:widowControl w:val="0"/>
              <w:jc w:val="center"/>
              <w:rPr>
                <w:rFonts w:ascii="Arial Narrow" w:hAnsi="Arial Narrow"/>
                <w:b/>
                <w:bCs/>
                <w:snapToGrid w:val="0"/>
                <w:sz w:val="20"/>
                <w:szCs w:val="20"/>
                <w:lang w:eastAsia="en-US"/>
              </w:rPr>
            </w:pPr>
            <w:r w:rsidRPr="00CC18E5">
              <w:rPr>
                <w:rFonts w:ascii="Arial Narrow" w:hAnsi="Arial Narrow"/>
                <w:snapToGrid w:val="0"/>
                <w:sz w:val="20"/>
                <w:szCs w:val="20"/>
                <w:lang w:eastAsia="en-US"/>
              </w:rPr>
              <w:t>(13.6 – 31.3)</w:t>
            </w:r>
          </w:p>
        </w:tc>
        <w:tc>
          <w:tcPr>
            <w:tcW w:w="769" w:type="pct"/>
            <w:tcBorders>
              <w:top w:val="nil"/>
              <w:left w:val="single" w:sz="4" w:space="0" w:color="auto"/>
              <w:bottom w:val="single" w:sz="4" w:space="0" w:color="auto"/>
              <w:right w:val="single" w:sz="4" w:space="0" w:color="auto"/>
            </w:tcBorders>
            <w:shd w:val="clear" w:color="auto" w:fill="auto"/>
            <w:vAlign w:val="center"/>
          </w:tcPr>
          <w:p w14:paraId="726A8B9F"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73.0 weeks</w:t>
            </w:r>
          </w:p>
          <w:p w14:paraId="7C7B3E6E"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(36.3 –NA)</w:t>
            </w:r>
          </w:p>
        </w:tc>
        <w:tc>
          <w:tcPr>
            <w:tcW w:w="693" w:type="pct"/>
            <w:tcBorders>
              <w:top w:val="nil"/>
              <w:left w:val="single" w:sz="4" w:space="0" w:color="auto"/>
              <w:bottom w:val="single" w:sz="4" w:space="0" w:color="auto"/>
              <w:right w:val="single" w:sz="4" w:space="0" w:color="auto"/>
            </w:tcBorders>
            <w:shd w:val="clear" w:color="auto" w:fill="auto"/>
            <w:vAlign w:val="center"/>
          </w:tcPr>
          <w:p w14:paraId="1F1702EA" w14:textId="77777777"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14:paraId="3C7C2271" w14:textId="77777777" w:rsidTr="003B5AF7">
        <w:tc>
          <w:tcPr>
            <w:tcW w:w="1727" w:type="pct"/>
            <w:tcBorders>
              <w:top w:val="single" w:sz="4" w:space="0" w:color="auto"/>
              <w:bottom w:val="nil"/>
              <w:right w:val="single" w:sz="4" w:space="0" w:color="auto"/>
            </w:tcBorders>
            <w:shd w:val="clear" w:color="auto" w:fill="auto"/>
          </w:tcPr>
          <w:p w14:paraId="799744A0" w14:textId="77777777"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NURTURE*</w:t>
            </w:r>
          </w:p>
        </w:tc>
        <w:tc>
          <w:tcPr>
            <w:tcW w:w="655" w:type="pct"/>
            <w:tcBorders>
              <w:top w:val="single" w:sz="4" w:space="0" w:color="auto"/>
              <w:left w:val="single" w:sz="4" w:space="0" w:color="auto"/>
              <w:bottom w:val="nil"/>
              <w:right w:val="single" w:sz="4" w:space="0" w:color="auto"/>
            </w:tcBorders>
            <w:shd w:val="clear" w:color="auto" w:fill="auto"/>
          </w:tcPr>
          <w:p w14:paraId="3B30A257" w14:textId="77777777" w:rsidR="007A29C6" w:rsidRPr="00CC18E5" w:rsidRDefault="007A29C6" w:rsidP="00516F35">
            <w:pPr>
              <w:widowControl w:val="0"/>
              <w:jc w:val="center"/>
              <w:rPr>
                <w:rFonts w:ascii="Arial Narrow" w:hAnsi="Arial Narrow"/>
                <w:bCs/>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14:paraId="53D0B2F4" w14:textId="77777777"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single" w:sz="4" w:space="0" w:color="auto"/>
              <w:left w:val="single" w:sz="4" w:space="0" w:color="auto"/>
              <w:bottom w:val="nil"/>
              <w:right w:val="single" w:sz="4" w:space="0" w:color="auto"/>
            </w:tcBorders>
            <w:shd w:val="clear" w:color="auto" w:fill="auto"/>
            <w:vAlign w:val="center"/>
          </w:tcPr>
          <w:p w14:paraId="086E2232" w14:textId="77777777"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single" w:sz="4" w:space="0" w:color="auto"/>
              <w:left w:val="single" w:sz="4" w:space="0" w:color="auto"/>
              <w:bottom w:val="nil"/>
              <w:right w:val="single" w:sz="4" w:space="0" w:color="auto"/>
            </w:tcBorders>
            <w:shd w:val="clear" w:color="auto" w:fill="auto"/>
            <w:vAlign w:val="center"/>
          </w:tcPr>
          <w:p w14:paraId="04228CB1" w14:textId="77777777"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14:paraId="72CDFC0D" w14:textId="77777777" w:rsidTr="003B5AF7">
        <w:tc>
          <w:tcPr>
            <w:tcW w:w="1727" w:type="pct"/>
            <w:tcBorders>
              <w:top w:val="nil"/>
              <w:bottom w:val="nil"/>
            </w:tcBorders>
            <w:shd w:val="clear" w:color="auto" w:fill="auto"/>
          </w:tcPr>
          <w:p w14:paraId="01420F1D"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Interim analysis data cut 29/03/19 (median 34.8 months of age)</w:t>
            </w:r>
          </w:p>
        </w:tc>
        <w:tc>
          <w:tcPr>
            <w:tcW w:w="655" w:type="pct"/>
            <w:tcBorders>
              <w:top w:val="nil"/>
              <w:bottom w:val="nil"/>
            </w:tcBorders>
            <w:shd w:val="clear" w:color="auto" w:fill="auto"/>
          </w:tcPr>
          <w:p w14:paraId="5E4A78A4"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nil"/>
              <w:bottom w:val="nil"/>
            </w:tcBorders>
            <w:shd w:val="clear" w:color="auto" w:fill="auto"/>
            <w:vAlign w:val="center"/>
          </w:tcPr>
          <w:p w14:paraId="6A0312C1"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nil"/>
              <w:bottom w:val="nil"/>
            </w:tcBorders>
            <w:shd w:val="clear" w:color="auto" w:fill="auto"/>
            <w:vAlign w:val="center"/>
          </w:tcPr>
          <w:p w14:paraId="12F35FFD" w14:textId="77777777"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nil"/>
              <w:left w:val="single" w:sz="4" w:space="0" w:color="auto"/>
              <w:bottom w:val="nil"/>
              <w:right w:val="single" w:sz="4" w:space="0" w:color="auto"/>
            </w:tcBorders>
            <w:shd w:val="clear" w:color="auto" w:fill="auto"/>
            <w:vAlign w:val="center"/>
          </w:tcPr>
          <w:p w14:paraId="1DB639A4"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14:paraId="6743B459" w14:textId="77777777" w:rsidTr="003B5AF7">
        <w:tc>
          <w:tcPr>
            <w:tcW w:w="1727" w:type="pct"/>
            <w:tcBorders>
              <w:top w:val="nil"/>
              <w:left w:val="single" w:sz="4" w:space="0" w:color="auto"/>
              <w:bottom w:val="nil"/>
              <w:right w:val="single" w:sz="4" w:space="0" w:color="auto"/>
            </w:tcBorders>
            <w:shd w:val="clear" w:color="auto" w:fill="auto"/>
          </w:tcPr>
          <w:p w14:paraId="634B76C2"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Primary endpoint definition</w:t>
            </w:r>
            <w:r w:rsidRPr="00CC18E5">
              <w:rPr>
                <w:rFonts w:ascii="Arial Narrow" w:hAnsi="Arial Narrow"/>
                <w:snapToGrid w:val="0"/>
                <w:sz w:val="20"/>
                <w:szCs w:val="20"/>
                <w:vertAlign w:val="superscript"/>
                <w:lang w:eastAsia="en-US"/>
              </w:rPr>
              <w:t>e</w:t>
            </w:r>
          </w:p>
        </w:tc>
        <w:tc>
          <w:tcPr>
            <w:tcW w:w="655" w:type="pct"/>
            <w:tcBorders>
              <w:top w:val="nil"/>
              <w:left w:val="single" w:sz="4" w:space="0" w:color="auto"/>
              <w:bottom w:val="nil"/>
              <w:right w:val="single" w:sz="4" w:space="0" w:color="auto"/>
            </w:tcBorders>
            <w:shd w:val="clear" w:color="auto" w:fill="auto"/>
          </w:tcPr>
          <w:p w14:paraId="6117CA04" w14:textId="77777777"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nil"/>
              <w:left w:val="single" w:sz="4" w:space="0" w:color="auto"/>
              <w:bottom w:val="nil"/>
              <w:right w:val="single" w:sz="4" w:space="0" w:color="auto"/>
            </w:tcBorders>
            <w:shd w:val="clear" w:color="auto" w:fill="auto"/>
            <w:vAlign w:val="center"/>
          </w:tcPr>
          <w:p w14:paraId="68ADD79D" w14:textId="77777777"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nil"/>
              <w:left w:val="single" w:sz="4" w:space="0" w:color="auto"/>
              <w:bottom w:val="nil"/>
              <w:right w:val="single" w:sz="4" w:space="0" w:color="auto"/>
            </w:tcBorders>
            <w:shd w:val="clear" w:color="auto" w:fill="auto"/>
            <w:vAlign w:val="center"/>
          </w:tcPr>
          <w:p w14:paraId="70358BE8"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21/25 (84%)*</w:t>
            </w:r>
          </w:p>
        </w:tc>
        <w:tc>
          <w:tcPr>
            <w:tcW w:w="693" w:type="pct"/>
            <w:tcBorders>
              <w:top w:val="nil"/>
              <w:left w:val="single" w:sz="4" w:space="0" w:color="auto"/>
              <w:bottom w:val="nil"/>
              <w:right w:val="single" w:sz="4" w:space="0" w:color="auto"/>
            </w:tcBorders>
            <w:shd w:val="clear" w:color="auto" w:fill="auto"/>
            <w:vAlign w:val="center"/>
          </w:tcPr>
          <w:p w14:paraId="5145365F" w14:textId="77777777"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14:paraId="2EBAC509" w14:textId="77777777" w:rsidTr="003B5AF7">
        <w:tc>
          <w:tcPr>
            <w:tcW w:w="1727" w:type="pct"/>
            <w:tcBorders>
              <w:top w:val="nil"/>
              <w:bottom w:val="single" w:sz="4" w:space="0" w:color="auto"/>
            </w:tcBorders>
            <w:shd w:val="clear" w:color="auto" w:fill="auto"/>
          </w:tcPr>
          <w:p w14:paraId="2B6AB25E"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Exploratory endpoint definition</w:t>
            </w:r>
            <w:r w:rsidRPr="00CC18E5">
              <w:rPr>
                <w:rFonts w:ascii="Arial Narrow" w:hAnsi="Arial Narrow"/>
                <w:snapToGrid w:val="0"/>
                <w:sz w:val="20"/>
                <w:szCs w:val="20"/>
                <w:vertAlign w:val="superscript"/>
                <w:lang w:eastAsia="en-US"/>
              </w:rPr>
              <w:t>f</w:t>
            </w:r>
          </w:p>
        </w:tc>
        <w:tc>
          <w:tcPr>
            <w:tcW w:w="655" w:type="pct"/>
            <w:tcBorders>
              <w:top w:val="nil"/>
              <w:bottom w:val="single" w:sz="4" w:space="0" w:color="auto"/>
            </w:tcBorders>
            <w:shd w:val="clear" w:color="auto" w:fill="auto"/>
          </w:tcPr>
          <w:p w14:paraId="3749998A" w14:textId="77777777"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nil"/>
              <w:bottom w:val="single" w:sz="4" w:space="0" w:color="auto"/>
            </w:tcBorders>
            <w:shd w:val="clear" w:color="auto" w:fill="auto"/>
            <w:vAlign w:val="center"/>
          </w:tcPr>
          <w:p w14:paraId="1D94115C" w14:textId="77777777"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nil"/>
              <w:bottom w:val="single" w:sz="4" w:space="0" w:color="auto"/>
            </w:tcBorders>
            <w:shd w:val="clear" w:color="auto" w:fill="auto"/>
            <w:vAlign w:val="center"/>
          </w:tcPr>
          <w:p w14:paraId="546AC22C"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25</w:t>
            </w:r>
            <w:r w:rsidRPr="00CC18E5">
              <w:rPr>
                <w:rFonts w:ascii="Arial Narrow" w:hAnsi="Arial Narrow"/>
                <w:snapToGrid w:val="0"/>
                <w:sz w:val="20"/>
                <w:szCs w:val="20"/>
                <w:vertAlign w:val="superscript"/>
                <w:lang w:eastAsia="en-US"/>
              </w:rPr>
              <w:t>c</w:t>
            </w:r>
            <w:r w:rsidRPr="00CC18E5">
              <w:rPr>
                <w:rFonts w:ascii="Arial Narrow" w:hAnsi="Arial Narrow"/>
                <w:snapToGrid w:val="0"/>
                <w:sz w:val="20"/>
                <w:szCs w:val="20"/>
                <w:lang w:eastAsia="en-US"/>
              </w:rPr>
              <w:t>/25 (100%)</w:t>
            </w:r>
          </w:p>
        </w:tc>
        <w:tc>
          <w:tcPr>
            <w:tcW w:w="693" w:type="pct"/>
            <w:tcBorders>
              <w:top w:val="nil"/>
              <w:left w:val="single" w:sz="4" w:space="0" w:color="auto"/>
              <w:bottom w:val="single" w:sz="4" w:space="0" w:color="auto"/>
              <w:right w:val="single" w:sz="4" w:space="0" w:color="auto"/>
            </w:tcBorders>
            <w:shd w:val="clear" w:color="auto" w:fill="auto"/>
            <w:vAlign w:val="center"/>
          </w:tcPr>
          <w:p w14:paraId="1EA80454" w14:textId="77777777"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14:paraId="45028492" w14:textId="77777777" w:rsidTr="003B5AF7">
        <w:tc>
          <w:tcPr>
            <w:tcW w:w="1727" w:type="pct"/>
            <w:tcBorders>
              <w:top w:val="single" w:sz="4" w:space="0" w:color="auto"/>
              <w:bottom w:val="nil"/>
            </w:tcBorders>
            <w:shd w:val="clear" w:color="auto" w:fill="auto"/>
          </w:tcPr>
          <w:p w14:paraId="4E25BECA" w14:textId="77777777"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EAP – 6 months</w:t>
            </w:r>
          </w:p>
        </w:tc>
        <w:tc>
          <w:tcPr>
            <w:tcW w:w="655" w:type="pct"/>
            <w:tcBorders>
              <w:top w:val="single" w:sz="4" w:space="0" w:color="auto"/>
              <w:bottom w:val="nil"/>
            </w:tcBorders>
            <w:shd w:val="clear" w:color="auto" w:fill="auto"/>
          </w:tcPr>
          <w:p w14:paraId="19152107"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single" w:sz="4" w:space="0" w:color="auto"/>
              <w:bottom w:val="single" w:sz="4" w:space="0" w:color="auto"/>
            </w:tcBorders>
            <w:shd w:val="clear" w:color="auto" w:fill="auto"/>
            <w:vAlign w:val="center"/>
          </w:tcPr>
          <w:p w14:paraId="5AA0D49F"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single" w:sz="4" w:space="0" w:color="auto"/>
              <w:bottom w:val="nil"/>
            </w:tcBorders>
            <w:shd w:val="clear" w:color="auto" w:fill="auto"/>
            <w:vAlign w:val="center"/>
          </w:tcPr>
          <w:p w14:paraId="6709B1C0"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30/33 (90.9%)</w:t>
            </w:r>
          </w:p>
        </w:tc>
        <w:tc>
          <w:tcPr>
            <w:tcW w:w="693" w:type="pct"/>
            <w:tcBorders>
              <w:top w:val="nil"/>
              <w:left w:val="single" w:sz="4" w:space="0" w:color="auto"/>
              <w:bottom w:val="single" w:sz="4" w:space="0" w:color="auto"/>
              <w:right w:val="single" w:sz="4" w:space="0" w:color="auto"/>
            </w:tcBorders>
            <w:shd w:val="clear" w:color="auto" w:fill="auto"/>
            <w:vAlign w:val="center"/>
          </w:tcPr>
          <w:p w14:paraId="79F4F25B"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14:paraId="46A774C7" w14:textId="77777777" w:rsidTr="003B5AF7">
        <w:tc>
          <w:tcPr>
            <w:tcW w:w="1727" w:type="pct"/>
            <w:tcBorders>
              <w:top w:val="single" w:sz="4" w:space="0" w:color="auto"/>
              <w:bottom w:val="nil"/>
            </w:tcBorders>
            <w:shd w:val="clear" w:color="auto" w:fill="auto"/>
          </w:tcPr>
          <w:p w14:paraId="0CA4A418" w14:textId="77777777"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 xml:space="preserve">EAP AU (median treatment duration 5.1 months) </w:t>
            </w:r>
          </w:p>
        </w:tc>
        <w:tc>
          <w:tcPr>
            <w:tcW w:w="655" w:type="pct"/>
            <w:tcBorders>
              <w:top w:val="single" w:sz="4" w:space="0" w:color="auto"/>
              <w:bottom w:val="nil"/>
            </w:tcBorders>
            <w:shd w:val="clear" w:color="auto" w:fill="auto"/>
          </w:tcPr>
          <w:p w14:paraId="2337D209"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single" w:sz="4" w:space="0" w:color="auto"/>
              <w:bottom w:val="single" w:sz="4" w:space="0" w:color="auto"/>
            </w:tcBorders>
            <w:shd w:val="clear" w:color="auto" w:fill="auto"/>
            <w:vAlign w:val="center"/>
          </w:tcPr>
          <w:p w14:paraId="2F816848"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single" w:sz="4" w:space="0" w:color="auto"/>
              <w:bottom w:val="nil"/>
            </w:tcBorders>
            <w:shd w:val="clear" w:color="auto" w:fill="auto"/>
            <w:vAlign w:val="center"/>
          </w:tcPr>
          <w:p w14:paraId="128A50CD"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16/16 (100%)</w:t>
            </w:r>
          </w:p>
        </w:tc>
        <w:tc>
          <w:tcPr>
            <w:tcW w:w="693" w:type="pct"/>
            <w:tcBorders>
              <w:top w:val="nil"/>
              <w:left w:val="single" w:sz="4" w:space="0" w:color="auto"/>
              <w:bottom w:val="single" w:sz="4" w:space="0" w:color="auto"/>
              <w:right w:val="single" w:sz="4" w:space="0" w:color="auto"/>
            </w:tcBorders>
            <w:shd w:val="clear" w:color="auto" w:fill="auto"/>
            <w:vAlign w:val="center"/>
          </w:tcPr>
          <w:p w14:paraId="5F4A7641"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r w:rsidR="007A29C6" w:rsidRPr="00CC18E5" w14:paraId="316B6913" w14:textId="77777777" w:rsidTr="003B5AF7">
        <w:tc>
          <w:tcPr>
            <w:tcW w:w="1727" w:type="pct"/>
            <w:tcBorders>
              <w:top w:val="single" w:sz="4" w:space="0" w:color="auto"/>
              <w:bottom w:val="nil"/>
            </w:tcBorders>
            <w:shd w:val="clear" w:color="auto" w:fill="auto"/>
          </w:tcPr>
          <w:p w14:paraId="2137D5FB" w14:textId="77777777" w:rsidR="007A29C6" w:rsidRPr="00CC18E5" w:rsidRDefault="007A29C6" w:rsidP="00516F35">
            <w:pPr>
              <w:widowControl w:val="0"/>
              <w:ind w:left="104"/>
              <w:rPr>
                <w:rFonts w:ascii="Arial Narrow" w:hAnsi="Arial Narrow"/>
                <w:snapToGrid w:val="0"/>
                <w:sz w:val="20"/>
                <w:szCs w:val="20"/>
                <w:lang w:eastAsia="en-US"/>
              </w:rPr>
            </w:pPr>
            <w:r w:rsidRPr="00CC18E5">
              <w:rPr>
                <w:rFonts w:ascii="Arial Narrow" w:hAnsi="Arial Narrow"/>
                <w:snapToGrid w:val="0"/>
                <w:sz w:val="20"/>
                <w:szCs w:val="20"/>
                <w:lang w:eastAsia="en-US"/>
              </w:rPr>
              <w:t>CS3A (12 mg group)</w:t>
            </w:r>
          </w:p>
        </w:tc>
        <w:tc>
          <w:tcPr>
            <w:tcW w:w="655" w:type="pct"/>
            <w:tcBorders>
              <w:top w:val="single" w:sz="4" w:space="0" w:color="auto"/>
              <w:bottom w:val="nil"/>
              <w:right w:val="single" w:sz="4" w:space="0" w:color="auto"/>
            </w:tcBorders>
            <w:shd w:val="clear" w:color="auto" w:fill="auto"/>
          </w:tcPr>
          <w:p w14:paraId="7618AFEF" w14:textId="77777777" w:rsidR="007A29C6" w:rsidRPr="00CC18E5" w:rsidRDefault="007A29C6" w:rsidP="00516F35">
            <w:pPr>
              <w:widowControl w:val="0"/>
              <w:jc w:val="center"/>
              <w:rPr>
                <w:rFonts w:ascii="Arial Narrow" w:hAnsi="Arial Narrow"/>
                <w:snapToGrid w:val="0"/>
                <w:sz w:val="20"/>
                <w:szCs w:val="20"/>
                <w:lang w:eastAsia="en-US"/>
              </w:rPr>
            </w:pPr>
          </w:p>
        </w:tc>
        <w:tc>
          <w:tcPr>
            <w:tcW w:w="1156" w:type="pct"/>
            <w:gridSpan w:val="2"/>
            <w:tcBorders>
              <w:top w:val="single" w:sz="4" w:space="0" w:color="auto"/>
              <w:left w:val="single" w:sz="4" w:space="0" w:color="auto"/>
              <w:bottom w:val="nil"/>
              <w:right w:val="single" w:sz="4" w:space="0" w:color="auto"/>
            </w:tcBorders>
            <w:shd w:val="clear" w:color="auto" w:fill="auto"/>
            <w:vAlign w:val="center"/>
          </w:tcPr>
          <w:p w14:paraId="2C22550B" w14:textId="77777777" w:rsidR="007A29C6" w:rsidRPr="00CC18E5" w:rsidRDefault="007A29C6" w:rsidP="00516F35">
            <w:pPr>
              <w:widowControl w:val="0"/>
              <w:jc w:val="center"/>
              <w:rPr>
                <w:rFonts w:ascii="Arial Narrow" w:hAnsi="Arial Narrow"/>
                <w:snapToGrid w:val="0"/>
                <w:sz w:val="20"/>
                <w:szCs w:val="20"/>
                <w:lang w:eastAsia="en-US"/>
              </w:rPr>
            </w:pPr>
          </w:p>
        </w:tc>
        <w:tc>
          <w:tcPr>
            <w:tcW w:w="769" w:type="pct"/>
            <w:tcBorders>
              <w:top w:val="single" w:sz="4" w:space="0" w:color="auto"/>
              <w:left w:val="single" w:sz="4" w:space="0" w:color="auto"/>
              <w:bottom w:val="nil"/>
              <w:right w:val="single" w:sz="4" w:space="0" w:color="auto"/>
            </w:tcBorders>
            <w:shd w:val="clear" w:color="auto" w:fill="auto"/>
            <w:vAlign w:val="center"/>
          </w:tcPr>
          <w:p w14:paraId="3C254C28" w14:textId="77777777" w:rsidR="007A29C6" w:rsidRPr="00CC18E5" w:rsidRDefault="007A29C6" w:rsidP="00516F35">
            <w:pPr>
              <w:widowControl w:val="0"/>
              <w:jc w:val="center"/>
              <w:rPr>
                <w:rFonts w:ascii="Arial Narrow" w:hAnsi="Arial Narrow"/>
                <w:snapToGrid w:val="0"/>
                <w:sz w:val="20"/>
                <w:szCs w:val="20"/>
                <w:lang w:eastAsia="en-US"/>
              </w:rPr>
            </w:pPr>
          </w:p>
        </w:tc>
        <w:tc>
          <w:tcPr>
            <w:tcW w:w="693" w:type="pct"/>
            <w:tcBorders>
              <w:top w:val="single" w:sz="4" w:space="0" w:color="auto"/>
              <w:left w:val="single" w:sz="4" w:space="0" w:color="auto"/>
              <w:bottom w:val="nil"/>
              <w:right w:val="single" w:sz="4" w:space="0" w:color="auto"/>
            </w:tcBorders>
            <w:shd w:val="clear" w:color="auto" w:fill="auto"/>
            <w:vAlign w:val="center"/>
          </w:tcPr>
          <w:p w14:paraId="7DE7671B" w14:textId="77777777" w:rsidR="007A29C6" w:rsidRPr="00CC18E5" w:rsidRDefault="007A29C6" w:rsidP="00516F35">
            <w:pPr>
              <w:widowControl w:val="0"/>
              <w:jc w:val="center"/>
              <w:rPr>
                <w:rFonts w:ascii="Arial Narrow" w:hAnsi="Arial Narrow"/>
                <w:bCs/>
                <w:snapToGrid w:val="0"/>
                <w:sz w:val="20"/>
                <w:szCs w:val="20"/>
                <w:lang w:eastAsia="en-US"/>
              </w:rPr>
            </w:pPr>
          </w:p>
        </w:tc>
      </w:tr>
      <w:tr w:rsidR="007A29C6" w:rsidRPr="00CC18E5" w14:paraId="031E3BF0" w14:textId="77777777" w:rsidTr="003B5AF7">
        <w:tc>
          <w:tcPr>
            <w:tcW w:w="1727" w:type="pct"/>
            <w:tcBorders>
              <w:top w:val="nil"/>
              <w:bottom w:val="single" w:sz="4" w:space="0" w:color="auto"/>
            </w:tcBorders>
            <w:shd w:val="clear" w:color="auto" w:fill="auto"/>
          </w:tcPr>
          <w:p w14:paraId="00AAD7E5" w14:textId="77777777" w:rsidR="007A29C6" w:rsidRPr="00CC18E5" w:rsidRDefault="007A29C6" w:rsidP="00516F35">
            <w:pPr>
              <w:widowControl w:val="0"/>
              <w:numPr>
                <w:ilvl w:val="0"/>
                <w:numId w:val="9"/>
              </w:numPr>
              <w:ind w:left="249" w:hanging="107"/>
              <w:rPr>
                <w:rFonts w:ascii="Arial Narrow" w:hAnsi="Arial Narrow"/>
                <w:snapToGrid w:val="0"/>
                <w:sz w:val="20"/>
                <w:szCs w:val="20"/>
                <w:lang w:eastAsia="en-US"/>
              </w:rPr>
            </w:pPr>
            <w:r w:rsidRPr="00CC18E5">
              <w:rPr>
                <w:rFonts w:ascii="Arial Narrow" w:hAnsi="Arial Narrow"/>
                <w:snapToGrid w:val="0"/>
                <w:sz w:val="20"/>
                <w:szCs w:val="20"/>
                <w:lang w:eastAsia="en-US"/>
              </w:rPr>
              <w:t>Interim analysis data cut 26/01/2016 (2-27months follow-up)</w:t>
            </w:r>
          </w:p>
        </w:tc>
        <w:tc>
          <w:tcPr>
            <w:tcW w:w="655" w:type="pct"/>
            <w:tcBorders>
              <w:top w:val="nil"/>
              <w:bottom w:val="single" w:sz="4" w:space="0" w:color="auto"/>
            </w:tcBorders>
            <w:shd w:val="clear" w:color="auto" w:fill="auto"/>
          </w:tcPr>
          <w:p w14:paraId="35292570"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1156" w:type="pct"/>
            <w:gridSpan w:val="2"/>
            <w:tcBorders>
              <w:top w:val="nil"/>
              <w:bottom w:val="single" w:sz="4" w:space="0" w:color="auto"/>
            </w:tcBorders>
            <w:shd w:val="clear" w:color="auto" w:fill="auto"/>
            <w:vAlign w:val="center"/>
          </w:tcPr>
          <w:p w14:paraId="068E0AD7"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w:t>
            </w:r>
          </w:p>
        </w:tc>
        <w:tc>
          <w:tcPr>
            <w:tcW w:w="769" w:type="pct"/>
            <w:tcBorders>
              <w:top w:val="nil"/>
              <w:bottom w:val="single" w:sz="4" w:space="0" w:color="auto"/>
            </w:tcBorders>
            <w:shd w:val="clear" w:color="auto" w:fill="auto"/>
            <w:vAlign w:val="center"/>
          </w:tcPr>
          <w:p w14:paraId="12428E39" w14:textId="77777777" w:rsidR="007A29C6" w:rsidRPr="00CC18E5" w:rsidRDefault="007A29C6" w:rsidP="00516F35">
            <w:pPr>
              <w:widowControl w:val="0"/>
              <w:jc w:val="center"/>
              <w:rPr>
                <w:rFonts w:ascii="Arial Narrow" w:hAnsi="Arial Narrow"/>
                <w:snapToGrid w:val="0"/>
                <w:sz w:val="20"/>
                <w:szCs w:val="20"/>
                <w:lang w:eastAsia="en-US"/>
              </w:rPr>
            </w:pPr>
            <w:r w:rsidRPr="00CC18E5">
              <w:rPr>
                <w:rFonts w:ascii="Arial Narrow" w:hAnsi="Arial Narrow"/>
                <w:snapToGrid w:val="0"/>
                <w:sz w:val="20"/>
                <w:szCs w:val="20"/>
                <w:lang w:eastAsia="en-US"/>
              </w:rPr>
              <w:t>11/16 (68.8%)</w:t>
            </w:r>
          </w:p>
        </w:tc>
        <w:tc>
          <w:tcPr>
            <w:tcW w:w="693" w:type="pct"/>
            <w:tcBorders>
              <w:top w:val="nil"/>
              <w:left w:val="single" w:sz="4" w:space="0" w:color="auto"/>
              <w:bottom w:val="single" w:sz="4" w:space="0" w:color="auto"/>
              <w:right w:val="single" w:sz="4" w:space="0" w:color="auto"/>
            </w:tcBorders>
            <w:shd w:val="clear" w:color="auto" w:fill="auto"/>
            <w:vAlign w:val="center"/>
          </w:tcPr>
          <w:p w14:paraId="1E56CDB4" w14:textId="77777777" w:rsidR="007A29C6" w:rsidRPr="00CC18E5" w:rsidRDefault="007A29C6" w:rsidP="00516F35">
            <w:pPr>
              <w:widowControl w:val="0"/>
              <w:jc w:val="center"/>
              <w:rPr>
                <w:rFonts w:ascii="Arial Narrow" w:hAnsi="Arial Narrow"/>
                <w:bCs/>
                <w:snapToGrid w:val="0"/>
                <w:sz w:val="20"/>
                <w:szCs w:val="20"/>
                <w:lang w:eastAsia="en-US"/>
              </w:rPr>
            </w:pPr>
            <w:r w:rsidRPr="00CC18E5">
              <w:rPr>
                <w:rFonts w:ascii="Arial Narrow" w:hAnsi="Arial Narrow"/>
                <w:bCs/>
                <w:snapToGrid w:val="0"/>
                <w:sz w:val="20"/>
                <w:szCs w:val="20"/>
                <w:lang w:eastAsia="en-US"/>
              </w:rPr>
              <w:t>-</w:t>
            </w:r>
          </w:p>
        </w:tc>
      </w:tr>
    </w:tbl>
    <w:p w14:paraId="39EE113C" w14:textId="77777777" w:rsidR="007A29C6" w:rsidRPr="00917415" w:rsidRDefault="007A29C6" w:rsidP="00CC18E5">
      <w:pPr>
        <w:pStyle w:val="TableFigureFooter"/>
      </w:pPr>
      <w:r w:rsidRPr="00917415">
        <w:t>Source: constructed during the evaluation based on Sections 2.5 pp.110-167 of the submission, Figure 2.31 p151 of the submission based on De Vivo et a</w:t>
      </w:r>
      <w:r w:rsidR="000F0898" w:rsidRPr="00917415">
        <w:t>l. 2019, and Finkel et al. 2016</w:t>
      </w:r>
      <w:r w:rsidRPr="00917415">
        <w:t xml:space="preserve">. </w:t>
      </w:r>
    </w:p>
    <w:p w14:paraId="7D17FEFA" w14:textId="77777777" w:rsidR="007A29C6" w:rsidRPr="00917415" w:rsidRDefault="007A29C6" w:rsidP="00CC18E5">
      <w:pPr>
        <w:pStyle w:val="TableFigureFooter"/>
      </w:pPr>
      <w:r w:rsidRPr="00917415">
        <w:t xml:space="preserve">NA = not available; ONA =onasemnogene </w:t>
      </w:r>
      <w:r w:rsidR="00AF1E94" w:rsidRPr="00917415">
        <w:t>abeparvovec</w:t>
      </w:r>
      <w:r w:rsidRPr="00917415">
        <w:t>; SMA = spinal muscular atrophy.</w:t>
      </w:r>
    </w:p>
    <w:p w14:paraId="1C9DC39E" w14:textId="77777777" w:rsidR="007A29C6" w:rsidRPr="00917415" w:rsidRDefault="007A29C6" w:rsidP="00CC18E5">
      <w:pPr>
        <w:pStyle w:val="TableFigureFooter"/>
      </w:pPr>
      <w:r w:rsidRPr="00917415">
        <w:t>*</w:t>
      </w:r>
      <w:r w:rsidRPr="00917415">
        <w:tab/>
        <w:t>Primary endpoint of study.</w:t>
      </w:r>
      <w:r w:rsidR="00072FE8" w:rsidRPr="00917415">
        <w:t xml:space="preserve"> </w:t>
      </w:r>
      <w:r w:rsidRPr="00917415">
        <w:t>§</w:t>
      </w:r>
      <w:r w:rsidRPr="00917415">
        <w:tab/>
        <w:t>Against PNCR and NeuroNEXT.</w:t>
      </w:r>
      <w:r w:rsidR="00072FE8" w:rsidRPr="00917415">
        <w:t xml:space="preserve"> </w:t>
      </w:r>
      <w:r w:rsidRPr="00917415">
        <w:rPr>
          <w:b/>
          <w:bCs/>
          <w:vertAlign w:val="superscript"/>
          <w:lang w:eastAsia="en-US"/>
        </w:rPr>
        <w:t>†</w:t>
      </w:r>
      <w:r w:rsidRPr="00917415">
        <w:rPr>
          <w:b/>
          <w:bCs/>
          <w:lang w:eastAsia="en-US"/>
        </w:rPr>
        <w:tab/>
      </w:r>
      <w:r w:rsidRPr="00917415">
        <w:rPr>
          <w:bCs/>
          <w:lang w:eastAsia="en-US"/>
        </w:rPr>
        <w:t>Permanent ventilation (unless otherwise specified) was defined as requirement of invasive ventilation ≥ 16 hours per day (including non-invasive ventilatory support) for ≥ 14 consecutive days in the absence of an acute reversible illness, excluding perioperative ventilation.</w:t>
      </w:r>
      <w:r w:rsidR="00072FE8" w:rsidRPr="00917415">
        <w:rPr>
          <w:bCs/>
          <w:lang w:eastAsia="en-US"/>
        </w:rPr>
        <w:t xml:space="preserve"> </w:t>
      </w:r>
      <w:r w:rsidRPr="00917415">
        <w:t>#</w:t>
      </w:r>
      <w:r w:rsidRPr="00917415">
        <w:tab/>
        <w:t xml:space="preserve">ENDEAR </w:t>
      </w:r>
      <w:r w:rsidR="00EE09B5" w:rsidRPr="00917415">
        <w:t>NUSI</w:t>
      </w:r>
      <w:r w:rsidRPr="00917415">
        <w:t xml:space="preserve"> and SHINE </w:t>
      </w:r>
      <w:r w:rsidR="00EE09B5" w:rsidRPr="00917415">
        <w:t>NUSI</w:t>
      </w:r>
      <w:r w:rsidR="00072FE8" w:rsidRPr="00917415">
        <w:t xml:space="preserve"> </w:t>
      </w:r>
      <w:r w:rsidRPr="00917415">
        <w:t>^</w:t>
      </w:r>
      <w:r w:rsidRPr="00917415">
        <w:tab/>
        <w:t xml:space="preserve">ENDEAR control /SHINE </w:t>
      </w:r>
      <w:r w:rsidR="00EE09B5" w:rsidRPr="00917415">
        <w:t>NUSI</w:t>
      </w:r>
    </w:p>
    <w:p w14:paraId="6B66558B" w14:textId="77777777" w:rsidR="007A29C6" w:rsidRPr="00917415" w:rsidRDefault="007A29C6" w:rsidP="00CC18E5">
      <w:pPr>
        <w:pStyle w:val="TableFigureFooter"/>
        <w:rPr>
          <w:vertAlign w:val="superscript"/>
        </w:rPr>
      </w:pPr>
      <w:r w:rsidRPr="00917415">
        <w:rPr>
          <w:vertAlign w:val="superscript"/>
        </w:rPr>
        <w:t>a</w:t>
      </w:r>
      <w:r w:rsidRPr="00917415">
        <w:tab/>
        <w:t>In START, only results from Cohort 2</w:t>
      </w:r>
      <w:r w:rsidRPr="00917415">
        <w:rPr>
          <w:b/>
        </w:rPr>
        <w:t xml:space="preserve"> </w:t>
      </w:r>
      <w:r w:rsidRPr="00917415">
        <w:t>with the recommended ONA dose are reported here</w:t>
      </w:r>
      <w:r w:rsidR="00917415">
        <w:t xml:space="preserve">. </w:t>
      </w:r>
      <w:r w:rsidRPr="00917415">
        <w:t>Results from Cohort 1 with a lower than recommended ONA dose, are not repeated here.</w:t>
      </w:r>
    </w:p>
    <w:p w14:paraId="4FECAAD5" w14:textId="77777777" w:rsidR="007A29C6" w:rsidRPr="00917415" w:rsidRDefault="007A29C6" w:rsidP="00CC18E5">
      <w:pPr>
        <w:pStyle w:val="TableFigureFooter"/>
      </w:pPr>
      <w:r w:rsidRPr="00917415">
        <w:rPr>
          <w:vertAlign w:val="superscript"/>
        </w:rPr>
        <w:t>b</w:t>
      </w:r>
      <w:r w:rsidRPr="00917415">
        <w:tab/>
        <w:t>At the time of the data cut, 30 of the 32 patients were ≥ 10.5 months of age, 18 were ≥ 14 months of age and 4 were ≥ 18 months of age. The 2 remaining patients had not yet reached 10.5 months of age.</w:t>
      </w:r>
    </w:p>
    <w:p w14:paraId="4562989A" w14:textId="77777777" w:rsidR="007A29C6" w:rsidRPr="00917415" w:rsidRDefault="007A29C6" w:rsidP="00CC18E5">
      <w:pPr>
        <w:pStyle w:val="TableFigureFooter"/>
      </w:pPr>
      <w:r w:rsidRPr="00917415">
        <w:rPr>
          <w:vertAlign w:val="superscript"/>
        </w:rPr>
        <w:lastRenderedPageBreak/>
        <w:t>c</w:t>
      </w:r>
      <w:r w:rsidRPr="00917415">
        <w:t xml:space="preserve"> </w:t>
      </w:r>
      <w:r w:rsidRPr="00917415">
        <w:tab/>
        <w:t>From De Vivo 2019, four patients utilised respiratory intervention for ≥ 6 hours per day continuously for ≥ 7 days during an acute reversible illness</w:t>
      </w:r>
      <w:r w:rsidR="00917415">
        <w:t xml:space="preserve">. </w:t>
      </w:r>
      <w:r w:rsidRPr="00917415">
        <w:t>At the time of the data cut, one infant continued to receive respiratory intervention for 10 hours per day, this infant received respiratory intervention for ≥ 6 hours per day for total of 644 days over the course of the study.</w:t>
      </w:r>
    </w:p>
    <w:p w14:paraId="72852302" w14:textId="77777777" w:rsidR="007A29C6" w:rsidRPr="00917415" w:rsidRDefault="007A29C6" w:rsidP="00CC18E5">
      <w:pPr>
        <w:pStyle w:val="TableFigureFooter"/>
      </w:pPr>
      <w:r w:rsidRPr="00917415">
        <w:rPr>
          <w:vertAlign w:val="superscript"/>
        </w:rPr>
        <w:t>d</w:t>
      </w:r>
      <w:r w:rsidRPr="00917415">
        <w:rPr>
          <w:vertAlign w:val="superscript"/>
        </w:rPr>
        <w:tab/>
      </w:r>
      <w:r w:rsidRPr="00917415">
        <w:t xml:space="preserve">Permanent ventilation defined as tracheostomy or ≥16 hours of ventilatory support per day continuously for </w:t>
      </w:r>
      <w:r w:rsidRPr="00917415">
        <w:rPr>
          <w:u w:val="single"/>
        </w:rPr>
        <w:t>&gt;21 days</w:t>
      </w:r>
      <w:r w:rsidRPr="00917415">
        <w:t xml:space="preserve"> in the absence of an acute reversible event.</w:t>
      </w:r>
    </w:p>
    <w:p w14:paraId="789D0679" w14:textId="77777777" w:rsidR="007A29C6" w:rsidRPr="00917415" w:rsidRDefault="007A29C6" w:rsidP="00CC18E5">
      <w:pPr>
        <w:pStyle w:val="TableFigureFooter"/>
      </w:pPr>
      <w:r w:rsidRPr="00917415">
        <w:rPr>
          <w:vertAlign w:val="superscript"/>
        </w:rPr>
        <w:t>e</w:t>
      </w:r>
      <w:r w:rsidRPr="00917415">
        <w:rPr>
          <w:vertAlign w:val="superscript"/>
        </w:rPr>
        <w:tab/>
      </w:r>
      <w:r w:rsidRPr="00917415">
        <w:t xml:space="preserve">Permanent ventilation defined as respiratory intervention (invasive or non-invasive) for ≥ </w:t>
      </w:r>
      <w:r w:rsidRPr="00917415">
        <w:rPr>
          <w:u w:val="single"/>
        </w:rPr>
        <w:t>6 hours per day</w:t>
      </w:r>
      <w:r w:rsidRPr="00917415">
        <w:t xml:space="preserve"> continuously for </w:t>
      </w:r>
      <w:r w:rsidRPr="00917415">
        <w:rPr>
          <w:u w:val="single"/>
        </w:rPr>
        <w:t>≥ 7 days</w:t>
      </w:r>
      <w:r w:rsidRPr="00917415">
        <w:t xml:space="preserve"> or tracheostomy.</w:t>
      </w:r>
    </w:p>
    <w:p w14:paraId="3B0E4ED0" w14:textId="77777777" w:rsidR="007A29C6" w:rsidRPr="00917415" w:rsidRDefault="007A29C6" w:rsidP="00CC18E5">
      <w:pPr>
        <w:pStyle w:val="TableFigureFooter"/>
      </w:pPr>
      <w:r w:rsidRPr="00917415">
        <w:rPr>
          <w:vertAlign w:val="superscript"/>
        </w:rPr>
        <w:t>f</w:t>
      </w:r>
      <w:r w:rsidRPr="00917415">
        <w:rPr>
          <w:vertAlign w:val="superscript"/>
        </w:rPr>
        <w:tab/>
      </w:r>
      <w:r w:rsidRPr="00917415">
        <w:t xml:space="preserve">Permanent ventilation defined as </w:t>
      </w:r>
      <w:r w:rsidRPr="00917415">
        <w:rPr>
          <w:u w:val="single"/>
        </w:rPr>
        <w:t>≥ 16 hours per day</w:t>
      </w:r>
      <w:r w:rsidRPr="00917415">
        <w:t xml:space="preserve"> continuously for </w:t>
      </w:r>
      <w:r w:rsidRPr="00917415">
        <w:rPr>
          <w:u w:val="single"/>
        </w:rPr>
        <w:t>&gt; 21 days</w:t>
      </w:r>
      <w:r w:rsidRPr="00917415">
        <w:t xml:space="preserve"> in the absence of an acute reversible event or tracheostomy.</w:t>
      </w:r>
    </w:p>
    <w:p w14:paraId="2EF248F8" w14:textId="77777777" w:rsidR="007A29C6" w:rsidRPr="00917415" w:rsidRDefault="007A29C6" w:rsidP="00CC18E5">
      <w:pPr>
        <w:pStyle w:val="TableFigureHeading"/>
      </w:pPr>
      <w:r w:rsidRPr="00917415">
        <w:t>Figure 3: Summary of EFS (% surviving without permanent ventilation by age) from natural history studies for patients with SMA Type I</w:t>
      </w:r>
    </w:p>
    <w:p w14:paraId="1FE62FE8" w14:textId="7D3F01C1" w:rsidR="007A29C6" w:rsidRPr="00917415" w:rsidRDefault="002E0331" w:rsidP="00516F35">
      <w:pPr>
        <w:keepNext/>
        <w:jc w:val="left"/>
        <w:rPr>
          <w:rFonts w:ascii="Arial Narrow" w:hAnsi="Arial Narrow" w:cstheme="minorHAnsi"/>
          <w:b/>
          <w:i/>
          <w:sz w:val="20"/>
          <w:szCs w:val="20"/>
        </w:rPr>
      </w:pPr>
      <w:r>
        <w:rPr>
          <w:rFonts w:ascii="Arial Narrow" w:hAnsi="Arial Narrow" w:cstheme="minorHAnsi"/>
          <w:b/>
          <w:i/>
          <w:noProof/>
          <w:sz w:val="20"/>
          <w:szCs w:val="20"/>
        </w:rPr>
        <w:drawing>
          <wp:inline distT="0" distB="0" distL="0" distR="0" wp14:anchorId="770BB532" wp14:editId="3BCF4D60">
            <wp:extent cx="5920740" cy="2217420"/>
            <wp:effectExtent l="0" t="0" r="3810" b="0"/>
            <wp:docPr id="12" name="Picture 12" title="Figure 3: Summary of EFS (% surviving without permanent ventilation by age) from natural history studies for patients with SMA Type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0740" cy="2217420"/>
                    </a:xfrm>
                    <a:prstGeom prst="rect">
                      <a:avLst/>
                    </a:prstGeom>
                    <a:noFill/>
                  </pic:spPr>
                </pic:pic>
              </a:graphicData>
            </a:graphic>
          </wp:inline>
        </w:drawing>
      </w:r>
    </w:p>
    <w:p w14:paraId="5CC89AA4" w14:textId="77777777" w:rsidR="007A29C6" w:rsidRPr="00917415" w:rsidRDefault="007A29C6" w:rsidP="00CC18E5">
      <w:pPr>
        <w:pStyle w:val="TableFigureFooter"/>
      </w:pPr>
      <w:r w:rsidRPr="00917415">
        <w:t>Source: constructed during the evaluation from data from PNCR study (were as reported in START CSR and p33 of resubmission) and Oskouri (2007) publication.</w:t>
      </w:r>
    </w:p>
    <w:p w14:paraId="16E16ABC" w14:textId="77777777" w:rsidR="007A29C6" w:rsidRPr="00917415" w:rsidRDefault="007A29C6" w:rsidP="00CC18E5">
      <w:pPr>
        <w:pStyle w:val="TableFigureFooter"/>
      </w:pPr>
      <w:r w:rsidRPr="00917415">
        <w:t xml:space="preserve">Note this graph summarises % alive at each time </w:t>
      </w:r>
      <w:r w:rsidR="00133A0F" w:rsidRPr="00917415">
        <w:t xml:space="preserve">point </w:t>
      </w:r>
      <w:r w:rsidRPr="00917415">
        <w:t>and is not to be misinterpreted as Kaplan Meier data.</w:t>
      </w:r>
    </w:p>
    <w:p w14:paraId="60C86A03" w14:textId="77777777" w:rsidR="007A29C6" w:rsidRPr="00917415" w:rsidRDefault="005223FF" w:rsidP="00516F35">
      <w:pPr>
        <w:pStyle w:val="3-BodyText"/>
        <w:rPr>
          <w:rFonts w:cstheme="minorHAnsi"/>
        </w:rPr>
      </w:pPr>
      <w:r w:rsidRPr="00917415">
        <w:rPr>
          <w:rFonts w:cstheme="minorHAnsi"/>
        </w:rPr>
        <w:t xml:space="preserve">The </w:t>
      </w:r>
      <w:r w:rsidR="00C415A1" w:rsidRPr="00917415">
        <w:rPr>
          <w:rFonts w:cstheme="minorHAnsi"/>
        </w:rPr>
        <w:t xml:space="preserve">PBAC </w:t>
      </w:r>
      <w:r w:rsidRPr="00917415">
        <w:rPr>
          <w:rFonts w:cstheme="minorHAnsi"/>
        </w:rPr>
        <w:t>noted that w</w:t>
      </w:r>
      <w:r w:rsidR="007A29C6" w:rsidRPr="00917415">
        <w:rPr>
          <w:rFonts w:cstheme="minorHAnsi"/>
        </w:rPr>
        <w:t xml:space="preserve">hile the reported proportions of patients alive without permanent ventilation were consistently lower in the </w:t>
      </w:r>
      <w:r w:rsidR="00EE09B5" w:rsidRPr="00917415">
        <w:rPr>
          <w:rFonts w:cstheme="minorHAnsi"/>
        </w:rPr>
        <w:t>NUSI</w:t>
      </w:r>
      <w:r w:rsidR="004000C7" w:rsidRPr="00917415">
        <w:rPr>
          <w:rFonts w:cstheme="minorHAnsi"/>
        </w:rPr>
        <w:t xml:space="preserve"> studies</w:t>
      </w:r>
      <w:r w:rsidR="007A29C6" w:rsidRPr="00917415">
        <w:rPr>
          <w:rFonts w:cstheme="minorHAnsi"/>
        </w:rPr>
        <w:t xml:space="preserve"> compared to ONA studies, the results were difficult to compare due to </w:t>
      </w:r>
      <w:r w:rsidR="00713354" w:rsidRPr="00917415">
        <w:rPr>
          <w:rFonts w:cstheme="minorHAnsi"/>
        </w:rPr>
        <w:t xml:space="preserve">the </w:t>
      </w:r>
      <w:r w:rsidR="00190B17" w:rsidRPr="00917415">
        <w:rPr>
          <w:rFonts w:cstheme="minorHAnsi"/>
        </w:rPr>
        <w:t>differences across the studies</w:t>
      </w:r>
      <w:r w:rsidR="007A29C6" w:rsidRPr="00917415">
        <w:rPr>
          <w:rFonts w:cstheme="minorHAnsi"/>
        </w:rPr>
        <w:t xml:space="preserve"> and the high </w:t>
      </w:r>
      <w:r w:rsidR="007B763A" w:rsidRPr="00917415">
        <w:rPr>
          <w:rFonts w:cstheme="minorHAnsi"/>
        </w:rPr>
        <w:t xml:space="preserve">risk </w:t>
      </w:r>
      <w:r w:rsidR="007A29C6" w:rsidRPr="00917415">
        <w:rPr>
          <w:rFonts w:cstheme="minorHAnsi"/>
        </w:rPr>
        <w:t xml:space="preserve">of bias </w:t>
      </w:r>
      <w:r w:rsidR="00713354" w:rsidRPr="00917415">
        <w:rPr>
          <w:rFonts w:cstheme="minorHAnsi"/>
        </w:rPr>
        <w:t>in the ONA studies.</w:t>
      </w:r>
    </w:p>
    <w:p w14:paraId="0397EC61" w14:textId="77777777" w:rsidR="00562B89" w:rsidRPr="00917415" w:rsidRDefault="00562B89" w:rsidP="00516F35">
      <w:pPr>
        <w:pStyle w:val="Heading3"/>
      </w:pPr>
      <w:r w:rsidRPr="00917415">
        <w:t xml:space="preserve">Motor </w:t>
      </w:r>
      <w:r w:rsidR="00DC2BC3" w:rsidRPr="00917415">
        <w:t>functioning</w:t>
      </w:r>
    </w:p>
    <w:p w14:paraId="7653FF4E" w14:textId="77777777" w:rsidR="00562B89" w:rsidRPr="00917415" w:rsidRDefault="00562B89" w:rsidP="00516F35">
      <w:pPr>
        <w:pStyle w:val="3-BodyText"/>
        <w:rPr>
          <w:rFonts w:cstheme="minorHAnsi"/>
        </w:rPr>
      </w:pPr>
      <w:r w:rsidRPr="00917415">
        <w:rPr>
          <w:rFonts w:cstheme="minorHAnsi"/>
        </w:rPr>
        <w:t xml:space="preserve">Figure </w:t>
      </w:r>
      <w:r w:rsidR="00E14A62" w:rsidRPr="00917415">
        <w:rPr>
          <w:rFonts w:cstheme="minorHAnsi"/>
        </w:rPr>
        <w:t>6</w:t>
      </w:r>
      <w:r w:rsidR="00065314" w:rsidRPr="00917415">
        <w:rPr>
          <w:rFonts w:cstheme="minorHAnsi"/>
        </w:rPr>
        <w:t xml:space="preserve"> and </w:t>
      </w:r>
      <w:r w:rsidRPr="00917415">
        <w:rPr>
          <w:rFonts w:cstheme="minorHAnsi"/>
        </w:rPr>
        <w:t xml:space="preserve">Table </w:t>
      </w:r>
      <w:r w:rsidR="00E14A62" w:rsidRPr="00917415">
        <w:rPr>
          <w:rFonts w:cstheme="minorHAnsi"/>
        </w:rPr>
        <w:t>7</w:t>
      </w:r>
      <w:r w:rsidRPr="00917415">
        <w:rPr>
          <w:rFonts w:cstheme="minorHAnsi"/>
        </w:rPr>
        <w:t xml:space="preserve"> summarise </w:t>
      </w:r>
      <w:r w:rsidR="00DC2BC3" w:rsidRPr="00917415">
        <w:rPr>
          <w:rFonts w:cstheme="minorHAnsi"/>
        </w:rPr>
        <w:t xml:space="preserve">proportions of patients attaining independent </w:t>
      </w:r>
      <w:r w:rsidR="00F434D1" w:rsidRPr="00917415">
        <w:rPr>
          <w:rFonts w:cstheme="minorHAnsi"/>
        </w:rPr>
        <w:t xml:space="preserve">sitting without support and </w:t>
      </w:r>
      <w:r w:rsidR="00B11DF7" w:rsidRPr="00917415">
        <w:rPr>
          <w:rFonts w:cstheme="minorHAnsi"/>
        </w:rPr>
        <w:t>of patients walking without assistance, respectively</w:t>
      </w:r>
      <w:r w:rsidRPr="00917415">
        <w:rPr>
          <w:rFonts w:cstheme="minorHAnsi"/>
        </w:rPr>
        <w:t xml:space="preserve">. The submission also presented a table comparing results for individual patients in Cohort 2 of START to the PNCR natural history cohort, </w:t>
      </w:r>
      <w:r w:rsidR="00F434D1" w:rsidRPr="00917415">
        <w:rPr>
          <w:rFonts w:cstheme="minorHAnsi"/>
        </w:rPr>
        <w:t xml:space="preserve">see </w:t>
      </w:r>
      <w:r w:rsidRPr="00917415">
        <w:rPr>
          <w:rFonts w:cstheme="minorHAnsi"/>
        </w:rPr>
        <w:t xml:space="preserve">Table </w:t>
      </w:r>
      <w:r w:rsidR="00E14A62" w:rsidRPr="00917415">
        <w:rPr>
          <w:rFonts w:cstheme="minorHAnsi"/>
        </w:rPr>
        <w:t>8</w:t>
      </w:r>
      <w:r w:rsidR="00DF54DE" w:rsidRPr="00917415">
        <w:rPr>
          <w:rFonts w:cstheme="minorHAnsi"/>
        </w:rPr>
        <w:t xml:space="preserve"> (Appendix 1)</w:t>
      </w:r>
      <w:r w:rsidR="00E77772" w:rsidRPr="00917415">
        <w:rPr>
          <w:rFonts w:cstheme="minorHAnsi"/>
        </w:rPr>
        <w:t>.</w:t>
      </w:r>
    </w:p>
    <w:p w14:paraId="0F764AC6" w14:textId="77777777" w:rsidR="00562B89" w:rsidRPr="00917415" w:rsidRDefault="00562B89" w:rsidP="003B5AF7">
      <w:pPr>
        <w:pStyle w:val="TableFigureHeading"/>
      </w:pPr>
      <w:r w:rsidRPr="00917415">
        <w:lastRenderedPageBreak/>
        <w:t xml:space="preserve">Figure </w:t>
      </w:r>
      <w:r w:rsidR="00E14A62" w:rsidRPr="00917415">
        <w:t>6</w:t>
      </w:r>
      <w:r w:rsidR="0060660A" w:rsidRPr="00917415">
        <w:t xml:space="preserve">: </w:t>
      </w:r>
      <w:r w:rsidRPr="00917415">
        <w:t xml:space="preserve">summary of proportion of patients sitting without support (≥ 30 sec as defined by Bayley #26 video confirmed) in the ONA studies and “sitter” by HINES-2 in the </w:t>
      </w:r>
      <w:r w:rsidR="00EE09B5" w:rsidRPr="00917415">
        <w:t>NUSI</w:t>
      </w:r>
      <w:r w:rsidRPr="00917415">
        <w:t xml:space="preserve"> studies</w:t>
      </w:r>
    </w:p>
    <w:p w14:paraId="481F5616" w14:textId="7B11C7DD" w:rsidR="00562B89" w:rsidRPr="00917415" w:rsidRDefault="002E0331" w:rsidP="00516F35">
      <w:pPr>
        <w:pStyle w:val="V50Instructions"/>
        <w:widowControl w:val="0"/>
        <w:spacing w:before="0" w:after="0"/>
        <w:jc w:val="both"/>
        <w:rPr>
          <w:rFonts w:ascii="Arial Narrow" w:hAnsi="Arial Narrow" w:cstheme="minorHAnsi"/>
          <w:color w:val="auto"/>
          <w:sz w:val="20"/>
        </w:rPr>
      </w:pPr>
      <w:r>
        <w:rPr>
          <w:rFonts w:ascii="Arial Narrow" w:hAnsi="Arial Narrow" w:cstheme="minorHAnsi"/>
          <w:noProof/>
          <w:color w:val="auto"/>
          <w:sz w:val="20"/>
        </w:rPr>
        <w:drawing>
          <wp:inline distT="0" distB="0" distL="0" distR="0" wp14:anchorId="32E64351" wp14:editId="58C41231">
            <wp:extent cx="5455920" cy="2346960"/>
            <wp:effectExtent l="0" t="0" r="0" b="0"/>
            <wp:docPr id="13" name="Picture 13" title="Figure 6: summary of proportion of patients sitting without support (≥ 30 sec as defined by Bayley #26 video confirmed) in the ONA studies and “sitter” by HINES-2 in the NUSI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5920" cy="2346960"/>
                    </a:xfrm>
                    <a:prstGeom prst="rect">
                      <a:avLst/>
                    </a:prstGeom>
                    <a:noFill/>
                  </pic:spPr>
                </pic:pic>
              </a:graphicData>
            </a:graphic>
          </wp:inline>
        </w:drawing>
      </w:r>
    </w:p>
    <w:p w14:paraId="753660C2" w14:textId="77777777" w:rsidR="00562B89" w:rsidRPr="00A00973" w:rsidRDefault="00562B89" w:rsidP="00A00973">
      <w:pPr>
        <w:pStyle w:val="TableFigureFooter"/>
      </w:pPr>
      <w:r w:rsidRPr="00A00973">
        <w:t>Source: co</w:t>
      </w:r>
      <w:r w:rsidR="003509E7" w:rsidRPr="00A00973">
        <w:t>nstructed during the evaluation</w:t>
      </w:r>
      <w:r w:rsidRPr="00A00973">
        <w:t>.</w:t>
      </w:r>
    </w:p>
    <w:p w14:paraId="422AD95A" w14:textId="77777777" w:rsidR="00CF13E8" w:rsidRPr="00917415" w:rsidRDefault="00CF13E8" w:rsidP="00516F35">
      <w:pPr>
        <w:pStyle w:val="V50Instructions"/>
        <w:keepNext/>
        <w:widowControl w:val="0"/>
        <w:spacing w:before="0" w:after="0"/>
        <w:jc w:val="both"/>
        <w:rPr>
          <w:rFonts w:ascii="Arial Narrow" w:hAnsi="Arial Narrow" w:cstheme="minorHAnsi"/>
          <w:color w:val="auto"/>
          <w:sz w:val="18"/>
        </w:rPr>
      </w:pPr>
    </w:p>
    <w:p w14:paraId="00E13AAD" w14:textId="77777777" w:rsidR="00476D83" w:rsidRPr="00917415" w:rsidRDefault="00476D83" w:rsidP="00A00973">
      <w:pPr>
        <w:pStyle w:val="TableFigureHeading"/>
        <w:rPr>
          <w:lang w:eastAsia="en-US"/>
        </w:rPr>
      </w:pPr>
      <w:r w:rsidRPr="00917415">
        <w:rPr>
          <w:lang w:eastAsia="en-US"/>
        </w:rPr>
        <w:t xml:space="preserve">Table </w:t>
      </w:r>
      <w:r w:rsidR="00E14A62" w:rsidRPr="00917415">
        <w:rPr>
          <w:lang w:eastAsia="en-US"/>
        </w:rPr>
        <w:t>7</w:t>
      </w:r>
      <w:r w:rsidRPr="00917415">
        <w:rPr>
          <w:lang w:eastAsia="en-US"/>
        </w:rPr>
        <w:t xml:space="preserve">: </w:t>
      </w:r>
      <w:r w:rsidR="002B5CE8" w:rsidRPr="00917415">
        <w:rPr>
          <w:lang w:eastAsia="en-US"/>
        </w:rPr>
        <w:t>Walking without assistance</w:t>
      </w:r>
    </w:p>
    <w:tbl>
      <w:tblPr>
        <w:tblStyle w:val="TableGrid"/>
        <w:tblW w:w="9067" w:type="dxa"/>
        <w:tblLayout w:type="fixed"/>
        <w:tblCellMar>
          <w:left w:w="28" w:type="dxa"/>
          <w:right w:w="28" w:type="dxa"/>
        </w:tblCellMar>
        <w:tblLook w:val="04A0" w:firstRow="1" w:lastRow="0" w:firstColumn="1" w:lastColumn="0" w:noHBand="0" w:noVBand="1"/>
        <w:tblCaption w:val="Table 7: Walking without assistance"/>
      </w:tblPr>
      <w:tblGrid>
        <w:gridCol w:w="846"/>
        <w:gridCol w:w="4963"/>
        <w:gridCol w:w="1276"/>
        <w:gridCol w:w="709"/>
        <w:gridCol w:w="1273"/>
      </w:tblGrid>
      <w:tr w:rsidR="00476D83" w:rsidRPr="00917415" w14:paraId="660FCB08" w14:textId="77777777" w:rsidTr="00BE5FD4">
        <w:trPr>
          <w:tblHeader/>
        </w:trPr>
        <w:tc>
          <w:tcPr>
            <w:tcW w:w="846" w:type="dxa"/>
            <w:tcBorders>
              <w:bottom w:val="nil"/>
            </w:tcBorders>
            <w:shd w:val="clear" w:color="auto" w:fill="auto"/>
            <w:vAlign w:val="center"/>
          </w:tcPr>
          <w:p w14:paraId="5B949E51" w14:textId="77777777"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Treatment</w:t>
            </w:r>
          </w:p>
        </w:tc>
        <w:tc>
          <w:tcPr>
            <w:tcW w:w="4963" w:type="dxa"/>
            <w:tcBorders>
              <w:bottom w:val="nil"/>
            </w:tcBorders>
            <w:shd w:val="clear" w:color="auto" w:fill="auto"/>
            <w:vAlign w:val="center"/>
          </w:tcPr>
          <w:p w14:paraId="6F8A6E5A" w14:textId="77777777"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Outcomes</w:t>
            </w:r>
          </w:p>
        </w:tc>
        <w:tc>
          <w:tcPr>
            <w:tcW w:w="1276" w:type="dxa"/>
            <w:tcBorders>
              <w:bottom w:val="single" w:sz="4" w:space="0" w:color="auto"/>
            </w:tcBorders>
            <w:shd w:val="clear" w:color="auto" w:fill="auto"/>
            <w:vAlign w:val="center"/>
          </w:tcPr>
          <w:p w14:paraId="2CB871B3" w14:textId="77777777"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ONA</w:t>
            </w:r>
          </w:p>
          <w:p w14:paraId="3AEEB55F" w14:textId="77777777"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n/N (%)</w:t>
            </w:r>
          </w:p>
        </w:tc>
        <w:tc>
          <w:tcPr>
            <w:tcW w:w="709" w:type="dxa"/>
            <w:tcBorders>
              <w:bottom w:val="single" w:sz="4" w:space="0" w:color="auto"/>
            </w:tcBorders>
            <w:shd w:val="clear" w:color="auto" w:fill="auto"/>
            <w:vAlign w:val="center"/>
          </w:tcPr>
          <w:p w14:paraId="72B0D314" w14:textId="77777777" w:rsidR="00476D83" w:rsidRPr="00917415" w:rsidRDefault="00476D83"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Control</w:t>
            </w:r>
          </w:p>
          <w:p w14:paraId="049E90BE"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b/>
                <w:snapToGrid w:val="0"/>
                <w:sz w:val="18"/>
                <w:szCs w:val="18"/>
                <w:lang w:eastAsia="en-US"/>
              </w:rPr>
              <w:t>n/N (%)</w:t>
            </w:r>
          </w:p>
        </w:tc>
        <w:tc>
          <w:tcPr>
            <w:tcW w:w="1273" w:type="dxa"/>
            <w:tcBorders>
              <w:bottom w:val="single" w:sz="4" w:space="0" w:color="auto"/>
            </w:tcBorders>
            <w:shd w:val="clear" w:color="auto" w:fill="auto"/>
            <w:vAlign w:val="center"/>
          </w:tcPr>
          <w:p w14:paraId="522380D8" w14:textId="77777777" w:rsidR="00476D83" w:rsidRPr="00917415" w:rsidRDefault="00EE09B5" w:rsidP="00516F35">
            <w:pPr>
              <w:keepNext/>
              <w:widowControl w:val="0"/>
              <w:jc w:val="center"/>
              <w:rPr>
                <w:rFonts w:ascii="Arial Narrow" w:hAnsi="Arial Narrow"/>
                <w:b/>
                <w:snapToGrid w:val="0"/>
                <w:sz w:val="18"/>
                <w:szCs w:val="18"/>
                <w:lang w:eastAsia="en-US"/>
              </w:rPr>
            </w:pPr>
            <w:r w:rsidRPr="00917415">
              <w:rPr>
                <w:rFonts w:ascii="Arial Narrow" w:hAnsi="Arial Narrow"/>
                <w:b/>
                <w:snapToGrid w:val="0"/>
                <w:sz w:val="18"/>
                <w:szCs w:val="18"/>
                <w:lang w:eastAsia="en-US"/>
              </w:rPr>
              <w:t>NUSI</w:t>
            </w:r>
          </w:p>
          <w:p w14:paraId="3712C4AC"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b/>
                <w:snapToGrid w:val="0"/>
                <w:sz w:val="18"/>
                <w:szCs w:val="18"/>
                <w:lang w:eastAsia="en-US"/>
              </w:rPr>
              <w:t>n/N (%)</w:t>
            </w:r>
          </w:p>
        </w:tc>
      </w:tr>
      <w:tr w:rsidR="00476D83" w:rsidRPr="00917415" w14:paraId="46D53E99" w14:textId="77777777" w:rsidTr="00BE5FD4">
        <w:trPr>
          <w:trHeight w:val="183"/>
          <w:tblHeader/>
        </w:trPr>
        <w:tc>
          <w:tcPr>
            <w:tcW w:w="9067" w:type="dxa"/>
            <w:gridSpan w:val="5"/>
            <w:tcBorders>
              <w:top w:val="single" w:sz="4" w:space="0" w:color="auto"/>
              <w:bottom w:val="nil"/>
            </w:tcBorders>
            <w:shd w:val="clear" w:color="auto" w:fill="auto"/>
          </w:tcPr>
          <w:p w14:paraId="06ECD5DD" w14:textId="77777777" w:rsidR="00476D83" w:rsidRPr="00917415" w:rsidRDefault="00476D83" w:rsidP="00516F35">
            <w:pPr>
              <w:keepNext/>
              <w:widowControl w:val="0"/>
              <w:jc w:val="left"/>
              <w:rPr>
                <w:rFonts w:ascii="Arial Narrow" w:hAnsi="Arial Narrow"/>
                <w:bCs/>
                <w:smallCaps/>
                <w:snapToGrid w:val="0"/>
                <w:sz w:val="20"/>
                <w:szCs w:val="18"/>
                <w:lang w:eastAsia="en-US"/>
              </w:rPr>
            </w:pPr>
            <w:r w:rsidRPr="00917415">
              <w:rPr>
                <w:rFonts w:ascii="Arial Narrow" w:hAnsi="Arial Narrow"/>
                <w:b/>
                <w:bCs/>
                <w:smallCaps/>
                <w:snapToGrid w:val="0"/>
                <w:sz w:val="20"/>
                <w:szCs w:val="18"/>
                <w:lang w:eastAsia="en-US"/>
              </w:rPr>
              <w:t>Walking without assistance (Bayley Scales)</w:t>
            </w:r>
          </w:p>
        </w:tc>
      </w:tr>
      <w:tr w:rsidR="00476D83" w:rsidRPr="00917415" w14:paraId="0D4D55E6" w14:textId="77777777" w:rsidTr="00BE5FD4">
        <w:trPr>
          <w:trHeight w:val="105"/>
        </w:trPr>
        <w:tc>
          <w:tcPr>
            <w:tcW w:w="846" w:type="dxa"/>
            <w:vMerge w:val="restart"/>
            <w:tcBorders>
              <w:top w:val="single" w:sz="4" w:space="0" w:color="auto"/>
            </w:tcBorders>
            <w:shd w:val="clear" w:color="auto" w:fill="auto"/>
            <w:vAlign w:val="center"/>
          </w:tcPr>
          <w:p w14:paraId="7DCF6013" w14:textId="77777777" w:rsidR="00476D83" w:rsidRPr="00917415" w:rsidRDefault="00476D83" w:rsidP="00516F35">
            <w:pPr>
              <w:keepNext/>
              <w:widowControl w:val="0"/>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ONA</w:t>
            </w:r>
          </w:p>
        </w:tc>
        <w:tc>
          <w:tcPr>
            <w:tcW w:w="4963" w:type="dxa"/>
            <w:tcBorders>
              <w:top w:val="single" w:sz="4" w:space="0" w:color="auto"/>
              <w:bottom w:val="nil"/>
            </w:tcBorders>
            <w:shd w:val="clear" w:color="auto" w:fill="auto"/>
          </w:tcPr>
          <w:p w14:paraId="17A5B9B5" w14:textId="77777777"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START</w:t>
            </w:r>
            <w:r w:rsidRPr="00917415">
              <w:rPr>
                <w:rFonts w:ascii="Arial Narrow" w:hAnsi="Arial Narrow"/>
                <w:snapToGrid w:val="0"/>
                <w:sz w:val="18"/>
                <w:szCs w:val="18"/>
                <w:vertAlign w:val="superscript"/>
                <w:lang w:eastAsia="en-US"/>
              </w:rPr>
              <w:t>a</w:t>
            </w:r>
          </w:p>
        </w:tc>
        <w:tc>
          <w:tcPr>
            <w:tcW w:w="1276" w:type="dxa"/>
            <w:tcBorders>
              <w:top w:val="single" w:sz="4" w:space="0" w:color="auto"/>
              <w:bottom w:val="nil"/>
              <w:right w:val="single" w:sz="4" w:space="0" w:color="auto"/>
            </w:tcBorders>
            <w:shd w:val="clear" w:color="auto" w:fill="auto"/>
            <w:vAlign w:val="center"/>
          </w:tcPr>
          <w:p w14:paraId="4BD21185" w14:textId="77777777"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14:paraId="54F70111" w14:textId="77777777"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14:paraId="22F0DCA4" w14:textId="77777777"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w:t>
            </w:r>
          </w:p>
        </w:tc>
      </w:tr>
      <w:tr w:rsidR="00476D83" w:rsidRPr="00917415" w14:paraId="38B75546" w14:textId="77777777" w:rsidTr="00BE5FD4">
        <w:trPr>
          <w:trHeight w:val="105"/>
        </w:trPr>
        <w:tc>
          <w:tcPr>
            <w:tcW w:w="846" w:type="dxa"/>
            <w:vMerge/>
            <w:shd w:val="clear" w:color="auto" w:fill="auto"/>
          </w:tcPr>
          <w:p w14:paraId="6AE5159E" w14:textId="77777777"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tcBorders>
            <w:shd w:val="clear" w:color="auto" w:fill="auto"/>
          </w:tcPr>
          <w:p w14:paraId="717B5006" w14:textId="77777777"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13.6 months of age</w:t>
            </w:r>
          </w:p>
          <w:p w14:paraId="22B9D950" w14:textId="77777777"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24 months post-dose</w:t>
            </w:r>
          </w:p>
        </w:tc>
        <w:tc>
          <w:tcPr>
            <w:tcW w:w="1276" w:type="dxa"/>
            <w:tcBorders>
              <w:top w:val="nil"/>
              <w:bottom w:val="single" w:sz="4" w:space="0" w:color="auto"/>
              <w:right w:val="single" w:sz="4" w:space="0" w:color="auto"/>
            </w:tcBorders>
            <w:shd w:val="clear" w:color="auto" w:fill="auto"/>
            <w:vAlign w:val="center"/>
          </w:tcPr>
          <w:p w14:paraId="4ED29187"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2/12 (13.3%)</w:t>
            </w:r>
          </w:p>
          <w:p w14:paraId="7F25BC1C"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2/12 (13.3%)</w:t>
            </w:r>
          </w:p>
        </w:tc>
        <w:tc>
          <w:tcPr>
            <w:tcW w:w="709" w:type="dxa"/>
            <w:tcBorders>
              <w:top w:val="nil"/>
              <w:left w:val="single" w:sz="4" w:space="0" w:color="auto"/>
              <w:bottom w:val="single" w:sz="4" w:space="0" w:color="auto"/>
              <w:right w:val="single" w:sz="4" w:space="0" w:color="auto"/>
            </w:tcBorders>
            <w:shd w:val="clear" w:color="auto" w:fill="auto"/>
            <w:vAlign w:val="center"/>
          </w:tcPr>
          <w:p w14:paraId="65AE76BB"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14:paraId="710DC7CF" w14:textId="77777777"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14:paraId="61862598" w14:textId="77777777" w:rsidTr="00BE5FD4">
        <w:trPr>
          <w:trHeight w:val="105"/>
        </w:trPr>
        <w:tc>
          <w:tcPr>
            <w:tcW w:w="846" w:type="dxa"/>
            <w:vMerge/>
            <w:shd w:val="clear" w:color="auto" w:fill="auto"/>
          </w:tcPr>
          <w:p w14:paraId="6C4F28AE" w14:textId="77777777"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tcBorders>
            <w:shd w:val="clear" w:color="auto" w:fill="auto"/>
          </w:tcPr>
          <w:p w14:paraId="33D89BA4" w14:textId="77777777"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START-LT </w:t>
            </w:r>
          </w:p>
          <w:p w14:paraId="17D7A2F2" w14:textId="77777777"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Mean age 4.8 years</w:t>
            </w:r>
          </w:p>
        </w:tc>
        <w:tc>
          <w:tcPr>
            <w:tcW w:w="1276" w:type="dxa"/>
            <w:tcBorders>
              <w:top w:val="nil"/>
              <w:bottom w:val="single" w:sz="4" w:space="0" w:color="auto"/>
              <w:right w:val="single" w:sz="4" w:space="0" w:color="auto"/>
            </w:tcBorders>
            <w:shd w:val="clear" w:color="auto" w:fill="auto"/>
            <w:vAlign w:val="center"/>
          </w:tcPr>
          <w:p w14:paraId="4692D283"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2/13 (15.4%)</w:t>
            </w:r>
          </w:p>
        </w:tc>
        <w:tc>
          <w:tcPr>
            <w:tcW w:w="709" w:type="dxa"/>
            <w:tcBorders>
              <w:top w:val="nil"/>
              <w:left w:val="single" w:sz="4" w:space="0" w:color="auto"/>
              <w:bottom w:val="single" w:sz="4" w:space="0" w:color="auto"/>
              <w:right w:val="single" w:sz="4" w:space="0" w:color="auto"/>
            </w:tcBorders>
            <w:shd w:val="clear" w:color="auto" w:fill="auto"/>
            <w:vAlign w:val="center"/>
          </w:tcPr>
          <w:p w14:paraId="09A2D910"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tcBorders>
              <w:left w:val="single" w:sz="4" w:space="0" w:color="auto"/>
              <w:bottom w:val="single" w:sz="4" w:space="0" w:color="auto"/>
              <w:right w:val="single" w:sz="4" w:space="0" w:color="auto"/>
            </w:tcBorders>
            <w:shd w:val="clear" w:color="auto" w:fill="auto"/>
            <w:vAlign w:val="center"/>
          </w:tcPr>
          <w:p w14:paraId="476DFCC0" w14:textId="77777777"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w:t>
            </w:r>
          </w:p>
        </w:tc>
      </w:tr>
      <w:tr w:rsidR="00476D83" w:rsidRPr="00917415" w14:paraId="50EC7797" w14:textId="77777777" w:rsidTr="00BE5FD4">
        <w:trPr>
          <w:trHeight w:val="105"/>
        </w:trPr>
        <w:tc>
          <w:tcPr>
            <w:tcW w:w="846" w:type="dxa"/>
            <w:vMerge/>
            <w:shd w:val="clear" w:color="auto" w:fill="auto"/>
          </w:tcPr>
          <w:p w14:paraId="725D1BDF" w14:textId="77777777" w:rsidR="00476D83" w:rsidRPr="00917415" w:rsidRDefault="00476D83" w:rsidP="00516F35">
            <w:pPr>
              <w:keepNext/>
              <w:widowControl w:val="0"/>
              <w:jc w:val="left"/>
              <w:rPr>
                <w:rFonts w:ascii="Arial Narrow" w:hAnsi="Arial Narrow"/>
                <w:snapToGrid w:val="0"/>
                <w:sz w:val="18"/>
                <w:szCs w:val="18"/>
                <w:lang w:eastAsia="en-US"/>
              </w:rPr>
            </w:pPr>
          </w:p>
        </w:tc>
        <w:tc>
          <w:tcPr>
            <w:tcW w:w="4963" w:type="dxa"/>
            <w:tcBorders>
              <w:top w:val="single" w:sz="4" w:space="0" w:color="auto"/>
              <w:bottom w:val="nil"/>
              <w:right w:val="single" w:sz="4" w:space="0" w:color="auto"/>
            </w:tcBorders>
            <w:shd w:val="clear" w:color="auto" w:fill="auto"/>
          </w:tcPr>
          <w:p w14:paraId="79032A2D" w14:textId="77777777" w:rsidR="00476D83" w:rsidRPr="00917415" w:rsidRDefault="000D10D9"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SPR1NT</w:t>
            </w:r>
            <w:r w:rsidR="00476D83" w:rsidRPr="00917415">
              <w:rPr>
                <w:rFonts w:ascii="Arial Narrow" w:hAnsi="Arial Narrow"/>
                <w:snapToGrid w:val="0"/>
                <w:sz w:val="18"/>
                <w:szCs w:val="18"/>
                <w:lang w:eastAsia="en-US"/>
              </w:rPr>
              <w:t xml:space="preserve"> (pre-symptomatic)</w:t>
            </w:r>
          </w:p>
        </w:tc>
        <w:tc>
          <w:tcPr>
            <w:tcW w:w="1276" w:type="dxa"/>
            <w:tcBorders>
              <w:top w:val="single" w:sz="4" w:space="0" w:color="auto"/>
              <w:left w:val="single" w:sz="4" w:space="0" w:color="auto"/>
              <w:bottom w:val="nil"/>
              <w:right w:val="single" w:sz="4" w:space="0" w:color="auto"/>
            </w:tcBorders>
            <w:shd w:val="clear" w:color="auto" w:fill="auto"/>
            <w:vAlign w:val="center"/>
          </w:tcPr>
          <w:p w14:paraId="0975FD68" w14:textId="77777777"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14:paraId="0E873868" w14:textId="77777777"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14:paraId="748B950A"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p w14:paraId="29E1A7BB" w14:textId="77777777"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w:t>
            </w:r>
          </w:p>
        </w:tc>
      </w:tr>
      <w:tr w:rsidR="00476D83" w:rsidRPr="00917415" w14:paraId="0FCB4E0B" w14:textId="77777777" w:rsidTr="00BE5FD4">
        <w:trPr>
          <w:trHeight w:val="105"/>
        </w:trPr>
        <w:tc>
          <w:tcPr>
            <w:tcW w:w="846" w:type="dxa"/>
            <w:vMerge/>
            <w:shd w:val="clear" w:color="auto" w:fill="auto"/>
          </w:tcPr>
          <w:p w14:paraId="1AB4C0B6" w14:textId="77777777"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nil"/>
            </w:tcBorders>
            <w:shd w:val="clear" w:color="auto" w:fill="auto"/>
          </w:tcPr>
          <w:p w14:paraId="2351CC54" w14:textId="77777777"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2 copies </w:t>
            </w:r>
            <w:r w:rsidR="004400AE" w:rsidRPr="00917415">
              <w:rPr>
                <w:rFonts w:ascii="Arial Narrow" w:hAnsi="Arial Narrow"/>
                <w:snapToGrid w:val="0"/>
                <w:sz w:val="18"/>
                <w:szCs w:val="18"/>
                <w:lang w:eastAsia="en-US"/>
              </w:rPr>
              <w:t>SMN2</w:t>
            </w:r>
            <w:r w:rsidRPr="00917415">
              <w:rPr>
                <w:rFonts w:ascii="Arial Narrow" w:hAnsi="Arial Narrow"/>
                <w:snapToGrid w:val="0"/>
                <w:sz w:val="18"/>
                <w:szCs w:val="18"/>
                <w:lang w:eastAsia="en-US"/>
              </w:rPr>
              <w:t xml:space="preserve">; 31/12/19 data cut (mean age 11.2 mths) </w:t>
            </w:r>
          </w:p>
        </w:tc>
        <w:tc>
          <w:tcPr>
            <w:tcW w:w="1276" w:type="dxa"/>
            <w:tcBorders>
              <w:top w:val="nil"/>
              <w:bottom w:val="nil"/>
              <w:right w:val="single" w:sz="4" w:space="0" w:color="auto"/>
            </w:tcBorders>
            <w:shd w:val="clear" w:color="auto" w:fill="auto"/>
            <w:vAlign w:val="center"/>
          </w:tcPr>
          <w:p w14:paraId="14186D90"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2/14 (16.7%)</w:t>
            </w:r>
          </w:p>
        </w:tc>
        <w:tc>
          <w:tcPr>
            <w:tcW w:w="709" w:type="dxa"/>
            <w:tcBorders>
              <w:top w:val="nil"/>
              <w:left w:val="single" w:sz="4" w:space="0" w:color="auto"/>
              <w:bottom w:val="nil"/>
              <w:right w:val="single" w:sz="4" w:space="0" w:color="auto"/>
            </w:tcBorders>
            <w:shd w:val="clear" w:color="auto" w:fill="auto"/>
            <w:vAlign w:val="center"/>
          </w:tcPr>
          <w:p w14:paraId="082FE5E3"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right w:val="single" w:sz="4" w:space="0" w:color="auto"/>
            </w:tcBorders>
            <w:shd w:val="clear" w:color="auto" w:fill="auto"/>
            <w:vAlign w:val="center"/>
          </w:tcPr>
          <w:p w14:paraId="3092EE43" w14:textId="77777777"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14:paraId="0EB89DB8" w14:textId="77777777" w:rsidTr="00BE5FD4">
        <w:trPr>
          <w:trHeight w:val="105"/>
        </w:trPr>
        <w:tc>
          <w:tcPr>
            <w:tcW w:w="846" w:type="dxa"/>
            <w:vMerge/>
            <w:tcBorders>
              <w:bottom w:val="single" w:sz="4" w:space="0" w:color="auto"/>
            </w:tcBorders>
            <w:shd w:val="clear" w:color="auto" w:fill="auto"/>
          </w:tcPr>
          <w:p w14:paraId="057DBD56" w14:textId="77777777" w:rsidR="00476D83" w:rsidRPr="00917415" w:rsidRDefault="00476D83" w:rsidP="00516F35">
            <w:pPr>
              <w:keepNext/>
              <w:widowControl w:val="0"/>
              <w:numPr>
                <w:ilvl w:val="0"/>
                <w:numId w:val="9"/>
              </w:numPr>
              <w:ind w:left="255" w:hanging="181"/>
              <w:jc w:val="left"/>
              <w:rPr>
                <w:rFonts w:ascii="Arial Narrow" w:hAnsi="Arial Narrow"/>
                <w:snapToGrid w:val="0"/>
                <w:sz w:val="18"/>
                <w:szCs w:val="18"/>
                <w:lang w:eastAsia="en-US"/>
              </w:rPr>
            </w:pPr>
          </w:p>
        </w:tc>
        <w:tc>
          <w:tcPr>
            <w:tcW w:w="4963" w:type="dxa"/>
            <w:tcBorders>
              <w:top w:val="nil"/>
              <w:bottom w:val="single" w:sz="4" w:space="0" w:color="auto"/>
              <w:right w:val="single" w:sz="4" w:space="0" w:color="auto"/>
            </w:tcBorders>
            <w:shd w:val="clear" w:color="auto" w:fill="auto"/>
          </w:tcPr>
          <w:p w14:paraId="43D54EB4" w14:textId="77777777"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3 copies </w:t>
            </w:r>
            <w:r w:rsidR="004400AE" w:rsidRPr="00917415">
              <w:rPr>
                <w:rFonts w:ascii="Arial Narrow" w:hAnsi="Arial Narrow"/>
                <w:snapToGrid w:val="0"/>
                <w:sz w:val="18"/>
                <w:szCs w:val="18"/>
                <w:lang w:eastAsia="en-US"/>
              </w:rPr>
              <w:t>SMN2</w:t>
            </w:r>
            <w:r w:rsidRPr="00917415">
              <w:rPr>
                <w:rFonts w:ascii="Arial Narrow" w:hAnsi="Arial Narrow"/>
                <w:snapToGrid w:val="0"/>
                <w:sz w:val="18"/>
                <w:szCs w:val="18"/>
                <w:lang w:eastAsia="en-US"/>
              </w:rPr>
              <w:t>; 31/12/19 data cut (mean age 9.7 mths)</w:t>
            </w:r>
          </w:p>
        </w:tc>
        <w:tc>
          <w:tcPr>
            <w:tcW w:w="1276" w:type="dxa"/>
            <w:tcBorders>
              <w:top w:val="nil"/>
              <w:left w:val="single" w:sz="4" w:space="0" w:color="auto"/>
              <w:bottom w:val="single" w:sz="4" w:space="0" w:color="auto"/>
              <w:right w:val="single" w:sz="4" w:space="0" w:color="auto"/>
            </w:tcBorders>
            <w:shd w:val="clear" w:color="auto" w:fill="auto"/>
            <w:vAlign w:val="center"/>
          </w:tcPr>
          <w:p w14:paraId="69392DA6"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2/15 (16.7%)</w:t>
            </w:r>
          </w:p>
        </w:tc>
        <w:tc>
          <w:tcPr>
            <w:tcW w:w="709" w:type="dxa"/>
            <w:tcBorders>
              <w:top w:val="nil"/>
              <w:bottom w:val="single" w:sz="4" w:space="0" w:color="auto"/>
              <w:right w:val="single" w:sz="4" w:space="0" w:color="auto"/>
            </w:tcBorders>
            <w:shd w:val="clear" w:color="auto" w:fill="auto"/>
            <w:vAlign w:val="center"/>
          </w:tcPr>
          <w:p w14:paraId="51992679"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14:paraId="7B65E2BE" w14:textId="77777777"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14:paraId="4EA04B55" w14:textId="77777777" w:rsidTr="00BE5FD4">
        <w:trPr>
          <w:trHeight w:val="105"/>
        </w:trPr>
        <w:tc>
          <w:tcPr>
            <w:tcW w:w="846" w:type="dxa"/>
            <w:vMerge w:val="restart"/>
            <w:tcBorders>
              <w:top w:val="single" w:sz="4" w:space="0" w:color="auto"/>
              <w:left w:val="single" w:sz="4" w:space="0" w:color="auto"/>
              <w:right w:val="single" w:sz="4" w:space="0" w:color="auto"/>
            </w:tcBorders>
            <w:shd w:val="clear" w:color="auto" w:fill="auto"/>
            <w:vAlign w:val="center"/>
          </w:tcPr>
          <w:p w14:paraId="5B8757B6" w14:textId="77777777" w:rsidR="00476D83" w:rsidRPr="00917415" w:rsidRDefault="00EE09B5" w:rsidP="00516F35">
            <w:pPr>
              <w:keepNext/>
              <w:widowControl w:val="0"/>
              <w:ind w:left="-38"/>
              <w:jc w:val="left"/>
              <w:rPr>
                <w:rFonts w:ascii="Arial Narrow" w:hAnsi="Arial Narrow"/>
                <w:b/>
                <w:snapToGrid w:val="0"/>
                <w:sz w:val="18"/>
                <w:szCs w:val="18"/>
                <w:lang w:eastAsia="en-US"/>
              </w:rPr>
            </w:pPr>
            <w:r w:rsidRPr="00917415">
              <w:rPr>
                <w:rFonts w:ascii="Arial Narrow" w:hAnsi="Arial Narrow"/>
                <w:b/>
                <w:snapToGrid w:val="0"/>
                <w:sz w:val="18"/>
                <w:szCs w:val="18"/>
                <w:lang w:eastAsia="en-US"/>
              </w:rPr>
              <w:t>NUSI</w:t>
            </w:r>
          </w:p>
        </w:tc>
        <w:tc>
          <w:tcPr>
            <w:tcW w:w="4963" w:type="dxa"/>
            <w:tcBorders>
              <w:top w:val="single" w:sz="4" w:space="0" w:color="auto"/>
              <w:left w:val="single" w:sz="4" w:space="0" w:color="auto"/>
              <w:bottom w:val="nil"/>
              <w:right w:val="single" w:sz="4" w:space="0" w:color="auto"/>
            </w:tcBorders>
            <w:shd w:val="clear" w:color="auto" w:fill="auto"/>
          </w:tcPr>
          <w:p w14:paraId="723CBFF9" w14:textId="77777777"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NURTURE</w:t>
            </w:r>
          </w:p>
        </w:tc>
        <w:tc>
          <w:tcPr>
            <w:tcW w:w="1276" w:type="dxa"/>
            <w:tcBorders>
              <w:top w:val="single" w:sz="4" w:space="0" w:color="auto"/>
              <w:left w:val="single" w:sz="4" w:space="0" w:color="auto"/>
              <w:bottom w:val="nil"/>
              <w:right w:val="single" w:sz="4" w:space="0" w:color="auto"/>
            </w:tcBorders>
            <w:shd w:val="clear" w:color="auto" w:fill="auto"/>
            <w:vAlign w:val="center"/>
          </w:tcPr>
          <w:p w14:paraId="1F9DB203" w14:textId="77777777" w:rsidR="00476D83" w:rsidRPr="00917415" w:rsidRDefault="00476D83" w:rsidP="00516F35">
            <w:pPr>
              <w:keepNext/>
              <w:widowControl w:val="0"/>
              <w:jc w:val="center"/>
              <w:rPr>
                <w:rFonts w:ascii="Arial Narrow" w:hAnsi="Arial Narrow"/>
                <w:snapToGrid w:val="0"/>
                <w:sz w:val="18"/>
                <w:szCs w:val="18"/>
                <w:lang w:eastAsia="en-US"/>
              </w:rPr>
            </w:pPr>
          </w:p>
        </w:tc>
        <w:tc>
          <w:tcPr>
            <w:tcW w:w="709" w:type="dxa"/>
            <w:tcBorders>
              <w:top w:val="single" w:sz="4" w:space="0" w:color="auto"/>
              <w:left w:val="single" w:sz="4" w:space="0" w:color="auto"/>
              <w:bottom w:val="nil"/>
              <w:right w:val="single" w:sz="4" w:space="0" w:color="auto"/>
            </w:tcBorders>
            <w:shd w:val="clear" w:color="auto" w:fill="auto"/>
            <w:vAlign w:val="center"/>
          </w:tcPr>
          <w:p w14:paraId="7FC2EEFC" w14:textId="77777777" w:rsidR="00476D83" w:rsidRPr="00917415" w:rsidRDefault="00476D83" w:rsidP="00516F35">
            <w:pPr>
              <w:keepNext/>
              <w:widowControl w:val="0"/>
              <w:jc w:val="center"/>
              <w:rPr>
                <w:rFonts w:ascii="Arial Narrow" w:hAnsi="Arial Narrow"/>
                <w:snapToGrid w:val="0"/>
                <w:sz w:val="18"/>
                <w:szCs w:val="18"/>
                <w:lang w:eastAsia="en-US"/>
              </w:rPr>
            </w:pPr>
          </w:p>
        </w:tc>
        <w:tc>
          <w:tcPr>
            <w:tcW w:w="1273" w:type="dxa"/>
            <w:vMerge w:val="restart"/>
            <w:tcBorders>
              <w:top w:val="single" w:sz="4" w:space="0" w:color="auto"/>
              <w:left w:val="single" w:sz="4" w:space="0" w:color="auto"/>
              <w:right w:val="single" w:sz="4" w:space="0" w:color="auto"/>
            </w:tcBorders>
            <w:shd w:val="clear" w:color="auto" w:fill="auto"/>
            <w:vAlign w:val="center"/>
          </w:tcPr>
          <w:p w14:paraId="745727D7" w14:textId="77777777"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snapToGrid w:val="0"/>
                <w:sz w:val="18"/>
                <w:szCs w:val="18"/>
                <w:lang w:eastAsia="en-US"/>
              </w:rPr>
              <w:t>22/25 (88.0%)</w:t>
            </w:r>
          </w:p>
        </w:tc>
      </w:tr>
      <w:tr w:rsidR="00476D83" w:rsidRPr="00917415" w14:paraId="2B469CD9" w14:textId="77777777" w:rsidTr="00BE5FD4">
        <w:trPr>
          <w:trHeight w:val="105"/>
        </w:trPr>
        <w:tc>
          <w:tcPr>
            <w:tcW w:w="846" w:type="dxa"/>
            <w:vMerge/>
            <w:tcBorders>
              <w:left w:val="single" w:sz="4" w:space="0" w:color="auto"/>
              <w:right w:val="single" w:sz="4" w:space="0" w:color="auto"/>
            </w:tcBorders>
            <w:shd w:val="clear" w:color="auto" w:fill="auto"/>
          </w:tcPr>
          <w:p w14:paraId="7676C8D4" w14:textId="77777777" w:rsidR="00476D83" w:rsidRPr="00917415" w:rsidRDefault="00476D83" w:rsidP="00516F35">
            <w:pPr>
              <w:keepNext/>
              <w:widowControl w:val="0"/>
              <w:rPr>
                <w:rFonts w:ascii="Arial Narrow" w:hAnsi="Arial Narrow"/>
                <w:snapToGrid w:val="0"/>
                <w:sz w:val="18"/>
                <w:szCs w:val="18"/>
                <w:lang w:eastAsia="en-US"/>
              </w:rPr>
            </w:pPr>
          </w:p>
        </w:tc>
        <w:tc>
          <w:tcPr>
            <w:tcW w:w="4963" w:type="dxa"/>
            <w:tcBorders>
              <w:top w:val="nil"/>
              <w:left w:val="single" w:sz="4" w:space="0" w:color="auto"/>
              <w:bottom w:val="single" w:sz="4" w:space="0" w:color="auto"/>
              <w:right w:val="single" w:sz="4" w:space="0" w:color="auto"/>
            </w:tcBorders>
            <w:shd w:val="clear" w:color="auto" w:fill="auto"/>
          </w:tcPr>
          <w:p w14:paraId="46035BC2" w14:textId="77777777"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 xml:space="preserve">Interim analysis data </w:t>
            </w:r>
            <w:r w:rsidR="00CC18E5" w:rsidRPr="00917415">
              <w:rPr>
                <w:rFonts w:ascii="Arial Narrow" w:hAnsi="Arial Narrow"/>
                <w:snapToGrid w:val="0"/>
                <w:sz w:val="18"/>
                <w:szCs w:val="18"/>
                <w:lang w:eastAsia="en-US"/>
              </w:rPr>
              <w:t>cut-off</w:t>
            </w:r>
            <w:r w:rsidRPr="00917415">
              <w:rPr>
                <w:rFonts w:ascii="Arial Narrow" w:hAnsi="Arial Narrow"/>
                <w:snapToGrid w:val="0"/>
                <w:sz w:val="18"/>
                <w:szCs w:val="18"/>
                <w:lang w:eastAsia="en-US"/>
              </w:rPr>
              <w:t xml:space="preserve"> 29/03/19 (median 34.8 months of age)</w:t>
            </w:r>
          </w:p>
        </w:tc>
        <w:tc>
          <w:tcPr>
            <w:tcW w:w="1276" w:type="dxa"/>
            <w:tcBorders>
              <w:top w:val="nil"/>
              <w:left w:val="single" w:sz="4" w:space="0" w:color="auto"/>
              <w:bottom w:val="single" w:sz="4" w:space="0" w:color="auto"/>
              <w:right w:val="single" w:sz="4" w:space="0" w:color="auto"/>
            </w:tcBorders>
            <w:shd w:val="clear" w:color="auto" w:fill="auto"/>
            <w:vAlign w:val="center"/>
          </w:tcPr>
          <w:p w14:paraId="09E40D4D"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709" w:type="dxa"/>
            <w:tcBorders>
              <w:top w:val="nil"/>
              <w:bottom w:val="single" w:sz="4" w:space="0" w:color="auto"/>
              <w:right w:val="single" w:sz="4" w:space="0" w:color="auto"/>
            </w:tcBorders>
            <w:shd w:val="clear" w:color="auto" w:fill="auto"/>
            <w:vAlign w:val="center"/>
          </w:tcPr>
          <w:p w14:paraId="0CDF0510"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1273" w:type="dxa"/>
            <w:vMerge/>
            <w:tcBorders>
              <w:left w:val="single" w:sz="4" w:space="0" w:color="auto"/>
              <w:bottom w:val="single" w:sz="4" w:space="0" w:color="auto"/>
              <w:right w:val="single" w:sz="4" w:space="0" w:color="auto"/>
            </w:tcBorders>
            <w:shd w:val="clear" w:color="auto" w:fill="auto"/>
            <w:vAlign w:val="center"/>
          </w:tcPr>
          <w:p w14:paraId="62D1F23B" w14:textId="77777777" w:rsidR="00476D83" w:rsidRPr="00917415" w:rsidRDefault="00476D83" w:rsidP="00516F35">
            <w:pPr>
              <w:keepNext/>
              <w:widowControl w:val="0"/>
              <w:jc w:val="center"/>
              <w:rPr>
                <w:rFonts w:ascii="Arial Narrow" w:hAnsi="Arial Narrow"/>
                <w:bCs/>
                <w:snapToGrid w:val="0"/>
                <w:sz w:val="18"/>
                <w:szCs w:val="18"/>
                <w:lang w:eastAsia="en-US"/>
              </w:rPr>
            </w:pPr>
          </w:p>
        </w:tc>
      </w:tr>
      <w:tr w:rsidR="00476D83" w:rsidRPr="00917415" w14:paraId="5110957D" w14:textId="77777777" w:rsidTr="00BE5FD4">
        <w:trPr>
          <w:trHeight w:val="105"/>
        </w:trPr>
        <w:tc>
          <w:tcPr>
            <w:tcW w:w="846" w:type="dxa"/>
            <w:vMerge/>
            <w:tcBorders>
              <w:left w:val="single" w:sz="4" w:space="0" w:color="auto"/>
              <w:bottom w:val="single" w:sz="4" w:space="0" w:color="auto"/>
              <w:right w:val="single" w:sz="4" w:space="0" w:color="auto"/>
            </w:tcBorders>
            <w:shd w:val="clear" w:color="auto" w:fill="auto"/>
          </w:tcPr>
          <w:p w14:paraId="4EFBFB63" w14:textId="77777777" w:rsidR="00476D83" w:rsidRPr="00917415" w:rsidRDefault="00476D83" w:rsidP="00516F35">
            <w:pPr>
              <w:keepNext/>
              <w:widowControl w:val="0"/>
              <w:rPr>
                <w:rFonts w:ascii="Arial Narrow" w:hAnsi="Arial Narrow"/>
                <w:snapToGrid w:val="0"/>
                <w:sz w:val="18"/>
                <w:szCs w:val="18"/>
                <w:lang w:eastAsia="en-US"/>
              </w:rPr>
            </w:pPr>
          </w:p>
        </w:tc>
        <w:tc>
          <w:tcPr>
            <w:tcW w:w="4963" w:type="dxa"/>
            <w:tcBorders>
              <w:top w:val="nil"/>
              <w:left w:val="single" w:sz="4" w:space="0" w:color="auto"/>
              <w:bottom w:val="single" w:sz="4" w:space="0" w:color="auto"/>
              <w:right w:val="single" w:sz="4" w:space="0" w:color="auto"/>
            </w:tcBorders>
            <w:shd w:val="clear" w:color="auto" w:fill="auto"/>
          </w:tcPr>
          <w:p w14:paraId="33E7D48A" w14:textId="77777777" w:rsidR="00476D83" w:rsidRPr="00917415" w:rsidRDefault="00476D83" w:rsidP="00516F35">
            <w:pPr>
              <w:keepNext/>
              <w:widowControl w:val="0"/>
              <w:rPr>
                <w:rFonts w:ascii="Arial Narrow" w:hAnsi="Arial Narrow"/>
                <w:snapToGrid w:val="0"/>
                <w:sz w:val="18"/>
                <w:szCs w:val="18"/>
                <w:lang w:eastAsia="en-US"/>
              </w:rPr>
            </w:pPr>
            <w:r w:rsidRPr="00917415">
              <w:rPr>
                <w:rFonts w:ascii="Arial Narrow" w:hAnsi="Arial Narrow"/>
                <w:snapToGrid w:val="0"/>
                <w:sz w:val="18"/>
                <w:szCs w:val="18"/>
                <w:lang w:eastAsia="en-US"/>
              </w:rPr>
              <w:t>SHINE/ENDEAR</w:t>
            </w:r>
          </w:p>
          <w:p w14:paraId="5FD18839" w14:textId="77777777"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At 2.08 years</w:t>
            </w:r>
          </w:p>
          <w:p w14:paraId="0463E799" w14:textId="77777777" w:rsidR="00476D83" w:rsidRPr="00917415" w:rsidRDefault="00476D83" w:rsidP="00516F35">
            <w:pPr>
              <w:keepNext/>
              <w:widowControl w:val="0"/>
              <w:numPr>
                <w:ilvl w:val="0"/>
                <w:numId w:val="9"/>
              </w:numPr>
              <w:ind w:left="255" w:hanging="181"/>
              <w:rPr>
                <w:rFonts w:ascii="Arial Narrow" w:hAnsi="Arial Narrow"/>
                <w:snapToGrid w:val="0"/>
                <w:sz w:val="18"/>
                <w:szCs w:val="18"/>
                <w:lang w:eastAsia="en-US"/>
              </w:rPr>
            </w:pPr>
            <w:r w:rsidRPr="00917415">
              <w:rPr>
                <w:rFonts w:ascii="Arial Narrow" w:hAnsi="Arial Narrow"/>
                <w:snapToGrid w:val="0"/>
                <w:sz w:val="18"/>
                <w:szCs w:val="18"/>
                <w:lang w:eastAsia="en-US"/>
              </w:rPr>
              <w:t>At 3.4 years</w:t>
            </w:r>
          </w:p>
        </w:tc>
        <w:tc>
          <w:tcPr>
            <w:tcW w:w="1276" w:type="dxa"/>
            <w:tcBorders>
              <w:top w:val="nil"/>
              <w:left w:val="single" w:sz="4" w:space="0" w:color="auto"/>
              <w:bottom w:val="single" w:sz="4" w:space="0" w:color="auto"/>
              <w:right w:val="single" w:sz="4" w:space="0" w:color="auto"/>
            </w:tcBorders>
            <w:shd w:val="clear" w:color="auto" w:fill="auto"/>
            <w:vAlign w:val="center"/>
          </w:tcPr>
          <w:p w14:paraId="07B899D9"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w:t>
            </w:r>
          </w:p>
        </w:tc>
        <w:tc>
          <w:tcPr>
            <w:tcW w:w="709" w:type="dxa"/>
            <w:tcBorders>
              <w:top w:val="nil"/>
              <w:bottom w:val="single" w:sz="4" w:space="0" w:color="auto"/>
              <w:right w:val="single" w:sz="4" w:space="0" w:color="auto"/>
            </w:tcBorders>
            <w:shd w:val="clear" w:color="auto" w:fill="auto"/>
          </w:tcPr>
          <w:p w14:paraId="4FF2D553" w14:textId="77777777" w:rsidR="00476D83" w:rsidRPr="00917415" w:rsidRDefault="00476D83" w:rsidP="00516F35">
            <w:pPr>
              <w:keepNext/>
              <w:widowControl w:val="0"/>
              <w:jc w:val="center"/>
              <w:rPr>
                <w:rFonts w:ascii="Arial Narrow" w:hAnsi="Arial Narrow"/>
                <w:snapToGrid w:val="0"/>
                <w:sz w:val="18"/>
                <w:szCs w:val="18"/>
                <w:lang w:eastAsia="en-US"/>
              </w:rPr>
            </w:pPr>
          </w:p>
          <w:p w14:paraId="31EEB389"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0</w:t>
            </w:r>
          </w:p>
          <w:p w14:paraId="2D6A5534" w14:textId="77777777" w:rsidR="00476D83" w:rsidRPr="00917415" w:rsidRDefault="00476D83" w:rsidP="00516F35">
            <w:pPr>
              <w:keepNext/>
              <w:widowControl w:val="0"/>
              <w:jc w:val="center"/>
              <w:rPr>
                <w:rFonts w:ascii="Arial Narrow" w:hAnsi="Arial Narrow"/>
                <w:snapToGrid w:val="0"/>
                <w:sz w:val="18"/>
                <w:szCs w:val="18"/>
                <w:lang w:eastAsia="en-US"/>
              </w:rPr>
            </w:pPr>
            <w:r w:rsidRPr="00917415">
              <w:rPr>
                <w:rFonts w:ascii="Arial Narrow" w:hAnsi="Arial Narrow"/>
                <w:snapToGrid w:val="0"/>
                <w:sz w:val="18"/>
                <w:szCs w:val="18"/>
                <w:lang w:eastAsia="en-US"/>
              </w:rPr>
              <w:t>0</w:t>
            </w:r>
          </w:p>
        </w:tc>
        <w:tc>
          <w:tcPr>
            <w:tcW w:w="1273" w:type="dxa"/>
            <w:tcBorders>
              <w:left w:val="single" w:sz="4" w:space="0" w:color="auto"/>
              <w:bottom w:val="single" w:sz="4" w:space="0" w:color="auto"/>
              <w:right w:val="single" w:sz="4" w:space="0" w:color="auto"/>
            </w:tcBorders>
            <w:shd w:val="clear" w:color="auto" w:fill="auto"/>
          </w:tcPr>
          <w:p w14:paraId="63537BD6" w14:textId="77777777" w:rsidR="00476D83" w:rsidRPr="00917415" w:rsidRDefault="00476D83" w:rsidP="00516F35">
            <w:pPr>
              <w:keepNext/>
              <w:widowControl w:val="0"/>
              <w:jc w:val="center"/>
              <w:rPr>
                <w:rFonts w:ascii="Arial Narrow" w:hAnsi="Arial Narrow"/>
                <w:bCs/>
                <w:snapToGrid w:val="0"/>
                <w:sz w:val="18"/>
                <w:szCs w:val="18"/>
                <w:lang w:eastAsia="en-US"/>
              </w:rPr>
            </w:pPr>
          </w:p>
          <w:p w14:paraId="14C2B9AE" w14:textId="77777777"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0 (0.0%)</w:t>
            </w:r>
          </w:p>
          <w:p w14:paraId="0D5A0222" w14:textId="77777777" w:rsidR="00476D83" w:rsidRPr="00917415" w:rsidRDefault="00476D83" w:rsidP="00516F35">
            <w:pPr>
              <w:keepNext/>
              <w:widowControl w:val="0"/>
              <w:jc w:val="center"/>
              <w:rPr>
                <w:rFonts w:ascii="Arial Narrow" w:hAnsi="Arial Narrow"/>
                <w:bCs/>
                <w:snapToGrid w:val="0"/>
                <w:sz w:val="18"/>
                <w:szCs w:val="18"/>
                <w:lang w:eastAsia="en-US"/>
              </w:rPr>
            </w:pPr>
            <w:r w:rsidRPr="00917415">
              <w:rPr>
                <w:rFonts w:ascii="Arial Narrow" w:hAnsi="Arial Narrow"/>
                <w:bCs/>
                <w:snapToGrid w:val="0"/>
                <w:sz w:val="18"/>
                <w:szCs w:val="18"/>
                <w:lang w:eastAsia="en-US"/>
              </w:rPr>
              <w:t>1/58 (1.7%)</w:t>
            </w:r>
          </w:p>
        </w:tc>
      </w:tr>
    </w:tbl>
    <w:p w14:paraId="0443ACAA" w14:textId="77777777" w:rsidR="00476D83" w:rsidRPr="00917415" w:rsidRDefault="00476D83" w:rsidP="00A00973">
      <w:pPr>
        <w:pStyle w:val="TableFigureFooter"/>
      </w:pPr>
      <w:r w:rsidRPr="00917415">
        <w:t>Source: constructed during the evaluation based on pp.110-167 of the submission, Castro et al. 2020 and Finkel et al. 2016.</w:t>
      </w:r>
    </w:p>
    <w:p w14:paraId="3343977A" w14:textId="77777777" w:rsidR="00476D83" w:rsidRPr="00917415" w:rsidRDefault="00476D83" w:rsidP="00A00973">
      <w:pPr>
        <w:pStyle w:val="TableFigureFooter"/>
        <w:rPr>
          <w:szCs w:val="16"/>
        </w:rPr>
      </w:pPr>
      <w:r w:rsidRPr="00917415">
        <w:rPr>
          <w:szCs w:val="16"/>
        </w:rPr>
        <w:t xml:space="preserve">HINE = Hammersmith Infant Neurological Examination; MGRS = Multicentre Growth Reference Study; ONA = onasemnogene </w:t>
      </w:r>
      <w:r w:rsidR="00AF1E94" w:rsidRPr="00917415">
        <w:rPr>
          <w:szCs w:val="16"/>
        </w:rPr>
        <w:t>abeparvovec</w:t>
      </w:r>
      <w:r w:rsidRPr="00917415">
        <w:rPr>
          <w:szCs w:val="16"/>
        </w:rPr>
        <w:t>; SMA = spinal muscular atrophy; SMN = survival motor neuron; WHO = World Health Organisation.</w:t>
      </w:r>
    </w:p>
    <w:p w14:paraId="4316F31E" w14:textId="77777777" w:rsidR="00476D83" w:rsidRPr="00917415" w:rsidRDefault="00476D83" w:rsidP="00A00973">
      <w:pPr>
        <w:pStyle w:val="TableFigureFooter"/>
        <w:rPr>
          <w:szCs w:val="16"/>
        </w:rPr>
      </w:pPr>
      <w:r w:rsidRPr="00917415">
        <w:rPr>
          <w:szCs w:val="16"/>
        </w:rPr>
        <w:t>*</w:t>
      </w:r>
      <w:r w:rsidRPr="00917415">
        <w:rPr>
          <w:szCs w:val="16"/>
        </w:rPr>
        <w:tab/>
        <w:t>primary outcome of the study</w:t>
      </w:r>
    </w:p>
    <w:p w14:paraId="6279B0E5" w14:textId="77777777" w:rsidR="00CF13E8" w:rsidRPr="00A00973" w:rsidRDefault="00476D83" w:rsidP="00A00973">
      <w:pPr>
        <w:pStyle w:val="TableFigureFooter"/>
        <w:rPr>
          <w:szCs w:val="16"/>
        </w:rPr>
      </w:pPr>
      <w:r w:rsidRPr="00917415">
        <w:rPr>
          <w:szCs w:val="16"/>
          <w:vertAlign w:val="superscript"/>
        </w:rPr>
        <w:t>a</w:t>
      </w:r>
      <w:r w:rsidRPr="00917415">
        <w:rPr>
          <w:szCs w:val="16"/>
          <w:vertAlign w:val="superscript"/>
        </w:rPr>
        <w:tab/>
      </w:r>
      <w:r w:rsidRPr="00917415">
        <w:rPr>
          <w:szCs w:val="16"/>
        </w:rPr>
        <w:t>In START, only results from Cohort 2</w:t>
      </w:r>
      <w:r w:rsidRPr="00917415">
        <w:rPr>
          <w:b/>
          <w:szCs w:val="16"/>
        </w:rPr>
        <w:t xml:space="preserve"> </w:t>
      </w:r>
      <w:r w:rsidRPr="00917415">
        <w:rPr>
          <w:szCs w:val="16"/>
        </w:rPr>
        <w:t>with the recommended ONA dose are reported here</w:t>
      </w:r>
      <w:r w:rsidR="00917415">
        <w:rPr>
          <w:szCs w:val="16"/>
        </w:rPr>
        <w:t xml:space="preserve">. </w:t>
      </w:r>
      <w:r w:rsidRPr="00917415">
        <w:rPr>
          <w:szCs w:val="16"/>
        </w:rPr>
        <w:t>Results from Cohort 1 with a lower than recommended ONA dose, are excluded. It is noted that no patients in Cohort 1 achieved the sitting unassisted milestone.</w:t>
      </w:r>
    </w:p>
    <w:p w14:paraId="718429B7" w14:textId="77777777" w:rsidR="00E77772" w:rsidRPr="00917415" w:rsidRDefault="000062B0" w:rsidP="00516F35">
      <w:pPr>
        <w:pStyle w:val="3-BodyText"/>
      </w:pPr>
      <w:r w:rsidRPr="00917415">
        <w:t>The PBAC noted b</w:t>
      </w:r>
      <w:r w:rsidR="00E77772" w:rsidRPr="00917415">
        <w:t xml:space="preserve">oth ONA and </w:t>
      </w:r>
      <w:r w:rsidR="00EE09B5" w:rsidRPr="00917415">
        <w:t>NUSI</w:t>
      </w:r>
      <w:r w:rsidR="00E77772" w:rsidRPr="00917415">
        <w:t xml:space="preserve"> improved motor </w:t>
      </w:r>
      <w:r w:rsidR="00E77772" w:rsidRPr="00AC68A2">
        <w:t>functioning</w:t>
      </w:r>
      <w:r w:rsidR="00663F3E" w:rsidRPr="00AC68A2">
        <w:t>. However</w:t>
      </w:r>
      <w:r w:rsidR="00E77772" w:rsidRPr="00AC68A2">
        <w:t>, neither treatment w</w:t>
      </w:r>
      <w:r w:rsidR="00663F3E" w:rsidRPr="00AC68A2">
        <w:t>as</w:t>
      </w:r>
      <w:r w:rsidR="00E77772" w:rsidRPr="00AC68A2">
        <w:t xml:space="preserve"> able to cure SMA, with patients </w:t>
      </w:r>
      <w:r w:rsidR="00DF02F5" w:rsidRPr="00AC68A2">
        <w:t xml:space="preserve">in the trials </w:t>
      </w:r>
      <w:r w:rsidR="00E77772" w:rsidRPr="00AC68A2">
        <w:t>remaining significantly disabled</w:t>
      </w:r>
      <w:r w:rsidRPr="00AC68A2">
        <w:t>.</w:t>
      </w:r>
    </w:p>
    <w:p w14:paraId="76413A3A" w14:textId="77777777" w:rsidR="0060660A" w:rsidRPr="00917415" w:rsidRDefault="00BF1E11" w:rsidP="00516F35">
      <w:pPr>
        <w:pStyle w:val="Heading4"/>
      </w:pPr>
      <w:r w:rsidRPr="00917415">
        <w:t xml:space="preserve">Long term </w:t>
      </w:r>
      <w:r w:rsidR="0060660A" w:rsidRPr="00917415">
        <w:t xml:space="preserve">motor </w:t>
      </w:r>
      <w:r w:rsidRPr="00917415">
        <w:t>outcomes</w:t>
      </w:r>
    </w:p>
    <w:p w14:paraId="3F63C0E0" w14:textId="77777777" w:rsidR="004A4C49" w:rsidRPr="00917415" w:rsidRDefault="0060660A" w:rsidP="00516F35">
      <w:pPr>
        <w:pStyle w:val="3-BodyText"/>
        <w:rPr>
          <w:rFonts w:ascii="Arial Narrow" w:hAnsi="Arial Narrow"/>
          <w:sz w:val="18"/>
          <w:szCs w:val="18"/>
        </w:rPr>
      </w:pPr>
      <w:r w:rsidRPr="00917415">
        <w:t xml:space="preserve">Results from longer term extension studies for ONA (START-LT) and </w:t>
      </w:r>
      <w:r w:rsidR="00EE09B5" w:rsidRPr="00917415">
        <w:t>NUSI</w:t>
      </w:r>
      <w:r w:rsidRPr="00917415">
        <w:t xml:space="preserve"> (SHINE) are summarised in Tables</w:t>
      </w:r>
      <w:r w:rsidR="00EF7220" w:rsidRPr="00917415">
        <w:t xml:space="preserve"> 9 and 10 </w:t>
      </w:r>
      <w:r w:rsidR="000062B0" w:rsidRPr="00917415">
        <w:t>(Appendix 1)</w:t>
      </w:r>
      <w:r w:rsidR="00077B60" w:rsidRPr="00917415">
        <w:t>.</w:t>
      </w:r>
    </w:p>
    <w:p w14:paraId="70EB2A50" w14:textId="77777777" w:rsidR="00077B60" w:rsidRPr="00917415" w:rsidRDefault="00F56A8B" w:rsidP="00516F35">
      <w:pPr>
        <w:pStyle w:val="3-BodyText"/>
      </w:pPr>
      <w:r w:rsidRPr="00917415">
        <w:t>Individual patient results for highest development milestone achievement in START-LT showed that all patients (10/10) from Cohort 2 of START who received the</w:t>
      </w:r>
      <w:r w:rsidR="00F434D1" w:rsidRPr="00917415">
        <w:t xml:space="preserve"> PI</w:t>
      </w:r>
      <w:r w:rsidRPr="00917415">
        <w:t xml:space="preserve"> </w:t>
      </w:r>
      <w:r w:rsidRPr="00917415">
        <w:lastRenderedPageBreak/>
        <w:t xml:space="preserve">proposed dose of </w:t>
      </w:r>
      <w:r w:rsidRPr="00AC68A2">
        <w:t>ONA maintained all previously attained milestones</w:t>
      </w:r>
      <w:r w:rsidR="003B29D1" w:rsidRPr="00AC68A2">
        <w:t>,</w:t>
      </w:r>
      <w:r w:rsidRPr="00AC68A2">
        <w:t xml:space="preserve"> with 3 patients gaining new milestones (‘</w:t>
      </w:r>
      <w:r w:rsidRPr="00AC68A2">
        <w:rPr>
          <w:rFonts w:cstheme="minorHAnsi"/>
        </w:rPr>
        <w:t>stands</w:t>
      </w:r>
      <w:r w:rsidRPr="00AC68A2">
        <w:t xml:space="preserve"> with assistance’ from previous sit alone for either </w:t>
      </w:r>
      <w:r w:rsidRPr="00AC68A2">
        <w:rPr>
          <w:rFonts w:cs="Calibri"/>
        </w:rPr>
        <w:t>≥</w:t>
      </w:r>
      <w:r w:rsidRPr="00AC68A2">
        <w:t>15 or 30 sec)</w:t>
      </w:r>
      <w:r w:rsidR="00F434D1" w:rsidRPr="00AC68A2">
        <w:t>. H</w:t>
      </w:r>
      <w:r w:rsidRPr="00AC68A2">
        <w:t>owever</w:t>
      </w:r>
      <w:r w:rsidR="00F434D1" w:rsidRPr="00AC68A2">
        <w:t>,</w:t>
      </w:r>
      <w:r w:rsidRPr="00AC68A2">
        <w:t xml:space="preserve"> for one patient</w:t>
      </w:r>
      <w:r w:rsidR="00CB0E8E" w:rsidRPr="00AC68A2">
        <w:t>,</w:t>
      </w:r>
      <w:r w:rsidRPr="00AC68A2">
        <w:t xml:space="preserve"> this may </w:t>
      </w:r>
      <w:r w:rsidR="003B29D1" w:rsidRPr="00AC68A2">
        <w:t xml:space="preserve">have </w:t>
      </w:r>
      <w:r w:rsidRPr="00AC68A2">
        <w:t>be</w:t>
      </w:r>
      <w:r w:rsidR="003B29D1" w:rsidRPr="00AC68A2">
        <w:t>en</w:t>
      </w:r>
      <w:r w:rsidRPr="00AC68A2">
        <w:t xml:space="preserve"> due to concomitant </w:t>
      </w:r>
      <w:r w:rsidR="00EE09B5" w:rsidRPr="00AC68A2">
        <w:t>NUSI</w:t>
      </w:r>
      <w:r w:rsidRPr="00AC68A2">
        <w:t>.</w:t>
      </w:r>
      <w:r w:rsidRPr="00917415">
        <w:t xml:space="preserve"> </w:t>
      </w:r>
    </w:p>
    <w:p w14:paraId="08C33035" w14:textId="5C54521C" w:rsidR="00F56A8B" w:rsidRPr="00917415" w:rsidRDefault="005223FF" w:rsidP="00516F35">
      <w:pPr>
        <w:pStyle w:val="3-BodyText"/>
      </w:pPr>
      <w:r w:rsidRPr="00917415">
        <w:t xml:space="preserve">The </w:t>
      </w:r>
      <w:r w:rsidR="00077B60" w:rsidRPr="00917415">
        <w:t xml:space="preserve">PBAC </w:t>
      </w:r>
      <w:r w:rsidRPr="00917415">
        <w:t>noted u</w:t>
      </w:r>
      <w:r w:rsidR="00F56A8B" w:rsidRPr="00917415">
        <w:t xml:space="preserve">se of concomitant </w:t>
      </w:r>
      <w:r w:rsidR="00EE09B5" w:rsidRPr="00917415">
        <w:t>NUSI</w:t>
      </w:r>
      <w:r w:rsidR="00F56A8B" w:rsidRPr="00917415">
        <w:t xml:space="preserve"> was high in START-LT, </w:t>
      </w:r>
      <w:r w:rsidR="00AA656F" w:rsidRPr="00917415">
        <w:t xml:space="preserve">with 7/13 (54%) and 4/10 (40%) patients from the overall and the START Cohort 2 populations </w:t>
      </w:r>
      <w:r w:rsidR="00F56A8B" w:rsidRPr="00917415">
        <w:t>receiv</w:t>
      </w:r>
      <w:r w:rsidR="00F434D1" w:rsidRPr="00917415">
        <w:t>ing</w:t>
      </w:r>
      <w:r w:rsidR="00F56A8B" w:rsidRPr="00917415">
        <w:t xml:space="preserve"> concomitant therapy</w:t>
      </w:r>
      <w:r w:rsidR="00AA656F" w:rsidRPr="00917415">
        <w:t xml:space="preserve"> respectively</w:t>
      </w:r>
      <w:r w:rsidR="00F56A8B" w:rsidRPr="00917415">
        <w:t>, with the majority started post START but prior to enrolment in START-LT (therapy was initiated independent of the sponsor in each case).</w:t>
      </w:r>
      <w:r w:rsidR="00934256" w:rsidRPr="00917415">
        <w:rPr>
          <w:bCs/>
        </w:rPr>
        <w:t xml:space="preserve"> </w:t>
      </w:r>
      <w:r w:rsidR="00077B60" w:rsidRPr="00917415">
        <w:rPr>
          <w:bCs/>
        </w:rPr>
        <w:t>T</w:t>
      </w:r>
      <w:r w:rsidR="0048735E" w:rsidRPr="00917415">
        <w:rPr>
          <w:bCs/>
        </w:rPr>
        <w:t xml:space="preserve">he Pre-PBAC response stated that some </w:t>
      </w:r>
      <w:r w:rsidR="0048735E" w:rsidRPr="00AC68A2">
        <w:rPr>
          <w:bCs/>
        </w:rPr>
        <w:t xml:space="preserve">patients receiving </w:t>
      </w:r>
      <w:r w:rsidR="00EE09B5" w:rsidRPr="00AC68A2">
        <w:rPr>
          <w:bCs/>
        </w:rPr>
        <w:t>NUSI</w:t>
      </w:r>
      <w:r w:rsidR="0048735E" w:rsidRPr="00AC68A2">
        <w:rPr>
          <w:bCs/>
        </w:rPr>
        <w:t xml:space="preserve"> after ONA in the START-LT-001 trial, did so not due to loss of motor function, </w:t>
      </w:r>
      <w:r w:rsidR="00111D95" w:rsidRPr="00AC68A2">
        <w:rPr>
          <w:bCs/>
        </w:rPr>
        <w:t>but due</w:t>
      </w:r>
      <w:r w:rsidR="00B43622" w:rsidRPr="00AC68A2">
        <w:rPr>
          <w:bCs/>
        </w:rPr>
        <w:t xml:space="preserve"> to a perceived potential additional benefit and because funding for NUSI remained available</w:t>
      </w:r>
      <w:r w:rsidR="00B43622" w:rsidRPr="00917415">
        <w:rPr>
          <w:bCs/>
        </w:rPr>
        <w:t xml:space="preserve"> to them</w:t>
      </w:r>
      <w:r w:rsidR="0048735E" w:rsidRPr="00917415">
        <w:rPr>
          <w:bCs/>
        </w:rPr>
        <w:t>.</w:t>
      </w:r>
      <w:r w:rsidR="00934256" w:rsidRPr="00917415">
        <w:rPr>
          <w:bCs/>
        </w:rPr>
        <w:t xml:space="preserve"> </w:t>
      </w:r>
    </w:p>
    <w:p w14:paraId="431D1F85" w14:textId="77777777" w:rsidR="00F56A8B" w:rsidRPr="00917415" w:rsidRDefault="00F56A8B" w:rsidP="00516F35">
      <w:pPr>
        <w:pStyle w:val="3-BodyText"/>
      </w:pPr>
      <w:r w:rsidRPr="00917415">
        <w:t xml:space="preserve">For patients who began </w:t>
      </w:r>
      <w:r w:rsidR="00EE09B5" w:rsidRPr="00917415">
        <w:t>NUSI</w:t>
      </w:r>
      <w:r w:rsidRPr="00917415">
        <w:t xml:space="preserve"> in ENDEAR and continued in SHINE, additional improvements in total and specific </w:t>
      </w:r>
      <w:r w:rsidR="00CB0E8E" w:rsidRPr="00917415">
        <w:t>Hammersmith Infant Neurological Examination (</w:t>
      </w:r>
      <w:r w:rsidRPr="00917415">
        <w:t>HINE</w:t>
      </w:r>
      <w:r w:rsidR="00CB0E8E" w:rsidRPr="00917415">
        <w:t>)</w:t>
      </w:r>
      <w:r w:rsidRPr="00917415">
        <w:t xml:space="preserve">-2 motor milestones, such as head control and sitting alone were observed; in those who received sham control in ENDEAR and began </w:t>
      </w:r>
      <w:r w:rsidR="00EE09B5" w:rsidRPr="00917415">
        <w:t>NUSI</w:t>
      </w:r>
      <w:r w:rsidRPr="00917415">
        <w:t xml:space="preserve"> in SHINE, new improvements in total HINE-2 motor milestones were also observed. The highest milestone attained in this group at 3.4 years after </w:t>
      </w:r>
      <w:r w:rsidR="00B43622" w:rsidRPr="00917415">
        <w:t xml:space="preserve">first </w:t>
      </w:r>
      <w:r w:rsidRPr="00917415">
        <w:t xml:space="preserve">dose of </w:t>
      </w:r>
      <w:r w:rsidR="00EE09B5" w:rsidRPr="00917415">
        <w:t>NUSI</w:t>
      </w:r>
      <w:r w:rsidRPr="00917415">
        <w:t xml:space="preserve"> include 1/58 (2%) that could walk alone, 4/58 (7%) that could walk with assistance, 1/58 (2%) that could stand alone, 11/58 (19%) that could stand with assistance and 37/58 (64%) that could sit without support (see Table </w:t>
      </w:r>
      <w:r w:rsidR="002E2444" w:rsidRPr="00917415">
        <w:t>10</w:t>
      </w:r>
      <w:r w:rsidR="00077B60" w:rsidRPr="00917415">
        <w:t>, Appendix 1</w:t>
      </w:r>
      <w:r w:rsidRPr="00917415">
        <w:t>).</w:t>
      </w:r>
    </w:p>
    <w:p w14:paraId="4F4F08FB" w14:textId="77777777" w:rsidR="0060660A" w:rsidRPr="00917415" w:rsidRDefault="0060660A" w:rsidP="00516F35">
      <w:pPr>
        <w:pStyle w:val="Heading4"/>
      </w:pPr>
      <w:r w:rsidRPr="00917415">
        <w:t>CHOP-INTEND</w:t>
      </w:r>
    </w:p>
    <w:p w14:paraId="261872F5" w14:textId="77777777" w:rsidR="0060660A" w:rsidRPr="00917415" w:rsidRDefault="005223FF" w:rsidP="00516F35">
      <w:pPr>
        <w:pStyle w:val="3-BodyText"/>
      </w:pPr>
      <w:r w:rsidRPr="00917415">
        <w:t xml:space="preserve">The </w:t>
      </w:r>
      <w:r w:rsidR="00077B60" w:rsidRPr="00917415">
        <w:t xml:space="preserve">PBAC </w:t>
      </w:r>
      <w:r w:rsidR="0060660A" w:rsidRPr="00917415">
        <w:t xml:space="preserve">noted that all the changes from </w:t>
      </w:r>
      <w:r w:rsidR="0060660A" w:rsidRPr="00917415">
        <w:rPr>
          <w:rFonts w:cstheme="minorHAnsi"/>
        </w:rPr>
        <w:t>baseline</w:t>
      </w:r>
      <w:r w:rsidR="0060660A" w:rsidRPr="00917415">
        <w:t xml:space="preserve"> in CHOP-INTEND scores for ONA and </w:t>
      </w:r>
      <w:r w:rsidR="00EE09B5" w:rsidRPr="00917415">
        <w:t>NUSI</w:t>
      </w:r>
      <w:r w:rsidR="0060660A" w:rsidRPr="00917415">
        <w:t xml:space="preserve"> had met the prespecified MCID of 3.4-5.0 points, so were clinically meaningful changes. For </w:t>
      </w:r>
      <w:r w:rsidR="00EE09B5" w:rsidRPr="00917415">
        <w:t>NUSI</w:t>
      </w:r>
      <w:r w:rsidR="0060660A" w:rsidRPr="00917415">
        <w:t xml:space="preserve">, in the ENDEAR trial, significantly </w:t>
      </w:r>
      <w:r w:rsidR="00B43622" w:rsidRPr="00917415">
        <w:t>more</w:t>
      </w:r>
      <w:r w:rsidR="0060660A" w:rsidRPr="00917415">
        <w:t xml:space="preserve"> patients randomised to </w:t>
      </w:r>
      <w:r w:rsidR="00EE09B5" w:rsidRPr="00917415">
        <w:t>NUSI</w:t>
      </w:r>
      <w:r w:rsidR="0060660A" w:rsidRPr="00917415">
        <w:t xml:space="preserve"> treatment had at least 4 point improvement from baseline compared to patient</w:t>
      </w:r>
      <w:r w:rsidR="00A713B2" w:rsidRPr="00917415">
        <w:t>s</w:t>
      </w:r>
      <w:r w:rsidR="0060660A" w:rsidRPr="00917415">
        <w:t xml:space="preserve"> in the Sham control arm (71.2% versus 2.7%, p&lt;0.001).</w:t>
      </w:r>
    </w:p>
    <w:p w14:paraId="12FED874" w14:textId="77777777" w:rsidR="0060660A" w:rsidRPr="00917415" w:rsidRDefault="0060660A" w:rsidP="00516F35">
      <w:pPr>
        <w:pStyle w:val="3-BodyText"/>
      </w:pPr>
      <w:r w:rsidRPr="00917415">
        <w:t xml:space="preserve">Natural </w:t>
      </w:r>
      <w:r w:rsidRPr="00917415">
        <w:rPr>
          <w:rFonts w:cstheme="minorHAnsi"/>
        </w:rPr>
        <w:t>history</w:t>
      </w:r>
      <w:r w:rsidRPr="00917415">
        <w:t xml:space="preserve"> studies</w:t>
      </w:r>
      <w:r w:rsidR="00900644" w:rsidRPr="00917415">
        <w:t>,</w:t>
      </w:r>
      <w:r w:rsidRPr="00917415">
        <w:t xml:space="preserve"> by comparison</w:t>
      </w:r>
      <w:r w:rsidR="00900644" w:rsidRPr="00917415">
        <w:t>,</w:t>
      </w:r>
      <w:r w:rsidRPr="00917415">
        <w:t xml:space="preserve"> illustrate that patients with SMA normally report a decline in CHOP-INTEND over time, with a mean rate of </w:t>
      </w:r>
      <w:r w:rsidRPr="00917415">
        <w:rPr>
          <w:u w:val="single"/>
        </w:rPr>
        <w:t>decline</w:t>
      </w:r>
      <w:r w:rsidRPr="00917415">
        <w:t xml:space="preserve"> estimated to be 1.27 points/year (95% CI: 0.21-2.33, p=0.02) from the PNCR study, for all SMA Type I and II patients. For the subgroup of Type IB patients, the mean rate of decline in the CHOP-INTEND scale was 1.83 points/year (95% CI: 0.32-3.35, p=0.02). Data from NeuroNEXT also illustrate accelerating decline in CHOP-INTEND scores over time (data reported up to 24 months of age).</w:t>
      </w:r>
    </w:p>
    <w:p w14:paraId="55C29D80" w14:textId="77777777" w:rsidR="0060660A" w:rsidRPr="00917415" w:rsidRDefault="0060660A" w:rsidP="00516F35">
      <w:pPr>
        <w:pStyle w:val="3-BodyText"/>
      </w:pPr>
      <w:r w:rsidRPr="00917415">
        <w:t>Results of CHOP-</w:t>
      </w:r>
      <w:r w:rsidRPr="00917415">
        <w:rPr>
          <w:rFonts w:cstheme="minorHAnsi"/>
        </w:rPr>
        <w:t>INTEND</w:t>
      </w:r>
      <w:r w:rsidR="006E03C5" w:rsidRPr="00917415">
        <w:t xml:space="preserve"> from longer term follow up </w:t>
      </w:r>
      <w:r w:rsidR="00B43622" w:rsidRPr="00917415">
        <w:t xml:space="preserve">were </w:t>
      </w:r>
      <w:r w:rsidRPr="00917415">
        <w:t>avai</w:t>
      </w:r>
      <w:r w:rsidR="006E03C5" w:rsidRPr="00917415">
        <w:t xml:space="preserve">lable from SHINE for </w:t>
      </w:r>
      <w:r w:rsidR="00EE09B5" w:rsidRPr="00917415">
        <w:t>NUSI</w:t>
      </w:r>
      <w:r w:rsidR="004E6EE7" w:rsidRPr="00917415">
        <w:t>.</w:t>
      </w:r>
      <w:r w:rsidR="002C78A0" w:rsidRPr="00917415">
        <w:t xml:space="preserve"> </w:t>
      </w:r>
      <w:r w:rsidRPr="00917415">
        <w:t xml:space="preserve">For patients who began </w:t>
      </w:r>
      <w:r w:rsidR="00EE09B5" w:rsidRPr="00917415">
        <w:t>NUSI</w:t>
      </w:r>
      <w:r w:rsidRPr="00917415">
        <w:t xml:space="preserve"> in ENDEAR and continued in SHINE, additional </w:t>
      </w:r>
      <w:r w:rsidRPr="00917415">
        <w:rPr>
          <w:rFonts w:cstheme="minorHAnsi"/>
        </w:rPr>
        <w:t>improvements</w:t>
      </w:r>
      <w:r w:rsidRPr="00917415">
        <w:t xml:space="preserve"> in total and specific general motor function were observed; in those who received sham control in ENDEAR and began </w:t>
      </w:r>
      <w:r w:rsidR="00EE09B5" w:rsidRPr="00917415">
        <w:t>NUSI</w:t>
      </w:r>
      <w:r w:rsidRPr="00917415">
        <w:t xml:space="preserve"> in SHINE, new improvements were also observed, albeit at </w:t>
      </w:r>
      <w:r w:rsidR="00B43622" w:rsidRPr="00917415">
        <w:t xml:space="preserve">a </w:t>
      </w:r>
      <w:r w:rsidRPr="00917415">
        <w:t xml:space="preserve">much slower rate. Mean CHOP-INTEND score for patients who received </w:t>
      </w:r>
      <w:r w:rsidR="00EE09B5" w:rsidRPr="00917415">
        <w:t>NUSI</w:t>
      </w:r>
      <w:r w:rsidRPr="00917415">
        <w:t xml:space="preserve"> in ENDEAR and in SHINE was 43.7 (SD:13.03) at Day 1</w:t>
      </w:r>
      <w:r w:rsidR="00B43622" w:rsidRPr="00917415">
        <w:t>,</w:t>
      </w:r>
      <w:r w:rsidRPr="00917415">
        <w:t xml:space="preserve">538 in SHINE. The achievement and maintenance of scores greater than 40 points have </w:t>
      </w:r>
      <w:r w:rsidRPr="00917415">
        <w:lastRenderedPageBreak/>
        <w:t>been considered to be clinically meaningful because patients with SMA</w:t>
      </w:r>
      <w:r w:rsidR="004A4C49" w:rsidRPr="00917415">
        <w:t xml:space="preserve"> type </w:t>
      </w:r>
      <w:r w:rsidRPr="00917415">
        <w:t>1 rarely achieve and never maintain this level of motor function</w:t>
      </w:r>
      <w:r w:rsidRPr="00917415">
        <w:rPr>
          <w:rStyle w:val="FootnoteReference"/>
        </w:rPr>
        <w:footnoteReference w:id="1"/>
      </w:r>
      <w:r w:rsidRPr="00917415">
        <w:t>.</w:t>
      </w:r>
    </w:p>
    <w:p w14:paraId="26211CA8" w14:textId="77777777" w:rsidR="00AB2B7E" w:rsidRPr="00917415" w:rsidRDefault="00AB2B7E" w:rsidP="00516F35">
      <w:pPr>
        <w:pStyle w:val="Heading4"/>
      </w:pPr>
      <w:r w:rsidRPr="00917415">
        <w:t>Feeding support</w:t>
      </w:r>
    </w:p>
    <w:p w14:paraId="5F5514BF" w14:textId="77777777" w:rsidR="002E2444" w:rsidRPr="00917415" w:rsidRDefault="00DE36C2" w:rsidP="00516F35">
      <w:pPr>
        <w:pStyle w:val="3-BodyText"/>
        <w:rPr>
          <w:rFonts w:cstheme="minorHAnsi"/>
        </w:rPr>
      </w:pPr>
      <w:r w:rsidRPr="00917415">
        <w:rPr>
          <w:rFonts w:cs="Calibri"/>
          <w:szCs w:val="18"/>
        </w:rPr>
        <w:t xml:space="preserve">In </w:t>
      </w:r>
      <w:r w:rsidRPr="00917415">
        <w:rPr>
          <w:rFonts w:cstheme="minorHAnsi"/>
        </w:rPr>
        <w:t xml:space="preserve">general, use of feeding support increased over study follow up. In START, 5/12 (41%) infants in Cohort 2 were using non-oral feeding support at baseline and increasing to 50% by the end of the study. </w:t>
      </w:r>
      <w:r w:rsidR="00492D47" w:rsidRPr="00917415">
        <w:rPr>
          <w:rFonts w:cstheme="minorHAnsi"/>
        </w:rPr>
        <w:t xml:space="preserve">In </w:t>
      </w:r>
      <w:r w:rsidR="00BA689D" w:rsidRPr="00917415">
        <w:rPr>
          <w:rFonts w:cstheme="minorHAnsi"/>
        </w:rPr>
        <w:t>STR1VE</w:t>
      </w:r>
      <w:r w:rsidR="00492D47" w:rsidRPr="00917415">
        <w:rPr>
          <w:rFonts w:cstheme="minorHAnsi"/>
        </w:rPr>
        <w:t>-US</w:t>
      </w:r>
      <w:r w:rsidR="00B513EE" w:rsidRPr="00917415">
        <w:rPr>
          <w:rFonts w:cstheme="minorHAnsi"/>
        </w:rPr>
        <w:t xml:space="preserve"> the increase was from 0% at baseline to 31.8% anytime during study. In </w:t>
      </w:r>
      <w:r w:rsidR="00BA689D" w:rsidRPr="00917415">
        <w:rPr>
          <w:rFonts w:cstheme="minorHAnsi"/>
        </w:rPr>
        <w:t>STR1VE</w:t>
      </w:r>
      <w:r w:rsidR="00B513EE" w:rsidRPr="00917415">
        <w:rPr>
          <w:rFonts w:cstheme="minorHAnsi"/>
        </w:rPr>
        <w:t xml:space="preserve">-EU </w:t>
      </w:r>
      <w:r w:rsidR="006D7007" w:rsidRPr="00917415">
        <w:rPr>
          <w:rFonts w:cstheme="minorHAnsi"/>
        </w:rPr>
        <w:t xml:space="preserve">the </w:t>
      </w:r>
      <w:r w:rsidR="00B513EE" w:rsidRPr="00917415">
        <w:rPr>
          <w:rFonts w:cstheme="minorHAnsi"/>
        </w:rPr>
        <w:t xml:space="preserve">proportion requiring feeding support remained relatively stable at 30%. In </w:t>
      </w:r>
      <w:r w:rsidR="000D10D9" w:rsidRPr="00917415">
        <w:rPr>
          <w:rFonts w:cstheme="minorHAnsi"/>
        </w:rPr>
        <w:t>SPR1NT</w:t>
      </w:r>
      <w:r w:rsidR="00B513EE" w:rsidRPr="00917415">
        <w:rPr>
          <w:rFonts w:cstheme="minorHAnsi"/>
        </w:rPr>
        <w:t xml:space="preserve">, where treatment with ONA </w:t>
      </w:r>
      <w:r w:rsidR="00A4635D" w:rsidRPr="00917415">
        <w:rPr>
          <w:rFonts w:cstheme="minorHAnsi"/>
        </w:rPr>
        <w:t>was started pre</w:t>
      </w:r>
      <w:r w:rsidR="006053C2" w:rsidRPr="00917415">
        <w:rPr>
          <w:rFonts w:cstheme="minorHAnsi"/>
        </w:rPr>
        <w:t>-</w:t>
      </w:r>
      <w:r w:rsidR="00A4635D" w:rsidRPr="00917415">
        <w:rPr>
          <w:rFonts w:cstheme="minorHAnsi"/>
        </w:rPr>
        <w:t>s</w:t>
      </w:r>
      <w:r w:rsidR="00B513EE" w:rsidRPr="00917415">
        <w:rPr>
          <w:rFonts w:cstheme="minorHAnsi"/>
        </w:rPr>
        <w:t>ymptomatically,</w:t>
      </w:r>
      <w:r w:rsidR="00A4635D" w:rsidRPr="00917415">
        <w:rPr>
          <w:rFonts w:cstheme="minorHAnsi"/>
        </w:rPr>
        <w:t xml:space="preserve"> no patients required feeding support.</w:t>
      </w:r>
    </w:p>
    <w:p w14:paraId="5E09DAAC" w14:textId="77777777" w:rsidR="00A4635D" w:rsidRPr="00917415" w:rsidRDefault="00DE36C2" w:rsidP="00516F35">
      <w:pPr>
        <w:pStyle w:val="3-BodyText"/>
      </w:pPr>
      <w:r w:rsidRPr="00917415">
        <w:t>The ability to thrive at 18 months of age was a co-secondary endpoint in STR1VE-US defined as the ability to tolerate thin liquids, not requiring nutrition through mechanical support, and maintaining weight consistent with age. Using the combined definition of maintaining the ability to thrive at 18 months of age, 9</w:t>
      </w:r>
      <w:r w:rsidR="00A4635D" w:rsidRPr="00917415">
        <w:t>/</w:t>
      </w:r>
      <w:r w:rsidRPr="00917415">
        <w:t xml:space="preserve">22 patients (40.9%) met all three criteria of maintaining ability to thrive (co-secondary endpoint, p&lt;0.0001) at 18 months of age. </w:t>
      </w:r>
      <w:r w:rsidR="00A4635D" w:rsidRPr="00917415">
        <w:t xml:space="preserve">In the START ability to thrive subgroup (n=7), only including patients who did not require non-oral nutrition prior to ONA administration, </w:t>
      </w:r>
      <w:r w:rsidR="00D75FB2" w:rsidRPr="00917415">
        <w:t>5/7 (71.4%) were considered to have attained this by 24 months post dose.</w:t>
      </w:r>
    </w:p>
    <w:p w14:paraId="3B16D8EB" w14:textId="77777777" w:rsidR="00D75FB2" w:rsidRPr="00917415" w:rsidRDefault="00D75FB2" w:rsidP="00516F35">
      <w:pPr>
        <w:pStyle w:val="3-BodyText"/>
      </w:pPr>
      <w:r w:rsidRPr="00917415">
        <w:t xml:space="preserve">Feeding support outcomes were not measured in the </w:t>
      </w:r>
      <w:r w:rsidR="00EE09B5" w:rsidRPr="00917415">
        <w:t>NUSI</w:t>
      </w:r>
      <w:r w:rsidRPr="00917415">
        <w:t xml:space="preserve"> studies, hence no comparisons could be made.</w:t>
      </w:r>
    </w:p>
    <w:p w14:paraId="768C8071" w14:textId="77777777" w:rsidR="00DE36C2" w:rsidRPr="00917415" w:rsidRDefault="00DE36C2" w:rsidP="00516F35">
      <w:pPr>
        <w:pStyle w:val="Heading4"/>
      </w:pPr>
      <w:r w:rsidRPr="00917415">
        <w:t>Ventilatory support</w:t>
      </w:r>
    </w:p>
    <w:p w14:paraId="07285D6D" w14:textId="77777777" w:rsidR="00E4188D" w:rsidRPr="00917415" w:rsidRDefault="00E4188D" w:rsidP="00516F35">
      <w:pPr>
        <w:pStyle w:val="3-BodyText"/>
      </w:pPr>
      <w:r w:rsidRPr="00917415">
        <w:rPr>
          <w:rFonts w:cs="Calibri"/>
          <w:szCs w:val="18"/>
        </w:rPr>
        <w:t xml:space="preserve">In </w:t>
      </w:r>
      <w:r w:rsidRPr="00917415">
        <w:rPr>
          <w:rFonts w:cstheme="minorHAnsi"/>
        </w:rPr>
        <w:t xml:space="preserve">general, use of ventilatory support also increased over study follow up. In START </w:t>
      </w:r>
      <w:r w:rsidR="009935D4" w:rsidRPr="00917415">
        <w:rPr>
          <w:rFonts w:cstheme="minorHAnsi"/>
        </w:rPr>
        <w:t xml:space="preserve">ventilatory support increased </w:t>
      </w:r>
      <w:r w:rsidRPr="00917415">
        <w:rPr>
          <w:rFonts w:cstheme="minorHAnsi"/>
        </w:rPr>
        <w:t>from 16.7% at baseline to 50% at 24 months post dos</w:t>
      </w:r>
      <w:r w:rsidR="00C22BC1" w:rsidRPr="00917415">
        <w:rPr>
          <w:rFonts w:cstheme="minorHAnsi"/>
        </w:rPr>
        <w:t xml:space="preserve">e and for the 10 patients from Cohort 2 </w:t>
      </w:r>
      <w:r w:rsidR="009935D4" w:rsidRPr="00917415">
        <w:rPr>
          <w:rFonts w:cstheme="minorHAnsi"/>
        </w:rPr>
        <w:t xml:space="preserve">who </w:t>
      </w:r>
      <w:r w:rsidR="00C22BC1" w:rsidRPr="00917415">
        <w:rPr>
          <w:rFonts w:cstheme="minorHAnsi"/>
        </w:rPr>
        <w:t xml:space="preserve">continued to START-LT, </w:t>
      </w:r>
      <w:r w:rsidR="009935D4" w:rsidRPr="00917415">
        <w:rPr>
          <w:rFonts w:cstheme="minorHAnsi"/>
        </w:rPr>
        <w:t xml:space="preserve">to </w:t>
      </w:r>
      <w:r w:rsidR="00C22BC1" w:rsidRPr="00917415">
        <w:rPr>
          <w:rFonts w:cstheme="minorHAnsi"/>
        </w:rPr>
        <w:t>40% during START-LT follow up. In</w:t>
      </w:r>
      <w:r w:rsidR="002450BD" w:rsidRPr="00917415">
        <w:rPr>
          <w:rFonts w:cstheme="minorHAnsi"/>
        </w:rPr>
        <w:t xml:space="preserve"> </w:t>
      </w:r>
      <w:r w:rsidR="00C22BC1" w:rsidRPr="00917415">
        <w:rPr>
          <w:rFonts w:cstheme="minorHAnsi"/>
        </w:rPr>
        <w:t>STR1VE-US the increase was from 0% at baseline to</w:t>
      </w:r>
      <w:r w:rsidR="002450BD" w:rsidRPr="00917415">
        <w:rPr>
          <w:rFonts w:cstheme="minorHAnsi"/>
        </w:rPr>
        <w:t xml:space="preserve"> 4/22 patients (</w:t>
      </w:r>
      <w:r w:rsidR="00C22BC1" w:rsidRPr="00917415">
        <w:rPr>
          <w:rFonts w:cstheme="minorHAnsi"/>
        </w:rPr>
        <w:t>18.2%</w:t>
      </w:r>
      <w:r w:rsidR="002450BD" w:rsidRPr="00917415">
        <w:rPr>
          <w:rFonts w:cstheme="minorHAnsi"/>
        </w:rPr>
        <w:t>)</w:t>
      </w:r>
      <w:r w:rsidR="00C22BC1" w:rsidRPr="00917415">
        <w:rPr>
          <w:rFonts w:cstheme="minorHAnsi"/>
        </w:rPr>
        <w:t xml:space="preserve"> by 18</w:t>
      </w:r>
      <w:r w:rsidR="006D7007" w:rsidRPr="00917415">
        <w:rPr>
          <w:rFonts w:cstheme="minorHAnsi"/>
        </w:rPr>
        <w:t xml:space="preserve"> </w:t>
      </w:r>
      <w:r w:rsidR="00C22BC1" w:rsidRPr="00917415">
        <w:rPr>
          <w:rFonts w:cstheme="minorHAnsi"/>
        </w:rPr>
        <w:t>months</w:t>
      </w:r>
      <w:r w:rsidR="002450BD" w:rsidRPr="00917415">
        <w:rPr>
          <w:rFonts w:cstheme="minorHAnsi"/>
        </w:rPr>
        <w:t xml:space="preserve">. The </w:t>
      </w:r>
      <w:r w:rsidR="00BA689D" w:rsidRPr="00917415">
        <w:rPr>
          <w:rFonts w:cstheme="minorHAnsi"/>
        </w:rPr>
        <w:t>STR1VE</w:t>
      </w:r>
      <w:r w:rsidR="002450BD" w:rsidRPr="00917415">
        <w:rPr>
          <w:rFonts w:cstheme="minorHAnsi"/>
        </w:rPr>
        <w:t>-EU study had a much higher baseline use of ventilatory support (9/33</w:t>
      </w:r>
      <w:r w:rsidR="00D46331" w:rsidRPr="00917415">
        <w:rPr>
          <w:rFonts w:cstheme="minorHAnsi"/>
        </w:rPr>
        <w:t xml:space="preserve">, </w:t>
      </w:r>
      <w:r w:rsidR="002450BD" w:rsidRPr="00917415">
        <w:rPr>
          <w:rFonts w:cstheme="minorHAnsi"/>
        </w:rPr>
        <w:t xml:space="preserve">27.3%), and this had increased to 54.5% </w:t>
      </w:r>
      <w:r w:rsidR="009935D4" w:rsidRPr="00917415">
        <w:rPr>
          <w:rFonts w:cstheme="minorHAnsi"/>
        </w:rPr>
        <w:t xml:space="preserve">at </w:t>
      </w:r>
      <w:r w:rsidR="002450BD" w:rsidRPr="00917415">
        <w:rPr>
          <w:rFonts w:cstheme="minorHAnsi"/>
        </w:rPr>
        <w:t xml:space="preserve">any time during follow up at the last data cut. By comparison, in </w:t>
      </w:r>
      <w:r w:rsidR="000D10D9" w:rsidRPr="00917415">
        <w:rPr>
          <w:rFonts w:cstheme="minorHAnsi"/>
        </w:rPr>
        <w:t>SPR1NT</w:t>
      </w:r>
      <w:r w:rsidR="00250F5E" w:rsidRPr="00917415">
        <w:rPr>
          <w:rFonts w:cstheme="minorHAnsi"/>
        </w:rPr>
        <w:t xml:space="preserve"> </w:t>
      </w:r>
      <w:r w:rsidR="006D7007" w:rsidRPr="00917415">
        <w:rPr>
          <w:rFonts w:cstheme="minorHAnsi"/>
        </w:rPr>
        <w:t>(</w:t>
      </w:r>
      <w:r w:rsidR="00250F5E" w:rsidRPr="00917415">
        <w:rPr>
          <w:rFonts w:cstheme="minorHAnsi"/>
        </w:rPr>
        <w:t>the pre</w:t>
      </w:r>
      <w:r w:rsidR="005950FD" w:rsidRPr="00917415">
        <w:rPr>
          <w:rFonts w:cstheme="minorHAnsi"/>
        </w:rPr>
        <w:t>-</w:t>
      </w:r>
      <w:r w:rsidR="00250F5E" w:rsidRPr="00917415">
        <w:rPr>
          <w:rFonts w:cstheme="minorHAnsi"/>
        </w:rPr>
        <w:t>symptomatic study</w:t>
      </w:r>
      <w:r w:rsidR="006D7007" w:rsidRPr="00917415">
        <w:rPr>
          <w:rFonts w:cstheme="minorHAnsi"/>
        </w:rPr>
        <w:t>)</w:t>
      </w:r>
      <w:r w:rsidR="00250F5E" w:rsidRPr="00917415">
        <w:rPr>
          <w:rFonts w:cstheme="minorHAnsi"/>
        </w:rPr>
        <w:t>, no patient had so far required ventilatory support during follow up.</w:t>
      </w:r>
      <w:r w:rsidR="007B57F4" w:rsidRPr="00917415">
        <w:rPr>
          <w:rFonts w:cstheme="minorHAnsi"/>
        </w:rPr>
        <w:t xml:space="preserve"> </w:t>
      </w:r>
    </w:p>
    <w:p w14:paraId="3294C124" w14:textId="77777777" w:rsidR="00375B3C" w:rsidRPr="00917415" w:rsidRDefault="00250F5E" w:rsidP="00516F35">
      <w:pPr>
        <w:pStyle w:val="3-BodyText"/>
      </w:pPr>
      <w:r w:rsidRPr="00917415">
        <w:t xml:space="preserve">Baseline ventilatory support was much higher in the </w:t>
      </w:r>
      <w:r w:rsidR="00EE09B5" w:rsidRPr="00917415">
        <w:t>NUSI</w:t>
      </w:r>
      <w:r w:rsidRPr="00917415">
        <w:t xml:space="preserve"> studies compared to the ONA studies. </w:t>
      </w:r>
      <w:r w:rsidR="00375B3C" w:rsidRPr="00917415">
        <w:t xml:space="preserve">With </w:t>
      </w:r>
      <w:r w:rsidR="008E0FBF" w:rsidRPr="00917415">
        <w:t>21/</w:t>
      </w:r>
      <w:r w:rsidR="007F622B" w:rsidRPr="00917415">
        <w:t>80 (26</w:t>
      </w:r>
      <w:r w:rsidR="004A3E49" w:rsidRPr="00917415">
        <w:t>.3</w:t>
      </w:r>
      <w:r w:rsidR="007F622B" w:rsidRPr="00917415">
        <w:t xml:space="preserve">%) </w:t>
      </w:r>
      <w:r w:rsidR="004A3E49" w:rsidRPr="00917415">
        <w:t xml:space="preserve">and 6/41 (14.6%) </w:t>
      </w:r>
      <w:r w:rsidR="007F622B" w:rsidRPr="00917415">
        <w:t>on ventilatory support</w:t>
      </w:r>
      <w:r w:rsidR="00D46331" w:rsidRPr="00917415">
        <w:t xml:space="preserve"> in the </w:t>
      </w:r>
      <w:r w:rsidR="00EE09B5" w:rsidRPr="00917415">
        <w:t>NUSI</w:t>
      </w:r>
      <w:r w:rsidR="00D46331" w:rsidRPr="00917415">
        <w:t xml:space="preserve"> </w:t>
      </w:r>
      <w:r w:rsidR="004A3E49" w:rsidRPr="00917415">
        <w:t xml:space="preserve">and sham control </w:t>
      </w:r>
      <w:r w:rsidR="00D46331" w:rsidRPr="00917415">
        <w:t>arm</w:t>
      </w:r>
      <w:r w:rsidR="004A3E49" w:rsidRPr="00917415">
        <w:t>s</w:t>
      </w:r>
      <w:r w:rsidR="00D46331" w:rsidRPr="00917415">
        <w:t xml:space="preserve"> of ENDEAR</w:t>
      </w:r>
      <w:r w:rsidR="007F622B" w:rsidRPr="00917415">
        <w:t xml:space="preserve"> </w:t>
      </w:r>
      <w:r w:rsidR="004A3E49" w:rsidRPr="00917415">
        <w:t xml:space="preserve">respectively </w:t>
      </w:r>
      <w:r w:rsidR="007F622B" w:rsidRPr="00917415">
        <w:t>at baseline.</w:t>
      </w:r>
      <w:r w:rsidR="004A3E49" w:rsidRPr="00917415">
        <w:t xml:space="preserve"> Among infants not receiving ventilatory support at baseline, </w:t>
      </w:r>
      <w:r w:rsidR="001662C6" w:rsidRPr="00917415">
        <w:t xml:space="preserve">significantly fewer patients in the </w:t>
      </w:r>
      <w:r w:rsidR="00EE09B5" w:rsidRPr="00917415">
        <w:t>NUSI</w:t>
      </w:r>
      <w:r w:rsidR="001662C6" w:rsidRPr="00917415">
        <w:t xml:space="preserve"> arm of the trial required ventilation support compared to sham control, (</w:t>
      </w:r>
      <w:r w:rsidR="00401E4D" w:rsidRPr="00917415">
        <w:t>i.e.</w:t>
      </w:r>
      <w:r w:rsidR="001662C6" w:rsidRPr="00917415">
        <w:t xml:space="preserve">, </w:t>
      </w:r>
      <w:r w:rsidR="004A3E49" w:rsidRPr="00917415">
        <w:t xml:space="preserve">44/59 (75%) </w:t>
      </w:r>
      <w:r w:rsidR="001662C6" w:rsidRPr="00917415">
        <w:t xml:space="preserve">versus </w:t>
      </w:r>
      <w:r w:rsidR="00AB2B7E" w:rsidRPr="00917415">
        <w:t>34/35 (</w:t>
      </w:r>
      <w:r w:rsidR="001662C6" w:rsidRPr="00917415">
        <w:t xml:space="preserve">97.12%), p=0.021). In EAP, ventilatory support remained above 50% </w:t>
      </w:r>
      <w:r w:rsidR="00E87583" w:rsidRPr="00917415">
        <w:t>over the 6 months follow up.</w:t>
      </w:r>
    </w:p>
    <w:p w14:paraId="0FC251CE" w14:textId="77777777" w:rsidR="005E66AF" w:rsidRPr="00917415" w:rsidRDefault="005E66AF" w:rsidP="00516F35">
      <w:pPr>
        <w:pStyle w:val="Heading3"/>
      </w:pPr>
      <w:r w:rsidRPr="00917415">
        <w:t>Indirect comparison</w:t>
      </w:r>
      <w:r w:rsidR="00B3773C" w:rsidRPr="00917415">
        <w:t xml:space="preserve">s ONA versus </w:t>
      </w:r>
      <w:r w:rsidR="00EE09B5" w:rsidRPr="00917415">
        <w:t>NUSI</w:t>
      </w:r>
    </w:p>
    <w:p w14:paraId="2CC90981" w14:textId="77777777" w:rsidR="0012027E" w:rsidRPr="00917415" w:rsidRDefault="0037599C" w:rsidP="00516F35">
      <w:pPr>
        <w:pStyle w:val="3-BodyText"/>
      </w:pPr>
      <w:r w:rsidRPr="00917415">
        <w:lastRenderedPageBreak/>
        <w:t xml:space="preserve">Three </w:t>
      </w:r>
      <w:r w:rsidR="000D7EAF" w:rsidRPr="00917415">
        <w:t xml:space="preserve">unanchored </w:t>
      </w:r>
      <w:r w:rsidRPr="00917415">
        <w:t>indirect comparisons were presented in the submission</w:t>
      </w:r>
      <w:r w:rsidR="00424DA6" w:rsidRPr="00917415">
        <w:t xml:space="preserve">: i) </w:t>
      </w:r>
      <w:r w:rsidRPr="00917415">
        <w:t xml:space="preserve">a naïve indirect comparison </w:t>
      </w:r>
      <w:r w:rsidR="00B671BA" w:rsidRPr="00917415">
        <w:t>using</w:t>
      </w:r>
      <w:r w:rsidRPr="00917415">
        <w:t xml:space="preserve"> pooled </w:t>
      </w:r>
      <w:r w:rsidR="0099259B" w:rsidRPr="00917415">
        <w:t xml:space="preserve">individual patient data (IPD) from </w:t>
      </w:r>
      <w:r w:rsidRPr="00917415">
        <w:t>START</w:t>
      </w:r>
      <w:r w:rsidR="0099259B" w:rsidRPr="00917415">
        <w:t xml:space="preserve"> and </w:t>
      </w:r>
      <w:r w:rsidRPr="00917415">
        <w:t xml:space="preserve">STR1VE-US </w:t>
      </w:r>
      <w:r w:rsidR="00424DA6" w:rsidRPr="00917415">
        <w:t xml:space="preserve">compared with </w:t>
      </w:r>
      <w:r w:rsidR="0099259B" w:rsidRPr="00917415">
        <w:t xml:space="preserve">results reported </w:t>
      </w:r>
      <w:r w:rsidR="00424DA6" w:rsidRPr="00917415">
        <w:t>in</w:t>
      </w:r>
      <w:r w:rsidR="0099259B" w:rsidRPr="00917415">
        <w:t xml:space="preserve"> </w:t>
      </w:r>
      <w:r w:rsidR="009C5E92" w:rsidRPr="00917415">
        <w:t>ENDEAR/</w:t>
      </w:r>
      <w:r w:rsidRPr="00917415">
        <w:t>SHINE</w:t>
      </w:r>
      <w:r w:rsidR="0099259B" w:rsidRPr="00917415">
        <w:t xml:space="preserve"> for </w:t>
      </w:r>
      <w:r w:rsidR="00EE09B5" w:rsidRPr="00917415">
        <w:t>NUSI</w:t>
      </w:r>
      <w:r w:rsidR="00B3773C" w:rsidRPr="00917415">
        <w:t>,</w:t>
      </w:r>
      <w:r w:rsidR="00424DA6" w:rsidRPr="00917415">
        <w:t xml:space="preserve"> ii)</w:t>
      </w:r>
      <w:r w:rsidR="00B3773C" w:rsidRPr="00917415">
        <w:t xml:space="preserve"> </w:t>
      </w:r>
      <w:r w:rsidR="000D7EAF" w:rsidRPr="00917415">
        <w:t xml:space="preserve">a </w:t>
      </w:r>
      <w:r w:rsidR="00B3773C" w:rsidRPr="00917415">
        <w:t>naïve indirect comparison comparing START</w:t>
      </w:r>
      <w:r w:rsidR="00E44D98" w:rsidRPr="00917415">
        <w:t xml:space="preserve"> with</w:t>
      </w:r>
      <w:r w:rsidR="00B3773C" w:rsidRPr="00917415">
        <w:t xml:space="preserve"> ENDEAR </w:t>
      </w:r>
      <w:r w:rsidR="000D7EAF" w:rsidRPr="00917415">
        <w:t xml:space="preserve">(as published by Dabbous et al 2019) </w:t>
      </w:r>
      <w:r w:rsidRPr="00917415">
        <w:t>and</w:t>
      </w:r>
      <w:r w:rsidR="00424DA6" w:rsidRPr="00917415">
        <w:t xml:space="preserve"> iii)</w:t>
      </w:r>
      <w:r w:rsidRPr="00917415">
        <w:t xml:space="preserve"> </w:t>
      </w:r>
      <w:r w:rsidR="00B3773C" w:rsidRPr="00917415">
        <w:t>a</w:t>
      </w:r>
      <w:r w:rsidR="004265F7" w:rsidRPr="00917415">
        <w:t>n unanchored</w:t>
      </w:r>
      <w:r w:rsidR="00B3773C" w:rsidRPr="00917415">
        <w:t xml:space="preserve"> matching adjusted indirect comparison</w:t>
      </w:r>
      <w:r w:rsidR="000D7EAF" w:rsidRPr="00917415">
        <w:t xml:space="preserve"> </w:t>
      </w:r>
      <w:r w:rsidR="0099259B" w:rsidRPr="00917415">
        <w:t xml:space="preserve">(MAIC) </w:t>
      </w:r>
      <w:r w:rsidR="009C5E92" w:rsidRPr="00917415">
        <w:t xml:space="preserve">that attempted to adjust for cross trial differences using IPD data for START and </w:t>
      </w:r>
      <w:r w:rsidR="00BA689D" w:rsidRPr="00917415">
        <w:t>STR1VE</w:t>
      </w:r>
      <w:r w:rsidR="009C5E92" w:rsidRPr="00917415">
        <w:t xml:space="preserve">-US, matching to reported aggregate baseline characteristics of ENDEAR/SHINE for </w:t>
      </w:r>
      <w:r w:rsidR="00EE09B5" w:rsidRPr="00917415">
        <w:t>NUSI</w:t>
      </w:r>
      <w:r w:rsidR="009C5E92" w:rsidRPr="00917415">
        <w:t xml:space="preserve">. Results from the MAIC are presented below. </w:t>
      </w:r>
    </w:p>
    <w:p w14:paraId="377E6026" w14:textId="77777777" w:rsidR="00D103E8" w:rsidRPr="00917415" w:rsidRDefault="00424DA6" w:rsidP="00516F35">
      <w:pPr>
        <w:pStyle w:val="Heading4"/>
      </w:pPr>
      <w:r w:rsidRPr="00917415">
        <w:t>Results of the MAIC</w:t>
      </w:r>
    </w:p>
    <w:p w14:paraId="063B53D2" w14:textId="77777777" w:rsidR="00F462D2" w:rsidRPr="00917415" w:rsidRDefault="00F462D2" w:rsidP="00516F35">
      <w:pPr>
        <w:pStyle w:val="3-BodyText"/>
      </w:pPr>
      <w:r w:rsidRPr="00917415">
        <w:t xml:space="preserve">For the base </w:t>
      </w:r>
      <w:r w:rsidRPr="00917415">
        <w:rPr>
          <w:rFonts w:cstheme="minorHAnsi"/>
        </w:rPr>
        <w:t>case</w:t>
      </w:r>
      <w:r w:rsidRPr="00917415">
        <w:t xml:space="preserve"> analysis which pool</w:t>
      </w:r>
      <w:r w:rsidR="004B55A7" w:rsidRPr="00917415">
        <w:t>ed</w:t>
      </w:r>
      <w:r w:rsidRPr="00917415">
        <w:t xml:space="preserve"> patients from START and STR1VE-US, the effective sample size (ESS) after weighting was 24.6, compared to a total patient population of 34. For START alone, the ESS was 11.8, compared to 12 total patients. For </w:t>
      </w:r>
      <w:r w:rsidR="00BA689D" w:rsidRPr="00917415">
        <w:t>STR1VE</w:t>
      </w:r>
      <w:r w:rsidRPr="00917415">
        <w:t>-US, reweighting produced an ESS of 16.4 for 22 patients.</w:t>
      </w:r>
      <w:r w:rsidR="006B1B24" w:rsidRPr="00917415">
        <w:t xml:space="preserve"> </w:t>
      </w:r>
    </w:p>
    <w:p w14:paraId="2D0B53BE" w14:textId="77777777" w:rsidR="00E87583" w:rsidRPr="00917415" w:rsidRDefault="004B55A7" w:rsidP="00516F35">
      <w:pPr>
        <w:pStyle w:val="3-BodyText"/>
      </w:pPr>
      <w:r w:rsidRPr="00917415">
        <w:t xml:space="preserve">The submission provided a </w:t>
      </w:r>
      <w:r w:rsidR="00D103E8" w:rsidRPr="00917415">
        <w:t xml:space="preserve">reweighted OS KM curve for </w:t>
      </w:r>
      <w:r w:rsidR="004265F7" w:rsidRPr="00917415">
        <w:t xml:space="preserve">ONA </w:t>
      </w:r>
      <w:r w:rsidR="00D103E8" w:rsidRPr="00917415">
        <w:t xml:space="preserve">and the reconstructed published OS KM curve from SHINE. </w:t>
      </w:r>
      <w:r w:rsidR="00EB7FBE" w:rsidRPr="00917415">
        <w:t>The ESC noted a</w:t>
      </w:r>
      <w:r w:rsidR="00E87583" w:rsidRPr="00917415">
        <w:t xml:space="preserve"> Cox proportional hazards model was fit to the data; using pooled and weighted patient-level data from START and </w:t>
      </w:r>
      <w:r w:rsidR="00BA689D" w:rsidRPr="00917415">
        <w:t>STR1VE</w:t>
      </w:r>
      <w:r w:rsidR="00E87583" w:rsidRPr="00917415">
        <w:t xml:space="preserve">-US, ONA was numerically superior to </w:t>
      </w:r>
      <w:r w:rsidR="00EE09B5" w:rsidRPr="00917415">
        <w:t>NUSI</w:t>
      </w:r>
      <w:r w:rsidR="00E87583" w:rsidRPr="00917415">
        <w:t xml:space="preserve"> in terms of OS, though the result was not statistically significant (HR</w:t>
      </w:r>
      <w:r w:rsidRPr="00917415">
        <w:t>:</w:t>
      </w:r>
      <w:r w:rsidR="00E87583" w:rsidRPr="00917415">
        <w:t xml:space="preserve"> ONA vs </w:t>
      </w:r>
      <w:r w:rsidR="00EE09B5" w:rsidRPr="00917415">
        <w:t>NUSI</w:t>
      </w:r>
      <w:r w:rsidR="00E87583" w:rsidRPr="00917415">
        <w:t>: 0.35; 95% CI: 0.09-1.32).</w:t>
      </w:r>
    </w:p>
    <w:p w14:paraId="26985932" w14:textId="77777777" w:rsidR="000F50D2" w:rsidRPr="00917415" w:rsidRDefault="004B55A7" w:rsidP="00516F35">
      <w:pPr>
        <w:pStyle w:val="3-BodyText"/>
        <w:rPr>
          <w:rFonts w:cstheme="minorHAnsi"/>
        </w:rPr>
      </w:pPr>
      <w:r w:rsidRPr="00917415">
        <w:rPr>
          <w:rFonts w:cstheme="minorHAnsi"/>
        </w:rPr>
        <w:t xml:space="preserve">The submission provided a </w:t>
      </w:r>
      <w:r w:rsidR="00D103E8" w:rsidRPr="00917415">
        <w:rPr>
          <w:rFonts w:cstheme="minorHAnsi"/>
        </w:rPr>
        <w:t>reweighted KM curve for ONA and the reconstructed published KM curve from SHINE.</w:t>
      </w:r>
      <w:r w:rsidR="00E87583" w:rsidRPr="00917415">
        <w:rPr>
          <w:rFonts w:cstheme="minorHAnsi"/>
        </w:rPr>
        <w:t xml:space="preserve"> A Cox proportional hazards model was fitted to the data; using pooled and weighted patient-level data from START and </w:t>
      </w:r>
      <w:r w:rsidR="00BA689D" w:rsidRPr="00917415">
        <w:rPr>
          <w:rFonts w:cstheme="minorHAnsi"/>
        </w:rPr>
        <w:t>STR1VE</w:t>
      </w:r>
      <w:r w:rsidR="00E87583" w:rsidRPr="00917415">
        <w:rPr>
          <w:rFonts w:cstheme="minorHAnsi"/>
        </w:rPr>
        <w:t xml:space="preserve">-US, ONA was statistically superior to </w:t>
      </w:r>
      <w:r w:rsidR="00EE09B5" w:rsidRPr="00917415">
        <w:rPr>
          <w:rFonts w:cstheme="minorHAnsi"/>
        </w:rPr>
        <w:t>NUSI</w:t>
      </w:r>
      <w:r w:rsidR="00E87583" w:rsidRPr="00917415">
        <w:rPr>
          <w:rFonts w:cstheme="minorHAnsi"/>
        </w:rPr>
        <w:t xml:space="preserve"> in terms of EFS (HR (ONA vs </w:t>
      </w:r>
      <w:r w:rsidR="00EE09B5" w:rsidRPr="00917415">
        <w:rPr>
          <w:rFonts w:cstheme="minorHAnsi"/>
        </w:rPr>
        <w:t>NUSI</w:t>
      </w:r>
      <w:r w:rsidR="00E87583" w:rsidRPr="00917415">
        <w:rPr>
          <w:rFonts w:cstheme="minorHAnsi"/>
        </w:rPr>
        <w:t>): 0.19, 95% CI: 0.07-0.54).</w:t>
      </w:r>
    </w:p>
    <w:p w14:paraId="3DA29D58" w14:textId="77777777" w:rsidR="00033CCA" w:rsidRPr="00917415" w:rsidRDefault="00D103E8" w:rsidP="008F45AF">
      <w:pPr>
        <w:pStyle w:val="3-BodyText"/>
        <w:jc w:val="left"/>
        <w:rPr>
          <w:rFonts w:ascii="Arial Narrow" w:eastAsiaTheme="minorHAnsi" w:hAnsi="Arial Narrow" w:cstheme="minorBidi"/>
          <w:b/>
          <w:bCs/>
          <w:sz w:val="20"/>
          <w:szCs w:val="20"/>
          <w:lang w:eastAsia="en-US"/>
        </w:rPr>
      </w:pPr>
      <w:r w:rsidRPr="00917415">
        <w:t xml:space="preserve">Table </w:t>
      </w:r>
      <w:r w:rsidR="00417174" w:rsidRPr="00917415">
        <w:t xml:space="preserve">11 </w:t>
      </w:r>
      <w:r w:rsidRPr="00917415">
        <w:t>summarises results of the</w:t>
      </w:r>
      <w:r w:rsidR="00033CCA" w:rsidRPr="00917415">
        <w:t xml:space="preserve"> applicant’s</w:t>
      </w:r>
      <w:r w:rsidRPr="00917415">
        <w:t xml:space="preserve"> MAIC of for ONA versus </w:t>
      </w:r>
      <w:r w:rsidR="00EE09B5" w:rsidRPr="00917415">
        <w:t>NUSI</w:t>
      </w:r>
      <w:r w:rsidRPr="00917415">
        <w:t xml:space="preserve"> for motor milestone achievements, using pooled and weighted patient-level data from START and </w:t>
      </w:r>
      <w:r w:rsidR="00BA689D" w:rsidRPr="00917415">
        <w:t>STR1VE</w:t>
      </w:r>
      <w:r w:rsidRPr="00917415">
        <w:t>-US versus aggregate data reported in SHINE/ENDEAR.</w:t>
      </w:r>
      <w:r w:rsidR="00EB7FBE" w:rsidRPr="00917415">
        <w:t xml:space="preserve"> </w:t>
      </w:r>
    </w:p>
    <w:p w14:paraId="227B0C11" w14:textId="77777777" w:rsidR="00D103E8" w:rsidRPr="00917415" w:rsidRDefault="00D103E8" w:rsidP="00A00973">
      <w:pPr>
        <w:pStyle w:val="TableFigureHeading"/>
        <w:keepLines/>
        <w:rPr>
          <w:lang w:eastAsia="en-US"/>
        </w:rPr>
      </w:pPr>
      <w:r w:rsidRPr="00917415">
        <w:rPr>
          <w:lang w:eastAsia="en-US"/>
        </w:rPr>
        <w:lastRenderedPageBreak/>
        <w:t>Table</w:t>
      </w:r>
      <w:r w:rsidR="00F462D2" w:rsidRPr="00917415">
        <w:rPr>
          <w:lang w:eastAsia="en-US"/>
        </w:rPr>
        <w:t xml:space="preserve"> </w:t>
      </w:r>
      <w:r w:rsidR="00417174" w:rsidRPr="00917415">
        <w:rPr>
          <w:lang w:eastAsia="en-US"/>
        </w:rPr>
        <w:t>11</w:t>
      </w:r>
      <w:r w:rsidRPr="00917415">
        <w:rPr>
          <w:lang w:eastAsia="en-US"/>
        </w:rPr>
        <w:t xml:space="preserve">: MAIC of motor milestone achievements, ONA versus </w:t>
      </w:r>
      <w:r w:rsidR="00EE09B5" w:rsidRPr="00917415">
        <w:rPr>
          <w:lang w:eastAsia="en-US"/>
        </w:rPr>
        <w:t>NUSI</w:t>
      </w:r>
      <w:r w:rsidRPr="00917415">
        <w:rPr>
          <w:lang w:eastAsia="en-US"/>
        </w:rPr>
        <w:t xml:space="preserve"> – START and STR1VE-US versus SHINE/ENDEAR</w:t>
      </w:r>
    </w:p>
    <w:tbl>
      <w:tblPr>
        <w:tblStyle w:val="TableGrid"/>
        <w:tblW w:w="5000" w:type="pct"/>
        <w:tblCellMar>
          <w:left w:w="28" w:type="dxa"/>
          <w:right w:w="28" w:type="dxa"/>
        </w:tblCellMar>
        <w:tblLook w:val="04A0" w:firstRow="1" w:lastRow="0" w:firstColumn="1" w:lastColumn="0" w:noHBand="0" w:noVBand="1"/>
        <w:tblCaption w:val="Table 11: MAIC of motor milestone achievements, ONA versus NUSI – START and STR1VE-US versus SHINE/ENDEAR"/>
      </w:tblPr>
      <w:tblGrid>
        <w:gridCol w:w="1684"/>
        <w:gridCol w:w="1690"/>
        <w:gridCol w:w="1295"/>
        <w:gridCol w:w="1398"/>
        <w:gridCol w:w="1407"/>
        <w:gridCol w:w="1543"/>
      </w:tblGrid>
      <w:tr w:rsidR="00D103E8" w:rsidRPr="00A00973" w14:paraId="5B2441EF" w14:textId="77777777" w:rsidTr="002E0331">
        <w:trPr>
          <w:tblHeader/>
        </w:trPr>
        <w:tc>
          <w:tcPr>
            <w:tcW w:w="935" w:type="pct"/>
            <w:tcBorders>
              <w:bottom w:val="nil"/>
            </w:tcBorders>
            <w:shd w:val="clear" w:color="auto" w:fill="auto"/>
            <w:vAlign w:val="center"/>
          </w:tcPr>
          <w:p w14:paraId="658AAC82" w14:textId="77777777"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Time on study</w:t>
            </w:r>
          </w:p>
        </w:tc>
        <w:tc>
          <w:tcPr>
            <w:tcW w:w="938" w:type="pct"/>
            <w:tcBorders>
              <w:bottom w:val="single" w:sz="4" w:space="0" w:color="auto"/>
            </w:tcBorders>
            <w:shd w:val="clear" w:color="auto" w:fill="auto"/>
          </w:tcPr>
          <w:p w14:paraId="1408EA3F"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ONA</w:t>
            </w:r>
          </w:p>
          <w:p w14:paraId="350F1F65"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START / STR1VE-US</w:t>
            </w:r>
          </w:p>
          <w:p w14:paraId="20343B7D"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n/N (%)</w:t>
            </w:r>
          </w:p>
        </w:tc>
        <w:tc>
          <w:tcPr>
            <w:tcW w:w="714" w:type="pct"/>
            <w:tcBorders>
              <w:bottom w:val="single" w:sz="4" w:space="0" w:color="auto"/>
            </w:tcBorders>
            <w:shd w:val="clear" w:color="auto" w:fill="auto"/>
            <w:vAlign w:val="center"/>
          </w:tcPr>
          <w:p w14:paraId="0EDADD11" w14:textId="77777777" w:rsidR="00D103E8" w:rsidRPr="00A00973" w:rsidRDefault="00EE09B5"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NUSI</w:t>
            </w:r>
          </w:p>
          <w:p w14:paraId="7D5F808E"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napToGrid w:val="0"/>
                <w:sz w:val="20"/>
                <w:szCs w:val="20"/>
                <w:lang w:eastAsia="en-US"/>
              </w:rPr>
              <w:t>SHINE/ENDEAR</w:t>
            </w:r>
          </w:p>
          <w:p w14:paraId="53D3CE4E"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b/>
                <w:snapToGrid w:val="0"/>
                <w:sz w:val="20"/>
                <w:szCs w:val="20"/>
                <w:lang w:eastAsia="en-US"/>
              </w:rPr>
              <w:t>n/N (%)</w:t>
            </w:r>
          </w:p>
        </w:tc>
        <w:tc>
          <w:tcPr>
            <w:tcW w:w="776" w:type="pct"/>
            <w:tcBorders>
              <w:bottom w:val="single" w:sz="4" w:space="0" w:color="auto"/>
            </w:tcBorders>
            <w:shd w:val="clear" w:color="auto" w:fill="auto"/>
            <w:vAlign w:val="center"/>
          </w:tcPr>
          <w:p w14:paraId="7F9E76F3" w14:textId="77777777" w:rsidR="00D103E8" w:rsidRPr="00A00973" w:rsidRDefault="00D103E8" w:rsidP="00A00973">
            <w:pPr>
              <w:keepNext/>
              <w:keepLines/>
              <w:widowControl w:val="0"/>
              <w:jc w:val="center"/>
              <w:rPr>
                <w:rFonts w:ascii="Arial Narrow" w:hAnsi="Arial Narrow"/>
                <w:b/>
                <w:bCs/>
                <w:snapToGrid w:val="0"/>
                <w:sz w:val="20"/>
                <w:szCs w:val="20"/>
                <w:lang w:eastAsia="en-US"/>
              </w:rPr>
            </w:pPr>
            <w:r w:rsidRPr="00A00973">
              <w:rPr>
                <w:rFonts w:ascii="Arial Narrow" w:hAnsi="Arial Narrow"/>
                <w:b/>
                <w:bCs/>
                <w:snapToGrid w:val="0"/>
                <w:sz w:val="20"/>
                <w:szCs w:val="20"/>
                <w:lang w:eastAsia="en-US"/>
              </w:rPr>
              <w:t>RR (95% CrI)</w:t>
            </w:r>
          </w:p>
        </w:tc>
        <w:tc>
          <w:tcPr>
            <w:tcW w:w="781" w:type="pct"/>
            <w:tcBorders>
              <w:bottom w:val="single" w:sz="4" w:space="0" w:color="auto"/>
            </w:tcBorders>
            <w:shd w:val="clear" w:color="auto" w:fill="auto"/>
            <w:vAlign w:val="center"/>
          </w:tcPr>
          <w:p w14:paraId="7D4648B3" w14:textId="77777777" w:rsidR="00D103E8" w:rsidRPr="00A00973" w:rsidRDefault="00D103E8" w:rsidP="00A00973">
            <w:pPr>
              <w:keepNext/>
              <w:keepLines/>
              <w:widowControl w:val="0"/>
              <w:jc w:val="center"/>
              <w:rPr>
                <w:rFonts w:ascii="Arial Narrow" w:hAnsi="Arial Narrow"/>
                <w:b/>
                <w:bCs/>
                <w:snapToGrid w:val="0"/>
                <w:sz w:val="20"/>
                <w:szCs w:val="20"/>
                <w:lang w:eastAsia="en-US"/>
              </w:rPr>
            </w:pPr>
            <w:r w:rsidRPr="00A00973">
              <w:rPr>
                <w:rFonts w:ascii="Arial Narrow" w:hAnsi="Arial Narrow"/>
                <w:b/>
                <w:bCs/>
                <w:snapToGrid w:val="0"/>
                <w:sz w:val="20"/>
                <w:szCs w:val="20"/>
                <w:lang w:eastAsia="en-US"/>
              </w:rPr>
              <w:t>RD (95% CrI)</w:t>
            </w:r>
          </w:p>
        </w:tc>
        <w:tc>
          <w:tcPr>
            <w:tcW w:w="855" w:type="pct"/>
            <w:tcBorders>
              <w:bottom w:val="single" w:sz="4" w:space="0" w:color="auto"/>
            </w:tcBorders>
            <w:shd w:val="clear" w:color="auto" w:fill="auto"/>
            <w:vAlign w:val="center"/>
          </w:tcPr>
          <w:p w14:paraId="0C60081F"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b/>
                <w:snapToGrid w:val="0"/>
                <w:sz w:val="20"/>
                <w:szCs w:val="20"/>
                <w:lang w:eastAsia="en-US"/>
              </w:rPr>
              <w:t>NNT (95%CrI)</w:t>
            </w:r>
          </w:p>
        </w:tc>
      </w:tr>
      <w:tr w:rsidR="00D103E8" w:rsidRPr="00A00973" w14:paraId="3726A9E7" w14:textId="77777777" w:rsidTr="00A00973">
        <w:tc>
          <w:tcPr>
            <w:tcW w:w="5000" w:type="pct"/>
            <w:gridSpan w:val="6"/>
            <w:tcBorders>
              <w:bottom w:val="single" w:sz="4" w:space="0" w:color="auto"/>
            </w:tcBorders>
            <w:shd w:val="clear" w:color="auto" w:fill="auto"/>
            <w:vAlign w:val="center"/>
          </w:tcPr>
          <w:p w14:paraId="19026244" w14:textId="77777777"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sitting</w:t>
            </w:r>
            <w:r w:rsidR="0059318E" w:rsidRPr="00A00973">
              <w:rPr>
                <w:rFonts w:ascii="Arial Narrow" w:hAnsi="Arial Narrow"/>
                <w:b/>
                <w:snapToGrid w:val="0"/>
                <w:sz w:val="20"/>
                <w:szCs w:val="20"/>
                <w:lang w:eastAsia="en-US"/>
              </w:rPr>
              <w:t xml:space="preserve"> (Scenario A)</w:t>
            </w:r>
            <w:r w:rsidRPr="00A00973">
              <w:rPr>
                <w:rFonts w:ascii="Arial Narrow" w:hAnsi="Arial Narrow"/>
                <w:b/>
                <w:snapToGrid w:val="0"/>
                <w:sz w:val="20"/>
                <w:szCs w:val="20"/>
                <w:lang w:eastAsia="en-US"/>
              </w:rPr>
              <w:t>:</w:t>
            </w:r>
          </w:p>
          <w:p w14:paraId="0B808886" w14:textId="77777777" w:rsidR="00D103E8" w:rsidRPr="00A00973" w:rsidRDefault="00D103E8"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START / STR1VE-US</w:t>
            </w:r>
            <w:r w:rsidRPr="00A00973">
              <w:rPr>
                <w:rFonts w:ascii="Arial Narrow" w:hAnsi="Arial Narrow"/>
                <w:sz w:val="20"/>
                <w:szCs w:val="20"/>
                <w:lang w:eastAsia="en-US"/>
              </w:rPr>
              <w:t xml:space="preserve"> definition – </w:t>
            </w:r>
            <w:r w:rsidRPr="00A00973">
              <w:rPr>
                <w:rFonts w:ascii="Arial Narrow" w:hAnsi="Arial Narrow"/>
                <w:b/>
                <w:sz w:val="20"/>
                <w:szCs w:val="20"/>
                <w:lang w:eastAsia="en-US"/>
              </w:rPr>
              <w:t>sitting unassisted for ≥ 30 seconds</w:t>
            </w:r>
            <w:r w:rsidRPr="00A00973">
              <w:rPr>
                <w:rFonts w:ascii="Arial Narrow" w:hAnsi="Arial Narrow"/>
                <w:sz w:val="20"/>
                <w:szCs w:val="20"/>
                <w:lang w:eastAsia="en-US"/>
              </w:rPr>
              <w:t xml:space="preserve"> - Bayley Scales Gross Motor Subset (#26)</w:t>
            </w:r>
          </w:p>
          <w:p w14:paraId="5D022A89" w14:textId="77777777" w:rsidR="00D103E8" w:rsidRPr="00A00973" w:rsidRDefault="00D103E8" w:rsidP="00A00973">
            <w:pPr>
              <w:pStyle w:val="ListParagraph"/>
              <w:keepNext/>
              <w:keepLines/>
              <w:widowControl w:val="0"/>
              <w:numPr>
                <w:ilvl w:val="0"/>
                <w:numId w:val="0"/>
              </w:numPr>
              <w:spacing w:after="60"/>
              <w:jc w:val="left"/>
              <w:rPr>
                <w:rFonts w:ascii="Arial Narrow" w:hAnsi="Arial Narrow"/>
                <w:b/>
                <w:sz w:val="20"/>
                <w:szCs w:val="20"/>
                <w:lang w:eastAsia="en-US"/>
              </w:rPr>
            </w:pPr>
            <w:r w:rsidRPr="00A00973">
              <w:rPr>
                <w:rFonts w:ascii="Arial Narrow" w:hAnsi="Arial Narrow"/>
                <w:sz w:val="20"/>
                <w:szCs w:val="20"/>
                <w:u w:val="single"/>
                <w:lang w:eastAsia="en-US"/>
              </w:rPr>
              <w:t>SHINE</w:t>
            </w:r>
            <w:r w:rsidRPr="00A00973">
              <w:rPr>
                <w:rFonts w:ascii="Arial Narrow" w:hAnsi="Arial Narrow"/>
                <w:sz w:val="20"/>
                <w:szCs w:val="20"/>
                <w:lang w:eastAsia="en-US"/>
              </w:rPr>
              <w:t xml:space="preserve"> definition – stable sitting and pivoting (HINE-2)</w:t>
            </w:r>
          </w:p>
        </w:tc>
      </w:tr>
      <w:tr w:rsidR="00D103E8" w:rsidRPr="00A00973" w14:paraId="37BD7ABF" w14:textId="77777777" w:rsidTr="00A00973">
        <w:tc>
          <w:tcPr>
            <w:tcW w:w="935" w:type="pct"/>
            <w:tcBorders>
              <w:bottom w:val="nil"/>
            </w:tcBorders>
            <w:shd w:val="clear" w:color="auto" w:fill="auto"/>
            <w:vAlign w:val="center"/>
          </w:tcPr>
          <w:p w14:paraId="6150DE7B"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w:t>
            </w:r>
          </w:p>
        </w:tc>
        <w:tc>
          <w:tcPr>
            <w:tcW w:w="938" w:type="pct"/>
            <w:tcBorders>
              <w:bottom w:val="nil"/>
            </w:tcBorders>
            <w:vAlign w:val="bottom"/>
          </w:tcPr>
          <w:p w14:paraId="7673ED2C"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0.8/24.6 (3.3%)</w:t>
            </w:r>
          </w:p>
        </w:tc>
        <w:tc>
          <w:tcPr>
            <w:tcW w:w="714" w:type="pct"/>
            <w:tcBorders>
              <w:bottom w:val="nil"/>
            </w:tcBorders>
            <w:shd w:val="clear" w:color="auto" w:fill="auto"/>
            <w:vAlign w:val="bottom"/>
          </w:tcPr>
          <w:p w14:paraId="585E9EAE"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3/65 (4.6%)</w:t>
            </w:r>
          </w:p>
        </w:tc>
        <w:tc>
          <w:tcPr>
            <w:tcW w:w="776" w:type="pct"/>
            <w:tcBorders>
              <w:bottom w:val="nil"/>
            </w:tcBorders>
            <w:vAlign w:val="bottom"/>
          </w:tcPr>
          <w:p w14:paraId="40FA500E"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0.72 (0.07-7.95)</w:t>
            </w:r>
          </w:p>
        </w:tc>
        <w:tc>
          <w:tcPr>
            <w:tcW w:w="781" w:type="pct"/>
            <w:tcBorders>
              <w:bottom w:val="nil"/>
            </w:tcBorders>
            <w:vAlign w:val="bottom"/>
          </w:tcPr>
          <w:p w14:paraId="5DDDF091"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-0.01(-0.10-0.07)</w:t>
            </w:r>
          </w:p>
        </w:tc>
        <w:tc>
          <w:tcPr>
            <w:tcW w:w="855" w:type="pct"/>
            <w:tcBorders>
              <w:bottom w:val="nil"/>
            </w:tcBorders>
            <w:shd w:val="clear" w:color="auto" w:fill="auto"/>
            <w:vAlign w:val="bottom"/>
          </w:tcPr>
          <w:p w14:paraId="2662CF75"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-77.54(-9.98-13.44)</w:t>
            </w:r>
          </w:p>
        </w:tc>
      </w:tr>
      <w:tr w:rsidR="00D103E8" w:rsidRPr="00A00973" w14:paraId="281878AA" w14:textId="77777777" w:rsidTr="00A00973">
        <w:tc>
          <w:tcPr>
            <w:tcW w:w="935" w:type="pct"/>
            <w:tcBorders>
              <w:top w:val="nil"/>
              <w:left w:val="single" w:sz="4" w:space="0" w:color="auto"/>
              <w:bottom w:val="nil"/>
              <w:right w:val="single" w:sz="4" w:space="0" w:color="auto"/>
            </w:tcBorders>
            <w:shd w:val="clear" w:color="auto" w:fill="auto"/>
            <w:vAlign w:val="center"/>
          </w:tcPr>
          <w:p w14:paraId="7B1AB08C"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w:t>
            </w:r>
          </w:p>
        </w:tc>
        <w:tc>
          <w:tcPr>
            <w:tcW w:w="938" w:type="pct"/>
            <w:tcBorders>
              <w:top w:val="nil"/>
              <w:left w:val="single" w:sz="4" w:space="0" w:color="auto"/>
              <w:bottom w:val="nil"/>
              <w:right w:val="single" w:sz="4" w:space="0" w:color="auto"/>
            </w:tcBorders>
            <w:vAlign w:val="bottom"/>
          </w:tcPr>
          <w:p w14:paraId="49F3EFC8"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6.4/24.6 (26.2%)</w:t>
            </w:r>
          </w:p>
        </w:tc>
        <w:tc>
          <w:tcPr>
            <w:tcW w:w="714" w:type="pct"/>
            <w:tcBorders>
              <w:top w:val="nil"/>
              <w:left w:val="single" w:sz="4" w:space="0" w:color="auto"/>
              <w:bottom w:val="nil"/>
              <w:right w:val="single" w:sz="4" w:space="0" w:color="auto"/>
            </w:tcBorders>
            <w:shd w:val="clear" w:color="auto" w:fill="auto"/>
            <w:vAlign w:val="bottom"/>
          </w:tcPr>
          <w:p w14:paraId="2E42AE7D"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7/48 (14.6%)</w:t>
            </w:r>
          </w:p>
        </w:tc>
        <w:tc>
          <w:tcPr>
            <w:tcW w:w="776" w:type="pct"/>
            <w:tcBorders>
              <w:top w:val="nil"/>
              <w:left w:val="single" w:sz="4" w:space="0" w:color="auto"/>
              <w:bottom w:val="nil"/>
              <w:right w:val="single" w:sz="4" w:space="0" w:color="auto"/>
            </w:tcBorders>
            <w:vAlign w:val="bottom"/>
          </w:tcPr>
          <w:p w14:paraId="4F2CBB4A" w14:textId="77777777"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sz w:val="20"/>
                <w:szCs w:val="20"/>
              </w:rPr>
              <w:t>1.79 (0.69-4.66)</w:t>
            </w:r>
          </w:p>
        </w:tc>
        <w:tc>
          <w:tcPr>
            <w:tcW w:w="781" w:type="pct"/>
            <w:tcBorders>
              <w:top w:val="nil"/>
              <w:left w:val="single" w:sz="4" w:space="0" w:color="auto"/>
              <w:bottom w:val="nil"/>
              <w:right w:val="single" w:sz="4" w:space="0" w:color="auto"/>
            </w:tcBorders>
            <w:vAlign w:val="bottom"/>
          </w:tcPr>
          <w:p w14:paraId="0219E379"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0.12(-0.08-0.32)</w:t>
            </w:r>
          </w:p>
        </w:tc>
        <w:tc>
          <w:tcPr>
            <w:tcW w:w="855" w:type="pct"/>
            <w:tcBorders>
              <w:top w:val="nil"/>
              <w:left w:val="single" w:sz="4" w:space="0" w:color="auto"/>
              <w:bottom w:val="nil"/>
              <w:right w:val="single" w:sz="4" w:space="0" w:color="auto"/>
            </w:tcBorders>
            <w:shd w:val="clear" w:color="auto" w:fill="auto"/>
            <w:vAlign w:val="bottom"/>
          </w:tcPr>
          <w:p w14:paraId="3638476A"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8.64(-11.82-3.16)</w:t>
            </w:r>
          </w:p>
        </w:tc>
      </w:tr>
      <w:tr w:rsidR="00D103E8" w:rsidRPr="00A00973" w14:paraId="4519C932" w14:textId="77777777" w:rsidTr="00A00973">
        <w:tc>
          <w:tcPr>
            <w:tcW w:w="935" w:type="pct"/>
            <w:tcBorders>
              <w:top w:val="nil"/>
              <w:left w:val="single" w:sz="4" w:space="0" w:color="auto"/>
              <w:bottom w:val="nil"/>
              <w:right w:val="single" w:sz="4" w:space="0" w:color="auto"/>
            </w:tcBorders>
            <w:shd w:val="clear" w:color="auto" w:fill="auto"/>
            <w:vAlign w:val="center"/>
          </w:tcPr>
          <w:p w14:paraId="4DD9E35B"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w:t>
            </w:r>
          </w:p>
        </w:tc>
        <w:tc>
          <w:tcPr>
            <w:tcW w:w="938" w:type="pct"/>
            <w:tcBorders>
              <w:top w:val="nil"/>
              <w:left w:val="single" w:sz="4" w:space="0" w:color="auto"/>
              <w:bottom w:val="nil"/>
              <w:right w:val="single" w:sz="4" w:space="0" w:color="auto"/>
            </w:tcBorders>
            <w:vAlign w:val="bottom"/>
          </w:tcPr>
          <w:p w14:paraId="3AF3EC7B"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13.3/24.6 (54.1%)</w:t>
            </w:r>
          </w:p>
        </w:tc>
        <w:tc>
          <w:tcPr>
            <w:tcW w:w="714" w:type="pct"/>
            <w:tcBorders>
              <w:top w:val="nil"/>
              <w:left w:val="single" w:sz="4" w:space="0" w:color="auto"/>
              <w:bottom w:val="nil"/>
              <w:right w:val="single" w:sz="4" w:space="0" w:color="auto"/>
            </w:tcBorders>
            <w:shd w:val="clear" w:color="auto" w:fill="auto"/>
            <w:vAlign w:val="bottom"/>
          </w:tcPr>
          <w:p w14:paraId="3AC3FD08"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9/31 (29%)</w:t>
            </w:r>
          </w:p>
        </w:tc>
        <w:tc>
          <w:tcPr>
            <w:tcW w:w="776" w:type="pct"/>
            <w:tcBorders>
              <w:top w:val="nil"/>
              <w:left w:val="single" w:sz="4" w:space="0" w:color="auto"/>
              <w:bottom w:val="nil"/>
              <w:right w:val="single" w:sz="4" w:space="0" w:color="auto"/>
            </w:tcBorders>
            <w:vAlign w:val="bottom"/>
          </w:tcPr>
          <w:p w14:paraId="0BCEE74A" w14:textId="77777777"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sz w:val="20"/>
                <w:szCs w:val="20"/>
              </w:rPr>
              <w:t>1.86(0.96-3.60)</w:t>
            </w:r>
          </w:p>
        </w:tc>
        <w:tc>
          <w:tcPr>
            <w:tcW w:w="781" w:type="pct"/>
            <w:tcBorders>
              <w:top w:val="nil"/>
              <w:left w:val="single" w:sz="4" w:space="0" w:color="auto"/>
              <w:bottom w:val="nil"/>
              <w:right w:val="single" w:sz="4" w:space="0" w:color="auto"/>
            </w:tcBorders>
            <w:vAlign w:val="bottom"/>
          </w:tcPr>
          <w:p w14:paraId="1B8BAB05"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0.25 (-0.00-0.50)</w:t>
            </w:r>
          </w:p>
        </w:tc>
        <w:tc>
          <w:tcPr>
            <w:tcW w:w="855" w:type="pct"/>
            <w:tcBorders>
              <w:top w:val="nil"/>
              <w:left w:val="single" w:sz="4" w:space="0" w:color="auto"/>
              <w:bottom w:val="nil"/>
              <w:right w:val="single" w:sz="4" w:space="0" w:color="auto"/>
            </w:tcBorders>
            <w:shd w:val="clear" w:color="auto" w:fill="auto"/>
            <w:vAlign w:val="bottom"/>
          </w:tcPr>
          <w:p w14:paraId="582CADF1"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3.99(-320.69-1.98)</w:t>
            </w:r>
          </w:p>
        </w:tc>
      </w:tr>
      <w:tr w:rsidR="00D103E8" w:rsidRPr="00A00973" w14:paraId="0C7C48FF" w14:textId="77777777" w:rsidTr="00A00973">
        <w:tc>
          <w:tcPr>
            <w:tcW w:w="935" w:type="pct"/>
            <w:tcBorders>
              <w:top w:val="nil"/>
              <w:bottom w:val="single" w:sz="4" w:space="0" w:color="auto"/>
            </w:tcBorders>
            <w:shd w:val="clear" w:color="auto" w:fill="auto"/>
            <w:vAlign w:val="center"/>
          </w:tcPr>
          <w:p w14:paraId="09486A6B"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w:t>
            </w:r>
          </w:p>
        </w:tc>
        <w:tc>
          <w:tcPr>
            <w:tcW w:w="938" w:type="pct"/>
            <w:tcBorders>
              <w:top w:val="nil"/>
              <w:bottom w:val="single" w:sz="4" w:space="0" w:color="auto"/>
            </w:tcBorders>
            <w:vAlign w:val="bottom"/>
          </w:tcPr>
          <w:p w14:paraId="3A2749E3"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15.1/24.6 (61.3%)</w:t>
            </w:r>
          </w:p>
        </w:tc>
        <w:tc>
          <w:tcPr>
            <w:tcW w:w="714" w:type="pct"/>
            <w:tcBorders>
              <w:top w:val="nil"/>
              <w:bottom w:val="single" w:sz="4" w:space="0" w:color="auto"/>
            </w:tcBorders>
            <w:shd w:val="clear" w:color="auto" w:fill="auto"/>
            <w:vAlign w:val="bottom"/>
          </w:tcPr>
          <w:p w14:paraId="104A5A17"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4/17 (23.5%)</w:t>
            </w:r>
          </w:p>
        </w:tc>
        <w:tc>
          <w:tcPr>
            <w:tcW w:w="776" w:type="pct"/>
            <w:tcBorders>
              <w:top w:val="nil"/>
            </w:tcBorders>
            <w:vAlign w:val="bottom"/>
          </w:tcPr>
          <w:p w14:paraId="0F6EE8EB" w14:textId="77777777" w:rsidR="00D103E8" w:rsidRPr="00A00973" w:rsidRDefault="00D103E8" w:rsidP="00A00973">
            <w:pPr>
              <w:keepNext/>
              <w:keepLines/>
              <w:widowControl w:val="0"/>
              <w:jc w:val="center"/>
              <w:rPr>
                <w:rFonts w:ascii="Arial Narrow" w:hAnsi="Arial Narrow"/>
                <w:b/>
                <w:i/>
                <w:snapToGrid w:val="0"/>
                <w:sz w:val="20"/>
                <w:szCs w:val="20"/>
                <w:lang w:eastAsia="en-US"/>
              </w:rPr>
            </w:pPr>
            <w:r w:rsidRPr="00A00973">
              <w:rPr>
                <w:rFonts w:ascii="Arial Narrow" w:hAnsi="Arial Narrow"/>
                <w:b/>
                <w:sz w:val="20"/>
                <w:szCs w:val="20"/>
              </w:rPr>
              <w:t>2.60 (1.05-6.49)</w:t>
            </w:r>
          </w:p>
        </w:tc>
        <w:tc>
          <w:tcPr>
            <w:tcW w:w="781" w:type="pct"/>
            <w:tcBorders>
              <w:top w:val="nil"/>
            </w:tcBorders>
            <w:vAlign w:val="bottom"/>
          </w:tcPr>
          <w:p w14:paraId="2CEA3A91"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0.38 (0.10-0.66)</w:t>
            </w:r>
          </w:p>
        </w:tc>
        <w:tc>
          <w:tcPr>
            <w:tcW w:w="855" w:type="pct"/>
            <w:tcBorders>
              <w:top w:val="nil"/>
            </w:tcBorders>
            <w:shd w:val="clear" w:color="auto" w:fill="auto"/>
            <w:vAlign w:val="bottom"/>
          </w:tcPr>
          <w:p w14:paraId="30D5932F"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2.65</w:t>
            </w:r>
            <w:r w:rsidR="0059318E" w:rsidRPr="00A00973">
              <w:rPr>
                <w:rFonts w:ascii="Arial Narrow" w:hAnsi="Arial Narrow"/>
                <w:b/>
                <w:sz w:val="20"/>
                <w:szCs w:val="20"/>
              </w:rPr>
              <w:t xml:space="preserve"> </w:t>
            </w:r>
            <w:r w:rsidRPr="00A00973">
              <w:rPr>
                <w:rFonts w:ascii="Arial Narrow" w:hAnsi="Arial Narrow"/>
                <w:b/>
                <w:sz w:val="20"/>
                <w:szCs w:val="20"/>
              </w:rPr>
              <w:t>(1.52-10.13)</w:t>
            </w:r>
          </w:p>
        </w:tc>
      </w:tr>
      <w:tr w:rsidR="00D103E8" w:rsidRPr="00A00973" w14:paraId="2FA5E34A" w14:textId="77777777" w:rsidTr="00A00973">
        <w:tc>
          <w:tcPr>
            <w:tcW w:w="5000" w:type="pct"/>
            <w:gridSpan w:val="6"/>
            <w:tcBorders>
              <w:bottom w:val="single" w:sz="4" w:space="0" w:color="auto"/>
            </w:tcBorders>
            <w:shd w:val="clear" w:color="auto" w:fill="auto"/>
            <w:vAlign w:val="center"/>
          </w:tcPr>
          <w:p w14:paraId="170906BA" w14:textId="77777777" w:rsidR="00D103E8" w:rsidRPr="00A00973" w:rsidRDefault="00D103E8"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sitting</w:t>
            </w:r>
            <w:r w:rsidR="0059318E" w:rsidRPr="00A00973">
              <w:rPr>
                <w:rFonts w:ascii="Arial Narrow" w:hAnsi="Arial Narrow"/>
                <w:b/>
                <w:snapToGrid w:val="0"/>
                <w:sz w:val="20"/>
                <w:szCs w:val="20"/>
                <w:lang w:eastAsia="en-US"/>
              </w:rPr>
              <w:t xml:space="preserve"> (Scenario B)</w:t>
            </w:r>
            <w:r w:rsidRPr="00A00973">
              <w:rPr>
                <w:rFonts w:ascii="Arial Narrow" w:hAnsi="Arial Narrow"/>
                <w:b/>
                <w:snapToGrid w:val="0"/>
                <w:sz w:val="20"/>
                <w:szCs w:val="20"/>
                <w:lang w:eastAsia="en-US"/>
              </w:rPr>
              <w:t>:</w:t>
            </w:r>
          </w:p>
          <w:p w14:paraId="5053C7DD" w14:textId="77777777" w:rsidR="00D103E8" w:rsidRPr="00A00973" w:rsidRDefault="00D103E8"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START</w:t>
            </w:r>
            <w:r w:rsidRPr="00A00973">
              <w:rPr>
                <w:rFonts w:ascii="Arial Narrow" w:hAnsi="Arial Narrow"/>
                <w:sz w:val="20"/>
                <w:szCs w:val="20"/>
                <w:lang w:eastAsia="en-US"/>
              </w:rPr>
              <w:t xml:space="preserve"> definition – </w:t>
            </w:r>
            <w:r w:rsidRPr="00A00973">
              <w:rPr>
                <w:rFonts w:ascii="Arial Narrow" w:hAnsi="Arial Narrow"/>
                <w:b/>
                <w:sz w:val="20"/>
                <w:szCs w:val="20"/>
                <w:lang w:eastAsia="en-US"/>
              </w:rPr>
              <w:t xml:space="preserve">sitting unassisted for </w:t>
            </w:r>
            <w:r w:rsidRPr="00A00973">
              <w:rPr>
                <w:rFonts w:ascii="Arial Narrow" w:hAnsi="Arial Narrow"/>
                <w:b/>
                <w:sz w:val="20"/>
                <w:szCs w:val="20"/>
                <w:u w:val="single"/>
                <w:lang w:eastAsia="en-US"/>
              </w:rPr>
              <w:t>≥ 5 seconds</w:t>
            </w:r>
            <w:r w:rsidRPr="00A00973">
              <w:rPr>
                <w:rFonts w:ascii="Arial Narrow" w:hAnsi="Arial Narrow"/>
                <w:sz w:val="20"/>
                <w:szCs w:val="20"/>
                <w:lang w:eastAsia="en-US"/>
              </w:rPr>
              <w:t xml:space="preserve"> - Bayley Scales Gross Motor Subset (#22)</w:t>
            </w:r>
          </w:p>
          <w:p w14:paraId="39274F43" w14:textId="77777777" w:rsidR="00D103E8" w:rsidRPr="00A00973" w:rsidRDefault="00BA689D" w:rsidP="00A00973">
            <w:pPr>
              <w:pStyle w:val="ListParagraph"/>
              <w:keepNext/>
              <w:keepLines/>
              <w:widowControl w:val="0"/>
              <w:numPr>
                <w:ilvl w:val="0"/>
                <w:numId w:val="0"/>
              </w:numPr>
              <w:spacing w:after="0"/>
              <w:jc w:val="left"/>
              <w:rPr>
                <w:rFonts w:ascii="Arial Narrow" w:hAnsi="Arial Narrow"/>
                <w:sz w:val="20"/>
                <w:szCs w:val="20"/>
                <w:lang w:eastAsia="en-US"/>
              </w:rPr>
            </w:pPr>
            <w:r w:rsidRPr="00A00973">
              <w:rPr>
                <w:rFonts w:ascii="Arial Narrow" w:hAnsi="Arial Narrow"/>
                <w:sz w:val="20"/>
                <w:szCs w:val="20"/>
                <w:u w:val="single"/>
                <w:lang w:eastAsia="en-US"/>
              </w:rPr>
              <w:t>STR1VE</w:t>
            </w:r>
            <w:r w:rsidR="00D103E8" w:rsidRPr="00A00973">
              <w:rPr>
                <w:rFonts w:ascii="Arial Narrow" w:hAnsi="Arial Narrow"/>
                <w:sz w:val="20"/>
                <w:szCs w:val="20"/>
                <w:u w:val="single"/>
                <w:lang w:eastAsia="en-US"/>
              </w:rPr>
              <w:t xml:space="preserve"> US</w:t>
            </w:r>
            <w:r w:rsidR="00D103E8" w:rsidRPr="00A00973">
              <w:rPr>
                <w:rFonts w:ascii="Arial Narrow" w:hAnsi="Arial Narrow"/>
                <w:sz w:val="20"/>
                <w:szCs w:val="20"/>
                <w:lang w:eastAsia="en-US"/>
              </w:rPr>
              <w:t xml:space="preserve"> definition – </w:t>
            </w:r>
            <w:r w:rsidR="00D103E8" w:rsidRPr="00A00973">
              <w:rPr>
                <w:rFonts w:ascii="Arial Narrow" w:hAnsi="Arial Narrow"/>
                <w:b/>
                <w:sz w:val="20"/>
                <w:szCs w:val="20"/>
                <w:lang w:eastAsia="en-US"/>
              </w:rPr>
              <w:t>sitting unassisted for ≥ 30 seconds</w:t>
            </w:r>
            <w:r w:rsidR="00D103E8" w:rsidRPr="00A00973">
              <w:rPr>
                <w:rFonts w:ascii="Arial Narrow" w:hAnsi="Arial Narrow"/>
                <w:sz w:val="20"/>
                <w:szCs w:val="20"/>
                <w:lang w:eastAsia="en-US"/>
              </w:rPr>
              <w:t xml:space="preserve"> - Bayley Scales Gross Motor Subset (#26)</w:t>
            </w:r>
          </w:p>
          <w:p w14:paraId="34189F59" w14:textId="77777777" w:rsidR="00D103E8" w:rsidRPr="00A00973" w:rsidRDefault="00D103E8" w:rsidP="00A00973">
            <w:pPr>
              <w:pStyle w:val="ListParagraph"/>
              <w:keepNext/>
              <w:keepLines/>
              <w:widowControl w:val="0"/>
              <w:numPr>
                <w:ilvl w:val="0"/>
                <w:numId w:val="0"/>
              </w:numPr>
              <w:spacing w:after="60"/>
              <w:jc w:val="left"/>
              <w:rPr>
                <w:rFonts w:ascii="Arial Narrow" w:hAnsi="Arial Narrow"/>
                <w:b/>
                <w:sz w:val="20"/>
                <w:szCs w:val="20"/>
                <w:lang w:eastAsia="en-US"/>
              </w:rPr>
            </w:pPr>
            <w:r w:rsidRPr="00A00973">
              <w:rPr>
                <w:rFonts w:ascii="Arial Narrow" w:hAnsi="Arial Narrow"/>
                <w:sz w:val="20"/>
                <w:szCs w:val="20"/>
                <w:u w:val="single"/>
                <w:lang w:eastAsia="en-US"/>
              </w:rPr>
              <w:t>SHINE</w:t>
            </w:r>
            <w:r w:rsidRPr="00A00973">
              <w:rPr>
                <w:rFonts w:ascii="Arial Narrow" w:hAnsi="Arial Narrow"/>
                <w:sz w:val="20"/>
                <w:szCs w:val="20"/>
                <w:lang w:eastAsia="en-US"/>
              </w:rPr>
              <w:t xml:space="preserve"> definition – stable sitting and pivoting (HINE-2)</w:t>
            </w:r>
          </w:p>
        </w:tc>
      </w:tr>
      <w:tr w:rsidR="00D103E8" w:rsidRPr="00A00973" w14:paraId="719C8051" w14:textId="77777777" w:rsidTr="00A00973">
        <w:tc>
          <w:tcPr>
            <w:tcW w:w="935" w:type="pct"/>
            <w:tcBorders>
              <w:bottom w:val="nil"/>
            </w:tcBorders>
            <w:shd w:val="clear" w:color="auto" w:fill="auto"/>
            <w:vAlign w:val="center"/>
          </w:tcPr>
          <w:p w14:paraId="0A0D4C14"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w:t>
            </w:r>
          </w:p>
        </w:tc>
        <w:tc>
          <w:tcPr>
            <w:tcW w:w="938" w:type="pct"/>
            <w:tcBorders>
              <w:bottom w:val="nil"/>
            </w:tcBorders>
            <w:vAlign w:val="bottom"/>
          </w:tcPr>
          <w:p w14:paraId="3B2C459A"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0.8/24.6 (3.3%)</w:t>
            </w:r>
          </w:p>
        </w:tc>
        <w:tc>
          <w:tcPr>
            <w:tcW w:w="714" w:type="pct"/>
            <w:tcBorders>
              <w:bottom w:val="nil"/>
            </w:tcBorders>
            <w:shd w:val="clear" w:color="auto" w:fill="auto"/>
            <w:vAlign w:val="bottom"/>
          </w:tcPr>
          <w:p w14:paraId="2C76F079"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3/65 (4.6%)</w:t>
            </w:r>
          </w:p>
        </w:tc>
        <w:tc>
          <w:tcPr>
            <w:tcW w:w="776" w:type="pct"/>
            <w:tcBorders>
              <w:bottom w:val="nil"/>
            </w:tcBorders>
            <w:vAlign w:val="bottom"/>
          </w:tcPr>
          <w:p w14:paraId="69F42F64" w14:textId="77777777" w:rsidR="00D103E8"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0.72 (0.07-7.95)</w:t>
            </w:r>
          </w:p>
        </w:tc>
        <w:tc>
          <w:tcPr>
            <w:tcW w:w="781" w:type="pct"/>
            <w:tcBorders>
              <w:bottom w:val="nil"/>
            </w:tcBorders>
            <w:vAlign w:val="bottom"/>
          </w:tcPr>
          <w:p w14:paraId="57CAFC93"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-0.01(-0.10-0.07)</w:t>
            </w:r>
          </w:p>
        </w:tc>
        <w:tc>
          <w:tcPr>
            <w:tcW w:w="855" w:type="pct"/>
            <w:tcBorders>
              <w:bottom w:val="nil"/>
            </w:tcBorders>
            <w:shd w:val="clear" w:color="auto" w:fill="auto"/>
            <w:vAlign w:val="bottom"/>
          </w:tcPr>
          <w:p w14:paraId="214866CD"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-77.54 (-9.98-13.44)</w:t>
            </w:r>
          </w:p>
        </w:tc>
      </w:tr>
      <w:tr w:rsidR="00D103E8" w:rsidRPr="00A00973" w14:paraId="0E82D8B7" w14:textId="77777777" w:rsidTr="00A00973">
        <w:tc>
          <w:tcPr>
            <w:tcW w:w="935" w:type="pct"/>
            <w:tcBorders>
              <w:top w:val="nil"/>
              <w:left w:val="single" w:sz="4" w:space="0" w:color="auto"/>
              <w:bottom w:val="nil"/>
              <w:right w:val="single" w:sz="4" w:space="0" w:color="auto"/>
            </w:tcBorders>
            <w:shd w:val="clear" w:color="auto" w:fill="auto"/>
            <w:vAlign w:val="center"/>
          </w:tcPr>
          <w:p w14:paraId="1BF385F6"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w:t>
            </w:r>
          </w:p>
        </w:tc>
        <w:tc>
          <w:tcPr>
            <w:tcW w:w="938" w:type="pct"/>
            <w:tcBorders>
              <w:top w:val="nil"/>
              <w:left w:val="single" w:sz="4" w:space="0" w:color="auto"/>
              <w:bottom w:val="nil"/>
              <w:right w:val="single" w:sz="4" w:space="0" w:color="auto"/>
            </w:tcBorders>
            <w:vAlign w:val="bottom"/>
          </w:tcPr>
          <w:p w14:paraId="6866DC72"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6.4/24.6 (26.2%)</w:t>
            </w:r>
          </w:p>
        </w:tc>
        <w:tc>
          <w:tcPr>
            <w:tcW w:w="714" w:type="pct"/>
            <w:tcBorders>
              <w:top w:val="nil"/>
              <w:left w:val="single" w:sz="4" w:space="0" w:color="auto"/>
              <w:bottom w:val="nil"/>
              <w:right w:val="single" w:sz="4" w:space="0" w:color="auto"/>
            </w:tcBorders>
            <w:shd w:val="clear" w:color="auto" w:fill="auto"/>
            <w:vAlign w:val="bottom"/>
          </w:tcPr>
          <w:p w14:paraId="4D23F674"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7/48 (14.6%)</w:t>
            </w:r>
          </w:p>
        </w:tc>
        <w:tc>
          <w:tcPr>
            <w:tcW w:w="776" w:type="pct"/>
            <w:tcBorders>
              <w:top w:val="nil"/>
              <w:left w:val="single" w:sz="4" w:space="0" w:color="auto"/>
              <w:bottom w:val="nil"/>
              <w:right w:val="single" w:sz="4" w:space="0" w:color="auto"/>
            </w:tcBorders>
            <w:vAlign w:val="bottom"/>
          </w:tcPr>
          <w:p w14:paraId="77B28F56"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1.79 (0.69-4.66)</w:t>
            </w:r>
          </w:p>
        </w:tc>
        <w:tc>
          <w:tcPr>
            <w:tcW w:w="781" w:type="pct"/>
            <w:tcBorders>
              <w:top w:val="nil"/>
              <w:left w:val="single" w:sz="4" w:space="0" w:color="auto"/>
              <w:bottom w:val="nil"/>
              <w:right w:val="single" w:sz="4" w:space="0" w:color="auto"/>
            </w:tcBorders>
            <w:vAlign w:val="bottom"/>
          </w:tcPr>
          <w:p w14:paraId="1831D639"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0.12 (-0.08-0.32)</w:t>
            </w:r>
          </w:p>
        </w:tc>
        <w:tc>
          <w:tcPr>
            <w:tcW w:w="855" w:type="pct"/>
            <w:tcBorders>
              <w:top w:val="nil"/>
              <w:left w:val="single" w:sz="4" w:space="0" w:color="auto"/>
              <w:bottom w:val="nil"/>
              <w:right w:val="single" w:sz="4" w:space="0" w:color="auto"/>
            </w:tcBorders>
            <w:shd w:val="clear" w:color="auto" w:fill="auto"/>
            <w:vAlign w:val="bottom"/>
          </w:tcPr>
          <w:p w14:paraId="4AF40579"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8.64 (-11.82-3.16)</w:t>
            </w:r>
          </w:p>
        </w:tc>
      </w:tr>
      <w:tr w:rsidR="00D103E8" w:rsidRPr="00A00973" w14:paraId="189A54EB" w14:textId="77777777" w:rsidTr="00A00973">
        <w:tc>
          <w:tcPr>
            <w:tcW w:w="935" w:type="pct"/>
            <w:tcBorders>
              <w:top w:val="nil"/>
              <w:left w:val="single" w:sz="4" w:space="0" w:color="auto"/>
              <w:bottom w:val="nil"/>
              <w:right w:val="single" w:sz="4" w:space="0" w:color="auto"/>
            </w:tcBorders>
            <w:shd w:val="clear" w:color="auto" w:fill="auto"/>
            <w:vAlign w:val="center"/>
          </w:tcPr>
          <w:p w14:paraId="4CC08B38"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w:t>
            </w:r>
          </w:p>
        </w:tc>
        <w:tc>
          <w:tcPr>
            <w:tcW w:w="938" w:type="pct"/>
            <w:tcBorders>
              <w:top w:val="nil"/>
              <w:left w:val="single" w:sz="4" w:space="0" w:color="auto"/>
              <w:bottom w:val="nil"/>
              <w:right w:val="single" w:sz="4" w:space="0" w:color="auto"/>
            </w:tcBorders>
            <w:vAlign w:val="bottom"/>
          </w:tcPr>
          <w:p w14:paraId="11A9B9AA"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13.5/24.6 (55%)</w:t>
            </w:r>
          </w:p>
        </w:tc>
        <w:tc>
          <w:tcPr>
            <w:tcW w:w="714" w:type="pct"/>
            <w:tcBorders>
              <w:top w:val="nil"/>
              <w:left w:val="single" w:sz="4" w:space="0" w:color="auto"/>
              <w:bottom w:val="nil"/>
              <w:right w:val="single" w:sz="4" w:space="0" w:color="auto"/>
            </w:tcBorders>
            <w:shd w:val="clear" w:color="auto" w:fill="auto"/>
            <w:vAlign w:val="bottom"/>
          </w:tcPr>
          <w:p w14:paraId="37446BD3"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9/31 (29%)</w:t>
            </w:r>
          </w:p>
        </w:tc>
        <w:tc>
          <w:tcPr>
            <w:tcW w:w="776" w:type="pct"/>
            <w:tcBorders>
              <w:top w:val="nil"/>
              <w:left w:val="single" w:sz="4" w:space="0" w:color="auto"/>
              <w:bottom w:val="nil"/>
              <w:right w:val="single" w:sz="4" w:space="0" w:color="auto"/>
            </w:tcBorders>
            <w:vAlign w:val="bottom"/>
          </w:tcPr>
          <w:p w14:paraId="56E958EA"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1.90 (0.98-3.65)</w:t>
            </w:r>
          </w:p>
        </w:tc>
        <w:tc>
          <w:tcPr>
            <w:tcW w:w="781" w:type="pct"/>
            <w:tcBorders>
              <w:top w:val="nil"/>
              <w:left w:val="single" w:sz="4" w:space="0" w:color="auto"/>
              <w:bottom w:val="nil"/>
              <w:right w:val="single" w:sz="4" w:space="0" w:color="auto"/>
            </w:tcBorders>
            <w:vAlign w:val="bottom"/>
          </w:tcPr>
          <w:p w14:paraId="5104EBFD"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0.26 (0.01-0.51)</w:t>
            </w:r>
          </w:p>
        </w:tc>
        <w:tc>
          <w:tcPr>
            <w:tcW w:w="855" w:type="pct"/>
            <w:tcBorders>
              <w:top w:val="nil"/>
              <w:left w:val="single" w:sz="4" w:space="0" w:color="auto"/>
              <w:bottom w:val="nil"/>
              <w:right w:val="single" w:sz="4" w:space="0" w:color="auto"/>
            </w:tcBorders>
            <w:shd w:val="clear" w:color="auto" w:fill="auto"/>
            <w:vAlign w:val="bottom"/>
          </w:tcPr>
          <w:p w14:paraId="44DE20BA"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sz w:val="20"/>
                <w:szCs w:val="20"/>
              </w:rPr>
              <w:t>3.85 (153.53-1.95)</w:t>
            </w:r>
          </w:p>
        </w:tc>
      </w:tr>
      <w:tr w:rsidR="00D103E8" w:rsidRPr="00A00973" w14:paraId="74A819DF" w14:textId="77777777" w:rsidTr="00A00973">
        <w:tc>
          <w:tcPr>
            <w:tcW w:w="935" w:type="pct"/>
            <w:tcBorders>
              <w:top w:val="nil"/>
              <w:bottom w:val="single" w:sz="4" w:space="0" w:color="auto"/>
            </w:tcBorders>
            <w:shd w:val="clear" w:color="auto" w:fill="auto"/>
            <w:vAlign w:val="center"/>
          </w:tcPr>
          <w:p w14:paraId="73B86A93"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w:t>
            </w:r>
          </w:p>
        </w:tc>
        <w:tc>
          <w:tcPr>
            <w:tcW w:w="938" w:type="pct"/>
            <w:tcBorders>
              <w:top w:val="nil"/>
              <w:bottom w:val="single" w:sz="4" w:space="0" w:color="auto"/>
            </w:tcBorders>
            <w:vAlign w:val="bottom"/>
          </w:tcPr>
          <w:p w14:paraId="04DD73E1"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16.1/24.6 (65.7%)</w:t>
            </w:r>
          </w:p>
        </w:tc>
        <w:tc>
          <w:tcPr>
            <w:tcW w:w="714" w:type="pct"/>
            <w:tcBorders>
              <w:top w:val="nil"/>
              <w:bottom w:val="single" w:sz="4" w:space="0" w:color="auto"/>
            </w:tcBorders>
            <w:shd w:val="clear" w:color="auto" w:fill="auto"/>
            <w:vAlign w:val="bottom"/>
          </w:tcPr>
          <w:p w14:paraId="3EB3368F"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4/17(23.5%)</w:t>
            </w:r>
          </w:p>
        </w:tc>
        <w:tc>
          <w:tcPr>
            <w:tcW w:w="776" w:type="pct"/>
            <w:tcBorders>
              <w:top w:val="nil"/>
            </w:tcBorders>
            <w:vAlign w:val="bottom"/>
          </w:tcPr>
          <w:p w14:paraId="7C40F226"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2.79 (1.13-6.89)</w:t>
            </w:r>
          </w:p>
        </w:tc>
        <w:tc>
          <w:tcPr>
            <w:tcW w:w="781" w:type="pct"/>
            <w:tcBorders>
              <w:top w:val="nil"/>
            </w:tcBorders>
            <w:vAlign w:val="bottom"/>
          </w:tcPr>
          <w:p w14:paraId="629692B7"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0.42 (0.15-0.70)</w:t>
            </w:r>
          </w:p>
        </w:tc>
        <w:tc>
          <w:tcPr>
            <w:tcW w:w="855" w:type="pct"/>
            <w:tcBorders>
              <w:top w:val="nil"/>
            </w:tcBorders>
            <w:shd w:val="clear" w:color="auto" w:fill="auto"/>
            <w:vAlign w:val="bottom"/>
          </w:tcPr>
          <w:p w14:paraId="45875A82" w14:textId="77777777" w:rsidR="00D103E8" w:rsidRPr="00A00973" w:rsidRDefault="00D103E8" w:rsidP="00A00973">
            <w:pPr>
              <w:keepNext/>
              <w:keepLines/>
              <w:widowControl w:val="0"/>
              <w:jc w:val="center"/>
              <w:rPr>
                <w:rFonts w:ascii="Arial Narrow" w:hAnsi="Arial Narrow"/>
                <w:b/>
                <w:snapToGrid w:val="0"/>
                <w:sz w:val="20"/>
                <w:szCs w:val="20"/>
                <w:lang w:eastAsia="en-US"/>
              </w:rPr>
            </w:pPr>
            <w:r w:rsidRPr="00A00973">
              <w:rPr>
                <w:rFonts w:ascii="Arial Narrow" w:hAnsi="Arial Narrow"/>
                <w:b/>
                <w:sz w:val="20"/>
                <w:szCs w:val="20"/>
              </w:rPr>
              <w:t>2.37 (1.44-6.86)</w:t>
            </w:r>
          </w:p>
        </w:tc>
      </w:tr>
      <w:tr w:rsidR="00D103E8" w:rsidRPr="00A00973" w14:paraId="34B278DB" w14:textId="77777777" w:rsidTr="00A00973">
        <w:tc>
          <w:tcPr>
            <w:tcW w:w="5000" w:type="pct"/>
            <w:gridSpan w:val="6"/>
            <w:tcBorders>
              <w:bottom w:val="single" w:sz="4" w:space="0" w:color="auto"/>
            </w:tcBorders>
            <w:shd w:val="clear" w:color="auto" w:fill="auto"/>
            <w:vAlign w:val="center"/>
          </w:tcPr>
          <w:p w14:paraId="6FF56862" w14:textId="77777777" w:rsidR="00D103E8" w:rsidRPr="00A00973" w:rsidRDefault="00B1235B"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walking</w:t>
            </w:r>
          </w:p>
        </w:tc>
      </w:tr>
      <w:tr w:rsidR="00D103E8" w:rsidRPr="00A00973" w14:paraId="3A7CC862" w14:textId="77777777" w:rsidTr="00A00973">
        <w:tc>
          <w:tcPr>
            <w:tcW w:w="935" w:type="pct"/>
            <w:tcBorders>
              <w:top w:val="single" w:sz="4" w:space="0" w:color="auto"/>
              <w:left w:val="single" w:sz="4" w:space="0" w:color="auto"/>
              <w:bottom w:val="nil"/>
              <w:right w:val="single" w:sz="4" w:space="0" w:color="auto"/>
            </w:tcBorders>
            <w:shd w:val="clear" w:color="auto" w:fill="auto"/>
            <w:vAlign w:val="center"/>
          </w:tcPr>
          <w:p w14:paraId="3DD329C6"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 (on study)</w:t>
            </w:r>
          </w:p>
        </w:tc>
        <w:tc>
          <w:tcPr>
            <w:tcW w:w="938" w:type="pct"/>
            <w:tcBorders>
              <w:top w:val="single" w:sz="4" w:space="0" w:color="auto"/>
              <w:left w:val="single" w:sz="4" w:space="0" w:color="auto"/>
              <w:bottom w:val="nil"/>
              <w:right w:val="single" w:sz="4" w:space="0" w:color="auto"/>
            </w:tcBorders>
          </w:tcPr>
          <w:p w14:paraId="68F65DF4"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single" w:sz="4" w:space="0" w:color="auto"/>
              <w:left w:val="single" w:sz="4" w:space="0" w:color="auto"/>
              <w:bottom w:val="nil"/>
              <w:right w:val="single" w:sz="4" w:space="0" w:color="auto"/>
            </w:tcBorders>
            <w:shd w:val="clear" w:color="auto" w:fill="auto"/>
          </w:tcPr>
          <w:p w14:paraId="4E7F4F5A"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0/65 (0%)</w:t>
            </w:r>
          </w:p>
        </w:tc>
        <w:tc>
          <w:tcPr>
            <w:tcW w:w="776" w:type="pct"/>
            <w:tcBorders>
              <w:top w:val="single" w:sz="4" w:space="0" w:color="auto"/>
              <w:left w:val="single" w:sz="4" w:space="0" w:color="auto"/>
              <w:bottom w:val="nil"/>
              <w:right w:val="single" w:sz="4" w:space="0" w:color="auto"/>
            </w:tcBorders>
            <w:vAlign w:val="center"/>
          </w:tcPr>
          <w:p w14:paraId="05141740"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single" w:sz="4" w:space="0" w:color="auto"/>
              <w:left w:val="single" w:sz="4" w:space="0" w:color="auto"/>
              <w:bottom w:val="nil"/>
              <w:right w:val="single" w:sz="4" w:space="0" w:color="auto"/>
            </w:tcBorders>
            <w:vAlign w:val="center"/>
          </w:tcPr>
          <w:p w14:paraId="6ECCA6C6"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single" w:sz="4" w:space="0" w:color="auto"/>
              <w:left w:val="single" w:sz="4" w:space="0" w:color="auto"/>
              <w:bottom w:val="nil"/>
              <w:right w:val="single" w:sz="4" w:space="0" w:color="auto"/>
            </w:tcBorders>
            <w:shd w:val="clear" w:color="auto" w:fill="auto"/>
            <w:vAlign w:val="center"/>
          </w:tcPr>
          <w:p w14:paraId="3C26E06F"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14:paraId="14F4DF28" w14:textId="77777777" w:rsidTr="00A00973">
        <w:tc>
          <w:tcPr>
            <w:tcW w:w="935" w:type="pct"/>
            <w:tcBorders>
              <w:top w:val="nil"/>
              <w:left w:val="single" w:sz="4" w:space="0" w:color="auto"/>
              <w:bottom w:val="nil"/>
              <w:right w:val="single" w:sz="4" w:space="0" w:color="auto"/>
            </w:tcBorders>
            <w:shd w:val="clear" w:color="auto" w:fill="auto"/>
            <w:vAlign w:val="center"/>
          </w:tcPr>
          <w:p w14:paraId="60202B12"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 (on study)</w:t>
            </w:r>
          </w:p>
        </w:tc>
        <w:tc>
          <w:tcPr>
            <w:tcW w:w="938" w:type="pct"/>
            <w:tcBorders>
              <w:top w:val="nil"/>
              <w:left w:val="single" w:sz="4" w:space="0" w:color="auto"/>
              <w:bottom w:val="nil"/>
              <w:right w:val="single" w:sz="4" w:space="0" w:color="auto"/>
            </w:tcBorders>
          </w:tcPr>
          <w:p w14:paraId="4D2138B7"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nil"/>
              <w:left w:val="single" w:sz="4" w:space="0" w:color="auto"/>
              <w:bottom w:val="nil"/>
              <w:right w:val="single" w:sz="4" w:space="0" w:color="auto"/>
            </w:tcBorders>
            <w:shd w:val="clear" w:color="auto" w:fill="auto"/>
          </w:tcPr>
          <w:p w14:paraId="0E89A2E5"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0/48 (0%)</w:t>
            </w:r>
          </w:p>
        </w:tc>
        <w:tc>
          <w:tcPr>
            <w:tcW w:w="776" w:type="pct"/>
            <w:tcBorders>
              <w:top w:val="nil"/>
              <w:left w:val="single" w:sz="4" w:space="0" w:color="auto"/>
              <w:bottom w:val="nil"/>
              <w:right w:val="single" w:sz="4" w:space="0" w:color="auto"/>
            </w:tcBorders>
            <w:vAlign w:val="center"/>
          </w:tcPr>
          <w:p w14:paraId="513AD992"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nil"/>
              <w:left w:val="single" w:sz="4" w:space="0" w:color="auto"/>
              <w:bottom w:val="nil"/>
              <w:right w:val="single" w:sz="4" w:space="0" w:color="auto"/>
            </w:tcBorders>
            <w:vAlign w:val="center"/>
          </w:tcPr>
          <w:p w14:paraId="59B9A096"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nil"/>
              <w:left w:val="single" w:sz="4" w:space="0" w:color="auto"/>
              <w:bottom w:val="nil"/>
              <w:right w:val="single" w:sz="4" w:space="0" w:color="auto"/>
            </w:tcBorders>
            <w:shd w:val="clear" w:color="auto" w:fill="auto"/>
            <w:vAlign w:val="center"/>
          </w:tcPr>
          <w:p w14:paraId="41527F92"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14:paraId="180C2B6E" w14:textId="77777777" w:rsidTr="00A00973">
        <w:tc>
          <w:tcPr>
            <w:tcW w:w="935" w:type="pct"/>
            <w:tcBorders>
              <w:top w:val="nil"/>
              <w:left w:val="single" w:sz="4" w:space="0" w:color="auto"/>
              <w:bottom w:val="nil"/>
              <w:right w:val="single" w:sz="4" w:space="0" w:color="auto"/>
            </w:tcBorders>
            <w:shd w:val="clear" w:color="auto" w:fill="auto"/>
            <w:vAlign w:val="center"/>
          </w:tcPr>
          <w:p w14:paraId="1121B037"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 (on study)</w:t>
            </w:r>
          </w:p>
        </w:tc>
        <w:tc>
          <w:tcPr>
            <w:tcW w:w="938" w:type="pct"/>
            <w:tcBorders>
              <w:top w:val="nil"/>
              <w:left w:val="single" w:sz="4" w:space="0" w:color="auto"/>
              <w:bottom w:val="nil"/>
              <w:right w:val="single" w:sz="4" w:space="0" w:color="auto"/>
            </w:tcBorders>
          </w:tcPr>
          <w:p w14:paraId="5471E7AD"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0.2/24.6</w:t>
            </w:r>
            <w:r w:rsidR="00B1235B" w:rsidRPr="00A00973">
              <w:rPr>
                <w:rFonts w:ascii="Arial Narrow" w:hAnsi="Arial Narrow"/>
                <w:sz w:val="20"/>
                <w:szCs w:val="20"/>
              </w:rPr>
              <w:t>^</w:t>
            </w:r>
            <w:r w:rsidRPr="00A00973">
              <w:rPr>
                <w:rFonts w:ascii="Arial Narrow" w:hAnsi="Arial Narrow"/>
                <w:sz w:val="20"/>
                <w:szCs w:val="20"/>
              </w:rPr>
              <w:t xml:space="preserve"> (0.7%)</w:t>
            </w:r>
          </w:p>
        </w:tc>
        <w:tc>
          <w:tcPr>
            <w:tcW w:w="714" w:type="pct"/>
            <w:tcBorders>
              <w:top w:val="nil"/>
              <w:left w:val="single" w:sz="4" w:space="0" w:color="auto"/>
              <w:bottom w:val="nil"/>
              <w:right w:val="single" w:sz="4" w:space="0" w:color="auto"/>
            </w:tcBorders>
            <w:shd w:val="clear" w:color="auto" w:fill="auto"/>
          </w:tcPr>
          <w:p w14:paraId="30D1AC71"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0/31 (0%)</w:t>
            </w:r>
          </w:p>
        </w:tc>
        <w:tc>
          <w:tcPr>
            <w:tcW w:w="776" w:type="pct"/>
            <w:tcBorders>
              <w:top w:val="nil"/>
              <w:left w:val="single" w:sz="4" w:space="0" w:color="auto"/>
              <w:bottom w:val="nil"/>
              <w:right w:val="single" w:sz="4" w:space="0" w:color="auto"/>
            </w:tcBorders>
          </w:tcPr>
          <w:p w14:paraId="76D147A9"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1.40 (0.04-54.50)</w:t>
            </w:r>
          </w:p>
        </w:tc>
        <w:tc>
          <w:tcPr>
            <w:tcW w:w="781" w:type="pct"/>
            <w:tcBorders>
              <w:top w:val="nil"/>
              <w:left w:val="single" w:sz="4" w:space="0" w:color="auto"/>
              <w:bottom w:val="nil"/>
              <w:right w:val="single" w:sz="4" w:space="0" w:color="auto"/>
            </w:tcBorders>
          </w:tcPr>
          <w:p w14:paraId="55B70BB7"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1.39 (0.04-50.16)</w:t>
            </w:r>
          </w:p>
        </w:tc>
        <w:tc>
          <w:tcPr>
            <w:tcW w:w="855" w:type="pct"/>
            <w:tcBorders>
              <w:top w:val="nil"/>
              <w:left w:val="single" w:sz="4" w:space="0" w:color="auto"/>
              <w:bottom w:val="nil"/>
              <w:right w:val="single" w:sz="4" w:space="0" w:color="auto"/>
            </w:tcBorders>
            <w:shd w:val="clear" w:color="auto" w:fill="auto"/>
          </w:tcPr>
          <w:p w14:paraId="6A4945EB"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0.01 (-0.07-0.08)</w:t>
            </w:r>
          </w:p>
        </w:tc>
      </w:tr>
      <w:tr w:rsidR="00D103E8" w:rsidRPr="00A00973" w14:paraId="6305BB60" w14:textId="77777777" w:rsidTr="00A00973">
        <w:tc>
          <w:tcPr>
            <w:tcW w:w="935" w:type="pct"/>
            <w:tcBorders>
              <w:top w:val="nil"/>
              <w:bottom w:val="single" w:sz="4" w:space="0" w:color="auto"/>
            </w:tcBorders>
            <w:shd w:val="clear" w:color="auto" w:fill="auto"/>
            <w:vAlign w:val="center"/>
          </w:tcPr>
          <w:p w14:paraId="25EAD362"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 (on study)</w:t>
            </w:r>
          </w:p>
        </w:tc>
        <w:tc>
          <w:tcPr>
            <w:tcW w:w="938" w:type="pct"/>
            <w:tcBorders>
              <w:top w:val="nil"/>
              <w:bottom w:val="single" w:sz="4" w:space="0" w:color="auto"/>
            </w:tcBorders>
          </w:tcPr>
          <w:p w14:paraId="3CBC27D3"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0.6/24.6</w:t>
            </w:r>
            <w:r w:rsidR="00B1235B" w:rsidRPr="00A00973">
              <w:rPr>
                <w:rFonts w:ascii="Arial Narrow" w:hAnsi="Arial Narrow"/>
                <w:sz w:val="20"/>
                <w:szCs w:val="20"/>
              </w:rPr>
              <w:t>^</w:t>
            </w:r>
            <w:r w:rsidRPr="00A00973">
              <w:rPr>
                <w:rFonts w:ascii="Arial Narrow" w:hAnsi="Arial Narrow"/>
                <w:sz w:val="20"/>
                <w:szCs w:val="20"/>
              </w:rPr>
              <w:t xml:space="preserve"> (2.5%)</w:t>
            </w:r>
          </w:p>
        </w:tc>
        <w:tc>
          <w:tcPr>
            <w:tcW w:w="714" w:type="pct"/>
            <w:tcBorders>
              <w:top w:val="nil"/>
              <w:bottom w:val="single" w:sz="4" w:space="0" w:color="auto"/>
            </w:tcBorders>
            <w:shd w:val="clear" w:color="auto" w:fill="auto"/>
          </w:tcPr>
          <w:p w14:paraId="19509F99"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0/17 (0%)</w:t>
            </w:r>
          </w:p>
        </w:tc>
        <w:tc>
          <w:tcPr>
            <w:tcW w:w="776" w:type="pct"/>
            <w:tcBorders>
              <w:top w:val="nil"/>
            </w:tcBorders>
          </w:tcPr>
          <w:p w14:paraId="4507712C"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2.08 (0.06-76.33)</w:t>
            </w:r>
          </w:p>
        </w:tc>
        <w:tc>
          <w:tcPr>
            <w:tcW w:w="781" w:type="pct"/>
            <w:tcBorders>
              <w:top w:val="nil"/>
            </w:tcBorders>
          </w:tcPr>
          <w:p w14:paraId="498D6E7D"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 xml:space="preserve">2.03 (0.06-67.02) </w:t>
            </w:r>
          </w:p>
        </w:tc>
        <w:tc>
          <w:tcPr>
            <w:tcW w:w="855" w:type="pct"/>
            <w:tcBorders>
              <w:top w:val="nil"/>
            </w:tcBorders>
            <w:shd w:val="clear" w:color="auto" w:fill="auto"/>
          </w:tcPr>
          <w:p w14:paraId="51D49284"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0.02 (-0.08-0.13)</w:t>
            </w:r>
          </w:p>
        </w:tc>
      </w:tr>
      <w:tr w:rsidR="00D103E8" w:rsidRPr="00A00973" w14:paraId="01C85786" w14:textId="77777777" w:rsidTr="00A00973">
        <w:tc>
          <w:tcPr>
            <w:tcW w:w="5000" w:type="pct"/>
            <w:gridSpan w:val="6"/>
            <w:tcBorders>
              <w:bottom w:val="single" w:sz="4" w:space="0" w:color="auto"/>
            </w:tcBorders>
            <w:shd w:val="clear" w:color="auto" w:fill="auto"/>
            <w:vAlign w:val="center"/>
          </w:tcPr>
          <w:p w14:paraId="6DF24184" w14:textId="77777777" w:rsidR="00D103E8" w:rsidRPr="00A00973" w:rsidRDefault="00B1235B" w:rsidP="00A00973">
            <w:pPr>
              <w:keepNext/>
              <w:keepLines/>
              <w:widowControl w:val="0"/>
              <w:jc w:val="left"/>
              <w:rPr>
                <w:rFonts w:ascii="Arial Narrow" w:hAnsi="Arial Narrow"/>
                <w:b/>
                <w:snapToGrid w:val="0"/>
                <w:sz w:val="20"/>
                <w:szCs w:val="20"/>
                <w:lang w:eastAsia="en-US"/>
              </w:rPr>
            </w:pPr>
            <w:r w:rsidRPr="00A00973">
              <w:rPr>
                <w:rFonts w:ascii="Arial Narrow" w:hAnsi="Arial Narrow"/>
                <w:b/>
                <w:snapToGrid w:val="0"/>
                <w:sz w:val="20"/>
                <w:szCs w:val="20"/>
                <w:lang w:eastAsia="en-US"/>
              </w:rPr>
              <w:t>Independent walking</w:t>
            </w:r>
          </w:p>
        </w:tc>
      </w:tr>
      <w:tr w:rsidR="00D103E8" w:rsidRPr="00A00973" w14:paraId="6A0D9F5B" w14:textId="77777777" w:rsidTr="00A00973">
        <w:tc>
          <w:tcPr>
            <w:tcW w:w="935" w:type="pct"/>
            <w:tcBorders>
              <w:top w:val="single" w:sz="4" w:space="0" w:color="auto"/>
              <w:left w:val="single" w:sz="4" w:space="0" w:color="auto"/>
              <w:bottom w:val="nil"/>
              <w:right w:val="single" w:sz="4" w:space="0" w:color="auto"/>
            </w:tcBorders>
            <w:shd w:val="clear" w:color="auto" w:fill="auto"/>
            <w:vAlign w:val="center"/>
          </w:tcPr>
          <w:p w14:paraId="7DD258D0"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6 months of age</w:t>
            </w:r>
          </w:p>
        </w:tc>
        <w:tc>
          <w:tcPr>
            <w:tcW w:w="938" w:type="pct"/>
            <w:tcBorders>
              <w:top w:val="single" w:sz="4" w:space="0" w:color="auto"/>
              <w:left w:val="single" w:sz="4" w:space="0" w:color="auto"/>
              <w:bottom w:val="nil"/>
              <w:right w:val="single" w:sz="4" w:space="0" w:color="auto"/>
            </w:tcBorders>
          </w:tcPr>
          <w:p w14:paraId="09A6190E"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single" w:sz="4" w:space="0" w:color="auto"/>
              <w:left w:val="single" w:sz="4" w:space="0" w:color="auto"/>
              <w:bottom w:val="nil"/>
              <w:right w:val="single" w:sz="4" w:space="0" w:color="auto"/>
            </w:tcBorders>
            <w:shd w:val="clear" w:color="auto" w:fill="auto"/>
          </w:tcPr>
          <w:p w14:paraId="441BF172"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w:t>
            </w:r>
            <w:r w:rsidR="00B1235B" w:rsidRPr="00A00973">
              <w:rPr>
                <w:rFonts w:ascii="Arial Narrow" w:hAnsi="Arial Narrow"/>
                <w:sz w:val="20"/>
                <w:szCs w:val="20"/>
              </w:rPr>
              <w:t xml:space="preserve"> </w:t>
            </w:r>
            <w:r w:rsidRPr="00A00973">
              <w:rPr>
                <w:rFonts w:ascii="Arial Narrow" w:hAnsi="Arial Narrow"/>
                <w:sz w:val="20"/>
                <w:szCs w:val="20"/>
              </w:rPr>
              <w:t>(0%)</w:t>
            </w:r>
          </w:p>
        </w:tc>
        <w:tc>
          <w:tcPr>
            <w:tcW w:w="776" w:type="pct"/>
            <w:tcBorders>
              <w:top w:val="single" w:sz="4" w:space="0" w:color="auto"/>
              <w:left w:val="single" w:sz="4" w:space="0" w:color="auto"/>
              <w:bottom w:val="nil"/>
              <w:right w:val="single" w:sz="4" w:space="0" w:color="auto"/>
            </w:tcBorders>
            <w:vAlign w:val="center"/>
          </w:tcPr>
          <w:p w14:paraId="7F0A8790"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single" w:sz="4" w:space="0" w:color="auto"/>
              <w:left w:val="single" w:sz="4" w:space="0" w:color="auto"/>
              <w:bottom w:val="nil"/>
              <w:right w:val="single" w:sz="4" w:space="0" w:color="auto"/>
            </w:tcBorders>
            <w:vAlign w:val="center"/>
          </w:tcPr>
          <w:p w14:paraId="51FFA7C2"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single" w:sz="4" w:space="0" w:color="auto"/>
              <w:left w:val="single" w:sz="4" w:space="0" w:color="auto"/>
              <w:bottom w:val="nil"/>
              <w:right w:val="single" w:sz="4" w:space="0" w:color="auto"/>
            </w:tcBorders>
            <w:shd w:val="clear" w:color="auto" w:fill="auto"/>
            <w:vAlign w:val="center"/>
          </w:tcPr>
          <w:p w14:paraId="57D38E79"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14:paraId="61205A38" w14:textId="77777777" w:rsidTr="00A00973">
        <w:tc>
          <w:tcPr>
            <w:tcW w:w="935" w:type="pct"/>
            <w:tcBorders>
              <w:top w:val="nil"/>
              <w:left w:val="single" w:sz="4" w:space="0" w:color="auto"/>
              <w:bottom w:val="nil"/>
              <w:right w:val="single" w:sz="4" w:space="0" w:color="auto"/>
            </w:tcBorders>
            <w:shd w:val="clear" w:color="auto" w:fill="auto"/>
            <w:vAlign w:val="center"/>
          </w:tcPr>
          <w:p w14:paraId="27A75960"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12 months of age</w:t>
            </w:r>
          </w:p>
        </w:tc>
        <w:tc>
          <w:tcPr>
            <w:tcW w:w="938" w:type="pct"/>
            <w:tcBorders>
              <w:top w:val="nil"/>
              <w:left w:val="single" w:sz="4" w:space="0" w:color="auto"/>
              <w:bottom w:val="nil"/>
              <w:right w:val="single" w:sz="4" w:space="0" w:color="auto"/>
            </w:tcBorders>
          </w:tcPr>
          <w:p w14:paraId="5A1C8041"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0/24.6 (0%)</w:t>
            </w:r>
          </w:p>
        </w:tc>
        <w:tc>
          <w:tcPr>
            <w:tcW w:w="714" w:type="pct"/>
            <w:tcBorders>
              <w:top w:val="nil"/>
              <w:left w:val="single" w:sz="4" w:space="0" w:color="auto"/>
              <w:bottom w:val="nil"/>
              <w:right w:val="single" w:sz="4" w:space="0" w:color="auto"/>
            </w:tcBorders>
            <w:shd w:val="clear" w:color="auto" w:fill="auto"/>
          </w:tcPr>
          <w:p w14:paraId="1271294A"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 (0%)</w:t>
            </w:r>
          </w:p>
        </w:tc>
        <w:tc>
          <w:tcPr>
            <w:tcW w:w="776" w:type="pct"/>
            <w:tcBorders>
              <w:top w:val="nil"/>
              <w:left w:val="single" w:sz="4" w:space="0" w:color="auto"/>
              <w:bottom w:val="nil"/>
              <w:right w:val="single" w:sz="4" w:space="0" w:color="auto"/>
            </w:tcBorders>
            <w:vAlign w:val="center"/>
          </w:tcPr>
          <w:p w14:paraId="1A49B009"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781" w:type="pct"/>
            <w:tcBorders>
              <w:top w:val="nil"/>
              <w:left w:val="single" w:sz="4" w:space="0" w:color="auto"/>
              <w:bottom w:val="nil"/>
              <w:right w:val="single" w:sz="4" w:space="0" w:color="auto"/>
            </w:tcBorders>
            <w:vAlign w:val="center"/>
          </w:tcPr>
          <w:p w14:paraId="17F30CEF"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i/>
                <w:snapToGrid w:val="0"/>
                <w:sz w:val="20"/>
                <w:szCs w:val="20"/>
                <w:lang w:eastAsia="en-US"/>
              </w:rPr>
              <w:t>--</w:t>
            </w:r>
          </w:p>
        </w:tc>
        <w:tc>
          <w:tcPr>
            <w:tcW w:w="855" w:type="pct"/>
            <w:tcBorders>
              <w:top w:val="nil"/>
              <w:left w:val="single" w:sz="4" w:space="0" w:color="auto"/>
              <w:bottom w:val="nil"/>
              <w:right w:val="single" w:sz="4" w:space="0" w:color="auto"/>
            </w:tcBorders>
            <w:shd w:val="clear" w:color="auto" w:fill="auto"/>
            <w:vAlign w:val="center"/>
          </w:tcPr>
          <w:p w14:paraId="6243E11F"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napToGrid w:val="0"/>
                <w:sz w:val="20"/>
                <w:szCs w:val="20"/>
                <w:lang w:eastAsia="en-US"/>
              </w:rPr>
              <w:t>-</w:t>
            </w:r>
          </w:p>
        </w:tc>
      </w:tr>
      <w:tr w:rsidR="00D103E8" w:rsidRPr="00A00973" w14:paraId="02F15B82" w14:textId="77777777" w:rsidTr="00A00973">
        <w:tc>
          <w:tcPr>
            <w:tcW w:w="935" w:type="pct"/>
            <w:tcBorders>
              <w:top w:val="nil"/>
              <w:left w:val="single" w:sz="4" w:space="0" w:color="auto"/>
              <w:bottom w:val="nil"/>
              <w:right w:val="single" w:sz="4" w:space="0" w:color="auto"/>
            </w:tcBorders>
            <w:shd w:val="clear" w:color="auto" w:fill="auto"/>
          </w:tcPr>
          <w:p w14:paraId="31320F21"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18 months of age</w:t>
            </w:r>
          </w:p>
        </w:tc>
        <w:tc>
          <w:tcPr>
            <w:tcW w:w="938" w:type="pct"/>
            <w:tcBorders>
              <w:top w:val="nil"/>
              <w:left w:val="single" w:sz="4" w:space="0" w:color="auto"/>
              <w:bottom w:val="nil"/>
              <w:right w:val="single" w:sz="4" w:space="0" w:color="auto"/>
            </w:tcBorders>
          </w:tcPr>
          <w:p w14:paraId="687B3755"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0.2/24.6</w:t>
            </w:r>
            <w:r w:rsidR="00B1235B" w:rsidRPr="00A00973">
              <w:rPr>
                <w:rFonts w:ascii="Arial Narrow" w:hAnsi="Arial Narrow"/>
                <w:sz w:val="20"/>
                <w:szCs w:val="20"/>
              </w:rPr>
              <w:t>^</w:t>
            </w:r>
            <w:r w:rsidRPr="00A00973">
              <w:rPr>
                <w:rFonts w:ascii="Arial Narrow" w:hAnsi="Arial Narrow"/>
                <w:sz w:val="20"/>
                <w:szCs w:val="20"/>
              </w:rPr>
              <w:t xml:space="preserve"> (0.7%)</w:t>
            </w:r>
          </w:p>
        </w:tc>
        <w:tc>
          <w:tcPr>
            <w:tcW w:w="714" w:type="pct"/>
            <w:tcBorders>
              <w:top w:val="nil"/>
              <w:left w:val="single" w:sz="4" w:space="0" w:color="auto"/>
              <w:bottom w:val="nil"/>
              <w:right w:val="single" w:sz="4" w:space="0" w:color="auto"/>
            </w:tcBorders>
            <w:shd w:val="clear" w:color="auto" w:fill="auto"/>
          </w:tcPr>
          <w:p w14:paraId="5A06A99E"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w:t>
            </w:r>
            <w:r w:rsidR="00B1235B" w:rsidRPr="00A00973">
              <w:rPr>
                <w:rFonts w:ascii="Arial Narrow" w:hAnsi="Arial Narrow"/>
                <w:sz w:val="20"/>
                <w:szCs w:val="20"/>
              </w:rPr>
              <w:t xml:space="preserve"> </w:t>
            </w:r>
            <w:r w:rsidRPr="00A00973">
              <w:rPr>
                <w:rFonts w:ascii="Arial Narrow" w:hAnsi="Arial Narrow"/>
                <w:sz w:val="20"/>
                <w:szCs w:val="20"/>
              </w:rPr>
              <w:t>(0%)</w:t>
            </w:r>
          </w:p>
        </w:tc>
        <w:tc>
          <w:tcPr>
            <w:tcW w:w="776" w:type="pct"/>
            <w:tcBorders>
              <w:top w:val="nil"/>
              <w:left w:val="single" w:sz="4" w:space="0" w:color="auto"/>
              <w:bottom w:val="nil"/>
              <w:right w:val="single" w:sz="4" w:space="0" w:color="auto"/>
            </w:tcBorders>
          </w:tcPr>
          <w:p w14:paraId="4CA60843"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1.73 (0.04-76.27)</w:t>
            </w:r>
          </w:p>
        </w:tc>
        <w:tc>
          <w:tcPr>
            <w:tcW w:w="781" w:type="pct"/>
            <w:tcBorders>
              <w:top w:val="nil"/>
              <w:left w:val="single" w:sz="4" w:space="0" w:color="auto"/>
              <w:bottom w:val="nil"/>
              <w:right w:val="single" w:sz="4" w:space="0" w:color="auto"/>
            </w:tcBorders>
          </w:tcPr>
          <w:p w14:paraId="1897C178"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0.01 (-0.05-0.06)</w:t>
            </w:r>
          </w:p>
        </w:tc>
        <w:tc>
          <w:tcPr>
            <w:tcW w:w="855" w:type="pct"/>
            <w:tcBorders>
              <w:top w:val="nil"/>
              <w:left w:val="single" w:sz="4" w:space="0" w:color="auto"/>
              <w:bottom w:val="nil"/>
              <w:right w:val="single" w:sz="4" w:space="0" w:color="auto"/>
            </w:tcBorders>
            <w:shd w:val="clear" w:color="auto" w:fill="auto"/>
          </w:tcPr>
          <w:p w14:paraId="10E5C4E1" w14:textId="77777777" w:rsidR="00B1235B"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 xml:space="preserve">143.75 </w:t>
            </w:r>
          </w:p>
          <w:p w14:paraId="59BEACA0"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(-21.49-16.55)</w:t>
            </w:r>
          </w:p>
        </w:tc>
      </w:tr>
      <w:tr w:rsidR="00D103E8" w:rsidRPr="00A00973" w14:paraId="33A4A3E9" w14:textId="77777777" w:rsidTr="00A00973">
        <w:tc>
          <w:tcPr>
            <w:tcW w:w="935" w:type="pct"/>
            <w:tcBorders>
              <w:top w:val="nil"/>
              <w:bottom w:val="single" w:sz="4" w:space="0" w:color="auto"/>
            </w:tcBorders>
            <w:shd w:val="clear" w:color="auto" w:fill="auto"/>
          </w:tcPr>
          <w:p w14:paraId="0050347E" w14:textId="77777777" w:rsidR="00D103E8" w:rsidRPr="00A00973" w:rsidRDefault="00D103E8" w:rsidP="00A00973">
            <w:pPr>
              <w:keepNext/>
              <w:keepLines/>
              <w:widowControl w:val="0"/>
              <w:jc w:val="left"/>
              <w:rPr>
                <w:rFonts w:ascii="Arial Narrow" w:hAnsi="Arial Narrow"/>
                <w:snapToGrid w:val="0"/>
                <w:sz w:val="20"/>
                <w:szCs w:val="20"/>
                <w:lang w:eastAsia="en-US"/>
              </w:rPr>
            </w:pPr>
            <w:r w:rsidRPr="00A00973">
              <w:rPr>
                <w:rFonts w:ascii="Arial Narrow" w:hAnsi="Arial Narrow"/>
                <w:snapToGrid w:val="0"/>
                <w:sz w:val="20"/>
                <w:szCs w:val="20"/>
                <w:lang w:eastAsia="en-US"/>
              </w:rPr>
              <w:t>24 months of age</w:t>
            </w:r>
          </w:p>
        </w:tc>
        <w:tc>
          <w:tcPr>
            <w:tcW w:w="938" w:type="pct"/>
            <w:tcBorders>
              <w:top w:val="nil"/>
              <w:bottom w:val="single" w:sz="4" w:space="0" w:color="auto"/>
            </w:tcBorders>
          </w:tcPr>
          <w:p w14:paraId="1FFA63F9"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0.6/24.6</w:t>
            </w:r>
            <w:r w:rsidR="00B1235B" w:rsidRPr="00A00973">
              <w:rPr>
                <w:rFonts w:ascii="Arial Narrow" w:hAnsi="Arial Narrow"/>
                <w:sz w:val="20"/>
                <w:szCs w:val="20"/>
              </w:rPr>
              <w:t>^</w:t>
            </w:r>
            <w:r w:rsidRPr="00A00973">
              <w:rPr>
                <w:rFonts w:ascii="Arial Narrow" w:hAnsi="Arial Narrow"/>
                <w:sz w:val="20"/>
                <w:szCs w:val="20"/>
              </w:rPr>
              <w:t xml:space="preserve"> (2.5%)</w:t>
            </w:r>
          </w:p>
        </w:tc>
        <w:tc>
          <w:tcPr>
            <w:tcW w:w="714" w:type="pct"/>
            <w:tcBorders>
              <w:top w:val="nil"/>
              <w:bottom w:val="single" w:sz="4" w:space="0" w:color="auto"/>
            </w:tcBorders>
            <w:shd w:val="clear" w:color="auto" w:fill="auto"/>
          </w:tcPr>
          <w:p w14:paraId="63DA19A5"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0/81 (0%)</w:t>
            </w:r>
          </w:p>
        </w:tc>
        <w:tc>
          <w:tcPr>
            <w:tcW w:w="776" w:type="pct"/>
            <w:tcBorders>
              <w:top w:val="nil"/>
            </w:tcBorders>
          </w:tcPr>
          <w:p w14:paraId="4116C8DA"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3.62 (0.17-77.18)</w:t>
            </w:r>
          </w:p>
        </w:tc>
        <w:tc>
          <w:tcPr>
            <w:tcW w:w="781" w:type="pct"/>
            <w:tcBorders>
              <w:top w:val="nil"/>
            </w:tcBorders>
          </w:tcPr>
          <w:p w14:paraId="22241AFB" w14:textId="77777777" w:rsidR="00D103E8" w:rsidRPr="00A00973" w:rsidRDefault="00D103E8" w:rsidP="00A00973">
            <w:pPr>
              <w:keepNext/>
              <w:keepLines/>
              <w:widowControl w:val="0"/>
              <w:jc w:val="center"/>
              <w:rPr>
                <w:rFonts w:ascii="Arial Narrow" w:hAnsi="Arial Narrow"/>
                <w:i/>
                <w:snapToGrid w:val="0"/>
                <w:sz w:val="20"/>
                <w:szCs w:val="20"/>
                <w:lang w:eastAsia="en-US"/>
              </w:rPr>
            </w:pPr>
            <w:r w:rsidRPr="00A00973">
              <w:rPr>
                <w:rFonts w:ascii="Arial Narrow" w:hAnsi="Arial Narrow"/>
                <w:sz w:val="20"/>
                <w:szCs w:val="20"/>
              </w:rPr>
              <w:t>0.02 (-0.05-0.10)</w:t>
            </w:r>
          </w:p>
        </w:tc>
        <w:tc>
          <w:tcPr>
            <w:tcW w:w="855" w:type="pct"/>
            <w:tcBorders>
              <w:top w:val="nil"/>
            </w:tcBorders>
            <w:shd w:val="clear" w:color="auto" w:fill="auto"/>
          </w:tcPr>
          <w:p w14:paraId="5E2BC31B" w14:textId="77777777" w:rsidR="00B1235B" w:rsidRPr="00A00973" w:rsidRDefault="00D103E8" w:rsidP="00A00973">
            <w:pPr>
              <w:keepNext/>
              <w:keepLines/>
              <w:widowControl w:val="0"/>
              <w:jc w:val="center"/>
              <w:rPr>
                <w:rFonts w:ascii="Arial Narrow" w:hAnsi="Arial Narrow"/>
                <w:sz w:val="20"/>
                <w:szCs w:val="20"/>
              </w:rPr>
            </w:pPr>
            <w:r w:rsidRPr="00A00973">
              <w:rPr>
                <w:rFonts w:ascii="Arial Narrow" w:hAnsi="Arial Narrow"/>
                <w:sz w:val="20"/>
                <w:szCs w:val="20"/>
              </w:rPr>
              <w:t xml:space="preserve">40.33 </w:t>
            </w:r>
          </w:p>
          <w:p w14:paraId="4FE8DE4A" w14:textId="77777777" w:rsidR="00D103E8" w:rsidRPr="00A00973" w:rsidRDefault="00D103E8" w:rsidP="00A00973">
            <w:pPr>
              <w:keepNext/>
              <w:keepLines/>
              <w:widowControl w:val="0"/>
              <w:jc w:val="center"/>
              <w:rPr>
                <w:rFonts w:ascii="Arial Narrow" w:hAnsi="Arial Narrow"/>
                <w:snapToGrid w:val="0"/>
                <w:sz w:val="20"/>
                <w:szCs w:val="20"/>
                <w:lang w:eastAsia="en-US"/>
              </w:rPr>
            </w:pPr>
            <w:r w:rsidRPr="00A00973">
              <w:rPr>
                <w:rFonts w:ascii="Arial Narrow" w:hAnsi="Arial Narrow"/>
                <w:sz w:val="20"/>
                <w:szCs w:val="20"/>
              </w:rPr>
              <w:t>(10.17, -20.51)</w:t>
            </w:r>
          </w:p>
        </w:tc>
      </w:tr>
    </w:tbl>
    <w:p w14:paraId="4E30F21E" w14:textId="77777777" w:rsidR="00D103E8" w:rsidRPr="00917415" w:rsidRDefault="00D103E8" w:rsidP="00A00973">
      <w:pPr>
        <w:pStyle w:val="TableFigureFooter"/>
        <w:keepNext/>
        <w:keepLines/>
      </w:pPr>
      <w:r w:rsidRPr="00917415">
        <w:t>Source: Tables 2.64-2.67, pp203-206 of the submission, Tables 22-25, pp40-42 of PrecisionHEOR (2020) in Attachment 11 of submission.</w:t>
      </w:r>
    </w:p>
    <w:p w14:paraId="46C545E2" w14:textId="77777777" w:rsidR="00D103E8" w:rsidRPr="00917415" w:rsidRDefault="00D103E8" w:rsidP="00A00973">
      <w:pPr>
        <w:pStyle w:val="TableFigureFooter"/>
        <w:keepNext/>
        <w:keepLines/>
      </w:pPr>
      <w:r w:rsidRPr="00917415">
        <w:rPr>
          <w:b/>
          <w:bCs/>
          <w:lang w:eastAsia="en-US"/>
        </w:rPr>
        <w:t>Bold</w:t>
      </w:r>
      <w:r w:rsidRPr="00917415">
        <w:rPr>
          <w:lang w:eastAsia="en-US"/>
        </w:rPr>
        <w:t xml:space="preserve"> indicates statistical significance (5% level). </w:t>
      </w:r>
      <w:r w:rsidRPr="00917415">
        <w:t>HINE = Hammersmith Infant Neurological Examination; ONA = onasemnogene abeparvovec</w:t>
      </w:r>
    </w:p>
    <w:p w14:paraId="1916D8E7" w14:textId="77777777" w:rsidR="00D103E8" w:rsidRPr="00917415" w:rsidRDefault="00D103E8" w:rsidP="00A00973">
      <w:pPr>
        <w:pStyle w:val="TableFigureFooter"/>
        <w:keepNext/>
        <w:keepLines/>
      </w:pPr>
      <w:r w:rsidRPr="00917415">
        <w:t>^</w:t>
      </w:r>
      <w:r w:rsidRPr="00917415">
        <w:tab/>
        <w:t>18-month results for STR1VE-US were carried forward to the 24-month timepoint.</w:t>
      </w:r>
    </w:p>
    <w:p w14:paraId="1C8BDBAE" w14:textId="77777777" w:rsidR="00CC41E1" w:rsidRPr="00917415" w:rsidRDefault="00621C8B" w:rsidP="00516F35">
      <w:pPr>
        <w:pStyle w:val="3-BodyText"/>
      </w:pPr>
      <w:r w:rsidRPr="00917415">
        <w:t>T</w:t>
      </w:r>
      <w:r w:rsidR="00CC41E1" w:rsidRPr="00917415">
        <w:t xml:space="preserve">he </w:t>
      </w:r>
      <w:r w:rsidR="00033CCA" w:rsidRPr="00917415">
        <w:t>PBAC noted</w:t>
      </w:r>
      <w:r w:rsidRPr="00917415">
        <w:t xml:space="preserve"> the </w:t>
      </w:r>
      <w:r w:rsidR="00CC41E1" w:rsidRPr="00917415">
        <w:t>results</w:t>
      </w:r>
      <w:r w:rsidRPr="00917415">
        <w:t xml:space="preserve"> of the MAIC</w:t>
      </w:r>
      <w:r w:rsidR="00CC41E1" w:rsidRPr="00917415">
        <w:t xml:space="preserve"> </w:t>
      </w:r>
      <w:r w:rsidR="00EC3BCB" w:rsidRPr="00917415">
        <w:t>favour</w:t>
      </w:r>
      <w:r w:rsidR="00033CCA" w:rsidRPr="00917415">
        <w:t>ed</w:t>
      </w:r>
      <w:r w:rsidR="00EC3BCB" w:rsidRPr="00917415">
        <w:t xml:space="preserve"> ONA but </w:t>
      </w:r>
      <w:r w:rsidR="00033CCA" w:rsidRPr="00917415">
        <w:t xml:space="preserve">were </w:t>
      </w:r>
      <w:r w:rsidR="00CC41E1" w:rsidRPr="00917415">
        <w:t xml:space="preserve">unlikely to be robust </w:t>
      </w:r>
      <w:r w:rsidR="00EC3BCB" w:rsidRPr="00917415">
        <w:t>because</w:t>
      </w:r>
      <w:r w:rsidR="004B55A7" w:rsidRPr="00917415">
        <w:t xml:space="preserve">: </w:t>
      </w:r>
    </w:p>
    <w:p w14:paraId="3C7759CF" w14:textId="77777777" w:rsidR="00CC41E1" w:rsidRPr="00917415" w:rsidRDefault="00621C8B" w:rsidP="00516F35">
      <w:pPr>
        <w:pStyle w:val="ListParagraph"/>
        <w:numPr>
          <w:ilvl w:val="0"/>
          <w:numId w:val="12"/>
        </w:numPr>
        <w:ind w:left="993" w:hanging="284"/>
      </w:pPr>
      <w:r w:rsidRPr="00917415">
        <w:t xml:space="preserve">The </w:t>
      </w:r>
      <w:r w:rsidR="00CC41E1" w:rsidRPr="00917415">
        <w:t>unanchored MAIC require</w:t>
      </w:r>
      <w:r w:rsidR="004B55A7" w:rsidRPr="00917415">
        <w:t>s</w:t>
      </w:r>
      <w:r w:rsidR="00CC41E1" w:rsidRPr="00917415">
        <w:t xml:space="preserve"> acceptance of the strong assumption that absolute outcomes can be predicted from the covariates; that is, it assumes that all effect modifiers and prognostic fa</w:t>
      </w:r>
      <w:r w:rsidR="00EC3BCB" w:rsidRPr="00917415">
        <w:t xml:space="preserve">ctors are accounted for. This is </w:t>
      </w:r>
      <w:r w:rsidR="00CC41E1" w:rsidRPr="00917415">
        <w:t xml:space="preserve">unlikely to </w:t>
      </w:r>
      <w:r w:rsidR="00EC3BCB" w:rsidRPr="00917415">
        <w:t xml:space="preserve">be </w:t>
      </w:r>
      <w:r w:rsidR="00CC41E1" w:rsidRPr="00917415">
        <w:t>met.</w:t>
      </w:r>
    </w:p>
    <w:p w14:paraId="49BD2B7F" w14:textId="77777777" w:rsidR="00CC41E1" w:rsidRPr="00917415" w:rsidRDefault="00EC3BCB" w:rsidP="00A00973">
      <w:pPr>
        <w:pStyle w:val="ListParagraph"/>
        <w:numPr>
          <w:ilvl w:val="0"/>
          <w:numId w:val="12"/>
        </w:numPr>
        <w:ind w:left="993" w:hanging="284"/>
      </w:pPr>
      <w:r w:rsidRPr="00917415">
        <w:t>T</w:t>
      </w:r>
      <w:r w:rsidR="00CC41E1" w:rsidRPr="00917415">
        <w:t xml:space="preserve">he MAIC was matched on just two baseline patient characteristics (CHOP-INTEND score and proportion with nutritional support) in the pooled analysis using both START and STR1VE-US IPD and on just one covariate (CHOP-INTEND) in sensitivity analysis using just START or just </w:t>
      </w:r>
      <w:r w:rsidR="00BA689D" w:rsidRPr="00917415">
        <w:t>STR1VE</w:t>
      </w:r>
      <w:r w:rsidR="00CC41E1" w:rsidRPr="00917415">
        <w:t xml:space="preserve">-US IPD. Therefore, other observed cross study differences were not adjusted for, </w:t>
      </w:r>
      <w:r w:rsidRPr="00917415">
        <w:t xml:space="preserve">including </w:t>
      </w:r>
      <w:r w:rsidR="00CC41E1" w:rsidRPr="00917415">
        <w:t>age at treatment initiation (2</w:t>
      </w:r>
      <w:r w:rsidR="00931C0C" w:rsidRPr="00917415">
        <w:t> </w:t>
      </w:r>
      <w:r w:rsidR="00CC41E1" w:rsidRPr="00917415">
        <w:t xml:space="preserve">months later for </w:t>
      </w:r>
      <w:r w:rsidR="00EE09B5" w:rsidRPr="00917415">
        <w:t>NUSI</w:t>
      </w:r>
      <w:r w:rsidR="00CC41E1" w:rsidRPr="00917415">
        <w:t xml:space="preserve"> in ENDEAR);</w:t>
      </w:r>
      <w:r w:rsidRPr="00917415">
        <w:t xml:space="preserve"> </w:t>
      </w:r>
      <w:r w:rsidR="00CC41E1" w:rsidRPr="00917415">
        <w:t>disease duration (</w:t>
      </w:r>
      <w:r w:rsidR="00CC41E1" w:rsidRPr="00917415">
        <w:rPr>
          <w:rFonts w:cstheme="minorHAnsi"/>
        </w:rPr>
        <w:t>≤</w:t>
      </w:r>
      <w:r w:rsidR="00CC41E1" w:rsidRPr="00917415">
        <w:t>2 month for ONA versus 3.6</w:t>
      </w:r>
      <w:r w:rsidR="00931C0C" w:rsidRPr="00917415">
        <w:t xml:space="preserve"> </w:t>
      </w:r>
      <w:r w:rsidR="00CC41E1" w:rsidRPr="00917415">
        <w:t xml:space="preserve">months for </w:t>
      </w:r>
      <w:r w:rsidR="00EE09B5" w:rsidRPr="00917415">
        <w:t>NUSI</w:t>
      </w:r>
      <w:r w:rsidR="00CC41E1" w:rsidRPr="00917415">
        <w:t xml:space="preserve"> treated patients) and</w:t>
      </w:r>
      <w:r w:rsidRPr="00917415">
        <w:t xml:space="preserve"> </w:t>
      </w:r>
      <w:r w:rsidR="00CC41E1" w:rsidRPr="00917415">
        <w:t xml:space="preserve">ventilator support at baseline (16.7% and </w:t>
      </w:r>
      <w:r w:rsidR="00CC41E1" w:rsidRPr="00917415">
        <w:lastRenderedPageBreak/>
        <w:t xml:space="preserve">0% for ONA in START and </w:t>
      </w:r>
      <w:r w:rsidR="00BA689D" w:rsidRPr="00917415">
        <w:t>STR1VE</w:t>
      </w:r>
      <w:r w:rsidR="00CC41E1" w:rsidRPr="00917415">
        <w:t xml:space="preserve"> respectively and 26.3% for </w:t>
      </w:r>
      <w:r w:rsidR="00EE09B5" w:rsidRPr="00917415">
        <w:t>NUSI</w:t>
      </w:r>
      <w:r w:rsidR="00CC41E1" w:rsidRPr="00917415">
        <w:t xml:space="preserve"> treated patients in ENDEAR)</w:t>
      </w:r>
      <w:r w:rsidRPr="00917415">
        <w:t>.</w:t>
      </w:r>
      <w:r w:rsidR="00CC41E1" w:rsidRPr="00917415">
        <w:t xml:space="preserve"> </w:t>
      </w:r>
    </w:p>
    <w:p w14:paraId="793A840B" w14:textId="77777777" w:rsidR="004A1336" w:rsidRPr="00917415" w:rsidRDefault="00CC41E1" w:rsidP="00516F35">
      <w:pPr>
        <w:pStyle w:val="ListParagraph"/>
        <w:numPr>
          <w:ilvl w:val="0"/>
          <w:numId w:val="12"/>
        </w:numPr>
        <w:ind w:left="993" w:hanging="284"/>
      </w:pPr>
      <w:r w:rsidRPr="00917415">
        <w:t xml:space="preserve">By matching ONA IPD to </w:t>
      </w:r>
      <w:r w:rsidR="00EE09B5" w:rsidRPr="00917415">
        <w:t>NUSI</w:t>
      </w:r>
      <w:r w:rsidRPr="00917415">
        <w:t xml:space="preserve"> aggregate data, another implicit assumption is that the target population is closer to that represented in the </w:t>
      </w:r>
      <w:r w:rsidR="00EE09B5" w:rsidRPr="00917415">
        <w:t>NUSI</w:t>
      </w:r>
      <w:r w:rsidRPr="00917415">
        <w:t xml:space="preserve"> study than in the ONA studies, and this is reflected in the estimates.</w:t>
      </w:r>
      <w:r w:rsidR="004A1336" w:rsidRPr="00917415">
        <w:t xml:space="preserve"> </w:t>
      </w:r>
    </w:p>
    <w:p w14:paraId="54E8A330" w14:textId="77777777" w:rsidR="00B60939" w:rsidRPr="00917415" w:rsidRDefault="00B60939" w:rsidP="00516F35">
      <w:pPr>
        <w:pStyle w:val="4-SubsectionHeading"/>
      </w:pPr>
      <w:bookmarkStart w:id="13" w:name="_Toc22897642"/>
      <w:bookmarkStart w:id="14" w:name="_Toc51152457"/>
      <w:r w:rsidRPr="00917415">
        <w:t>Comparative harms</w:t>
      </w:r>
      <w:bookmarkEnd w:id="13"/>
      <w:bookmarkEnd w:id="14"/>
    </w:p>
    <w:p w14:paraId="7BC958C0" w14:textId="77777777" w:rsidR="00DE36C2" w:rsidRPr="00917415" w:rsidRDefault="00BC105F" w:rsidP="00516F35">
      <w:pPr>
        <w:pStyle w:val="3-BodyText"/>
      </w:pPr>
      <w:r w:rsidRPr="00917415">
        <w:t xml:space="preserve">Table 12 summarises the safety outcomes in the ONA and </w:t>
      </w:r>
      <w:r w:rsidR="00EE09B5" w:rsidRPr="00917415">
        <w:t>NUSI</w:t>
      </w:r>
      <w:r w:rsidRPr="00917415">
        <w:t xml:space="preserve"> studies. </w:t>
      </w:r>
      <w:r w:rsidR="00DE36C2" w:rsidRPr="00917415">
        <w:t xml:space="preserve">Limited adverse events (AEs) data </w:t>
      </w:r>
      <w:r w:rsidR="00486118" w:rsidRPr="00917415">
        <w:t>w</w:t>
      </w:r>
      <w:r w:rsidRPr="00917415">
        <w:t>ere</w:t>
      </w:r>
      <w:r w:rsidR="00486118" w:rsidRPr="00917415">
        <w:t xml:space="preserve"> </w:t>
      </w:r>
      <w:r w:rsidR="00DE36C2" w:rsidRPr="00917415">
        <w:t>available from the ongoing studies.</w:t>
      </w:r>
    </w:p>
    <w:p w14:paraId="765EC8AA" w14:textId="77777777" w:rsidR="00BC105F" w:rsidRPr="00917415" w:rsidRDefault="00BC105F" w:rsidP="00A00973">
      <w:pPr>
        <w:pStyle w:val="TableFigureHeading"/>
        <w:keepLines/>
        <w:widowControl w:val="0"/>
        <w:rPr>
          <w:lang w:eastAsia="en-US"/>
        </w:rPr>
      </w:pPr>
      <w:r w:rsidRPr="00917415">
        <w:rPr>
          <w:lang w:eastAsia="en-US"/>
        </w:rPr>
        <w:lastRenderedPageBreak/>
        <w:t xml:space="preserve">Table 12: Safety Outcomes in ONA and </w:t>
      </w:r>
      <w:r w:rsidR="00EE09B5" w:rsidRPr="00917415">
        <w:rPr>
          <w:lang w:eastAsia="en-US"/>
        </w:rPr>
        <w:t>NUSI</w:t>
      </w:r>
      <w:r w:rsidRPr="00917415">
        <w:rPr>
          <w:lang w:eastAsia="en-US"/>
        </w:rPr>
        <w:t xml:space="preserve"> studies</w:t>
      </w:r>
    </w:p>
    <w:tbl>
      <w:tblPr>
        <w:tblStyle w:val="TableGrid"/>
        <w:tblW w:w="5000" w:type="pct"/>
        <w:tblCellMar>
          <w:left w:w="28" w:type="dxa"/>
          <w:right w:w="28" w:type="dxa"/>
        </w:tblCellMar>
        <w:tblLook w:val="04A0" w:firstRow="1" w:lastRow="0" w:firstColumn="1" w:lastColumn="0" w:noHBand="0" w:noVBand="1"/>
        <w:tblCaption w:val="Table 12: Safety Outcomes in ONA and NUSI studies"/>
      </w:tblPr>
      <w:tblGrid>
        <w:gridCol w:w="1072"/>
        <w:gridCol w:w="907"/>
        <w:gridCol w:w="936"/>
        <w:gridCol w:w="936"/>
        <w:gridCol w:w="992"/>
        <w:gridCol w:w="969"/>
        <w:gridCol w:w="1295"/>
        <w:gridCol w:w="992"/>
        <w:gridCol w:w="918"/>
      </w:tblGrid>
      <w:tr w:rsidR="00BC105F" w:rsidRPr="00A00973" w14:paraId="2351E6F7" w14:textId="77777777" w:rsidTr="002E0331">
        <w:trPr>
          <w:tblHeader/>
        </w:trPr>
        <w:tc>
          <w:tcPr>
            <w:tcW w:w="604" w:type="pct"/>
            <w:vMerge w:val="restart"/>
            <w:shd w:val="clear" w:color="auto" w:fill="auto"/>
          </w:tcPr>
          <w:p w14:paraId="2D4518F8" w14:textId="77777777" w:rsidR="00BC105F" w:rsidRPr="00A00973" w:rsidRDefault="00BC105F" w:rsidP="00A00973">
            <w:pPr>
              <w:keepNext/>
              <w:keepLines/>
              <w:widowControl w:val="0"/>
              <w:rPr>
                <w:rFonts w:ascii="Arial Narrow" w:hAnsi="Arial Narrow"/>
                <w:sz w:val="20"/>
                <w:szCs w:val="20"/>
              </w:rPr>
            </w:pPr>
          </w:p>
        </w:tc>
        <w:tc>
          <w:tcPr>
            <w:tcW w:w="2127" w:type="pct"/>
            <w:gridSpan w:val="4"/>
            <w:tcBorders>
              <w:right w:val="double" w:sz="4" w:space="0" w:color="auto"/>
            </w:tcBorders>
            <w:shd w:val="clear" w:color="auto" w:fill="auto"/>
          </w:tcPr>
          <w:p w14:paraId="4EDBBBA2"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ONA studies</w:t>
            </w:r>
          </w:p>
        </w:tc>
        <w:tc>
          <w:tcPr>
            <w:tcW w:w="2269" w:type="pct"/>
            <w:gridSpan w:val="4"/>
            <w:tcBorders>
              <w:left w:val="double" w:sz="4" w:space="0" w:color="auto"/>
            </w:tcBorders>
            <w:shd w:val="clear" w:color="auto" w:fill="auto"/>
          </w:tcPr>
          <w:p w14:paraId="5EBA1203" w14:textId="77777777" w:rsidR="00BC105F" w:rsidRPr="00A00973" w:rsidRDefault="00EE09B5" w:rsidP="00A00973">
            <w:pPr>
              <w:keepNext/>
              <w:keepLines/>
              <w:widowControl w:val="0"/>
              <w:jc w:val="center"/>
              <w:rPr>
                <w:rFonts w:ascii="Arial Narrow" w:hAnsi="Arial Narrow"/>
                <w:b/>
                <w:sz w:val="20"/>
                <w:szCs w:val="20"/>
              </w:rPr>
            </w:pPr>
            <w:r w:rsidRPr="00A00973">
              <w:rPr>
                <w:rFonts w:ascii="Arial Narrow" w:hAnsi="Arial Narrow"/>
                <w:b/>
                <w:sz w:val="20"/>
                <w:szCs w:val="20"/>
              </w:rPr>
              <w:t>NUSI</w:t>
            </w:r>
            <w:r w:rsidR="00BC105F" w:rsidRPr="00A00973">
              <w:rPr>
                <w:rFonts w:ascii="Arial Narrow" w:hAnsi="Arial Narrow"/>
                <w:b/>
                <w:sz w:val="20"/>
                <w:szCs w:val="20"/>
              </w:rPr>
              <w:t xml:space="preserve"> studies</w:t>
            </w:r>
          </w:p>
        </w:tc>
      </w:tr>
      <w:tr w:rsidR="00BC105F" w:rsidRPr="00A00973" w14:paraId="0C74C3C6" w14:textId="77777777" w:rsidTr="002E0331">
        <w:trPr>
          <w:tblHeader/>
        </w:trPr>
        <w:tc>
          <w:tcPr>
            <w:tcW w:w="604" w:type="pct"/>
            <w:vMerge/>
            <w:shd w:val="clear" w:color="auto" w:fill="auto"/>
          </w:tcPr>
          <w:p w14:paraId="18165E76" w14:textId="77777777" w:rsidR="00BC105F" w:rsidRPr="00A00973" w:rsidRDefault="00BC105F" w:rsidP="00A00973">
            <w:pPr>
              <w:keepNext/>
              <w:keepLines/>
              <w:widowControl w:val="0"/>
              <w:rPr>
                <w:rFonts w:ascii="Arial Narrow" w:hAnsi="Arial Narrow"/>
                <w:sz w:val="20"/>
                <w:szCs w:val="20"/>
              </w:rPr>
            </w:pPr>
          </w:p>
        </w:tc>
        <w:tc>
          <w:tcPr>
            <w:tcW w:w="512" w:type="pct"/>
            <w:shd w:val="clear" w:color="auto" w:fill="auto"/>
          </w:tcPr>
          <w:p w14:paraId="2D328858"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START</w:t>
            </w:r>
            <w:r w:rsidRPr="00A00973">
              <w:rPr>
                <w:rFonts w:ascii="Arial Narrow" w:hAnsi="Arial Narrow"/>
                <w:b/>
                <w:sz w:val="20"/>
                <w:szCs w:val="20"/>
                <w:vertAlign w:val="superscript"/>
              </w:rPr>
              <w:t>a</w:t>
            </w:r>
          </w:p>
        </w:tc>
        <w:tc>
          <w:tcPr>
            <w:tcW w:w="528" w:type="pct"/>
            <w:tcBorders>
              <w:bottom w:val="single" w:sz="4" w:space="0" w:color="auto"/>
            </w:tcBorders>
            <w:shd w:val="clear" w:color="auto" w:fill="auto"/>
          </w:tcPr>
          <w:p w14:paraId="06A569A5"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STR1VE US</w:t>
            </w:r>
          </w:p>
        </w:tc>
        <w:tc>
          <w:tcPr>
            <w:tcW w:w="528" w:type="pct"/>
            <w:shd w:val="clear" w:color="auto" w:fill="auto"/>
          </w:tcPr>
          <w:p w14:paraId="12D291F8"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STR1VE EU</w:t>
            </w:r>
          </w:p>
        </w:tc>
        <w:tc>
          <w:tcPr>
            <w:tcW w:w="559" w:type="pct"/>
            <w:tcBorders>
              <w:right w:val="double" w:sz="4" w:space="0" w:color="auto"/>
            </w:tcBorders>
            <w:shd w:val="clear" w:color="auto" w:fill="auto"/>
          </w:tcPr>
          <w:p w14:paraId="3336A552"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SPR1NT</w:t>
            </w:r>
          </w:p>
        </w:tc>
        <w:tc>
          <w:tcPr>
            <w:tcW w:w="546" w:type="pct"/>
            <w:tcBorders>
              <w:left w:val="double" w:sz="4" w:space="0" w:color="auto"/>
            </w:tcBorders>
            <w:shd w:val="clear" w:color="auto" w:fill="auto"/>
          </w:tcPr>
          <w:p w14:paraId="5271068A"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ENDEAR</w:t>
            </w:r>
          </w:p>
        </w:tc>
        <w:tc>
          <w:tcPr>
            <w:tcW w:w="646" w:type="pct"/>
            <w:shd w:val="clear" w:color="auto" w:fill="auto"/>
          </w:tcPr>
          <w:p w14:paraId="5514CE79"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SHINE/ENDEAR</w:t>
            </w:r>
          </w:p>
        </w:tc>
        <w:tc>
          <w:tcPr>
            <w:tcW w:w="559" w:type="pct"/>
            <w:shd w:val="clear" w:color="auto" w:fill="auto"/>
          </w:tcPr>
          <w:p w14:paraId="1A41D8D8"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NURTURE</w:t>
            </w:r>
          </w:p>
        </w:tc>
        <w:tc>
          <w:tcPr>
            <w:tcW w:w="517" w:type="pct"/>
            <w:shd w:val="clear" w:color="auto" w:fill="auto"/>
          </w:tcPr>
          <w:p w14:paraId="6B28849F" w14:textId="77777777" w:rsidR="00BC105F" w:rsidRPr="00A00973" w:rsidRDefault="00BC105F" w:rsidP="00A00973">
            <w:pPr>
              <w:keepNext/>
              <w:keepLines/>
              <w:widowControl w:val="0"/>
              <w:jc w:val="center"/>
              <w:rPr>
                <w:rFonts w:ascii="Arial Narrow" w:hAnsi="Arial Narrow"/>
                <w:b/>
                <w:sz w:val="20"/>
                <w:szCs w:val="20"/>
              </w:rPr>
            </w:pPr>
            <w:r w:rsidRPr="00A00973">
              <w:rPr>
                <w:rFonts w:ascii="Arial Narrow" w:hAnsi="Arial Narrow"/>
                <w:b/>
                <w:sz w:val="20"/>
                <w:szCs w:val="20"/>
              </w:rPr>
              <w:t>CS3A</w:t>
            </w:r>
          </w:p>
        </w:tc>
      </w:tr>
      <w:tr w:rsidR="00BC105F" w:rsidRPr="00A00973" w14:paraId="3A0B9ECD" w14:textId="77777777" w:rsidTr="00A00973">
        <w:tc>
          <w:tcPr>
            <w:tcW w:w="5000" w:type="pct"/>
            <w:gridSpan w:val="9"/>
            <w:shd w:val="clear" w:color="auto" w:fill="auto"/>
            <w:vAlign w:val="center"/>
          </w:tcPr>
          <w:p w14:paraId="768727B7" w14:textId="77777777" w:rsidR="00BC105F" w:rsidRPr="00A00973" w:rsidRDefault="00BC105F" w:rsidP="00A00973">
            <w:pPr>
              <w:keepNext/>
              <w:keepLines/>
              <w:widowControl w:val="0"/>
              <w:jc w:val="left"/>
              <w:rPr>
                <w:rFonts w:ascii="Arial Narrow" w:hAnsi="Arial Narrow"/>
                <w:sz w:val="20"/>
                <w:szCs w:val="20"/>
              </w:rPr>
            </w:pPr>
            <w:r w:rsidRPr="00A00973">
              <w:rPr>
                <w:rFonts w:ascii="Arial Narrow" w:hAnsi="Arial Narrow"/>
                <w:b/>
                <w:sz w:val="20"/>
                <w:szCs w:val="20"/>
              </w:rPr>
              <w:t>Any AE n/N (%)</w:t>
            </w:r>
          </w:p>
        </w:tc>
      </w:tr>
      <w:tr w:rsidR="00BC105F" w:rsidRPr="00A00973" w14:paraId="3D8DA95A" w14:textId="77777777" w:rsidTr="00A00973">
        <w:tc>
          <w:tcPr>
            <w:tcW w:w="604" w:type="pct"/>
            <w:shd w:val="clear" w:color="auto" w:fill="auto"/>
          </w:tcPr>
          <w:p w14:paraId="6AD7FA1C" w14:textId="77777777" w:rsidR="00BC105F" w:rsidRPr="00A00973" w:rsidRDefault="00BC105F" w:rsidP="00A00973">
            <w:pPr>
              <w:keepNext/>
              <w:keepLines/>
              <w:widowControl w:val="0"/>
              <w:ind w:left="83"/>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14:paraId="7AA2E3A1"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12/12 (100)</w:t>
            </w:r>
          </w:p>
        </w:tc>
        <w:tc>
          <w:tcPr>
            <w:tcW w:w="528" w:type="pct"/>
            <w:tcBorders>
              <w:top w:val="nil"/>
            </w:tcBorders>
            <w:shd w:val="clear" w:color="auto" w:fill="auto"/>
          </w:tcPr>
          <w:p w14:paraId="5603813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22/22 (100)</w:t>
            </w:r>
          </w:p>
        </w:tc>
        <w:tc>
          <w:tcPr>
            <w:tcW w:w="528" w:type="pct"/>
            <w:shd w:val="clear" w:color="auto" w:fill="auto"/>
          </w:tcPr>
          <w:p w14:paraId="5F80D9D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32/33 (97)</w:t>
            </w:r>
          </w:p>
        </w:tc>
        <w:tc>
          <w:tcPr>
            <w:tcW w:w="559" w:type="pct"/>
            <w:tcBorders>
              <w:right w:val="double" w:sz="4" w:space="0" w:color="auto"/>
            </w:tcBorders>
            <w:shd w:val="clear" w:color="auto" w:fill="auto"/>
          </w:tcPr>
          <w:p w14:paraId="6D321C8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30/30 (100)</w:t>
            </w:r>
          </w:p>
        </w:tc>
        <w:tc>
          <w:tcPr>
            <w:tcW w:w="546" w:type="pct"/>
            <w:tcBorders>
              <w:left w:val="double" w:sz="4" w:space="0" w:color="auto"/>
            </w:tcBorders>
            <w:shd w:val="clear" w:color="auto" w:fill="auto"/>
          </w:tcPr>
          <w:p w14:paraId="367CE71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14:paraId="70BB4AC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14:paraId="5C30AF2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52BD26F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033BD79A" w14:textId="77777777" w:rsidTr="00A00973">
        <w:tc>
          <w:tcPr>
            <w:tcW w:w="604" w:type="pct"/>
            <w:shd w:val="clear" w:color="auto" w:fill="auto"/>
          </w:tcPr>
          <w:p w14:paraId="7EA6BBAE" w14:textId="77777777" w:rsidR="00BC105F" w:rsidRPr="00A00973" w:rsidRDefault="00BC105F" w:rsidP="00A00973">
            <w:pPr>
              <w:keepNext/>
              <w:keepLines/>
              <w:widowControl w:val="0"/>
              <w:ind w:left="83"/>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14:paraId="5D7B082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53F5C43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16758DAF"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36C9374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605AB4A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40/41 (97.6)</w:t>
            </w:r>
          </w:p>
        </w:tc>
        <w:tc>
          <w:tcPr>
            <w:tcW w:w="646" w:type="pct"/>
            <w:shd w:val="clear" w:color="auto" w:fill="auto"/>
          </w:tcPr>
          <w:p w14:paraId="12D128F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22/22 (100)^</w:t>
            </w:r>
          </w:p>
        </w:tc>
        <w:tc>
          <w:tcPr>
            <w:tcW w:w="559" w:type="pct"/>
            <w:shd w:val="clear" w:color="auto" w:fill="auto"/>
          </w:tcPr>
          <w:p w14:paraId="7D1C307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3D7D192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29550C65" w14:textId="77777777" w:rsidTr="00A00973">
        <w:tc>
          <w:tcPr>
            <w:tcW w:w="604" w:type="pct"/>
            <w:shd w:val="clear" w:color="auto" w:fill="auto"/>
          </w:tcPr>
          <w:p w14:paraId="29CAD2EA" w14:textId="77777777" w:rsidR="00BC105F" w:rsidRPr="00A00973" w:rsidRDefault="00EE09B5" w:rsidP="00A00973">
            <w:pPr>
              <w:keepNext/>
              <w:keepLines/>
              <w:widowControl w:val="0"/>
              <w:ind w:left="83"/>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14:paraId="650A15A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4EEE874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FC9A60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65F373E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47B2F79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77/80 (96.3)</w:t>
            </w:r>
          </w:p>
        </w:tc>
        <w:tc>
          <w:tcPr>
            <w:tcW w:w="646" w:type="pct"/>
            <w:shd w:val="clear" w:color="auto" w:fill="auto"/>
          </w:tcPr>
          <w:p w14:paraId="37D1CB1A"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58/60 (96.7)*</w:t>
            </w:r>
          </w:p>
        </w:tc>
        <w:tc>
          <w:tcPr>
            <w:tcW w:w="559" w:type="pct"/>
            <w:shd w:val="clear" w:color="auto" w:fill="auto"/>
          </w:tcPr>
          <w:p w14:paraId="06697D7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25/25 (100)</w:t>
            </w:r>
          </w:p>
        </w:tc>
        <w:tc>
          <w:tcPr>
            <w:tcW w:w="517" w:type="pct"/>
            <w:shd w:val="clear" w:color="auto" w:fill="auto"/>
          </w:tcPr>
          <w:p w14:paraId="17FEE99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16/16 (100)</w:t>
            </w:r>
          </w:p>
        </w:tc>
      </w:tr>
      <w:tr w:rsidR="00BC105F" w:rsidRPr="00A00973" w14:paraId="4AFA863C" w14:textId="77777777" w:rsidTr="00A00973">
        <w:tc>
          <w:tcPr>
            <w:tcW w:w="5000" w:type="pct"/>
            <w:gridSpan w:val="9"/>
            <w:shd w:val="clear" w:color="auto" w:fill="auto"/>
            <w:vAlign w:val="center"/>
          </w:tcPr>
          <w:p w14:paraId="3EC948CC" w14:textId="77777777"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AEs related to treatment n/N (%)</w:t>
            </w:r>
          </w:p>
        </w:tc>
      </w:tr>
      <w:tr w:rsidR="00BC105F" w:rsidRPr="00A00973" w14:paraId="2717F86B" w14:textId="77777777" w:rsidTr="00A00973">
        <w:tc>
          <w:tcPr>
            <w:tcW w:w="604" w:type="pct"/>
            <w:shd w:val="clear" w:color="auto" w:fill="auto"/>
          </w:tcPr>
          <w:p w14:paraId="07FC9A9F"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14:paraId="00C46BA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3/12 (25.0)</w:t>
            </w:r>
          </w:p>
        </w:tc>
        <w:tc>
          <w:tcPr>
            <w:tcW w:w="528" w:type="pct"/>
            <w:shd w:val="clear" w:color="auto" w:fill="auto"/>
          </w:tcPr>
          <w:p w14:paraId="0A63A23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12/22 (54.5)</w:t>
            </w:r>
          </w:p>
        </w:tc>
        <w:tc>
          <w:tcPr>
            <w:tcW w:w="528" w:type="pct"/>
            <w:shd w:val="clear" w:color="auto" w:fill="auto"/>
          </w:tcPr>
          <w:p w14:paraId="2B53E89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24/33 (72.7)</w:t>
            </w:r>
          </w:p>
        </w:tc>
        <w:tc>
          <w:tcPr>
            <w:tcW w:w="559" w:type="pct"/>
            <w:tcBorders>
              <w:right w:val="double" w:sz="4" w:space="0" w:color="auto"/>
            </w:tcBorders>
            <w:shd w:val="clear" w:color="auto" w:fill="auto"/>
          </w:tcPr>
          <w:p w14:paraId="4D0D989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17/30 (56.7)</w:t>
            </w:r>
          </w:p>
        </w:tc>
        <w:tc>
          <w:tcPr>
            <w:tcW w:w="546" w:type="pct"/>
            <w:tcBorders>
              <w:left w:val="double" w:sz="4" w:space="0" w:color="auto"/>
            </w:tcBorders>
            <w:shd w:val="clear" w:color="auto" w:fill="auto"/>
          </w:tcPr>
          <w:p w14:paraId="1DA3CADC"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14:paraId="2FAA2E9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14:paraId="2ECA3A7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1F309D8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05CB3B77" w14:textId="77777777" w:rsidTr="00A00973">
        <w:tc>
          <w:tcPr>
            <w:tcW w:w="604" w:type="pct"/>
            <w:shd w:val="clear" w:color="auto" w:fill="auto"/>
          </w:tcPr>
          <w:p w14:paraId="5DA1F96F"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14:paraId="29EB0BF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3937BBA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A25FDB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0E82EA0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4F58461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14:paraId="0885A16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14:paraId="098D6CA5"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118DBE5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55CFF055" w14:textId="77777777" w:rsidTr="00A00973">
        <w:tc>
          <w:tcPr>
            <w:tcW w:w="604" w:type="pct"/>
            <w:shd w:val="clear" w:color="auto" w:fill="auto"/>
          </w:tcPr>
          <w:p w14:paraId="60B4F861" w14:textId="77777777"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14:paraId="19A98B4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18506401"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5F194BF5"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6883EEC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286C8DB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14:paraId="67860A4F"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14:paraId="1C466E9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w:t>
            </w:r>
            <w:r w:rsidR="00394352" w:rsidRPr="00A00973">
              <w:rPr>
                <w:rFonts w:ascii="Arial Narrow" w:hAnsi="Arial Narrow"/>
                <w:sz w:val="20"/>
                <w:szCs w:val="20"/>
              </w:rPr>
              <w:t>0</w:t>
            </w:r>
            <w:r w:rsidRPr="00A00973">
              <w:rPr>
                <w:rFonts w:ascii="Arial Narrow" w:hAnsi="Arial Narrow"/>
                <w:sz w:val="20"/>
                <w:szCs w:val="20"/>
              </w:rPr>
              <w:t>)</w:t>
            </w:r>
          </w:p>
        </w:tc>
        <w:tc>
          <w:tcPr>
            <w:tcW w:w="517" w:type="pct"/>
            <w:shd w:val="clear" w:color="auto" w:fill="auto"/>
          </w:tcPr>
          <w:p w14:paraId="550C597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14:paraId="362DDB5E" w14:textId="77777777" w:rsidTr="00A00973">
        <w:tc>
          <w:tcPr>
            <w:tcW w:w="5000" w:type="pct"/>
            <w:gridSpan w:val="9"/>
            <w:shd w:val="clear" w:color="auto" w:fill="auto"/>
          </w:tcPr>
          <w:p w14:paraId="2543D422" w14:textId="77777777"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Severe AEs n/N (%)</w:t>
            </w:r>
          </w:p>
        </w:tc>
      </w:tr>
      <w:tr w:rsidR="00BC105F" w:rsidRPr="00A00973" w14:paraId="187A2F9C" w14:textId="77777777" w:rsidTr="00A00973">
        <w:tc>
          <w:tcPr>
            <w:tcW w:w="604" w:type="pct"/>
            <w:shd w:val="clear" w:color="auto" w:fill="auto"/>
          </w:tcPr>
          <w:p w14:paraId="184575C6"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14:paraId="3BC3F17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10/12 (83.3)</w:t>
            </w:r>
          </w:p>
        </w:tc>
        <w:tc>
          <w:tcPr>
            <w:tcW w:w="528" w:type="pct"/>
            <w:shd w:val="clear" w:color="auto" w:fill="auto"/>
          </w:tcPr>
          <w:p w14:paraId="671429F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10/22 (45.5)</w:t>
            </w:r>
          </w:p>
        </w:tc>
        <w:tc>
          <w:tcPr>
            <w:tcW w:w="528" w:type="pct"/>
            <w:shd w:val="clear" w:color="auto" w:fill="auto"/>
          </w:tcPr>
          <w:p w14:paraId="0B9AD59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tcBorders>
              <w:right w:val="double" w:sz="4" w:space="0" w:color="auto"/>
            </w:tcBorders>
            <w:shd w:val="clear" w:color="auto" w:fill="auto"/>
          </w:tcPr>
          <w:p w14:paraId="4E014BD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46" w:type="pct"/>
            <w:tcBorders>
              <w:left w:val="double" w:sz="4" w:space="0" w:color="auto"/>
            </w:tcBorders>
            <w:shd w:val="clear" w:color="auto" w:fill="auto"/>
          </w:tcPr>
          <w:p w14:paraId="22C82BB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14:paraId="7442ABF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14:paraId="3CCB959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6937B07A"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0B1D4C12" w14:textId="77777777" w:rsidTr="00A00973">
        <w:tc>
          <w:tcPr>
            <w:tcW w:w="604" w:type="pct"/>
            <w:shd w:val="clear" w:color="auto" w:fill="auto"/>
          </w:tcPr>
          <w:p w14:paraId="22812DBE"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14:paraId="50C4A31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2B1BE1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17D6413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118F973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4CA81AF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33/41 (80.5)</w:t>
            </w:r>
          </w:p>
        </w:tc>
        <w:tc>
          <w:tcPr>
            <w:tcW w:w="646" w:type="pct"/>
            <w:shd w:val="clear" w:color="auto" w:fill="auto"/>
          </w:tcPr>
          <w:p w14:paraId="681EC88C"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7/22 (31.8)</w:t>
            </w:r>
          </w:p>
        </w:tc>
        <w:tc>
          <w:tcPr>
            <w:tcW w:w="559" w:type="pct"/>
            <w:shd w:val="clear" w:color="auto" w:fill="auto"/>
          </w:tcPr>
          <w:p w14:paraId="00008EC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3071718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3ADD2C35" w14:textId="77777777" w:rsidTr="00A00973">
        <w:tc>
          <w:tcPr>
            <w:tcW w:w="604" w:type="pct"/>
            <w:shd w:val="clear" w:color="auto" w:fill="auto"/>
          </w:tcPr>
          <w:p w14:paraId="7DFC11BF" w14:textId="77777777"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14:paraId="4A41C9F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58EDF30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3B92304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72523B7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57BFA50F"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45/80 (56.3)</w:t>
            </w:r>
          </w:p>
        </w:tc>
        <w:tc>
          <w:tcPr>
            <w:tcW w:w="646" w:type="pct"/>
            <w:shd w:val="clear" w:color="auto" w:fill="auto"/>
          </w:tcPr>
          <w:p w14:paraId="6E2C1B1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19/60 (31.7)</w:t>
            </w:r>
          </w:p>
        </w:tc>
        <w:tc>
          <w:tcPr>
            <w:tcW w:w="559" w:type="pct"/>
            <w:shd w:val="clear" w:color="auto" w:fill="auto"/>
          </w:tcPr>
          <w:p w14:paraId="2D176D9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5/25 (20.0)</w:t>
            </w:r>
          </w:p>
        </w:tc>
        <w:tc>
          <w:tcPr>
            <w:tcW w:w="517" w:type="pct"/>
            <w:shd w:val="clear" w:color="auto" w:fill="auto"/>
          </w:tcPr>
          <w:p w14:paraId="76D3EAA1"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14:paraId="5C14BEB3" w14:textId="77777777" w:rsidTr="00A00973">
        <w:tc>
          <w:tcPr>
            <w:tcW w:w="5000" w:type="pct"/>
            <w:gridSpan w:val="9"/>
            <w:shd w:val="clear" w:color="auto" w:fill="auto"/>
          </w:tcPr>
          <w:p w14:paraId="51F5C1B3" w14:textId="77777777"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Serious AEs n/N (%)</w:t>
            </w:r>
          </w:p>
        </w:tc>
      </w:tr>
      <w:tr w:rsidR="00BC105F" w:rsidRPr="00A00973" w14:paraId="19B502FB" w14:textId="77777777" w:rsidTr="00A00973">
        <w:tc>
          <w:tcPr>
            <w:tcW w:w="604" w:type="pct"/>
            <w:shd w:val="clear" w:color="auto" w:fill="auto"/>
          </w:tcPr>
          <w:p w14:paraId="22E4CE98"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14:paraId="3ED6507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10/12 (83.3)</w:t>
            </w:r>
          </w:p>
        </w:tc>
        <w:tc>
          <w:tcPr>
            <w:tcW w:w="528" w:type="pct"/>
            <w:shd w:val="clear" w:color="auto" w:fill="auto"/>
          </w:tcPr>
          <w:p w14:paraId="3ED9EEB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10/22 (45.5)</w:t>
            </w:r>
          </w:p>
        </w:tc>
        <w:tc>
          <w:tcPr>
            <w:tcW w:w="528" w:type="pct"/>
            <w:shd w:val="clear" w:color="auto" w:fill="auto"/>
          </w:tcPr>
          <w:p w14:paraId="49A814F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19/33 (57.6)</w:t>
            </w:r>
          </w:p>
        </w:tc>
        <w:tc>
          <w:tcPr>
            <w:tcW w:w="559" w:type="pct"/>
            <w:tcBorders>
              <w:right w:val="double" w:sz="4" w:space="0" w:color="auto"/>
            </w:tcBorders>
            <w:shd w:val="clear" w:color="auto" w:fill="auto"/>
          </w:tcPr>
          <w:p w14:paraId="5038EE7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6/30 (20.0)</w:t>
            </w:r>
          </w:p>
        </w:tc>
        <w:tc>
          <w:tcPr>
            <w:tcW w:w="546" w:type="pct"/>
            <w:tcBorders>
              <w:left w:val="double" w:sz="4" w:space="0" w:color="auto"/>
            </w:tcBorders>
            <w:shd w:val="clear" w:color="auto" w:fill="auto"/>
          </w:tcPr>
          <w:p w14:paraId="332147EA"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14:paraId="1ED0991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14:paraId="438D492A"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1E3CB33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1136F4AD" w14:textId="77777777" w:rsidTr="00A00973">
        <w:tc>
          <w:tcPr>
            <w:tcW w:w="604" w:type="pct"/>
            <w:shd w:val="clear" w:color="auto" w:fill="auto"/>
          </w:tcPr>
          <w:p w14:paraId="5040062A"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14:paraId="43394ED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0891DF21"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5F29ACBC"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5CD4878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6060411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39/41 (95.1)</w:t>
            </w:r>
          </w:p>
        </w:tc>
        <w:tc>
          <w:tcPr>
            <w:tcW w:w="646" w:type="pct"/>
            <w:shd w:val="clear" w:color="auto" w:fill="auto"/>
          </w:tcPr>
          <w:p w14:paraId="67AD597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14/22 (63.6)</w:t>
            </w:r>
          </w:p>
        </w:tc>
        <w:tc>
          <w:tcPr>
            <w:tcW w:w="559" w:type="pct"/>
            <w:shd w:val="clear" w:color="auto" w:fill="auto"/>
          </w:tcPr>
          <w:p w14:paraId="004EACE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654B34D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67C35344" w14:textId="77777777" w:rsidTr="00A00973">
        <w:tc>
          <w:tcPr>
            <w:tcW w:w="604" w:type="pct"/>
            <w:shd w:val="clear" w:color="auto" w:fill="auto"/>
          </w:tcPr>
          <w:p w14:paraId="0455472D" w14:textId="77777777"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14:paraId="569830E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79930E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3AF550E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702E737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4111184A"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61/80 (76.3)</w:t>
            </w:r>
          </w:p>
        </w:tc>
        <w:tc>
          <w:tcPr>
            <w:tcW w:w="646" w:type="pct"/>
            <w:shd w:val="clear" w:color="auto" w:fill="auto"/>
          </w:tcPr>
          <w:p w14:paraId="47DDAA3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35/60 (53.8)</w:t>
            </w:r>
          </w:p>
        </w:tc>
        <w:tc>
          <w:tcPr>
            <w:tcW w:w="559" w:type="pct"/>
            <w:shd w:val="clear" w:color="auto" w:fill="auto"/>
          </w:tcPr>
          <w:p w14:paraId="1DD8104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12/25 (48.0)</w:t>
            </w:r>
          </w:p>
        </w:tc>
        <w:tc>
          <w:tcPr>
            <w:tcW w:w="517" w:type="pct"/>
            <w:shd w:val="clear" w:color="auto" w:fill="auto"/>
          </w:tcPr>
          <w:p w14:paraId="04F5E0F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13/16 (81.3)</w:t>
            </w:r>
          </w:p>
        </w:tc>
      </w:tr>
      <w:tr w:rsidR="00BC105F" w:rsidRPr="00A00973" w14:paraId="7C343E66" w14:textId="77777777" w:rsidTr="00A00973">
        <w:tc>
          <w:tcPr>
            <w:tcW w:w="5000" w:type="pct"/>
            <w:gridSpan w:val="9"/>
            <w:shd w:val="clear" w:color="auto" w:fill="auto"/>
          </w:tcPr>
          <w:p w14:paraId="4B5E501D" w14:textId="77777777"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Treatment-related serious AEs n/N (%)</w:t>
            </w:r>
          </w:p>
        </w:tc>
      </w:tr>
      <w:tr w:rsidR="00BC105F" w:rsidRPr="00A00973" w14:paraId="58531CB1" w14:textId="77777777" w:rsidTr="00A00973">
        <w:tc>
          <w:tcPr>
            <w:tcW w:w="604" w:type="pct"/>
            <w:shd w:val="clear" w:color="auto" w:fill="auto"/>
          </w:tcPr>
          <w:p w14:paraId="7B4AD566"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14:paraId="00E99E1F"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1/12 (8.3)</w:t>
            </w:r>
          </w:p>
        </w:tc>
        <w:tc>
          <w:tcPr>
            <w:tcW w:w="528" w:type="pct"/>
            <w:shd w:val="clear" w:color="auto" w:fill="auto"/>
          </w:tcPr>
          <w:p w14:paraId="1D63CCA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3/22 (13.6)</w:t>
            </w:r>
          </w:p>
        </w:tc>
        <w:tc>
          <w:tcPr>
            <w:tcW w:w="528" w:type="pct"/>
            <w:shd w:val="clear" w:color="auto" w:fill="auto"/>
          </w:tcPr>
          <w:p w14:paraId="18AFD24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tcBorders>
              <w:right w:val="double" w:sz="4" w:space="0" w:color="auto"/>
            </w:tcBorders>
            <w:shd w:val="clear" w:color="auto" w:fill="auto"/>
          </w:tcPr>
          <w:p w14:paraId="2C22D36F"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46" w:type="pct"/>
            <w:tcBorders>
              <w:left w:val="double" w:sz="4" w:space="0" w:color="auto"/>
            </w:tcBorders>
            <w:shd w:val="clear" w:color="auto" w:fill="auto"/>
          </w:tcPr>
          <w:p w14:paraId="4F161F2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14:paraId="1EB60ADA"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14:paraId="48CB09B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3041688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20689CC8" w14:textId="77777777" w:rsidTr="00A00973">
        <w:tc>
          <w:tcPr>
            <w:tcW w:w="604" w:type="pct"/>
            <w:shd w:val="clear" w:color="auto" w:fill="auto"/>
          </w:tcPr>
          <w:p w14:paraId="0780877F"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14:paraId="68DADAC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F0783E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4E5CABB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54350B3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11FBEE2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14:paraId="08EB6E3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0/22 (0.0)</w:t>
            </w:r>
          </w:p>
        </w:tc>
        <w:tc>
          <w:tcPr>
            <w:tcW w:w="559" w:type="pct"/>
            <w:shd w:val="clear" w:color="auto" w:fill="auto"/>
          </w:tcPr>
          <w:p w14:paraId="4AEEE72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4A259F9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51C5640B" w14:textId="77777777" w:rsidTr="00A00973">
        <w:tc>
          <w:tcPr>
            <w:tcW w:w="604" w:type="pct"/>
            <w:shd w:val="clear" w:color="auto" w:fill="auto"/>
          </w:tcPr>
          <w:p w14:paraId="68536338" w14:textId="77777777"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14:paraId="62124EE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7369116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0CCE24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6F11731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0B7832A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646" w:type="pct"/>
            <w:shd w:val="clear" w:color="auto" w:fill="auto"/>
          </w:tcPr>
          <w:p w14:paraId="1D3B5A9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0/60 (0.0)</w:t>
            </w:r>
          </w:p>
        </w:tc>
        <w:tc>
          <w:tcPr>
            <w:tcW w:w="559" w:type="pct"/>
            <w:shd w:val="clear" w:color="auto" w:fill="auto"/>
          </w:tcPr>
          <w:p w14:paraId="090E9E8F"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(0.0)</w:t>
            </w:r>
          </w:p>
        </w:tc>
        <w:tc>
          <w:tcPr>
            <w:tcW w:w="517" w:type="pct"/>
            <w:shd w:val="clear" w:color="auto" w:fill="auto"/>
          </w:tcPr>
          <w:p w14:paraId="10E58FAC"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14:paraId="22177F09" w14:textId="77777777" w:rsidTr="00A00973">
        <w:tc>
          <w:tcPr>
            <w:tcW w:w="5000" w:type="pct"/>
            <w:gridSpan w:val="9"/>
            <w:shd w:val="clear" w:color="auto" w:fill="auto"/>
          </w:tcPr>
          <w:p w14:paraId="1C9BDA6E" w14:textId="77777777"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Discontinued due to AEs n/N (%)</w:t>
            </w:r>
          </w:p>
        </w:tc>
      </w:tr>
      <w:tr w:rsidR="00BC105F" w:rsidRPr="00A00973" w14:paraId="0B2B9497" w14:textId="77777777" w:rsidTr="00A00973">
        <w:tc>
          <w:tcPr>
            <w:tcW w:w="604" w:type="pct"/>
            <w:shd w:val="clear" w:color="auto" w:fill="auto"/>
          </w:tcPr>
          <w:p w14:paraId="7A714446"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14:paraId="6655209F"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0/12 (0)</w:t>
            </w:r>
          </w:p>
        </w:tc>
        <w:tc>
          <w:tcPr>
            <w:tcW w:w="528" w:type="pct"/>
            <w:shd w:val="clear" w:color="auto" w:fill="auto"/>
          </w:tcPr>
          <w:p w14:paraId="6AD162E1"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2/22 (9.1)</w:t>
            </w:r>
          </w:p>
        </w:tc>
        <w:tc>
          <w:tcPr>
            <w:tcW w:w="528" w:type="pct"/>
            <w:shd w:val="clear" w:color="auto" w:fill="auto"/>
          </w:tcPr>
          <w:p w14:paraId="7DCB39E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1/33 (3.1)</w:t>
            </w:r>
          </w:p>
        </w:tc>
        <w:tc>
          <w:tcPr>
            <w:tcW w:w="559" w:type="pct"/>
            <w:tcBorders>
              <w:right w:val="double" w:sz="4" w:space="0" w:color="auto"/>
            </w:tcBorders>
            <w:shd w:val="clear" w:color="auto" w:fill="auto"/>
          </w:tcPr>
          <w:p w14:paraId="7878A5E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0/30 (0)</w:t>
            </w:r>
          </w:p>
        </w:tc>
        <w:tc>
          <w:tcPr>
            <w:tcW w:w="546" w:type="pct"/>
            <w:tcBorders>
              <w:left w:val="double" w:sz="4" w:space="0" w:color="auto"/>
            </w:tcBorders>
            <w:shd w:val="clear" w:color="auto" w:fill="auto"/>
          </w:tcPr>
          <w:p w14:paraId="4780C90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14:paraId="32AC3FF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14:paraId="151E082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3C2C50F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6F864C68" w14:textId="77777777" w:rsidTr="00A00973">
        <w:tc>
          <w:tcPr>
            <w:tcW w:w="604" w:type="pct"/>
            <w:shd w:val="clear" w:color="auto" w:fill="auto"/>
          </w:tcPr>
          <w:p w14:paraId="21F00B72"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14:paraId="10F3DCCC"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766A436A"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65A93A6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2831ABA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1491F3C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16/41 (39.0)</w:t>
            </w:r>
          </w:p>
        </w:tc>
        <w:tc>
          <w:tcPr>
            <w:tcW w:w="646" w:type="pct"/>
            <w:shd w:val="clear" w:color="auto" w:fill="auto"/>
          </w:tcPr>
          <w:p w14:paraId="3E425DF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 (4.5)</w:t>
            </w:r>
          </w:p>
        </w:tc>
        <w:tc>
          <w:tcPr>
            <w:tcW w:w="559" w:type="pct"/>
            <w:shd w:val="clear" w:color="auto" w:fill="auto"/>
          </w:tcPr>
          <w:p w14:paraId="131C389C"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3CB464A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0B0F08EB" w14:textId="77777777" w:rsidTr="00A00973">
        <w:tc>
          <w:tcPr>
            <w:tcW w:w="604" w:type="pct"/>
            <w:shd w:val="clear" w:color="auto" w:fill="auto"/>
          </w:tcPr>
          <w:p w14:paraId="0E2E27A6" w14:textId="77777777"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14:paraId="1BB3B425"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5812A2B1"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5DF8436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183FB8B7"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5F9E1195"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13/80 (16.3)</w:t>
            </w:r>
          </w:p>
        </w:tc>
        <w:tc>
          <w:tcPr>
            <w:tcW w:w="646" w:type="pct"/>
            <w:shd w:val="clear" w:color="auto" w:fill="auto"/>
          </w:tcPr>
          <w:p w14:paraId="4E15577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0/60 (0)</w:t>
            </w:r>
          </w:p>
        </w:tc>
        <w:tc>
          <w:tcPr>
            <w:tcW w:w="559" w:type="pct"/>
            <w:shd w:val="clear" w:color="auto" w:fill="auto"/>
          </w:tcPr>
          <w:p w14:paraId="23C893D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0/25 (0)</w:t>
            </w:r>
          </w:p>
        </w:tc>
        <w:tc>
          <w:tcPr>
            <w:tcW w:w="517" w:type="pct"/>
            <w:shd w:val="clear" w:color="auto" w:fill="auto"/>
          </w:tcPr>
          <w:p w14:paraId="60DCA0B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r>
      <w:tr w:rsidR="00BC105F" w:rsidRPr="00A00973" w14:paraId="57B903FF" w14:textId="77777777" w:rsidTr="00A00973">
        <w:tc>
          <w:tcPr>
            <w:tcW w:w="5000" w:type="pct"/>
            <w:gridSpan w:val="9"/>
            <w:shd w:val="clear" w:color="auto" w:fill="auto"/>
          </w:tcPr>
          <w:p w14:paraId="5AD5D0D3" w14:textId="77777777" w:rsidR="00BC105F" w:rsidRPr="00A00973" w:rsidRDefault="00BC105F" w:rsidP="00A00973">
            <w:pPr>
              <w:keepNext/>
              <w:keepLines/>
              <w:widowControl w:val="0"/>
              <w:jc w:val="left"/>
              <w:rPr>
                <w:rFonts w:ascii="Arial Narrow" w:hAnsi="Arial Narrow"/>
                <w:b/>
                <w:sz w:val="20"/>
                <w:szCs w:val="20"/>
              </w:rPr>
            </w:pPr>
            <w:r w:rsidRPr="00A00973">
              <w:rPr>
                <w:rFonts w:ascii="Arial Narrow" w:hAnsi="Arial Narrow"/>
                <w:b/>
                <w:sz w:val="20"/>
                <w:szCs w:val="20"/>
              </w:rPr>
              <w:t>Died n/N (%)</w:t>
            </w:r>
          </w:p>
        </w:tc>
      </w:tr>
      <w:tr w:rsidR="00BC105F" w:rsidRPr="00A00973" w14:paraId="326E4812" w14:textId="77777777" w:rsidTr="00A00973">
        <w:tc>
          <w:tcPr>
            <w:tcW w:w="604" w:type="pct"/>
            <w:shd w:val="clear" w:color="auto" w:fill="auto"/>
          </w:tcPr>
          <w:p w14:paraId="6FDB2334"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ONA</w:t>
            </w:r>
          </w:p>
        </w:tc>
        <w:tc>
          <w:tcPr>
            <w:tcW w:w="512" w:type="pct"/>
            <w:shd w:val="clear" w:color="auto" w:fill="auto"/>
          </w:tcPr>
          <w:p w14:paraId="44E26C5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0/12 (0)</w:t>
            </w:r>
          </w:p>
        </w:tc>
        <w:tc>
          <w:tcPr>
            <w:tcW w:w="528" w:type="pct"/>
            <w:shd w:val="clear" w:color="auto" w:fill="auto"/>
          </w:tcPr>
          <w:p w14:paraId="3D6409F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1/22 (4.5)</w:t>
            </w:r>
            <w:r w:rsidRPr="00A00973">
              <w:rPr>
                <w:rFonts w:ascii="Arial Narrow" w:hAnsi="Arial Narrow"/>
                <w:sz w:val="20"/>
                <w:szCs w:val="20"/>
                <w:vertAlign w:val="superscript"/>
              </w:rPr>
              <w:t>b</w:t>
            </w:r>
          </w:p>
        </w:tc>
        <w:tc>
          <w:tcPr>
            <w:tcW w:w="528" w:type="pct"/>
            <w:shd w:val="clear" w:color="auto" w:fill="auto"/>
          </w:tcPr>
          <w:p w14:paraId="41DF554C"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1/33 (3.1)</w:t>
            </w:r>
          </w:p>
        </w:tc>
        <w:tc>
          <w:tcPr>
            <w:tcW w:w="559" w:type="pct"/>
            <w:tcBorders>
              <w:right w:val="double" w:sz="4" w:space="0" w:color="auto"/>
            </w:tcBorders>
            <w:shd w:val="clear" w:color="auto" w:fill="auto"/>
          </w:tcPr>
          <w:p w14:paraId="2FD8152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0/30 (0)</w:t>
            </w:r>
          </w:p>
        </w:tc>
        <w:tc>
          <w:tcPr>
            <w:tcW w:w="546" w:type="pct"/>
            <w:tcBorders>
              <w:left w:val="double" w:sz="4" w:space="0" w:color="auto"/>
            </w:tcBorders>
            <w:shd w:val="clear" w:color="auto" w:fill="auto"/>
          </w:tcPr>
          <w:p w14:paraId="0FB0837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646" w:type="pct"/>
            <w:shd w:val="clear" w:color="auto" w:fill="auto"/>
          </w:tcPr>
          <w:p w14:paraId="01B111BB"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shd w:val="clear" w:color="auto" w:fill="auto"/>
          </w:tcPr>
          <w:p w14:paraId="0101D2B5"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3DFD1DD5"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367924D1" w14:textId="77777777" w:rsidTr="00A00973">
        <w:tc>
          <w:tcPr>
            <w:tcW w:w="604" w:type="pct"/>
            <w:shd w:val="clear" w:color="auto" w:fill="auto"/>
          </w:tcPr>
          <w:p w14:paraId="4BCF9D26" w14:textId="77777777" w:rsidR="00BC105F" w:rsidRPr="00A00973" w:rsidRDefault="00BC105F" w:rsidP="00A00973">
            <w:pPr>
              <w:keepNext/>
              <w:keepLines/>
              <w:widowControl w:val="0"/>
              <w:ind w:left="110"/>
              <w:rPr>
                <w:rFonts w:ascii="Arial Narrow" w:hAnsi="Arial Narrow"/>
                <w:sz w:val="20"/>
                <w:szCs w:val="20"/>
              </w:rPr>
            </w:pPr>
            <w:r w:rsidRPr="00A00973">
              <w:rPr>
                <w:rFonts w:ascii="Arial Narrow" w:hAnsi="Arial Narrow"/>
                <w:sz w:val="20"/>
                <w:szCs w:val="20"/>
              </w:rPr>
              <w:t>Control</w:t>
            </w:r>
          </w:p>
        </w:tc>
        <w:tc>
          <w:tcPr>
            <w:tcW w:w="512" w:type="pct"/>
            <w:shd w:val="clear" w:color="auto" w:fill="auto"/>
          </w:tcPr>
          <w:p w14:paraId="76CCA700"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42F8FE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4FB16AB6"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6457AC5F"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127C93B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16/41 (39.0)</w:t>
            </w:r>
            <w:r w:rsidRPr="00A00973">
              <w:rPr>
                <w:rFonts w:ascii="Arial Narrow" w:hAnsi="Arial Narrow"/>
                <w:sz w:val="20"/>
                <w:szCs w:val="20"/>
                <w:vertAlign w:val="superscript"/>
              </w:rPr>
              <w:t>c</w:t>
            </w:r>
          </w:p>
        </w:tc>
        <w:tc>
          <w:tcPr>
            <w:tcW w:w="646" w:type="pct"/>
            <w:shd w:val="clear" w:color="auto" w:fill="auto"/>
          </w:tcPr>
          <w:p w14:paraId="503B160A"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14:paraId="05C9599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17" w:type="pct"/>
            <w:shd w:val="clear" w:color="auto" w:fill="auto"/>
          </w:tcPr>
          <w:p w14:paraId="187E0B0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r>
      <w:tr w:rsidR="00BC105F" w:rsidRPr="00A00973" w14:paraId="2012DC40" w14:textId="77777777" w:rsidTr="00A00973">
        <w:tc>
          <w:tcPr>
            <w:tcW w:w="604" w:type="pct"/>
            <w:shd w:val="clear" w:color="auto" w:fill="auto"/>
          </w:tcPr>
          <w:p w14:paraId="60863EA4" w14:textId="77777777" w:rsidR="00BC105F" w:rsidRPr="00A00973" w:rsidRDefault="00EE09B5" w:rsidP="00A00973">
            <w:pPr>
              <w:keepNext/>
              <w:keepLines/>
              <w:widowControl w:val="0"/>
              <w:ind w:left="110"/>
              <w:rPr>
                <w:rFonts w:ascii="Arial Narrow" w:hAnsi="Arial Narrow"/>
                <w:sz w:val="20"/>
                <w:szCs w:val="20"/>
              </w:rPr>
            </w:pPr>
            <w:r w:rsidRPr="00A00973">
              <w:rPr>
                <w:rFonts w:ascii="Arial Narrow" w:hAnsi="Arial Narrow"/>
                <w:sz w:val="20"/>
                <w:szCs w:val="20"/>
              </w:rPr>
              <w:t>NUSI</w:t>
            </w:r>
          </w:p>
        </w:tc>
        <w:tc>
          <w:tcPr>
            <w:tcW w:w="512" w:type="pct"/>
            <w:shd w:val="clear" w:color="auto" w:fill="auto"/>
          </w:tcPr>
          <w:p w14:paraId="191DF5D1"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D6C1D68"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28" w:type="pct"/>
            <w:shd w:val="clear" w:color="auto" w:fill="auto"/>
          </w:tcPr>
          <w:p w14:paraId="27B0E763"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59" w:type="pct"/>
            <w:tcBorders>
              <w:right w:val="double" w:sz="4" w:space="0" w:color="auto"/>
            </w:tcBorders>
            <w:shd w:val="clear" w:color="auto" w:fill="auto"/>
          </w:tcPr>
          <w:p w14:paraId="48A99B2E"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w:t>
            </w:r>
          </w:p>
        </w:tc>
        <w:tc>
          <w:tcPr>
            <w:tcW w:w="546" w:type="pct"/>
            <w:tcBorders>
              <w:left w:val="double" w:sz="4" w:space="0" w:color="auto"/>
            </w:tcBorders>
            <w:shd w:val="clear" w:color="auto" w:fill="auto"/>
          </w:tcPr>
          <w:p w14:paraId="2DB301DD"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13/80 (16.3)</w:t>
            </w:r>
            <w:r w:rsidRPr="00A00973">
              <w:rPr>
                <w:rFonts w:ascii="Arial Narrow" w:hAnsi="Arial Narrow"/>
                <w:sz w:val="20"/>
                <w:szCs w:val="20"/>
                <w:vertAlign w:val="superscript"/>
              </w:rPr>
              <w:t>d</w:t>
            </w:r>
          </w:p>
        </w:tc>
        <w:tc>
          <w:tcPr>
            <w:tcW w:w="646" w:type="pct"/>
            <w:shd w:val="clear" w:color="auto" w:fill="auto"/>
          </w:tcPr>
          <w:p w14:paraId="475B4012"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59" w:type="pct"/>
            <w:shd w:val="clear" w:color="auto" w:fill="auto"/>
          </w:tcPr>
          <w:p w14:paraId="12B5C2A4"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NR</w:t>
            </w:r>
          </w:p>
        </w:tc>
        <w:tc>
          <w:tcPr>
            <w:tcW w:w="517" w:type="pct"/>
            <w:shd w:val="clear" w:color="auto" w:fill="auto"/>
          </w:tcPr>
          <w:p w14:paraId="61F8C7B9" w14:textId="77777777" w:rsidR="00BC105F" w:rsidRPr="00A00973" w:rsidRDefault="00BC105F" w:rsidP="00A00973">
            <w:pPr>
              <w:keepNext/>
              <w:keepLines/>
              <w:widowControl w:val="0"/>
              <w:jc w:val="center"/>
              <w:rPr>
                <w:rFonts w:ascii="Arial Narrow" w:hAnsi="Arial Narrow"/>
                <w:sz w:val="20"/>
                <w:szCs w:val="20"/>
              </w:rPr>
            </w:pPr>
            <w:r w:rsidRPr="00A00973">
              <w:rPr>
                <w:rFonts w:ascii="Arial Narrow" w:hAnsi="Arial Narrow"/>
                <w:sz w:val="20"/>
                <w:szCs w:val="20"/>
              </w:rPr>
              <w:t>3/16 (18.8)</w:t>
            </w:r>
            <w:r w:rsidRPr="00A00973">
              <w:rPr>
                <w:rFonts w:ascii="Arial Narrow" w:hAnsi="Arial Narrow"/>
                <w:sz w:val="20"/>
                <w:szCs w:val="20"/>
                <w:vertAlign w:val="superscript"/>
              </w:rPr>
              <w:t>e</w:t>
            </w:r>
          </w:p>
        </w:tc>
      </w:tr>
    </w:tbl>
    <w:p w14:paraId="0E984723" w14:textId="77777777" w:rsidR="00BC105F" w:rsidRPr="00917415" w:rsidRDefault="00BC105F" w:rsidP="00A00973">
      <w:pPr>
        <w:pStyle w:val="TableFigureFooter"/>
        <w:keepNext/>
        <w:keepLines/>
        <w:widowControl w:val="0"/>
      </w:pPr>
      <w:r w:rsidRPr="00917415">
        <w:t>Source: Tables 2.38, 2.40; pp168-170 of the submission; pp.126-165 of the START CSR; Table 24, pp.83-84 of the STR1VE-US CSR; Castro et al. 2020; Finkel et al. (2016) publication</w:t>
      </w:r>
    </w:p>
    <w:p w14:paraId="02EDD2ED" w14:textId="77777777" w:rsidR="000F50D2" w:rsidRPr="00917415" w:rsidRDefault="00BC105F" w:rsidP="00A00973">
      <w:pPr>
        <w:pStyle w:val="TableFigureFooter"/>
        <w:keepNext/>
        <w:keepLines/>
        <w:widowControl w:val="0"/>
      </w:pPr>
      <w:r w:rsidRPr="00917415">
        <w:t>AE = adverse events; NR= not reported; ONA = o</w:t>
      </w:r>
      <w:r w:rsidR="00425163" w:rsidRPr="00917415">
        <w:t xml:space="preserve">nasemnogene abeparvovec; </w:t>
      </w:r>
      <w:r w:rsidRPr="00917415">
        <w:t>^</w:t>
      </w:r>
      <w:r w:rsidRPr="00917415">
        <w:tab/>
        <w:t xml:space="preserve">ENDEAR control/SHINE </w:t>
      </w:r>
      <w:r w:rsidR="00EE09B5" w:rsidRPr="00917415">
        <w:t>NUSI</w:t>
      </w:r>
      <w:r w:rsidR="00425163" w:rsidRPr="00917415">
        <w:t xml:space="preserve">; </w:t>
      </w:r>
      <w:r w:rsidRPr="00917415">
        <w:t>*</w:t>
      </w:r>
      <w:r w:rsidRPr="00917415">
        <w:tab/>
        <w:t xml:space="preserve">ENDEAR </w:t>
      </w:r>
      <w:r w:rsidR="00EE09B5" w:rsidRPr="00917415">
        <w:t>NUSI</w:t>
      </w:r>
      <w:r w:rsidRPr="00917415">
        <w:t xml:space="preserve"> and SHINE </w:t>
      </w:r>
      <w:r w:rsidR="00EE09B5" w:rsidRPr="00917415">
        <w:t>NUSI</w:t>
      </w:r>
      <w:r w:rsidR="00CC18E5">
        <w:t xml:space="preserve">; </w:t>
      </w:r>
      <w:r w:rsidRPr="00917415">
        <w:rPr>
          <w:vertAlign w:val="superscript"/>
        </w:rPr>
        <w:t>a</w:t>
      </w:r>
      <w:r w:rsidRPr="00917415">
        <w:rPr>
          <w:vertAlign w:val="superscript"/>
        </w:rPr>
        <w:tab/>
      </w:r>
      <w:r w:rsidRPr="00917415">
        <w:t>In START, only results from Cohort 2</w:t>
      </w:r>
      <w:r w:rsidRPr="00917415">
        <w:rPr>
          <w:b/>
        </w:rPr>
        <w:t xml:space="preserve"> </w:t>
      </w:r>
      <w:r w:rsidRPr="00917415">
        <w:t>with the recommended ONA dose are reported here</w:t>
      </w:r>
      <w:r w:rsidR="00917415">
        <w:t xml:space="preserve">. </w:t>
      </w:r>
      <w:r w:rsidRPr="00917415">
        <w:t>Results from Cohort 1 with a lower than recommended ONA dose, are excluded</w:t>
      </w:r>
      <w:r w:rsidR="00425163" w:rsidRPr="00917415">
        <w:t xml:space="preserve">; </w:t>
      </w:r>
      <w:r w:rsidRPr="00917415">
        <w:rPr>
          <w:sz w:val="20"/>
          <w:szCs w:val="20"/>
          <w:vertAlign w:val="superscript"/>
        </w:rPr>
        <w:t>b</w:t>
      </w:r>
      <w:r w:rsidRPr="00917415">
        <w:rPr>
          <w:sz w:val="20"/>
          <w:szCs w:val="20"/>
        </w:rPr>
        <w:tab/>
      </w:r>
      <w:r w:rsidRPr="00917415">
        <w:t xml:space="preserve">Assessed as not-related to treatment </w:t>
      </w:r>
      <w:r w:rsidR="00425163" w:rsidRPr="00917415">
        <w:t xml:space="preserve">by the Investigator and Sponsor; </w:t>
      </w:r>
      <w:r w:rsidRPr="00917415">
        <w:rPr>
          <w:vertAlign w:val="superscript"/>
        </w:rPr>
        <w:t>c</w:t>
      </w:r>
      <w:r w:rsidRPr="00917415">
        <w:rPr>
          <w:vertAlign w:val="superscript"/>
        </w:rPr>
        <w:tab/>
        <w:t xml:space="preserve"> </w:t>
      </w:r>
      <w:r w:rsidRPr="00917415">
        <w:t xml:space="preserve">12 patients died of respiratory disorder (which could plausibly be linked to SMA), 3 patients died of cardiac disorder, and 1 patient </w:t>
      </w:r>
      <w:r w:rsidR="00425163" w:rsidRPr="00917415">
        <w:t xml:space="preserve">died of nervous-system disorder; </w:t>
      </w:r>
      <w:r w:rsidRPr="00917415">
        <w:rPr>
          <w:sz w:val="20"/>
          <w:szCs w:val="20"/>
          <w:vertAlign w:val="superscript"/>
        </w:rPr>
        <w:t>d</w:t>
      </w:r>
      <w:r w:rsidRPr="00917415">
        <w:rPr>
          <w:sz w:val="20"/>
          <w:szCs w:val="20"/>
        </w:rPr>
        <w:tab/>
      </w:r>
      <w:r w:rsidRPr="00917415">
        <w:t>7 patients died of respiratory disorder (which could plausibly be linked to SMA), the other patients died of cardiac disorder, general disor</w:t>
      </w:r>
      <w:r w:rsidR="00425163" w:rsidRPr="00917415">
        <w:t>der and nervous-system disorder;v</w:t>
      </w:r>
      <w:r w:rsidRPr="00917415">
        <w:rPr>
          <w:sz w:val="20"/>
          <w:szCs w:val="20"/>
          <w:vertAlign w:val="superscript"/>
        </w:rPr>
        <w:t>e</w:t>
      </w:r>
      <w:r w:rsidRPr="00917415">
        <w:rPr>
          <w:sz w:val="20"/>
          <w:szCs w:val="20"/>
        </w:rPr>
        <w:tab/>
      </w:r>
      <w:r w:rsidRPr="00917415">
        <w:t>One patient died of SMA disease progression, two died from progression of disease secondary to a recent pulmonary infection.</w:t>
      </w:r>
    </w:p>
    <w:p w14:paraId="78C16CF7" w14:textId="77777777" w:rsidR="00DE36C2" w:rsidRPr="00917415" w:rsidRDefault="00DE36C2" w:rsidP="00516F35">
      <w:pPr>
        <w:pStyle w:val="3-BodyText"/>
      </w:pPr>
      <w:r w:rsidRPr="00917415">
        <w:t xml:space="preserve">With the exception of one patient in SPR1NT </w:t>
      </w:r>
      <w:r w:rsidR="00967F2B" w:rsidRPr="00917415">
        <w:t xml:space="preserve">who </w:t>
      </w:r>
      <w:r w:rsidRPr="00917415">
        <w:t xml:space="preserve">did not report any </w:t>
      </w:r>
      <w:r w:rsidR="00486118" w:rsidRPr="00917415">
        <w:t>treatment-emergent adverse events (</w:t>
      </w:r>
      <w:r w:rsidRPr="00917415">
        <w:t>TEAEs</w:t>
      </w:r>
      <w:r w:rsidR="00486118" w:rsidRPr="00917415">
        <w:t>)</w:t>
      </w:r>
      <w:r w:rsidRPr="00917415">
        <w:t xml:space="preserve">, all ONA treated patients reported at least one TEAE, with 25% and 54.5% of those events deemed to be related to ONA treatment in START and STR1VE-US, respectively. The most commonly reported TEAE were upper respiratory tract infection, pyrexia and vomiting. The most frequently reported Grade </w:t>
      </w:r>
      <w:r w:rsidRPr="00917415">
        <w:lastRenderedPageBreak/>
        <w:t xml:space="preserve">3 and 4 TEAEs for ONA patients in the START study were pneumonia (46.7%), atelectasis (20.0%), </w:t>
      </w:r>
      <w:r w:rsidR="00527EBA" w:rsidRPr="00917415">
        <w:t>parainfluenza</w:t>
      </w:r>
      <w:r w:rsidRPr="00917415">
        <w:t xml:space="preserve"> virus infection (20.0%), pneumonia respiratory syncytial viral (20%) and respiratory failure</w:t>
      </w:r>
      <w:r w:rsidR="00917415">
        <w:t xml:space="preserve">. </w:t>
      </w:r>
      <w:r w:rsidRPr="00917415">
        <w:t>The most common AEs in STR1VE-US were similar. There were no deaths in the ONA START and SPR1NT studies and one death in each of the STR1VE studies.</w:t>
      </w:r>
    </w:p>
    <w:p w14:paraId="2F7E39A4" w14:textId="77777777" w:rsidR="00DE36C2" w:rsidRPr="00917415" w:rsidRDefault="00DE36C2" w:rsidP="00516F35">
      <w:pPr>
        <w:pStyle w:val="3-BodyText"/>
      </w:pPr>
      <w:r w:rsidRPr="00917415">
        <w:t xml:space="preserve">All </w:t>
      </w:r>
      <w:r w:rsidR="00EE09B5" w:rsidRPr="00917415">
        <w:t>NUSI</w:t>
      </w:r>
      <w:r w:rsidRPr="00917415">
        <w:t xml:space="preserve"> patients in the NURTURE and CS3A studies experienced at least one TEAE, however </w:t>
      </w:r>
      <w:r w:rsidR="00967F2B" w:rsidRPr="00917415">
        <w:t>three</w:t>
      </w:r>
      <w:r w:rsidRPr="00917415">
        <w:t xml:space="preserve"> patients in ENDEAR did not report any TEAEs. The most commonly reported events in ENDEAR and NURTURE were upper respiratory tract infection, pyrexia, cough and nasopharyngitis. The most frequently reported serious adverse events in the ENDEAR study were respiratory failure and distress (25% and 26%, respectively), and pneumonia (24%). 32% of </w:t>
      </w:r>
      <w:r w:rsidR="00EE09B5" w:rsidRPr="00917415">
        <w:t>NUSI</w:t>
      </w:r>
      <w:r w:rsidRPr="00917415">
        <w:t xml:space="preserve"> patients in NURTURE experienced an AE possibly related to the lumbar puncture procedure.</w:t>
      </w:r>
    </w:p>
    <w:p w14:paraId="1876275D" w14:textId="77777777" w:rsidR="00DE36C2" w:rsidRPr="00917415" w:rsidRDefault="00E970D7" w:rsidP="00516F35">
      <w:pPr>
        <w:pStyle w:val="3-BodyText"/>
      </w:pPr>
      <w:r w:rsidRPr="00917415">
        <w:t xml:space="preserve">Thirteen </w:t>
      </w:r>
      <w:r w:rsidR="00DE36C2" w:rsidRPr="00917415">
        <w:t xml:space="preserve">(16.3%) and 16 (39%) patients in the </w:t>
      </w:r>
      <w:r w:rsidR="00EE09B5" w:rsidRPr="00917415">
        <w:t>NUSI</w:t>
      </w:r>
      <w:r w:rsidR="00DE36C2" w:rsidRPr="00917415">
        <w:t xml:space="preserve"> and control groups of ENDEAR had died during the study respectively. Seven and 12 patients in the </w:t>
      </w:r>
      <w:r w:rsidR="00EE09B5" w:rsidRPr="00917415">
        <w:t>NUSI</w:t>
      </w:r>
      <w:r w:rsidR="00DE36C2" w:rsidRPr="00917415">
        <w:t xml:space="preserve"> and control groups, respectively, died due to respiratory disorder, which could be linked to SMA. Three (18.8%) of </w:t>
      </w:r>
      <w:r w:rsidR="00EE09B5" w:rsidRPr="00917415">
        <w:t>NUSI</w:t>
      </w:r>
      <w:r w:rsidR="00DE36C2" w:rsidRPr="00917415">
        <w:t xml:space="preserve"> 12 mg patients in CS3A died due to SMA disease progression and disease progression secondary to pulmonary infection.</w:t>
      </w:r>
    </w:p>
    <w:p w14:paraId="07D0EC03" w14:textId="77777777" w:rsidR="002160E9" w:rsidRPr="00917415" w:rsidRDefault="0059318E" w:rsidP="00516F35">
      <w:pPr>
        <w:pStyle w:val="3-BodyText"/>
      </w:pPr>
      <w:r w:rsidRPr="00917415">
        <w:t>T</w:t>
      </w:r>
      <w:r w:rsidR="002160E9" w:rsidRPr="00917415">
        <w:t xml:space="preserve">he submission’s superior safety claim was based on the claim of better survival for ONA, and the need for regular intrathecal injections (which is considered a more invasive procedure than intravenous infusion) to administer NUSI rather than the safety data from the trials. </w:t>
      </w:r>
      <w:r w:rsidRPr="00917415">
        <w:t>However, t</w:t>
      </w:r>
      <w:r w:rsidR="002160E9" w:rsidRPr="00917415">
        <w:t>he PBAC noted that the safety data indicated ONA had a similar or greater proportion of patients with any AE, serious AEs, and treatment related serious AEs compared with NUSI. The PBAC also noted that the draft PI for ONA includes a black box safety warning</w:t>
      </w:r>
      <w:r w:rsidR="002160E9" w:rsidRPr="00917415">
        <w:rPr>
          <w:rStyle w:val="FootnoteReference"/>
        </w:rPr>
        <w:footnoteReference w:id="2"/>
      </w:r>
      <w:r w:rsidR="002160E9" w:rsidRPr="00917415">
        <w:t xml:space="preserve"> for the risk of acute serious liver injury.</w:t>
      </w:r>
    </w:p>
    <w:p w14:paraId="74FADEAB" w14:textId="77777777" w:rsidR="00B60939" w:rsidRPr="00917415" w:rsidRDefault="00B60939" w:rsidP="00516F35">
      <w:pPr>
        <w:pStyle w:val="4-SubsectionHeading"/>
      </w:pPr>
      <w:bookmarkStart w:id="15" w:name="_Toc22897644"/>
      <w:bookmarkStart w:id="16" w:name="_Toc51152459"/>
      <w:r w:rsidRPr="00917415">
        <w:t>Clinical claim</w:t>
      </w:r>
      <w:bookmarkEnd w:id="15"/>
      <w:bookmarkEnd w:id="16"/>
    </w:p>
    <w:p w14:paraId="573D2D12" w14:textId="77777777" w:rsidR="00A06BF9" w:rsidRPr="00917415" w:rsidRDefault="00A06BF9" w:rsidP="00516F35">
      <w:pPr>
        <w:pStyle w:val="3-BodyText"/>
      </w:pPr>
      <w:r w:rsidRPr="00917415">
        <w:t>The submission described ONA as:</w:t>
      </w:r>
    </w:p>
    <w:p w14:paraId="60F6FB8E" w14:textId="77777777" w:rsidR="00A06BF9" w:rsidRPr="00917415" w:rsidRDefault="00A06BF9" w:rsidP="00516F35">
      <w:pPr>
        <w:pStyle w:val="ListParagraph"/>
        <w:numPr>
          <w:ilvl w:val="0"/>
          <w:numId w:val="15"/>
        </w:numPr>
        <w:ind w:left="1134" w:hanging="357"/>
        <w:contextualSpacing/>
      </w:pPr>
      <w:r w:rsidRPr="00917415">
        <w:t xml:space="preserve">superior in terms of effectiveness compared to </w:t>
      </w:r>
      <w:r w:rsidR="00F270AB" w:rsidRPr="00917415">
        <w:t>BSC</w:t>
      </w:r>
      <w:r w:rsidRPr="00917415">
        <w:t xml:space="preserve">, </w:t>
      </w:r>
    </w:p>
    <w:p w14:paraId="7E1D65A0" w14:textId="77777777" w:rsidR="00A06BF9" w:rsidRPr="00917415" w:rsidRDefault="00A06BF9" w:rsidP="00516F35">
      <w:pPr>
        <w:pStyle w:val="ListParagraph"/>
        <w:numPr>
          <w:ilvl w:val="0"/>
          <w:numId w:val="15"/>
        </w:numPr>
        <w:ind w:left="1134" w:hanging="357"/>
        <w:contextualSpacing/>
      </w:pPr>
      <w:r w:rsidRPr="00917415">
        <w:t xml:space="preserve">superior in terms of effectiveness (on survival outcomes) compared with </w:t>
      </w:r>
      <w:r w:rsidR="00EE09B5" w:rsidRPr="00917415">
        <w:t>NUSI</w:t>
      </w:r>
      <w:r w:rsidRPr="00917415">
        <w:t xml:space="preserve"> and </w:t>
      </w:r>
    </w:p>
    <w:p w14:paraId="48D0B2AC" w14:textId="77777777" w:rsidR="00A06BF9" w:rsidRPr="00917415" w:rsidRDefault="00A06BF9" w:rsidP="00516F35">
      <w:pPr>
        <w:pStyle w:val="ListParagraph"/>
        <w:numPr>
          <w:ilvl w:val="0"/>
          <w:numId w:val="15"/>
        </w:numPr>
        <w:ind w:left="1134" w:hanging="357"/>
        <w:contextualSpacing/>
      </w:pPr>
      <w:r w:rsidRPr="00917415">
        <w:t xml:space="preserve">superior in terms of safety compared with </w:t>
      </w:r>
      <w:r w:rsidR="00EE09B5" w:rsidRPr="00917415">
        <w:t>NUSI</w:t>
      </w:r>
      <w:r w:rsidRPr="00917415">
        <w:t>.</w:t>
      </w:r>
    </w:p>
    <w:p w14:paraId="09633A98" w14:textId="77777777" w:rsidR="00EF2AFB" w:rsidRPr="00917415" w:rsidRDefault="00DF3EEC" w:rsidP="00516F35">
      <w:pPr>
        <w:pStyle w:val="3-BodyText"/>
      </w:pPr>
      <w:r w:rsidRPr="00917415">
        <w:t xml:space="preserve">The PBAC accepted </w:t>
      </w:r>
      <w:r w:rsidR="00425163" w:rsidRPr="00917415">
        <w:t>the</w:t>
      </w:r>
      <w:r w:rsidR="00E970D7" w:rsidRPr="00917415">
        <w:t xml:space="preserve"> </w:t>
      </w:r>
      <w:r w:rsidR="00A06BF9" w:rsidRPr="00917415">
        <w:t xml:space="preserve">results from the single arm studies support the claim of improved survival and motor functioning with ONA against </w:t>
      </w:r>
      <w:r w:rsidR="00F270AB" w:rsidRPr="00917415">
        <w:t>BSC</w:t>
      </w:r>
      <w:r w:rsidR="00A06BF9" w:rsidRPr="00917415">
        <w:t>. However, the size of the benefit is uncertain</w:t>
      </w:r>
      <w:r w:rsidRPr="00917415">
        <w:t>, because of the lack of a comparator arm in the</w:t>
      </w:r>
      <w:r w:rsidR="009F04F5" w:rsidRPr="00917415">
        <w:t xml:space="preserve"> ONA</w:t>
      </w:r>
      <w:r w:rsidRPr="00917415">
        <w:t xml:space="preserve"> studies and because the natural history studies may not adequately </w:t>
      </w:r>
      <w:r w:rsidR="009F04F5" w:rsidRPr="00917415">
        <w:t xml:space="preserve">capture </w:t>
      </w:r>
      <w:r w:rsidRPr="00917415">
        <w:t>improvements in supportive ca</w:t>
      </w:r>
      <w:r w:rsidR="00A41762" w:rsidRPr="00917415">
        <w:t>re</w:t>
      </w:r>
      <w:r w:rsidR="009F04F5" w:rsidRPr="00917415">
        <w:t xml:space="preserve"> over time</w:t>
      </w:r>
      <w:r w:rsidRPr="00917415">
        <w:t xml:space="preserve">. </w:t>
      </w:r>
    </w:p>
    <w:p w14:paraId="3ECB7EFC" w14:textId="77777777" w:rsidR="00A06BF9" w:rsidRPr="00917415" w:rsidRDefault="00DF3EEC" w:rsidP="00516F35">
      <w:pPr>
        <w:pStyle w:val="3-BodyText"/>
      </w:pPr>
      <w:r w:rsidRPr="00917415">
        <w:t xml:space="preserve">The PBAC did not accept the </w:t>
      </w:r>
      <w:r w:rsidR="00A06BF9" w:rsidRPr="00917415">
        <w:t xml:space="preserve">claim </w:t>
      </w:r>
      <w:r w:rsidRPr="00917415">
        <w:t xml:space="preserve">that ONA is superior to </w:t>
      </w:r>
      <w:r w:rsidR="00EE09B5" w:rsidRPr="00917415">
        <w:t>NUSI</w:t>
      </w:r>
      <w:r w:rsidRPr="00917415">
        <w:t xml:space="preserve"> in terms of </w:t>
      </w:r>
      <w:r w:rsidR="00A06BF9" w:rsidRPr="00917415">
        <w:t>effectiveness</w:t>
      </w:r>
      <w:r w:rsidR="002160E9" w:rsidRPr="00917415">
        <w:t xml:space="preserve"> (on survival outcomes), noting this was not consistent with the evidence presented. In particular, the result of the MAIC (which, as described above is likely to </w:t>
      </w:r>
      <w:r w:rsidR="002160E9" w:rsidRPr="00917415">
        <w:lastRenderedPageBreak/>
        <w:t xml:space="preserve">favour ONA) </w:t>
      </w:r>
      <w:r w:rsidR="00F02F26" w:rsidRPr="00917415">
        <w:t xml:space="preserve">did not show a statistically significant improvement </w:t>
      </w:r>
      <w:r w:rsidR="009F04F5" w:rsidRPr="00917415">
        <w:t>in</w:t>
      </w:r>
      <w:r w:rsidR="00F02F26" w:rsidRPr="00917415">
        <w:t xml:space="preserve"> OS for ONA compared to NUSI and the conf</w:t>
      </w:r>
      <w:r w:rsidR="00F82E1C" w:rsidRPr="00917415">
        <w:t xml:space="preserve">idence intervals were very wide due to the small sample size in ONA trials. </w:t>
      </w:r>
    </w:p>
    <w:p w14:paraId="1FD35201" w14:textId="77777777" w:rsidR="00B4536A" w:rsidRPr="00917415" w:rsidRDefault="0081407B" w:rsidP="00516F35">
      <w:pPr>
        <w:pStyle w:val="3-BodyText"/>
      </w:pPr>
      <w:r w:rsidRPr="00917415">
        <w:t xml:space="preserve">The </w:t>
      </w:r>
      <w:r w:rsidR="00B7134F" w:rsidRPr="00917415">
        <w:t xml:space="preserve">PBAC </w:t>
      </w:r>
      <w:r w:rsidR="00DF3EEC" w:rsidRPr="00917415">
        <w:t xml:space="preserve">did not </w:t>
      </w:r>
      <w:r w:rsidR="00F02F26" w:rsidRPr="00917415">
        <w:t xml:space="preserve">accept the </w:t>
      </w:r>
      <w:r w:rsidRPr="00917415">
        <w:t xml:space="preserve">claim of superior safety </w:t>
      </w:r>
      <w:r w:rsidR="0022000C" w:rsidRPr="00917415">
        <w:t>for</w:t>
      </w:r>
      <w:r w:rsidRPr="00917415">
        <w:t xml:space="preserve"> ONA </w:t>
      </w:r>
      <w:r w:rsidR="0022000C" w:rsidRPr="00917415">
        <w:t>versus</w:t>
      </w:r>
      <w:r w:rsidRPr="00917415">
        <w:t xml:space="preserve"> </w:t>
      </w:r>
      <w:r w:rsidR="00EE09B5" w:rsidRPr="00917415">
        <w:t>NUSI</w:t>
      </w:r>
      <w:r w:rsidR="00DF3EEC" w:rsidRPr="00917415">
        <w:t>, noting</w:t>
      </w:r>
      <w:r w:rsidRPr="00917415">
        <w:t xml:space="preserve"> </w:t>
      </w:r>
      <w:r w:rsidR="002160E9" w:rsidRPr="00917415">
        <w:t xml:space="preserve">this </w:t>
      </w:r>
      <w:r w:rsidR="003D2901" w:rsidRPr="00917415">
        <w:t xml:space="preserve">was </w:t>
      </w:r>
      <w:r w:rsidR="005A3F40" w:rsidRPr="00917415">
        <w:t>not consistent with the presented evidence</w:t>
      </w:r>
      <w:r w:rsidR="002160E9" w:rsidRPr="00917415">
        <w:t xml:space="preserve"> (see Comparative Harms above)</w:t>
      </w:r>
      <w:r w:rsidR="005A3F40" w:rsidRPr="00917415">
        <w:t>.</w:t>
      </w:r>
    </w:p>
    <w:p w14:paraId="08FDBCA5" w14:textId="77777777" w:rsidR="00A06BF9" w:rsidRPr="00917415" w:rsidRDefault="00B4536A" w:rsidP="00516F35">
      <w:pPr>
        <w:pStyle w:val="3-BodyText"/>
      </w:pPr>
      <w:r w:rsidRPr="00917415">
        <w:t xml:space="preserve">However, the PBAC also noted the issues that </w:t>
      </w:r>
      <w:r w:rsidR="00F33D42" w:rsidRPr="00917415">
        <w:t xml:space="preserve">affect </w:t>
      </w:r>
      <w:r w:rsidRPr="00917415">
        <w:t xml:space="preserve">the comparison of ONA versus NUSI (small single arm ONA trials, </w:t>
      </w:r>
      <w:r w:rsidR="00BD4350" w:rsidRPr="00917415">
        <w:t xml:space="preserve">imbalanced study populations in the </w:t>
      </w:r>
      <w:r w:rsidRPr="00917415">
        <w:t xml:space="preserve">MAIC) </w:t>
      </w:r>
      <w:r w:rsidR="00B67FC7" w:rsidRPr="00917415">
        <w:t xml:space="preserve">make it </w:t>
      </w:r>
      <w:r w:rsidR="00A41762" w:rsidRPr="00917415">
        <w:t xml:space="preserve">difficult </w:t>
      </w:r>
      <w:r w:rsidR="00B67FC7" w:rsidRPr="00917415">
        <w:t xml:space="preserve">to conclude ONA and NUSI are non-inferior in terms of effectiveness and safety. Overall, having regard to the issues described above, </w:t>
      </w:r>
      <w:r w:rsidR="00EB4975" w:rsidRPr="00917415">
        <w:t xml:space="preserve">the </w:t>
      </w:r>
      <w:r w:rsidR="009F04F5" w:rsidRPr="00917415">
        <w:t>PBA</w:t>
      </w:r>
      <w:r w:rsidR="00B67FC7" w:rsidRPr="00917415">
        <w:t xml:space="preserve">C concluded that, on balance ONA would likely deliver similar clinical outcomes to </w:t>
      </w:r>
      <w:r w:rsidR="009F04F5" w:rsidRPr="00917415">
        <w:t xml:space="preserve">NUSI </w:t>
      </w:r>
      <w:r w:rsidR="00B67FC7" w:rsidRPr="00917415">
        <w:t xml:space="preserve">in </w:t>
      </w:r>
      <w:r w:rsidR="00A41762" w:rsidRPr="00917415">
        <w:t xml:space="preserve">matched </w:t>
      </w:r>
      <w:r w:rsidR="00B67FC7" w:rsidRPr="00917415">
        <w:t xml:space="preserve">patients. </w:t>
      </w:r>
    </w:p>
    <w:p w14:paraId="093AB5F9" w14:textId="77777777" w:rsidR="004F1CAB" w:rsidRPr="00917415" w:rsidRDefault="004F1CAB" w:rsidP="00516F35">
      <w:pPr>
        <w:pStyle w:val="4-SubsectionHeading"/>
      </w:pPr>
      <w:bookmarkStart w:id="17" w:name="_Toc22897645"/>
      <w:bookmarkStart w:id="18" w:name="_Toc51152460"/>
      <w:bookmarkStart w:id="19" w:name="_Toc22897647"/>
      <w:r w:rsidRPr="00917415">
        <w:t>Economic analysis</w:t>
      </w:r>
      <w:bookmarkEnd w:id="17"/>
      <w:bookmarkEnd w:id="18"/>
      <w:r w:rsidRPr="00917415">
        <w:t xml:space="preserve"> </w:t>
      </w:r>
    </w:p>
    <w:p w14:paraId="2C63D57E" w14:textId="77777777" w:rsidR="00AD6155" w:rsidRPr="00917415" w:rsidRDefault="004F1CAB" w:rsidP="00516F35">
      <w:pPr>
        <w:pStyle w:val="3-BodyText"/>
        <w:rPr>
          <w:b/>
          <w:bCs/>
        </w:rPr>
      </w:pPr>
      <w:r w:rsidRPr="00917415">
        <w:t xml:space="preserve">The </w:t>
      </w:r>
      <w:r w:rsidR="00AD6155" w:rsidRPr="00917415">
        <w:t xml:space="preserve">PBAC noted the </w:t>
      </w:r>
      <w:r w:rsidRPr="00917415">
        <w:t xml:space="preserve">submission presented two cost-utility analyses for the naïve comparisons of ONA vs </w:t>
      </w:r>
      <w:r w:rsidR="00EE09B5" w:rsidRPr="00917415">
        <w:t>NUSI</w:t>
      </w:r>
      <w:r w:rsidRPr="00917415">
        <w:t xml:space="preserve"> (base case), and ONA vs BSC, using the same model structure but different parameters</w:t>
      </w:r>
      <w:r w:rsidR="00917415">
        <w:t xml:space="preserve">. </w:t>
      </w:r>
      <w:r w:rsidR="00AD6155" w:rsidRPr="00917415">
        <w:t xml:space="preserve">The economic model was a Markov cohort model with six health states based on the level of motor functioning achieved: A (within a broad range of normal development), B (walks independently), C (sits unassisted ≥5 seconds), D (cannot sit independently), E (requires permanent assisted ventilation [PAV]) and Dead. </w:t>
      </w:r>
    </w:p>
    <w:p w14:paraId="0D0219EB" w14:textId="77777777" w:rsidR="00464E9C" w:rsidRPr="00917415" w:rsidRDefault="00464E9C" w:rsidP="00464E9C">
      <w:pPr>
        <w:pStyle w:val="3-BodyText"/>
      </w:pPr>
      <w:r w:rsidRPr="00917415">
        <w:t xml:space="preserve">Tables </w:t>
      </w:r>
      <w:r w:rsidR="00A00973">
        <w:t>13 and 14</w:t>
      </w:r>
      <w:r w:rsidRPr="00917415">
        <w:t xml:space="preserve"> provide the results of the </w:t>
      </w:r>
      <w:r w:rsidR="003411AA" w:rsidRPr="00917415">
        <w:t xml:space="preserve">submission’s </w:t>
      </w:r>
      <w:r w:rsidRPr="00917415">
        <w:t>modelled economic evaluation for ONA vs NUSI and ONA vs BSC, respectively.</w:t>
      </w:r>
    </w:p>
    <w:p w14:paraId="24A9095D" w14:textId="77777777" w:rsidR="00464E9C" w:rsidRPr="00917415" w:rsidRDefault="00A00973" w:rsidP="00A00973">
      <w:pPr>
        <w:pStyle w:val="TableFigureHeading"/>
        <w:rPr>
          <w:rStyle w:val="CommentReference"/>
          <w:b/>
        </w:rPr>
      </w:pPr>
      <w:r>
        <w:rPr>
          <w:rStyle w:val="CommentReference"/>
          <w:b/>
        </w:rPr>
        <w:t>Table 13</w:t>
      </w:r>
      <w:r w:rsidR="00464E9C" w:rsidRPr="00917415">
        <w:rPr>
          <w:rStyle w:val="CommentReference"/>
          <w:b/>
        </w:rPr>
        <w:t>: Results of the economic evaluation – ONA vs NUSI (submission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7"/>
        <w:gridCol w:w="1843"/>
        <w:gridCol w:w="1843"/>
        <w:gridCol w:w="2074"/>
      </w:tblGrid>
      <w:tr w:rsidR="00464E9C" w:rsidRPr="00917415" w14:paraId="52ED5E04" w14:textId="77777777" w:rsidTr="00A00973">
        <w:trPr>
          <w:tblHeader/>
        </w:trPr>
        <w:tc>
          <w:tcPr>
            <w:tcW w:w="1806" w:type="pct"/>
            <w:shd w:val="clear" w:color="auto" w:fill="auto"/>
            <w:vAlign w:val="center"/>
          </w:tcPr>
          <w:p w14:paraId="03D90915" w14:textId="77777777" w:rsidR="00464E9C" w:rsidRPr="00917415" w:rsidRDefault="00464E9C" w:rsidP="003411AA">
            <w:pPr>
              <w:pStyle w:val="Tabletext"/>
              <w:keepNext/>
              <w:rPr>
                <w:b/>
              </w:rPr>
            </w:pPr>
            <w:r w:rsidRPr="00917415">
              <w:rPr>
                <w:b/>
              </w:rPr>
              <w:t>Step and component</w:t>
            </w:r>
          </w:p>
        </w:tc>
        <w:tc>
          <w:tcPr>
            <w:tcW w:w="1022" w:type="pct"/>
            <w:shd w:val="clear" w:color="auto" w:fill="auto"/>
            <w:vAlign w:val="center"/>
          </w:tcPr>
          <w:p w14:paraId="383E2B5E" w14:textId="77777777" w:rsidR="00464E9C" w:rsidRPr="00917415" w:rsidRDefault="00464E9C" w:rsidP="003411AA">
            <w:pPr>
              <w:pStyle w:val="Tabletext"/>
              <w:keepNext/>
              <w:jc w:val="center"/>
              <w:rPr>
                <w:b/>
              </w:rPr>
            </w:pPr>
            <w:r w:rsidRPr="00917415">
              <w:rPr>
                <w:b/>
              </w:rPr>
              <w:t>ONA</w:t>
            </w:r>
          </w:p>
        </w:tc>
        <w:tc>
          <w:tcPr>
            <w:tcW w:w="1022" w:type="pct"/>
            <w:shd w:val="clear" w:color="auto" w:fill="auto"/>
            <w:vAlign w:val="center"/>
          </w:tcPr>
          <w:p w14:paraId="44128C97" w14:textId="77777777" w:rsidR="00464E9C" w:rsidRPr="00917415" w:rsidRDefault="00464E9C" w:rsidP="003411AA">
            <w:pPr>
              <w:pStyle w:val="Tabletext"/>
              <w:keepNext/>
              <w:jc w:val="center"/>
              <w:rPr>
                <w:b/>
              </w:rPr>
            </w:pPr>
            <w:r w:rsidRPr="00917415">
              <w:rPr>
                <w:b/>
              </w:rPr>
              <w:t>NSN</w:t>
            </w:r>
          </w:p>
        </w:tc>
        <w:tc>
          <w:tcPr>
            <w:tcW w:w="1150" w:type="pct"/>
            <w:shd w:val="clear" w:color="auto" w:fill="auto"/>
            <w:vAlign w:val="center"/>
          </w:tcPr>
          <w:p w14:paraId="16A855B9" w14:textId="77777777" w:rsidR="00464E9C" w:rsidRPr="00917415" w:rsidRDefault="00464E9C" w:rsidP="003411AA">
            <w:pPr>
              <w:pStyle w:val="Tabletext"/>
              <w:keepNext/>
              <w:jc w:val="center"/>
              <w:rPr>
                <w:b/>
              </w:rPr>
            </w:pPr>
            <w:r w:rsidRPr="00917415">
              <w:rPr>
                <w:b/>
              </w:rPr>
              <w:t>Increment</w:t>
            </w:r>
          </w:p>
        </w:tc>
      </w:tr>
      <w:tr w:rsidR="00464E9C" w:rsidRPr="00917415" w14:paraId="6D07EA70" w14:textId="77777777" w:rsidTr="00A00973">
        <w:tc>
          <w:tcPr>
            <w:tcW w:w="5000" w:type="pct"/>
            <w:gridSpan w:val="4"/>
            <w:tcBorders>
              <w:bottom w:val="single" w:sz="4" w:space="0" w:color="auto"/>
            </w:tcBorders>
            <w:shd w:val="clear" w:color="auto" w:fill="auto"/>
            <w:vAlign w:val="center"/>
          </w:tcPr>
          <w:p w14:paraId="773CA80D" w14:textId="77777777" w:rsidR="00464E9C" w:rsidRPr="00917415" w:rsidRDefault="00464E9C" w:rsidP="003411AA">
            <w:pPr>
              <w:keepNext/>
              <w:rPr>
                <w:b/>
              </w:rPr>
            </w:pPr>
            <w:r w:rsidRPr="00917415">
              <w:rPr>
                <w:rFonts w:ascii="Arial Narrow" w:hAnsi="Arial Narrow" w:cs="Times New Roman"/>
                <w:sz w:val="20"/>
              </w:rPr>
              <w:t xml:space="preserve">Modelled analysis over 20 years </w:t>
            </w:r>
          </w:p>
        </w:tc>
      </w:tr>
      <w:tr w:rsidR="00464E9C" w:rsidRPr="00917415" w14:paraId="3626F692" w14:textId="77777777" w:rsidTr="00A00973">
        <w:tc>
          <w:tcPr>
            <w:tcW w:w="1806" w:type="pct"/>
            <w:tcBorders>
              <w:bottom w:val="nil"/>
            </w:tcBorders>
            <w:shd w:val="clear" w:color="auto" w:fill="auto"/>
            <w:vAlign w:val="center"/>
          </w:tcPr>
          <w:p w14:paraId="63B9C44B" w14:textId="77777777" w:rsidR="00464E9C" w:rsidRPr="00917415" w:rsidRDefault="00464E9C" w:rsidP="003411AA">
            <w:pPr>
              <w:pStyle w:val="Tabletext"/>
              <w:keepNext/>
              <w:rPr>
                <w:rFonts w:ascii="Times" w:hAnsi="Times"/>
              </w:rPr>
            </w:pPr>
            <w:r w:rsidRPr="00917415">
              <w:t>Costs (20 years)</w:t>
            </w:r>
          </w:p>
        </w:tc>
        <w:tc>
          <w:tcPr>
            <w:tcW w:w="1022" w:type="pct"/>
            <w:tcBorders>
              <w:bottom w:val="nil"/>
            </w:tcBorders>
            <w:shd w:val="clear" w:color="auto" w:fill="auto"/>
            <w:vAlign w:val="center"/>
          </w:tcPr>
          <w:p w14:paraId="68AC69F4" w14:textId="77777777" w:rsidR="00464E9C" w:rsidRPr="00917415" w:rsidRDefault="00464E9C" w:rsidP="003411AA">
            <w:pPr>
              <w:pStyle w:val="Tabletext"/>
              <w:keepNext/>
              <w:jc w:val="center"/>
            </w:pPr>
            <w:r w:rsidRPr="00917415">
              <w:t>$</w:t>
            </w:r>
            <w:r w:rsidR="00CC7358">
              <w:rPr>
                <w:noProof/>
                <w:color w:val="000000"/>
                <w:highlight w:val="black"/>
              </w:rPr>
              <w:t>'''''''''''''''''''''''</w:t>
            </w:r>
          </w:p>
        </w:tc>
        <w:tc>
          <w:tcPr>
            <w:tcW w:w="1022" w:type="pct"/>
            <w:tcBorders>
              <w:bottom w:val="nil"/>
            </w:tcBorders>
            <w:shd w:val="clear" w:color="auto" w:fill="auto"/>
            <w:vAlign w:val="center"/>
          </w:tcPr>
          <w:p w14:paraId="3969A762" w14:textId="77777777" w:rsidR="00464E9C" w:rsidRPr="00917415" w:rsidRDefault="00464E9C" w:rsidP="003411AA">
            <w:pPr>
              <w:pStyle w:val="Tabletext"/>
              <w:keepNext/>
              <w:jc w:val="center"/>
            </w:pPr>
            <w:r w:rsidRPr="00917415">
              <w:t>$2,817,445</w:t>
            </w:r>
          </w:p>
        </w:tc>
        <w:tc>
          <w:tcPr>
            <w:tcW w:w="1150" w:type="pct"/>
            <w:tcBorders>
              <w:bottom w:val="nil"/>
            </w:tcBorders>
            <w:shd w:val="clear" w:color="auto" w:fill="auto"/>
            <w:vAlign w:val="center"/>
          </w:tcPr>
          <w:p w14:paraId="25472A1A" w14:textId="77777777"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14:paraId="1BEB41D7" w14:textId="77777777" w:rsidTr="00A00973">
        <w:tc>
          <w:tcPr>
            <w:tcW w:w="1806" w:type="pct"/>
            <w:tcBorders>
              <w:top w:val="nil"/>
            </w:tcBorders>
            <w:shd w:val="clear" w:color="auto" w:fill="auto"/>
            <w:vAlign w:val="center"/>
          </w:tcPr>
          <w:p w14:paraId="0FCE11B0" w14:textId="77777777" w:rsidR="00464E9C" w:rsidRPr="00917415" w:rsidRDefault="00464E9C" w:rsidP="003411AA">
            <w:pPr>
              <w:pStyle w:val="Tabletext"/>
              <w:keepNext/>
              <w:rPr>
                <w:rFonts w:ascii="Times" w:hAnsi="Times"/>
              </w:rPr>
            </w:pPr>
            <w:r w:rsidRPr="00917415">
              <w:t>QALYs (20 years)</w:t>
            </w:r>
          </w:p>
        </w:tc>
        <w:tc>
          <w:tcPr>
            <w:tcW w:w="1022" w:type="pct"/>
            <w:tcBorders>
              <w:top w:val="nil"/>
            </w:tcBorders>
            <w:shd w:val="clear" w:color="auto" w:fill="auto"/>
            <w:vAlign w:val="center"/>
          </w:tcPr>
          <w:p w14:paraId="6F894DD3" w14:textId="77777777" w:rsidR="00464E9C" w:rsidRPr="00917415" w:rsidRDefault="00464E9C" w:rsidP="003411AA">
            <w:pPr>
              <w:pStyle w:val="Tabletext"/>
              <w:keepNext/>
              <w:jc w:val="center"/>
            </w:pPr>
            <w:r w:rsidRPr="00917415">
              <w:t>5.85</w:t>
            </w:r>
          </w:p>
        </w:tc>
        <w:tc>
          <w:tcPr>
            <w:tcW w:w="1022" w:type="pct"/>
            <w:tcBorders>
              <w:top w:val="nil"/>
            </w:tcBorders>
            <w:shd w:val="clear" w:color="auto" w:fill="auto"/>
            <w:vAlign w:val="center"/>
          </w:tcPr>
          <w:p w14:paraId="017B7D09" w14:textId="77777777" w:rsidR="00464E9C" w:rsidRPr="00917415" w:rsidRDefault="00464E9C" w:rsidP="003411AA">
            <w:pPr>
              <w:pStyle w:val="Tabletext"/>
              <w:keepNext/>
              <w:jc w:val="center"/>
            </w:pPr>
            <w:r w:rsidRPr="00917415">
              <w:t>3.38</w:t>
            </w:r>
          </w:p>
        </w:tc>
        <w:tc>
          <w:tcPr>
            <w:tcW w:w="1150" w:type="pct"/>
            <w:tcBorders>
              <w:top w:val="nil"/>
            </w:tcBorders>
            <w:shd w:val="clear" w:color="auto" w:fill="auto"/>
            <w:vAlign w:val="center"/>
          </w:tcPr>
          <w:p w14:paraId="79786C9A" w14:textId="77777777" w:rsidR="00464E9C" w:rsidRPr="00917415" w:rsidRDefault="00464E9C" w:rsidP="003411AA">
            <w:pPr>
              <w:pStyle w:val="Tabletext"/>
              <w:keepNext/>
              <w:jc w:val="center"/>
            </w:pPr>
            <w:r w:rsidRPr="00917415">
              <w:t>2.47</w:t>
            </w:r>
          </w:p>
        </w:tc>
      </w:tr>
      <w:tr w:rsidR="00464E9C" w:rsidRPr="00917415" w14:paraId="702158C6" w14:textId="77777777" w:rsidTr="00A00973">
        <w:tc>
          <w:tcPr>
            <w:tcW w:w="3850" w:type="pct"/>
            <w:gridSpan w:val="3"/>
            <w:shd w:val="clear" w:color="auto" w:fill="auto"/>
            <w:vAlign w:val="center"/>
          </w:tcPr>
          <w:p w14:paraId="2B4997B8" w14:textId="77777777" w:rsidR="00464E9C" w:rsidRPr="00917415" w:rsidRDefault="00464E9C" w:rsidP="003411AA">
            <w:pPr>
              <w:pStyle w:val="Tabletext"/>
              <w:keepNext/>
            </w:pPr>
            <w:r w:rsidRPr="00917415">
              <w:t>Incremental cost/QALY</w:t>
            </w:r>
          </w:p>
        </w:tc>
        <w:tc>
          <w:tcPr>
            <w:tcW w:w="1150" w:type="pct"/>
            <w:shd w:val="clear" w:color="auto" w:fill="auto"/>
            <w:vAlign w:val="center"/>
          </w:tcPr>
          <w:p w14:paraId="414E33AD" w14:textId="77777777" w:rsidR="00464E9C" w:rsidRPr="00E76465" w:rsidRDefault="00464E9C" w:rsidP="003411AA">
            <w:pPr>
              <w:pStyle w:val="Tabletext"/>
              <w:keepNext/>
              <w:jc w:val="center"/>
              <w:rPr>
                <w:vertAlign w:val="superscript"/>
              </w:rPr>
            </w:pPr>
            <w:r w:rsidRPr="00917415">
              <w:t>$</w:t>
            </w:r>
            <w:r w:rsidR="00CC7358">
              <w:rPr>
                <w:noProof/>
                <w:color w:val="000000"/>
                <w:highlight w:val="black"/>
              </w:rPr>
              <w:t>'''''''''''''''''</w:t>
            </w:r>
            <w:r w:rsidR="00E76465" w:rsidRPr="00E76465">
              <w:rPr>
                <w:vertAlign w:val="superscript"/>
              </w:rPr>
              <w:t>1</w:t>
            </w:r>
          </w:p>
        </w:tc>
      </w:tr>
      <w:tr w:rsidR="00464E9C" w:rsidRPr="00917415" w14:paraId="1D5AB408" w14:textId="77777777" w:rsidTr="00A00973">
        <w:tc>
          <w:tcPr>
            <w:tcW w:w="5000" w:type="pct"/>
            <w:gridSpan w:val="4"/>
            <w:tcBorders>
              <w:bottom w:val="single" w:sz="4" w:space="0" w:color="auto"/>
            </w:tcBorders>
            <w:shd w:val="clear" w:color="auto" w:fill="auto"/>
            <w:vAlign w:val="center"/>
          </w:tcPr>
          <w:p w14:paraId="4A579778" w14:textId="77777777" w:rsidR="00464E9C" w:rsidRPr="00917415" w:rsidRDefault="00464E9C" w:rsidP="003411AA">
            <w:pPr>
              <w:keepNext/>
              <w:rPr>
                <w:b/>
              </w:rPr>
            </w:pPr>
            <w:r w:rsidRPr="00917415">
              <w:rPr>
                <w:rFonts w:ascii="Arial Narrow" w:hAnsi="Arial Narrow" w:cs="Times New Roman"/>
                <w:sz w:val="20"/>
              </w:rPr>
              <w:t>Modelled analysis over lifetime (base case)</w:t>
            </w:r>
          </w:p>
        </w:tc>
      </w:tr>
      <w:tr w:rsidR="00464E9C" w:rsidRPr="00917415" w14:paraId="51815B47" w14:textId="77777777" w:rsidTr="00A00973">
        <w:tc>
          <w:tcPr>
            <w:tcW w:w="1806" w:type="pct"/>
            <w:tcBorders>
              <w:bottom w:val="nil"/>
            </w:tcBorders>
            <w:shd w:val="clear" w:color="auto" w:fill="auto"/>
            <w:vAlign w:val="center"/>
          </w:tcPr>
          <w:p w14:paraId="3BB95DCA" w14:textId="77777777" w:rsidR="00464E9C" w:rsidRPr="00917415" w:rsidRDefault="00464E9C" w:rsidP="003411AA">
            <w:pPr>
              <w:pStyle w:val="Tabletext"/>
              <w:keepNext/>
              <w:rPr>
                <w:rFonts w:ascii="Times" w:hAnsi="Times"/>
              </w:rPr>
            </w:pPr>
            <w:r w:rsidRPr="00917415">
              <w:t>Costs (lifetime)</w:t>
            </w:r>
          </w:p>
        </w:tc>
        <w:tc>
          <w:tcPr>
            <w:tcW w:w="1022" w:type="pct"/>
            <w:tcBorders>
              <w:bottom w:val="nil"/>
            </w:tcBorders>
            <w:shd w:val="clear" w:color="auto" w:fill="auto"/>
            <w:vAlign w:val="center"/>
          </w:tcPr>
          <w:p w14:paraId="514FE1C7" w14:textId="77777777" w:rsidR="00464E9C" w:rsidRPr="00917415" w:rsidRDefault="00464E9C" w:rsidP="003411AA">
            <w:pPr>
              <w:pStyle w:val="Tabletext"/>
              <w:keepNext/>
              <w:jc w:val="center"/>
              <w:rPr>
                <w:rFonts w:ascii="Times" w:hAnsi="Times"/>
              </w:rPr>
            </w:pPr>
            <w:r w:rsidRPr="00917415">
              <w:t>$</w:t>
            </w:r>
            <w:r w:rsidR="00CC7358">
              <w:rPr>
                <w:noProof/>
                <w:color w:val="000000"/>
                <w:highlight w:val="black"/>
              </w:rPr>
              <w:t>'''''''''''''''''''''''''</w:t>
            </w:r>
          </w:p>
        </w:tc>
        <w:tc>
          <w:tcPr>
            <w:tcW w:w="1022" w:type="pct"/>
            <w:tcBorders>
              <w:bottom w:val="nil"/>
            </w:tcBorders>
            <w:shd w:val="clear" w:color="auto" w:fill="auto"/>
            <w:vAlign w:val="center"/>
          </w:tcPr>
          <w:p w14:paraId="00956F81" w14:textId="77777777" w:rsidR="00464E9C" w:rsidRPr="00917415" w:rsidRDefault="00464E9C" w:rsidP="003411AA">
            <w:pPr>
              <w:pStyle w:val="Tabletext"/>
              <w:keepNext/>
              <w:jc w:val="center"/>
              <w:rPr>
                <w:rFonts w:ascii="Times" w:hAnsi="Times"/>
              </w:rPr>
            </w:pPr>
            <w:r w:rsidRPr="00917415">
              <w:t>$3,330,222</w:t>
            </w:r>
          </w:p>
        </w:tc>
        <w:tc>
          <w:tcPr>
            <w:tcW w:w="1150" w:type="pct"/>
            <w:tcBorders>
              <w:bottom w:val="nil"/>
            </w:tcBorders>
            <w:shd w:val="clear" w:color="auto" w:fill="auto"/>
            <w:vAlign w:val="center"/>
          </w:tcPr>
          <w:p w14:paraId="7FE36407" w14:textId="77777777"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14:paraId="6D99447B" w14:textId="77777777" w:rsidTr="00A00973">
        <w:tc>
          <w:tcPr>
            <w:tcW w:w="1806" w:type="pct"/>
            <w:tcBorders>
              <w:top w:val="nil"/>
            </w:tcBorders>
            <w:shd w:val="clear" w:color="auto" w:fill="auto"/>
            <w:vAlign w:val="center"/>
          </w:tcPr>
          <w:p w14:paraId="6A978609" w14:textId="77777777" w:rsidR="00464E9C" w:rsidRPr="00917415" w:rsidRDefault="00464E9C" w:rsidP="003411AA">
            <w:pPr>
              <w:pStyle w:val="Tabletext"/>
              <w:keepNext/>
              <w:rPr>
                <w:rFonts w:ascii="Times" w:hAnsi="Times"/>
              </w:rPr>
            </w:pPr>
            <w:r w:rsidRPr="00917415">
              <w:t>QALYs (lifetime)</w:t>
            </w:r>
          </w:p>
        </w:tc>
        <w:tc>
          <w:tcPr>
            <w:tcW w:w="1022" w:type="pct"/>
            <w:tcBorders>
              <w:top w:val="nil"/>
            </w:tcBorders>
            <w:shd w:val="clear" w:color="auto" w:fill="auto"/>
            <w:vAlign w:val="center"/>
          </w:tcPr>
          <w:p w14:paraId="51FDFFE7" w14:textId="77777777" w:rsidR="00464E9C" w:rsidRPr="00917415" w:rsidRDefault="00464E9C" w:rsidP="003411AA">
            <w:pPr>
              <w:pStyle w:val="Tabletext"/>
              <w:keepNext/>
              <w:jc w:val="center"/>
              <w:rPr>
                <w:rFonts w:ascii="Times" w:hAnsi="Times"/>
              </w:rPr>
            </w:pPr>
            <w:r w:rsidRPr="00917415">
              <w:t>7.71</w:t>
            </w:r>
          </w:p>
        </w:tc>
        <w:tc>
          <w:tcPr>
            <w:tcW w:w="1022" w:type="pct"/>
            <w:tcBorders>
              <w:top w:val="nil"/>
            </w:tcBorders>
            <w:shd w:val="clear" w:color="auto" w:fill="auto"/>
            <w:vAlign w:val="center"/>
          </w:tcPr>
          <w:p w14:paraId="184F2BB2" w14:textId="77777777" w:rsidR="00464E9C" w:rsidRPr="00917415" w:rsidRDefault="00464E9C" w:rsidP="003411AA">
            <w:pPr>
              <w:pStyle w:val="Tabletext"/>
              <w:keepNext/>
              <w:jc w:val="center"/>
            </w:pPr>
            <w:r w:rsidRPr="00917415">
              <w:t>4.36</w:t>
            </w:r>
          </w:p>
        </w:tc>
        <w:tc>
          <w:tcPr>
            <w:tcW w:w="1150" w:type="pct"/>
            <w:tcBorders>
              <w:top w:val="nil"/>
            </w:tcBorders>
            <w:shd w:val="clear" w:color="auto" w:fill="auto"/>
            <w:vAlign w:val="center"/>
          </w:tcPr>
          <w:p w14:paraId="304BF8EC" w14:textId="77777777" w:rsidR="00464E9C" w:rsidRPr="00917415" w:rsidRDefault="00464E9C" w:rsidP="003411AA">
            <w:pPr>
              <w:pStyle w:val="Tabletext"/>
              <w:keepNext/>
              <w:jc w:val="center"/>
            </w:pPr>
            <w:r w:rsidRPr="00917415">
              <w:t>3.35</w:t>
            </w:r>
          </w:p>
        </w:tc>
      </w:tr>
      <w:tr w:rsidR="00464E9C" w:rsidRPr="00917415" w14:paraId="52670334" w14:textId="77777777" w:rsidTr="00A00973">
        <w:tc>
          <w:tcPr>
            <w:tcW w:w="3850" w:type="pct"/>
            <w:gridSpan w:val="3"/>
            <w:shd w:val="clear" w:color="auto" w:fill="auto"/>
            <w:vAlign w:val="center"/>
          </w:tcPr>
          <w:p w14:paraId="2BE51F37" w14:textId="77777777" w:rsidR="00464E9C" w:rsidRPr="00917415" w:rsidRDefault="00464E9C" w:rsidP="003411AA">
            <w:pPr>
              <w:pStyle w:val="Tabletext"/>
              <w:keepNext/>
            </w:pPr>
            <w:r w:rsidRPr="00917415">
              <w:t>Incremental cost/QALY</w:t>
            </w:r>
          </w:p>
        </w:tc>
        <w:tc>
          <w:tcPr>
            <w:tcW w:w="1150" w:type="pct"/>
            <w:shd w:val="clear" w:color="auto" w:fill="auto"/>
            <w:vAlign w:val="center"/>
          </w:tcPr>
          <w:p w14:paraId="0FEB56A0" w14:textId="77777777" w:rsidR="00464E9C" w:rsidRPr="00917415" w:rsidRDefault="00464E9C" w:rsidP="003411AA">
            <w:pPr>
              <w:pStyle w:val="Tabletext"/>
              <w:keepNext/>
              <w:jc w:val="center"/>
            </w:pPr>
            <w:r w:rsidRPr="00917415">
              <w:t>$</w:t>
            </w:r>
            <w:r w:rsidR="00CC7358">
              <w:rPr>
                <w:noProof/>
                <w:color w:val="000000"/>
                <w:highlight w:val="black"/>
              </w:rPr>
              <w:t>'''''''''''''''</w:t>
            </w:r>
            <w:r w:rsidR="00E76465">
              <w:rPr>
                <w:vertAlign w:val="superscript"/>
              </w:rPr>
              <w:t>2</w:t>
            </w:r>
          </w:p>
        </w:tc>
      </w:tr>
      <w:tr w:rsidR="00464E9C" w:rsidRPr="00917415" w14:paraId="5114D57B" w14:textId="77777777" w:rsidTr="00A00973">
        <w:tc>
          <w:tcPr>
            <w:tcW w:w="3850" w:type="pct"/>
            <w:gridSpan w:val="3"/>
            <w:tcBorders>
              <w:bottom w:val="nil"/>
            </w:tcBorders>
            <w:shd w:val="clear" w:color="auto" w:fill="auto"/>
            <w:vAlign w:val="center"/>
          </w:tcPr>
          <w:p w14:paraId="54F2BBE1" w14:textId="77777777" w:rsidR="00464E9C" w:rsidRPr="00917415" w:rsidRDefault="00464E9C" w:rsidP="003411AA">
            <w:pPr>
              <w:pStyle w:val="Tabletext"/>
              <w:keepNext/>
              <w:rPr>
                <w:bCs/>
                <w:iCs/>
              </w:rPr>
            </w:pPr>
            <w:r w:rsidRPr="00917415">
              <w:rPr>
                <w:bCs/>
                <w:iCs/>
              </w:rPr>
              <w:t>Incremental cost / Life Years gained</w:t>
            </w:r>
          </w:p>
        </w:tc>
        <w:tc>
          <w:tcPr>
            <w:tcW w:w="1150" w:type="pct"/>
            <w:tcBorders>
              <w:bottom w:val="nil"/>
            </w:tcBorders>
            <w:shd w:val="clear" w:color="auto" w:fill="auto"/>
            <w:vAlign w:val="center"/>
          </w:tcPr>
          <w:p w14:paraId="7F1E8658" w14:textId="77777777" w:rsidR="00464E9C" w:rsidRPr="00917415" w:rsidRDefault="00464E9C" w:rsidP="003411AA">
            <w:pPr>
              <w:pStyle w:val="Tabletext"/>
              <w:keepNext/>
              <w:jc w:val="center"/>
              <w:rPr>
                <w:bCs/>
                <w:iCs/>
              </w:rPr>
            </w:pPr>
            <w:r w:rsidRPr="00917415">
              <w:rPr>
                <w:bCs/>
                <w:iCs/>
              </w:rPr>
              <w:t>$</w:t>
            </w:r>
            <w:r w:rsidR="00CC7358">
              <w:rPr>
                <w:bCs/>
                <w:iCs/>
                <w:noProof/>
                <w:color w:val="000000"/>
                <w:highlight w:val="black"/>
              </w:rPr>
              <w:t>''''''''''''''''''</w:t>
            </w:r>
            <w:r w:rsidR="00E76465">
              <w:rPr>
                <w:vertAlign w:val="superscript"/>
              </w:rPr>
              <w:t>3</w:t>
            </w:r>
          </w:p>
        </w:tc>
      </w:tr>
      <w:tr w:rsidR="00464E9C" w:rsidRPr="00917415" w14:paraId="571E04D4" w14:textId="77777777" w:rsidTr="00A00973">
        <w:tc>
          <w:tcPr>
            <w:tcW w:w="3850" w:type="pct"/>
            <w:gridSpan w:val="3"/>
            <w:tcBorders>
              <w:top w:val="nil"/>
              <w:bottom w:val="single" w:sz="4" w:space="0" w:color="auto"/>
            </w:tcBorders>
            <w:shd w:val="clear" w:color="auto" w:fill="auto"/>
            <w:vAlign w:val="center"/>
          </w:tcPr>
          <w:p w14:paraId="274E9EBC" w14:textId="77777777" w:rsidR="00464E9C" w:rsidRPr="00917415" w:rsidRDefault="00464E9C" w:rsidP="003411AA">
            <w:pPr>
              <w:pStyle w:val="Tabletext"/>
              <w:keepNext/>
            </w:pPr>
            <w:r w:rsidRPr="00917415">
              <w:rPr>
                <w:b/>
              </w:rPr>
              <w:t>Incremental cost/extra QALY gained (base case in submission)</w:t>
            </w:r>
          </w:p>
        </w:tc>
        <w:tc>
          <w:tcPr>
            <w:tcW w:w="1150" w:type="pct"/>
            <w:tcBorders>
              <w:top w:val="nil"/>
              <w:bottom w:val="single" w:sz="4" w:space="0" w:color="auto"/>
            </w:tcBorders>
            <w:shd w:val="clear" w:color="auto" w:fill="auto"/>
            <w:vAlign w:val="center"/>
          </w:tcPr>
          <w:p w14:paraId="0E2C5DFA" w14:textId="77777777" w:rsidR="00464E9C" w:rsidRPr="00917415" w:rsidRDefault="00464E9C" w:rsidP="003411AA">
            <w:pPr>
              <w:pStyle w:val="Tabletext"/>
              <w:keepNext/>
              <w:jc w:val="center"/>
            </w:pPr>
            <w:r w:rsidRPr="00917415">
              <w:rPr>
                <w:b/>
              </w:rPr>
              <w:t>$</w:t>
            </w:r>
            <w:r w:rsidR="00CC7358">
              <w:rPr>
                <w:b/>
                <w:noProof/>
                <w:color w:val="000000"/>
                <w:highlight w:val="black"/>
              </w:rPr>
              <w:t>'''''''''''''</w:t>
            </w:r>
            <w:r w:rsidR="00E76465">
              <w:rPr>
                <w:vertAlign w:val="superscript"/>
              </w:rPr>
              <w:t>2</w:t>
            </w:r>
          </w:p>
        </w:tc>
      </w:tr>
    </w:tbl>
    <w:p w14:paraId="35AC1E05" w14:textId="77777777" w:rsidR="00464E9C" w:rsidRDefault="00464E9C" w:rsidP="00A00973">
      <w:pPr>
        <w:pStyle w:val="TableFigureFooter"/>
      </w:pPr>
      <w:r w:rsidRPr="00A00973">
        <w:t>Source: compiled during the evaluation. NSN = NUSI; ONA = onasemnogene abeparvovec.</w:t>
      </w:r>
    </w:p>
    <w:p w14:paraId="270879F6" w14:textId="77777777" w:rsidR="00E76465" w:rsidRPr="009868C4" w:rsidRDefault="00E76465" w:rsidP="00E76465">
      <w:pPr>
        <w:pStyle w:val="TableFigureFooter"/>
        <w:spacing w:after="0"/>
        <w:contextualSpacing w:val="0"/>
      </w:pPr>
      <w:r w:rsidRPr="009868C4">
        <w:rPr>
          <w:i/>
        </w:rPr>
        <w:t>The redacted values correspond to the following ranges</w:t>
      </w:r>
      <w:r>
        <w:rPr>
          <w:i/>
        </w:rPr>
        <w:t xml:space="preserve">: </w:t>
      </w:r>
    </w:p>
    <w:p w14:paraId="0B3BAB89" w14:textId="77777777" w:rsidR="00E76465" w:rsidRPr="00E76465" w:rsidRDefault="00E76465" w:rsidP="00A00973">
      <w:pPr>
        <w:pStyle w:val="TableFigureFooter"/>
        <w:rPr>
          <w:i/>
        </w:rPr>
      </w:pPr>
      <w:r w:rsidRPr="00E76465">
        <w:rPr>
          <w:i/>
          <w:vertAlign w:val="superscript"/>
        </w:rPr>
        <w:t>1</w:t>
      </w:r>
      <w:r w:rsidRPr="00E76465">
        <w:rPr>
          <w:i/>
        </w:rPr>
        <w:t xml:space="preserve"> $155,000 to &lt; $255,000</w:t>
      </w:r>
    </w:p>
    <w:p w14:paraId="0B306018" w14:textId="77777777" w:rsidR="00E76465" w:rsidRPr="00E76465" w:rsidRDefault="00E76465" w:rsidP="00A00973">
      <w:pPr>
        <w:pStyle w:val="TableFigureFooter"/>
        <w:rPr>
          <w:i/>
        </w:rPr>
      </w:pPr>
      <w:r w:rsidRPr="00E76465">
        <w:rPr>
          <w:i/>
          <w:vertAlign w:val="superscript"/>
        </w:rPr>
        <w:t>2</w:t>
      </w:r>
      <w:r w:rsidRPr="00E76465">
        <w:rPr>
          <w:i/>
        </w:rPr>
        <w:t xml:space="preserve"> $45,000 to &lt; $55,000</w:t>
      </w:r>
    </w:p>
    <w:p w14:paraId="59E32A78" w14:textId="77777777" w:rsidR="00E76465" w:rsidRPr="00E76465" w:rsidRDefault="00E76465" w:rsidP="00A00973">
      <w:pPr>
        <w:pStyle w:val="TableFigureFooter"/>
        <w:rPr>
          <w:i/>
        </w:rPr>
      </w:pPr>
      <w:r w:rsidRPr="00E76465">
        <w:rPr>
          <w:i/>
          <w:vertAlign w:val="superscript"/>
        </w:rPr>
        <w:t>3</w:t>
      </w:r>
      <w:r w:rsidRPr="00E76465">
        <w:rPr>
          <w:i/>
        </w:rPr>
        <w:t xml:space="preserve"> $35,000 to &lt; $45,000</w:t>
      </w:r>
    </w:p>
    <w:p w14:paraId="7AE12ECF" w14:textId="77777777" w:rsidR="00464E9C" w:rsidRPr="00917415" w:rsidRDefault="00A00973" w:rsidP="00A00973">
      <w:pPr>
        <w:pStyle w:val="TableFigureHeading"/>
        <w:rPr>
          <w:rStyle w:val="CommentReference"/>
          <w:b/>
        </w:rPr>
      </w:pPr>
      <w:r>
        <w:rPr>
          <w:rStyle w:val="CommentReference"/>
          <w:b/>
        </w:rPr>
        <w:lastRenderedPageBreak/>
        <w:t>Table 14</w:t>
      </w:r>
      <w:r w:rsidR="00464E9C" w:rsidRPr="00917415">
        <w:rPr>
          <w:rStyle w:val="CommentReference"/>
          <w:b/>
        </w:rPr>
        <w:t>: Results of the economic evaluation – ONA vs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7"/>
        <w:gridCol w:w="1843"/>
        <w:gridCol w:w="1843"/>
        <w:gridCol w:w="2074"/>
      </w:tblGrid>
      <w:tr w:rsidR="00464E9C" w:rsidRPr="00917415" w14:paraId="4CA055FB" w14:textId="77777777" w:rsidTr="00A00973">
        <w:trPr>
          <w:tblHeader/>
        </w:trPr>
        <w:tc>
          <w:tcPr>
            <w:tcW w:w="1806" w:type="pct"/>
            <w:shd w:val="clear" w:color="auto" w:fill="auto"/>
            <w:vAlign w:val="center"/>
          </w:tcPr>
          <w:p w14:paraId="2BCDA6A6" w14:textId="77777777" w:rsidR="00464E9C" w:rsidRPr="00917415" w:rsidRDefault="00464E9C" w:rsidP="003411AA">
            <w:pPr>
              <w:pStyle w:val="Tabletext"/>
              <w:keepNext/>
              <w:rPr>
                <w:b/>
              </w:rPr>
            </w:pPr>
            <w:r w:rsidRPr="00917415">
              <w:rPr>
                <w:b/>
              </w:rPr>
              <w:t>Step and component</w:t>
            </w:r>
          </w:p>
        </w:tc>
        <w:tc>
          <w:tcPr>
            <w:tcW w:w="1022" w:type="pct"/>
            <w:shd w:val="clear" w:color="auto" w:fill="auto"/>
            <w:vAlign w:val="center"/>
          </w:tcPr>
          <w:p w14:paraId="0B7EF411" w14:textId="77777777" w:rsidR="00464E9C" w:rsidRPr="00917415" w:rsidRDefault="00464E9C" w:rsidP="003411AA">
            <w:pPr>
              <w:pStyle w:val="Tabletext"/>
              <w:keepNext/>
              <w:jc w:val="center"/>
              <w:rPr>
                <w:b/>
              </w:rPr>
            </w:pPr>
            <w:r w:rsidRPr="00917415">
              <w:rPr>
                <w:b/>
              </w:rPr>
              <w:t>ONA</w:t>
            </w:r>
          </w:p>
        </w:tc>
        <w:tc>
          <w:tcPr>
            <w:tcW w:w="1022" w:type="pct"/>
            <w:shd w:val="clear" w:color="auto" w:fill="auto"/>
            <w:vAlign w:val="center"/>
          </w:tcPr>
          <w:p w14:paraId="2065E7C6" w14:textId="77777777" w:rsidR="00464E9C" w:rsidRPr="00917415" w:rsidRDefault="00464E9C" w:rsidP="003411AA">
            <w:pPr>
              <w:pStyle w:val="Tabletext"/>
              <w:keepNext/>
              <w:jc w:val="center"/>
              <w:rPr>
                <w:b/>
              </w:rPr>
            </w:pPr>
            <w:r w:rsidRPr="00917415">
              <w:rPr>
                <w:b/>
              </w:rPr>
              <w:t>BSC</w:t>
            </w:r>
          </w:p>
        </w:tc>
        <w:tc>
          <w:tcPr>
            <w:tcW w:w="1150" w:type="pct"/>
            <w:shd w:val="clear" w:color="auto" w:fill="auto"/>
            <w:vAlign w:val="center"/>
          </w:tcPr>
          <w:p w14:paraId="0079683B" w14:textId="77777777" w:rsidR="00464E9C" w:rsidRPr="00917415" w:rsidRDefault="00464E9C" w:rsidP="003411AA">
            <w:pPr>
              <w:pStyle w:val="Tabletext"/>
              <w:keepNext/>
              <w:jc w:val="center"/>
              <w:rPr>
                <w:b/>
              </w:rPr>
            </w:pPr>
            <w:r w:rsidRPr="00917415">
              <w:rPr>
                <w:b/>
              </w:rPr>
              <w:t>Increment</w:t>
            </w:r>
          </w:p>
        </w:tc>
      </w:tr>
      <w:tr w:rsidR="00464E9C" w:rsidRPr="00917415" w14:paraId="6F09ABCB" w14:textId="77777777" w:rsidTr="00A00973">
        <w:tc>
          <w:tcPr>
            <w:tcW w:w="5000" w:type="pct"/>
            <w:gridSpan w:val="4"/>
            <w:tcBorders>
              <w:bottom w:val="single" w:sz="4" w:space="0" w:color="auto"/>
            </w:tcBorders>
            <w:shd w:val="clear" w:color="auto" w:fill="auto"/>
            <w:vAlign w:val="center"/>
          </w:tcPr>
          <w:p w14:paraId="3E0F6104" w14:textId="77777777" w:rsidR="00464E9C" w:rsidRPr="00917415" w:rsidRDefault="00464E9C" w:rsidP="003411AA">
            <w:pPr>
              <w:keepNext/>
              <w:rPr>
                <w:b/>
              </w:rPr>
            </w:pPr>
            <w:r w:rsidRPr="00917415">
              <w:rPr>
                <w:rFonts w:ascii="Arial Narrow" w:hAnsi="Arial Narrow" w:cs="Times New Roman"/>
                <w:sz w:val="20"/>
              </w:rPr>
              <w:t>Modelled analysis over 20 years</w:t>
            </w:r>
          </w:p>
        </w:tc>
      </w:tr>
      <w:tr w:rsidR="00464E9C" w:rsidRPr="00917415" w14:paraId="33663075" w14:textId="77777777" w:rsidTr="00A00973">
        <w:tc>
          <w:tcPr>
            <w:tcW w:w="1806" w:type="pct"/>
            <w:tcBorders>
              <w:bottom w:val="nil"/>
            </w:tcBorders>
            <w:shd w:val="clear" w:color="auto" w:fill="auto"/>
            <w:vAlign w:val="center"/>
          </w:tcPr>
          <w:p w14:paraId="611086AD" w14:textId="77777777" w:rsidR="00464E9C" w:rsidRPr="00917415" w:rsidRDefault="00464E9C" w:rsidP="003411AA">
            <w:pPr>
              <w:pStyle w:val="Tabletext"/>
              <w:keepNext/>
              <w:rPr>
                <w:rFonts w:ascii="Times" w:hAnsi="Times"/>
              </w:rPr>
            </w:pPr>
            <w:r w:rsidRPr="00917415">
              <w:t>Costs (20 years)</w:t>
            </w:r>
          </w:p>
        </w:tc>
        <w:tc>
          <w:tcPr>
            <w:tcW w:w="1022" w:type="pct"/>
            <w:tcBorders>
              <w:bottom w:val="nil"/>
            </w:tcBorders>
            <w:shd w:val="clear" w:color="auto" w:fill="auto"/>
            <w:vAlign w:val="center"/>
          </w:tcPr>
          <w:p w14:paraId="520B8578" w14:textId="77777777" w:rsidR="00464E9C" w:rsidRPr="00917415" w:rsidRDefault="00464E9C" w:rsidP="003411AA">
            <w:pPr>
              <w:pStyle w:val="Tabletext"/>
              <w:keepNext/>
              <w:jc w:val="center"/>
            </w:pPr>
            <w:r w:rsidRPr="00917415">
              <w:t>$</w:t>
            </w:r>
            <w:r w:rsidR="00CC7358">
              <w:rPr>
                <w:noProof/>
                <w:color w:val="000000"/>
                <w:highlight w:val="black"/>
              </w:rPr>
              <w:t>''''''''''''''''''''''''</w:t>
            </w:r>
          </w:p>
        </w:tc>
        <w:tc>
          <w:tcPr>
            <w:tcW w:w="1022" w:type="pct"/>
            <w:tcBorders>
              <w:bottom w:val="nil"/>
            </w:tcBorders>
            <w:shd w:val="clear" w:color="auto" w:fill="auto"/>
            <w:vAlign w:val="center"/>
          </w:tcPr>
          <w:p w14:paraId="1F0C38A5" w14:textId="77777777" w:rsidR="00464E9C" w:rsidRPr="00917415" w:rsidRDefault="00464E9C" w:rsidP="003411AA">
            <w:pPr>
              <w:pStyle w:val="Tabletext"/>
              <w:keepNext/>
              <w:jc w:val="center"/>
            </w:pPr>
            <w:r w:rsidRPr="00917415">
              <w:t>$</w:t>
            </w:r>
            <w:r w:rsidRPr="00917415">
              <w:rPr>
                <w:szCs w:val="20"/>
              </w:rPr>
              <w:t>157,180</w:t>
            </w:r>
          </w:p>
        </w:tc>
        <w:tc>
          <w:tcPr>
            <w:tcW w:w="1150" w:type="pct"/>
            <w:tcBorders>
              <w:bottom w:val="nil"/>
            </w:tcBorders>
            <w:shd w:val="clear" w:color="auto" w:fill="auto"/>
            <w:vAlign w:val="center"/>
          </w:tcPr>
          <w:p w14:paraId="32E5C292" w14:textId="77777777"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14:paraId="40B98D9B" w14:textId="77777777" w:rsidTr="00A00973">
        <w:tc>
          <w:tcPr>
            <w:tcW w:w="1806" w:type="pct"/>
            <w:tcBorders>
              <w:top w:val="nil"/>
            </w:tcBorders>
            <w:shd w:val="clear" w:color="auto" w:fill="auto"/>
            <w:vAlign w:val="center"/>
          </w:tcPr>
          <w:p w14:paraId="725DD50A" w14:textId="77777777" w:rsidR="00464E9C" w:rsidRPr="00917415" w:rsidRDefault="00464E9C" w:rsidP="003411AA">
            <w:pPr>
              <w:pStyle w:val="Tabletext"/>
              <w:keepNext/>
              <w:rPr>
                <w:rFonts w:ascii="Times" w:hAnsi="Times"/>
              </w:rPr>
            </w:pPr>
            <w:r w:rsidRPr="00917415">
              <w:t>QALYs (20 years)</w:t>
            </w:r>
          </w:p>
        </w:tc>
        <w:tc>
          <w:tcPr>
            <w:tcW w:w="1022" w:type="pct"/>
            <w:tcBorders>
              <w:top w:val="nil"/>
            </w:tcBorders>
            <w:shd w:val="clear" w:color="auto" w:fill="auto"/>
            <w:vAlign w:val="center"/>
          </w:tcPr>
          <w:p w14:paraId="14C2C6FD" w14:textId="77777777" w:rsidR="00464E9C" w:rsidRPr="00917415" w:rsidRDefault="00464E9C" w:rsidP="003411AA">
            <w:pPr>
              <w:pStyle w:val="Tabletext"/>
              <w:keepNext/>
              <w:jc w:val="center"/>
            </w:pPr>
            <w:r w:rsidRPr="00917415">
              <w:t>5.85</w:t>
            </w:r>
          </w:p>
        </w:tc>
        <w:tc>
          <w:tcPr>
            <w:tcW w:w="1022" w:type="pct"/>
            <w:tcBorders>
              <w:top w:val="nil"/>
            </w:tcBorders>
            <w:shd w:val="clear" w:color="auto" w:fill="auto"/>
            <w:vAlign w:val="center"/>
          </w:tcPr>
          <w:p w14:paraId="0F58902F" w14:textId="77777777" w:rsidR="00464E9C" w:rsidRPr="00917415" w:rsidRDefault="00464E9C" w:rsidP="003411AA">
            <w:pPr>
              <w:pStyle w:val="Tabletext"/>
              <w:keepNext/>
              <w:jc w:val="center"/>
            </w:pPr>
            <w:r w:rsidRPr="00917415">
              <w:t>0.21</w:t>
            </w:r>
          </w:p>
        </w:tc>
        <w:tc>
          <w:tcPr>
            <w:tcW w:w="1150" w:type="pct"/>
            <w:tcBorders>
              <w:top w:val="nil"/>
            </w:tcBorders>
            <w:shd w:val="clear" w:color="auto" w:fill="auto"/>
            <w:vAlign w:val="center"/>
          </w:tcPr>
          <w:p w14:paraId="53A01E5C" w14:textId="77777777" w:rsidR="00464E9C" w:rsidRPr="00917415" w:rsidRDefault="00464E9C" w:rsidP="003411AA">
            <w:pPr>
              <w:pStyle w:val="Tabletext"/>
              <w:keepNext/>
              <w:jc w:val="center"/>
            </w:pPr>
            <w:r w:rsidRPr="00917415">
              <w:t>5.64</w:t>
            </w:r>
          </w:p>
        </w:tc>
      </w:tr>
      <w:tr w:rsidR="00464E9C" w:rsidRPr="00917415" w14:paraId="128C6DAC" w14:textId="77777777" w:rsidTr="00A00973">
        <w:tc>
          <w:tcPr>
            <w:tcW w:w="3850" w:type="pct"/>
            <w:gridSpan w:val="3"/>
            <w:shd w:val="clear" w:color="auto" w:fill="auto"/>
            <w:vAlign w:val="center"/>
          </w:tcPr>
          <w:p w14:paraId="297A5983" w14:textId="77777777" w:rsidR="00464E9C" w:rsidRPr="00917415" w:rsidRDefault="00464E9C" w:rsidP="003411AA">
            <w:pPr>
              <w:pStyle w:val="Tabletext"/>
              <w:keepNext/>
            </w:pPr>
            <w:r w:rsidRPr="00917415">
              <w:t>Incremental cost/QALY</w:t>
            </w:r>
          </w:p>
        </w:tc>
        <w:tc>
          <w:tcPr>
            <w:tcW w:w="1150" w:type="pct"/>
            <w:shd w:val="clear" w:color="auto" w:fill="auto"/>
            <w:vAlign w:val="center"/>
          </w:tcPr>
          <w:p w14:paraId="55C8C723" w14:textId="77777777" w:rsidR="00464E9C" w:rsidRPr="00E76465" w:rsidRDefault="00464E9C" w:rsidP="003411AA">
            <w:pPr>
              <w:pStyle w:val="Tabletext"/>
              <w:keepNext/>
              <w:jc w:val="center"/>
              <w:rPr>
                <w:vertAlign w:val="superscript"/>
              </w:rPr>
            </w:pPr>
            <w:r w:rsidRPr="00917415">
              <w:t>$</w:t>
            </w:r>
            <w:r w:rsidR="00CC7358">
              <w:rPr>
                <w:noProof/>
                <w:color w:val="000000"/>
                <w:highlight w:val="black"/>
              </w:rPr>
              <w:t>''''''''''''''''''''</w:t>
            </w:r>
            <w:r w:rsidR="00E76465" w:rsidRPr="00E76465">
              <w:rPr>
                <w:vertAlign w:val="superscript"/>
              </w:rPr>
              <w:t>1</w:t>
            </w:r>
          </w:p>
        </w:tc>
      </w:tr>
      <w:tr w:rsidR="00464E9C" w:rsidRPr="00917415" w14:paraId="3FA2649B" w14:textId="77777777" w:rsidTr="00A00973">
        <w:tc>
          <w:tcPr>
            <w:tcW w:w="5000" w:type="pct"/>
            <w:gridSpan w:val="4"/>
            <w:tcBorders>
              <w:bottom w:val="single" w:sz="4" w:space="0" w:color="auto"/>
            </w:tcBorders>
            <w:shd w:val="clear" w:color="auto" w:fill="auto"/>
            <w:vAlign w:val="center"/>
          </w:tcPr>
          <w:p w14:paraId="30581ECD" w14:textId="77777777" w:rsidR="00464E9C" w:rsidRPr="00917415" w:rsidRDefault="00464E9C" w:rsidP="003411AA">
            <w:pPr>
              <w:keepNext/>
              <w:rPr>
                <w:b/>
              </w:rPr>
            </w:pPr>
            <w:r w:rsidRPr="00917415">
              <w:rPr>
                <w:rFonts w:ascii="Arial Narrow" w:hAnsi="Arial Narrow" w:cs="Times New Roman"/>
                <w:sz w:val="20"/>
              </w:rPr>
              <w:t>Modelled analysis over lifetime</w:t>
            </w:r>
          </w:p>
        </w:tc>
      </w:tr>
      <w:tr w:rsidR="00464E9C" w:rsidRPr="00917415" w14:paraId="4C715AAC" w14:textId="77777777" w:rsidTr="00A00973">
        <w:tc>
          <w:tcPr>
            <w:tcW w:w="1806" w:type="pct"/>
            <w:tcBorders>
              <w:bottom w:val="nil"/>
            </w:tcBorders>
            <w:shd w:val="clear" w:color="auto" w:fill="auto"/>
            <w:vAlign w:val="center"/>
          </w:tcPr>
          <w:p w14:paraId="53FA68BF" w14:textId="77777777" w:rsidR="00464E9C" w:rsidRPr="00917415" w:rsidRDefault="00464E9C" w:rsidP="003411AA">
            <w:pPr>
              <w:pStyle w:val="Tabletext"/>
              <w:keepNext/>
              <w:rPr>
                <w:rFonts w:ascii="Times" w:hAnsi="Times"/>
              </w:rPr>
            </w:pPr>
            <w:r w:rsidRPr="00917415">
              <w:t>Costs (lifetime)</w:t>
            </w:r>
          </w:p>
        </w:tc>
        <w:tc>
          <w:tcPr>
            <w:tcW w:w="1022" w:type="pct"/>
            <w:tcBorders>
              <w:bottom w:val="nil"/>
            </w:tcBorders>
            <w:shd w:val="clear" w:color="auto" w:fill="auto"/>
            <w:vAlign w:val="center"/>
          </w:tcPr>
          <w:p w14:paraId="48914A71" w14:textId="77777777" w:rsidR="00464E9C" w:rsidRPr="00917415" w:rsidRDefault="00464E9C" w:rsidP="003411AA">
            <w:pPr>
              <w:pStyle w:val="Tabletext"/>
              <w:keepNext/>
              <w:jc w:val="center"/>
              <w:rPr>
                <w:rFonts w:ascii="Times" w:hAnsi="Times"/>
              </w:rPr>
            </w:pPr>
            <w:r w:rsidRPr="00917415">
              <w:t>$</w:t>
            </w:r>
            <w:r w:rsidR="00CC7358">
              <w:rPr>
                <w:noProof/>
                <w:color w:val="000000"/>
                <w:highlight w:val="black"/>
              </w:rPr>
              <w:t>''''''''''''''''''''''''''</w:t>
            </w:r>
          </w:p>
        </w:tc>
        <w:tc>
          <w:tcPr>
            <w:tcW w:w="1022" w:type="pct"/>
            <w:tcBorders>
              <w:bottom w:val="nil"/>
            </w:tcBorders>
            <w:shd w:val="clear" w:color="auto" w:fill="auto"/>
            <w:vAlign w:val="center"/>
          </w:tcPr>
          <w:p w14:paraId="08E1AFD7" w14:textId="77777777" w:rsidR="00464E9C" w:rsidRPr="00917415" w:rsidRDefault="00464E9C" w:rsidP="003411AA">
            <w:pPr>
              <w:pStyle w:val="Tabletext"/>
              <w:keepNext/>
              <w:jc w:val="center"/>
              <w:rPr>
                <w:rFonts w:ascii="Times" w:hAnsi="Times"/>
              </w:rPr>
            </w:pPr>
            <w:r w:rsidRPr="00917415">
              <w:t>$</w:t>
            </w:r>
            <w:r w:rsidRPr="00917415">
              <w:rPr>
                <w:szCs w:val="20"/>
              </w:rPr>
              <w:t>157,180</w:t>
            </w:r>
          </w:p>
        </w:tc>
        <w:tc>
          <w:tcPr>
            <w:tcW w:w="1150" w:type="pct"/>
            <w:tcBorders>
              <w:bottom w:val="nil"/>
            </w:tcBorders>
            <w:shd w:val="clear" w:color="auto" w:fill="auto"/>
            <w:vAlign w:val="center"/>
          </w:tcPr>
          <w:p w14:paraId="552375F7" w14:textId="77777777" w:rsidR="00464E9C" w:rsidRPr="00917415" w:rsidRDefault="00464E9C" w:rsidP="003411AA">
            <w:pPr>
              <w:pStyle w:val="Tabletext"/>
              <w:keepNext/>
              <w:jc w:val="center"/>
            </w:pPr>
            <w:r w:rsidRPr="00917415">
              <w:t>$</w:t>
            </w:r>
            <w:r w:rsidR="00CC7358">
              <w:rPr>
                <w:noProof/>
                <w:color w:val="000000"/>
                <w:highlight w:val="black"/>
              </w:rPr>
              <w:t>'''''''''''''''''''''</w:t>
            </w:r>
          </w:p>
        </w:tc>
      </w:tr>
      <w:tr w:rsidR="00464E9C" w:rsidRPr="00917415" w14:paraId="083A230A" w14:textId="77777777" w:rsidTr="00A00973">
        <w:tc>
          <w:tcPr>
            <w:tcW w:w="1806" w:type="pct"/>
            <w:tcBorders>
              <w:top w:val="nil"/>
            </w:tcBorders>
            <w:shd w:val="clear" w:color="auto" w:fill="auto"/>
            <w:vAlign w:val="center"/>
          </w:tcPr>
          <w:p w14:paraId="33B05F70" w14:textId="77777777" w:rsidR="00464E9C" w:rsidRPr="00917415" w:rsidRDefault="00464E9C" w:rsidP="003411AA">
            <w:pPr>
              <w:pStyle w:val="Tabletext"/>
              <w:keepNext/>
              <w:rPr>
                <w:rFonts w:ascii="Times" w:hAnsi="Times"/>
              </w:rPr>
            </w:pPr>
            <w:r w:rsidRPr="00917415">
              <w:t>QALYs (lifetime)</w:t>
            </w:r>
          </w:p>
        </w:tc>
        <w:tc>
          <w:tcPr>
            <w:tcW w:w="1022" w:type="pct"/>
            <w:tcBorders>
              <w:top w:val="nil"/>
            </w:tcBorders>
            <w:shd w:val="clear" w:color="auto" w:fill="auto"/>
            <w:vAlign w:val="center"/>
          </w:tcPr>
          <w:p w14:paraId="104A1532" w14:textId="77777777" w:rsidR="00464E9C" w:rsidRPr="00917415" w:rsidRDefault="00464E9C" w:rsidP="003411AA">
            <w:pPr>
              <w:pStyle w:val="Tabletext"/>
              <w:keepNext/>
              <w:jc w:val="center"/>
              <w:rPr>
                <w:rFonts w:ascii="Times" w:hAnsi="Times"/>
              </w:rPr>
            </w:pPr>
            <w:r w:rsidRPr="00917415">
              <w:t>7.71</w:t>
            </w:r>
          </w:p>
        </w:tc>
        <w:tc>
          <w:tcPr>
            <w:tcW w:w="1022" w:type="pct"/>
            <w:tcBorders>
              <w:top w:val="nil"/>
            </w:tcBorders>
            <w:shd w:val="clear" w:color="auto" w:fill="auto"/>
            <w:vAlign w:val="center"/>
          </w:tcPr>
          <w:p w14:paraId="051BD9E9" w14:textId="77777777" w:rsidR="00464E9C" w:rsidRPr="00917415" w:rsidRDefault="00464E9C" w:rsidP="003411AA">
            <w:pPr>
              <w:pStyle w:val="Tabletext"/>
              <w:keepNext/>
              <w:jc w:val="center"/>
            </w:pPr>
            <w:r w:rsidRPr="00917415">
              <w:t>0.21</w:t>
            </w:r>
          </w:p>
        </w:tc>
        <w:tc>
          <w:tcPr>
            <w:tcW w:w="1150" w:type="pct"/>
            <w:tcBorders>
              <w:top w:val="nil"/>
            </w:tcBorders>
            <w:shd w:val="clear" w:color="auto" w:fill="auto"/>
            <w:vAlign w:val="center"/>
          </w:tcPr>
          <w:p w14:paraId="188382B5" w14:textId="77777777" w:rsidR="00464E9C" w:rsidRPr="00917415" w:rsidRDefault="00464E9C" w:rsidP="003411AA">
            <w:pPr>
              <w:pStyle w:val="Tabletext"/>
              <w:keepNext/>
              <w:jc w:val="center"/>
            </w:pPr>
            <w:r w:rsidRPr="00917415">
              <w:t>7.49</w:t>
            </w:r>
          </w:p>
        </w:tc>
      </w:tr>
      <w:tr w:rsidR="00464E9C" w:rsidRPr="00917415" w14:paraId="4505C0C2" w14:textId="77777777" w:rsidTr="00A00973">
        <w:tc>
          <w:tcPr>
            <w:tcW w:w="3850" w:type="pct"/>
            <w:gridSpan w:val="3"/>
            <w:shd w:val="clear" w:color="auto" w:fill="auto"/>
            <w:vAlign w:val="center"/>
          </w:tcPr>
          <w:p w14:paraId="395EDC79" w14:textId="77777777" w:rsidR="00464E9C" w:rsidRPr="00917415" w:rsidRDefault="00464E9C" w:rsidP="003411AA">
            <w:pPr>
              <w:pStyle w:val="Tabletext"/>
              <w:keepNext/>
            </w:pPr>
            <w:r w:rsidRPr="00917415">
              <w:t>Incremental cost/QALY</w:t>
            </w:r>
          </w:p>
        </w:tc>
        <w:tc>
          <w:tcPr>
            <w:tcW w:w="1150" w:type="pct"/>
            <w:shd w:val="clear" w:color="auto" w:fill="auto"/>
            <w:vAlign w:val="center"/>
          </w:tcPr>
          <w:p w14:paraId="073CDD63" w14:textId="77777777" w:rsidR="00464E9C" w:rsidRPr="00917415" w:rsidRDefault="00464E9C" w:rsidP="003411AA">
            <w:pPr>
              <w:pStyle w:val="Tabletext"/>
              <w:keepNext/>
              <w:jc w:val="center"/>
            </w:pPr>
            <w:r w:rsidRPr="00917415">
              <w:t>$</w:t>
            </w:r>
            <w:r w:rsidR="00CC7358">
              <w:rPr>
                <w:noProof/>
                <w:color w:val="000000"/>
                <w:highlight w:val="black"/>
              </w:rPr>
              <w:t>'''''''''''''''''''</w:t>
            </w:r>
            <w:r w:rsidR="00E76465">
              <w:rPr>
                <w:vertAlign w:val="superscript"/>
              </w:rPr>
              <w:t>2</w:t>
            </w:r>
          </w:p>
        </w:tc>
      </w:tr>
      <w:tr w:rsidR="00464E9C" w:rsidRPr="00917415" w14:paraId="707BAFF4" w14:textId="77777777" w:rsidTr="00A00973">
        <w:tc>
          <w:tcPr>
            <w:tcW w:w="3850" w:type="pct"/>
            <w:gridSpan w:val="3"/>
            <w:tcBorders>
              <w:bottom w:val="nil"/>
            </w:tcBorders>
            <w:shd w:val="clear" w:color="auto" w:fill="auto"/>
            <w:vAlign w:val="center"/>
          </w:tcPr>
          <w:p w14:paraId="08C0A93F" w14:textId="77777777" w:rsidR="00464E9C" w:rsidRPr="00917415" w:rsidRDefault="00464E9C" w:rsidP="003411AA">
            <w:pPr>
              <w:pStyle w:val="Tabletext"/>
              <w:keepNext/>
              <w:rPr>
                <w:bCs/>
                <w:iCs/>
              </w:rPr>
            </w:pPr>
            <w:r w:rsidRPr="00917415">
              <w:rPr>
                <w:bCs/>
                <w:iCs/>
              </w:rPr>
              <w:t>Incremental cost / Life Years gained</w:t>
            </w:r>
          </w:p>
        </w:tc>
        <w:tc>
          <w:tcPr>
            <w:tcW w:w="1150" w:type="pct"/>
            <w:tcBorders>
              <w:bottom w:val="nil"/>
            </w:tcBorders>
            <w:shd w:val="clear" w:color="auto" w:fill="auto"/>
            <w:vAlign w:val="center"/>
          </w:tcPr>
          <w:p w14:paraId="62299666" w14:textId="77777777" w:rsidR="00464E9C" w:rsidRPr="00917415" w:rsidRDefault="00464E9C" w:rsidP="003411AA">
            <w:pPr>
              <w:pStyle w:val="Tabletext"/>
              <w:keepNext/>
              <w:jc w:val="center"/>
              <w:rPr>
                <w:bCs/>
                <w:iCs/>
              </w:rPr>
            </w:pPr>
            <w:r w:rsidRPr="00917415">
              <w:rPr>
                <w:bCs/>
                <w:iCs/>
              </w:rPr>
              <w:t>$</w:t>
            </w:r>
            <w:r w:rsidR="00CC7358">
              <w:rPr>
                <w:bCs/>
                <w:iCs/>
                <w:noProof/>
                <w:color w:val="000000"/>
                <w:highlight w:val="black"/>
              </w:rPr>
              <w:t>''''''''''''''''''</w:t>
            </w:r>
            <w:r w:rsidR="00E76465">
              <w:rPr>
                <w:vertAlign w:val="superscript"/>
              </w:rPr>
              <w:t>3</w:t>
            </w:r>
          </w:p>
        </w:tc>
      </w:tr>
      <w:tr w:rsidR="00464E9C" w:rsidRPr="00917415" w14:paraId="0DF720B4" w14:textId="77777777" w:rsidTr="00A00973">
        <w:tc>
          <w:tcPr>
            <w:tcW w:w="3850" w:type="pct"/>
            <w:gridSpan w:val="3"/>
            <w:tcBorders>
              <w:top w:val="nil"/>
              <w:bottom w:val="single" w:sz="4" w:space="0" w:color="auto"/>
            </w:tcBorders>
            <w:shd w:val="clear" w:color="auto" w:fill="auto"/>
            <w:vAlign w:val="center"/>
          </w:tcPr>
          <w:p w14:paraId="541A08DE" w14:textId="77777777" w:rsidR="00464E9C" w:rsidRPr="00917415" w:rsidRDefault="00464E9C" w:rsidP="003411AA">
            <w:pPr>
              <w:pStyle w:val="Tabletext"/>
              <w:keepNext/>
            </w:pPr>
            <w:r w:rsidRPr="00917415">
              <w:rPr>
                <w:b/>
              </w:rPr>
              <w:t>Incremental cost/extra QALY gained</w:t>
            </w:r>
          </w:p>
        </w:tc>
        <w:tc>
          <w:tcPr>
            <w:tcW w:w="1150" w:type="pct"/>
            <w:tcBorders>
              <w:top w:val="nil"/>
              <w:bottom w:val="single" w:sz="4" w:space="0" w:color="auto"/>
            </w:tcBorders>
            <w:shd w:val="clear" w:color="auto" w:fill="auto"/>
            <w:vAlign w:val="center"/>
          </w:tcPr>
          <w:p w14:paraId="05D315C7" w14:textId="77777777" w:rsidR="00464E9C" w:rsidRPr="00917415" w:rsidRDefault="00464E9C" w:rsidP="003411AA">
            <w:pPr>
              <w:pStyle w:val="Tabletext"/>
              <w:keepNext/>
              <w:jc w:val="center"/>
              <w:rPr>
                <w:b/>
              </w:rPr>
            </w:pPr>
            <w:r w:rsidRPr="00917415">
              <w:rPr>
                <w:b/>
              </w:rPr>
              <w:t>$</w:t>
            </w:r>
            <w:r w:rsidR="00CC7358">
              <w:rPr>
                <w:b/>
                <w:noProof/>
                <w:color w:val="000000"/>
                <w:highlight w:val="black"/>
              </w:rPr>
              <w:t>'''''''''''''''</w:t>
            </w:r>
            <w:r w:rsidR="00E76465">
              <w:rPr>
                <w:vertAlign w:val="superscript"/>
              </w:rPr>
              <w:t>2</w:t>
            </w:r>
          </w:p>
        </w:tc>
      </w:tr>
    </w:tbl>
    <w:p w14:paraId="5CAE4FB6" w14:textId="77777777" w:rsidR="00464E9C" w:rsidRDefault="00464E9C" w:rsidP="00A00973">
      <w:pPr>
        <w:pStyle w:val="TableFigureFooter"/>
      </w:pPr>
      <w:r w:rsidRPr="00917415">
        <w:rPr>
          <w:sz w:val="20"/>
          <w:szCs w:val="20"/>
        </w:rPr>
        <w:t>Source: compiled during the evaluation.</w:t>
      </w:r>
      <w:r w:rsidRPr="00917415">
        <w:rPr>
          <w:i/>
          <w:sz w:val="20"/>
          <w:szCs w:val="20"/>
        </w:rPr>
        <w:t xml:space="preserve"> </w:t>
      </w:r>
      <w:r w:rsidRPr="00917415">
        <w:t>BSC = best supportive care; ONA = onasemnogene abeparvovec.</w:t>
      </w:r>
    </w:p>
    <w:p w14:paraId="2634ED68" w14:textId="77777777" w:rsidR="00E76465" w:rsidRPr="009868C4" w:rsidRDefault="00E76465" w:rsidP="00E76465">
      <w:pPr>
        <w:pStyle w:val="TableFigureFooter"/>
        <w:spacing w:after="0"/>
        <w:contextualSpacing w:val="0"/>
      </w:pPr>
      <w:r w:rsidRPr="009868C4">
        <w:rPr>
          <w:i/>
        </w:rPr>
        <w:t>The redacted values correspond to the following ranges</w:t>
      </w:r>
      <w:r>
        <w:rPr>
          <w:i/>
        </w:rPr>
        <w:t xml:space="preserve">: </w:t>
      </w:r>
    </w:p>
    <w:p w14:paraId="57848506" w14:textId="77777777" w:rsidR="00E76465" w:rsidRPr="00E76465" w:rsidRDefault="00E76465" w:rsidP="00E76465">
      <w:pPr>
        <w:pStyle w:val="TableFigureFooter"/>
        <w:rPr>
          <w:i/>
        </w:rPr>
      </w:pPr>
      <w:r w:rsidRPr="00E76465">
        <w:rPr>
          <w:i/>
          <w:vertAlign w:val="superscript"/>
        </w:rPr>
        <w:t>1</w:t>
      </w:r>
      <w:r w:rsidRPr="00E76465">
        <w:rPr>
          <w:i/>
        </w:rPr>
        <w:t xml:space="preserve"> $</w:t>
      </w:r>
      <w:r>
        <w:rPr>
          <w:i/>
        </w:rPr>
        <w:t>5</w:t>
      </w:r>
      <w:r w:rsidRPr="00E76465">
        <w:rPr>
          <w:i/>
        </w:rPr>
        <w:t>55,000 to &lt; $</w:t>
      </w:r>
      <w:r>
        <w:rPr>
          <w:i/>
        </w:rPr>
        <w:t>6</w:t>
      </w:r>
      <w:r w:rsidRPr="00E76465">
        <w:rPr>
          <w:i/>
        </w:rPr>
        <w:t>55,000</w:t>
      </w:r>
    </w:p>
    <w:p w14:paraId="11F013A5" w14:textId="77777777" w:rsidR="00E76465" w:rsidRPr="00E76465" w:rsidRDefault="00E76465" w:rsidP="00E76465">
      <w:pPr>
        <w:pStyle w:val="TableFigureFooter"/>
        <w:rPr>
          <w:i/>
        </w:rPr>
      </w:pPr>
      <w:r w:rsidRPr="00E76465">
        <w:rPr>
          <w:i/>
          <w:vertAlign w:val="superscript"/>
        </w:rPr>
        <w:t>2</w:t>
      </w:r>
      <w:r w:rsidRPr="00E76465">
        <w:rPr>
          <w:i/>
        </w:rPr>
        <w:t xml:space="preserve"> </w:t>
      </w:r>
      <w:r>
        <w:rPr>
          <w:i/>
        </w:rPr>
        <w:t>$35</w:t>
      </w:r>
      <w:r w:rsidRPr="00E76465">
        <w:rPr>
          <w:i/>
        </w:rPr>
        <w:t>5,000 to &lt; $</w:t>
      </w:r>
      <w:r>
        <w:rPr>
          <w:i/>
        </w:rPr>
        <w:t>4</w:t>
      </w:r>
      <w:r w:rsidRPr="00E76465">
        <w:rPr>
          <w:i/>
        </w:rPr>
        <w:t>55,000</w:t>
      </w:r>
    </w:p>
    <w:p w14:paraId="422E59F6" w14:textId="77777777" w:rsidR="00E76465" w:rsidRPr="00E76465" w:rsidRDefault="00E76465" w:rsidP="00E76465">
      <w:pPr>
        <w:pStyle w:val="TableFigureFooter"/>
        <w:rPr>
          <w:i/>
        </w:rPr>
      </w:pPr>
      <w:r w:rsidRPr="00E76465">
        <w:rPr>
          <w:i/>
          <w:vertAlign w:val="superscript"/>
        </w:rPr>
        <w:t>3</w:t>
      </w:r>
      <w:r w:rsidRPr="00E76465">
        <w:rPr>
          <w:i/>
        </w:rPr>
        <w:t xml:space="preserve"> </w:t>
      </w:r>
      <w:r>
        <w:rPr>
          <w:i/>
        </w:rPr>
        <w:t>$25</w:t>
      </w:r>
      <w:r w:rsidRPr="00E76465">
        <w:rPr>
          <w:i/>
        </w:rPr>
        <w:t>5,000 to &lt; $</w:t>
      </w:r>
      <w:r>
        <w:rPr>
          <w:i/>
        </w:rPr>
        <w:t>35</w:t>
      </w:r>
      <w:r w:rsidRPr="00E76465">
        <w:rPr>
          <w:i/>
        </w:rPr>
        <w:t>5,000</w:t>
      </w:r>
    </w:p>
    <w:p w14:paraId="073E14FA" w14:textId="77777777" w:rsidR="00E76465" w:rsidRPr="00917415" w:rsidRDefault="00E76465" w:rsidP="00A00973">
      <w:pPr>
        <w:pStyle w:val="TableFigureFooter"/>
      </w:pPr>
    </w:p>
    <w:p w14:paraId="73B76FCB" w14:textId="77777777" w:rsidR="00FC624E" w:rsidRPr="00917415" w:rsidRDefault="00464E9C" w:rsidP="00464E9C">
      <w:pPr>
        <w:pStyle w:val="3-BodyText"/>
      </w:pPr>
      <w:r w:rsidRPr="00917415">
        <w:t xml:space="preserve">The evaluation noted that much of the data included in the model could not be verified. By structuring the model to track motor milestones, the submission implicitly applied any naïve differences between ONA and </w:t>
      </w:r>
      <w:r w:rsidR="00B12AE6" w:rsidRPr="00917415">
        <w:t xml:space="preserve">NUSI </w:t>
      </w:r>
      <w:r w:rsidRPr="00917415">
        <w:t>from the trials, which significantly favoured ONA.</w:t>
      </w:r>
      <w:r w:rsidRPr="00917415" w:rsidDel="00FC624E">
        <w:t xml:space="preserve"> </w:t>
      </w:r>
      <w:r w:rsidR="00FC624E" w:rsidRPr="00917415">
        <w:t xml:space="preserve">Due to the lack of available data, key parameters such as overall survival by health state, extrapolation of motor function milestones and values for health state utilities were driven by assumptions, most of which favoured ONA. The </w:t>
      </w:r>
      <w:r w:rsidRPr="00917415">
        <w:t xml:space="preserve">PBAC considered that the </w:t>
      </w:r>
      <w:r w:rsidR="00FC624E" w:rsidRPr="00917415">
        <w:t>modelled results are therefore highly uncertain</w:t>
      </w:r>
      <w:r w:rsidR="00036FE6" w:rsidRPr="00917415">
        <w:t xml:space="preserve"> and the incremental cost-effectiveness ratios (ICERs) presented were likely to be substantially underestimated</w:t>
      </w:r>
      <w:r w:rsidR="00FC624E" w:rsidRPr="00917415">
        <w:t xml:space="preserve">. </w:t>
      </w:r>
      <w:r w:rsidRPr="00917415">
        <w:t xml:space="preserve">The PBAC noted the evaluation and ESC identified a number of other issues with the cost-effectiveness analysis for ONA versus NUSI </w:t>
      </w:r>
      <w:r w:rsidR="00036FE6" w:rsidRPr="00917415">
        <w:t>and agreed these issues would</w:t>
      </w:r>
      <w:r w:rsidRPr="00917415">
        <w:t xml:space="preserve"> need to be addressed in any future submission that continues to assert clinical superiority for ONA over NUSI. </w:t>
      </w:r>
    </w:p>
    <w:p w14:paraId="5F48A8B1" w14:textId="77777777" w:rsidR="00B12AE6" w:rsidRPr="00917415" w:rsidRDefault="00B12AE6" w:rsidP="00B12AE6">
      <w:pPr>
        <w:pStyle w:val="3-BodyText"/>
        <w:numPr>
          <w:ilvl w:val="0"/>
          <w:numId w:val="0"/>
        </w:numPr>
        <w:ind w:left="720"/>
      </w:pPr>
    </w:p>
    <w:p w14:paraId="017C8883" w14:textId="77777777" w:rsidR="00C735C4" w:rsidRPr="00917415" w:rsidRDefault="00C735C4" w:rsidP="00516F35">
      <w:pPr>
        <w:pStyle w:val="4-SubsectionHeading"/>
      </w:pPr>
      <w:bookmarkStart w:id="20" w:name="_Toc51152461"/>
      <w:bookmarkEnd w:id="19"/>
      <w:r w:rsidRPr="00917415">
        <w:t>Estimated PBS usage &amp; financial implications</w:t>
      </w:r>
      <w:bookmarkEnd w:id="20"/>
    </w:p>
    <w:p w14:paraId="218DC6E2" w14:textId="77777777" w:rsidR="003658D3" w:rsidRPr="00917415" w:rsidRDefault="00C735C4" w:rsidP="00516F35">
      <w:pPr>
        <w:pStyle w:val="3-BodyText"/>
        <w:numPr>
          <w:ilvl w:val="1"/>
          <w:numId w:val="1"/>
        </w:numPr>
        <w:jc w:val="left"/>
        <w:rPr>
          <w:rStyle w:val="CommentReference"/>
          <w:rFonts w:ascii="Calibri" w:hAnsi="Calibri"/>
          <w:b w:val="0"/>
          <w:sz w:val="24"/>
          <w:szCs w:val="22"/>
        </w:rPr>
      </w:pPr>
      <w:r w:rsidRPr="00917415">
        <w:t xml:space="preserve">This submission </w:t>
      </w:r>
      <w:r w:rsidR="00041225" w:rsidRPr="00917415">
        <w:t xml:space="preserve">was </w:t>
      </w:r>
      <w:r w:rsidRPr="00917415">
        <w:t>not considered by DUSC.</w:t>
      </w:r>
      <w:r w:rsidR="00B0619D" w:rsidRPr="00917415">
        <w:t xml:space="preserve"> </w:t>
      </w:r>
      <w:r w:rsidRPr="00917415">
        <w:t xml:space="preserve">The submission used an epidemiological approach to estimate the financial impact of listing ONA on the PBS. </w:t>
      </w:r>
    </w:p>
    <w:p w14:paraId="571395E8" w14:textId="77777777" w:rsidR="00C735C4" w:rsidRPr="00917415" w:rsidRDefault="00C735C4" w:rsidP="00516F35">
      <w:pPr>
        <w:pStyle w:val="3-BodyText"/>
        <w:numPr>
          <w:ilvl w:val="1"/>
          <w:numId w:val="1"/>
        </w:numPr>
        <w:rPr>
          <w:rStyle w:val="CommentReference"/>
          <w:rFonts w:asciiTheme="minorHAnsi" w:hAnsiTheme="minorHAnsi"/>
          <w:b w:val="0"/>
          <w:sz w:val="24"/>
          <w:szCs w:val="24"/>
        </w:rPr>
      </w:pPr>
      <w:r w:rsidRPr="00917415">
        <w:rPr>
          <w:rStyle w:val="CommentReference"/>
          <w:rFonts w:ascii="Calibri" w:hAnsi="Calibri"/>
          <w:b w:val="0"/>
          <w:sz w:val="24"/>
          <w:szCs w:val="22"/>
        </w:rPr>
        <w:t>The key inputs applied in the financial analysis are presented below.</w:t>
      </w:r>
    </w:p>
    <w:p w14:paraId="256AC767" w14:textId="77777777" w:rsidR="000338CD" w:rsidRPr="00917415" w:rsidRDefault="000338CD" w:rsidP="00A00973">
      <w:pPr>
        <w:pStyle w:val="TableFigureHeading"/>
      </w:pPr>
      <w:r w:rsidRPr="00917415">
        <w:lastRenderedPageBreak/>
        <w:t xml:space="preserve">Table </w:t>
      </w:r>
      <w:r w:rsidR="00A00973">
        <w:t>15</w:t>
      </w:r>
      <w:r w:rsidRPr="00917415">
        <w:t xml:space="preserve">: </w:t>
      </w:r>
      <w:r w:rsidR="00B87DFB" w:rsidRPr="00917415">
        <w:t>K</w:t>
      </w:r>
      <w:r w:rsidRPr="00917415">
        <w:t>ey inputs applied in the financial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5"/>
        <w:gridCol w:w="837"/>
        <w:gridCol w:w="1531"/>
        <w:gridCol w:w="4844"/>
      </w:tblGrid>
      <w:tr w:rsidR="00C735C4" w:rsidRPr="00917415" w14:paraId="686F1E2E" w14:textId="77777777" w:rsidTr="00A00973">
        <w:trPr>
          <w:tblHeader/>
        </w:trPr>
        <w:tc>
          <w:tcPr>
            <w:tcW w:w="1001" w:type="pct"/>
            <w:vAlign w:val="center"/>
          </w:tcPr>
          <w:p w14:paraId="0C707B9C" w14:textId="77777777" w:rsidR="00C735C4" w:rsidRPr="00917415" w:rsidRDefault="00C735C4" w:rsidP="00516F35">
            <w:pPr>
              <w:pStyle w:val="Tabletext"/>
              <w:keepNext/>
              <w:rPr>
                <w:b/>
              </w:rPr>
            </w:pPr>
            <w:r w:rsidRPr="00917415">
              <w:rPr>
                <w:b/>
              </w:rPr>
              <w:t>Data</w:t>
            </w:r>
          </w:p>
        </w:tc>
        <w:tc>
          <w:tcPr>
            <w:tcW w:w="464" w:type="pct"/>
            <w:vAlign w:val="center"/>
          </w:tcPr>
          <w:p w14:paraId="5242C432" w14:textId="77777777" w:rsidR="00C735C4" w:rsidRPr="00917415" w:rsidRDefault="00C735C4" w:rsidP="00516F35">
            <w:pPr>
              <w:pStyle w:val="Tabletext"/>
              <w:keepNext/>
              <w:jc w:val="center"/>
              <w:rPr>
                <w:b/>
              </w:rPr>
            </w:pPr>
            <w:r w:rsidRPr="00917415">
              <w:rPr>
                <w:b/>
              </w:rPr>
              <w:t>Value</w:t>
            </w:r>
          </w:p>
        </w:tc>
        <w:tc>
          <w:tcPr>
            <w:tcW w:w="849" w:type="pct"/>
            <w:vAlign w:val="center"/>
          </w:tcPr>
          <w:p w14:paraId="666D98AA" w14:textId="77777777" w:rsidR="00C735C4" w:rsidRPr="00917415" w:rsidRDefault="00C735C4" w:rsidP="00516F35">
            <w:pPr>
              <w:pStyle w:val="Tabletext"/>
              <w:keepNext/>
              <w:jc w:val="center"/>
              <w:rPr>
                <w:b/>
              </w:rPr>
            </w:pPr>
            <w:r w:rsidRPr="00917415">
              <w:rPr>
                <w:b/>
              </w:rPr>
              <w:t>Source</w:t>
            </w:r>
          </w:p>
        </w:tc>
        <w:tc>
          <w:tcPr>
            <w:tcW w:w="2686" w:type="pct"/>
            <w:vAlign w:val="center"/>
          </w:tcPr>
          <w:p w14:paraId="15869E2F" w14:textId="77777777" w:rsidR="00C735C4" w:rsidRPr="00917415" w:rsidRDefault="00C735C4" w:rsidP="00516F35">
            <w:pPr>
              <w:pStyle w:val="Tabletext"/>
              <w:keepNext/>
              <w:jc w:val="center"/>
              <w:rPr>
                <w:b/>
              </w:rPr>
            </w:pPr>
            <w:r w:rsidRPr="00917415">
              <w:rPr>
                <w:b/>
              </w:rPr>
              <w:t>Comment</w:t>
            </w:r>
          </w:p>
        </w:tc>
      </w:tr>
      <w:tr w:rsidR="00C735C4" w:rsidRPr="00917415" w14:paraId="4BE62FE0" w14:textId="77777777" w:rsidTr="00A00973">
        <w:tc>
          <w:tcPr>
            <w:tcW w:w="5000" w:type="pct"/>
            <w:gridSpan w:val="4"/>
            <w:vAlign w:val="center"/>
          </w:tcPr>
          <w:p w14:paraId="09E5B1E4" w14:textId="77777777" w:rsidR="00C735C4" w:rsidRPr="00917415" w:rsidRDefault="00C735C4" w:rsidP="00516F35">
            <w:pPr>
              <w:pStyle w:val="Tabletext"/>
              <w:keepNext/>
              <w:rPr>
                <w:b/>
              </w:rPr>
            </w:pPr>
            <w:r w:rsidRPr="00917415">
              <w:rPr>
                <w:b/>
              </w:rPr>
              <w:t>SMA population</w:t>
            </w:r>
          </w:p>
        </w:tc>
      </w:tr>
      <w:tr w:rsidR="00C735C4" w:rsidRPr="00917415" w14:paraId="26A42562" w14:textId="77777777" w:rsidTr="00A00973">
        <w:tc>
          <w:tcPr>
            <w:tcW w:w="1001" w:type="pct"/>
            <w:vAlign w:val="center"/>
          </w:tcPr>
          <w:p w14:paraId="58C7791E" w14:textId="77777777" w:rsidR="00C735C4" w:rsidRPr="00917415" w:rsidRDefault="00C735C4" w:rsidP="00516F35">
            <w:pPr>
              <w:pStyle w:val="Tabletext"/>
              <w:keepNext/>
            </w:pPr>
            <w:r w:rsidRPr="00917415">
              <w:t>Australian population</w:t>
            </w:r>
          </w:p>
        </w:tc>
        <w:tc>
          <w:tcPr>
            <w:tcW w:w="464" w:type="pct"/>
            <w:vAlign w:val="center"/>
          </w:tcPr>
          <w:p w14:paraId="777E5E72" w14:textId="77777777" w:rsidR="00C735C4" w:rsidRPr="00917415" w:rsidRDefault="00C735C4" w:rsidP="00516F35">
            <w:pPr>
              <w:pStyle w:val="Tabletext"/>
              <w:keepNext/>
              <w:jc w:val="center"/>
            </w:pPr>
            <w:r w:rsidRPr="00917415">
              <w:t xml:space="preserve">- </w:t>
            </w:r>
          </w:p>
        </w:tc>
        <w:tc>
          <w:tcPr>
            <w:tcW w:w="849" w:type="pct"/>
            <w:vAlign w:val="center"/>
          </w:tcPr>
          <w:p w14:paraId="45FA207E" w14:textId="77777777" w:rsidR="00C735C4" w:rsidRPr="00917415" w:rsidRDefault="00C735C4" w:rsidP="00516F35">
            <w:pPr>
              <w:pStyle w:val="Tabletext"/>
              <w:keepNext/>
            </w:pPr>
            <w:r w:rsidRPr="00917415">
              <w:t>ABS pop projections 3222.0 Series B – Persons aged 0</w:t>
            </w:r>
          </w:p>
        </w:tc>
        <w:tc>
          <w:tcPr>
            <w:tcW w:w="2686" w:type="pct"/>
            <w:vAlign w:val="center"/>
          </w:tcPr>
          <w:p w14:paraId="27BD5CF7" w14:textId="77777777" w:rsidR="00C735C4" w:rsidRPr="00917415" w:rsidRDefault="00C735C4" w:rsidP="00516F35">
            <w:pPr>
              <w:pStyle w:val="Tabletext"/>
              <w:keepNext/>
            </w:pPr>
            <w:r w:rsidRPr="00917415">
              <w:t>Reasonable.</w:t>
            </w:r>
          </w:p>
        </w:tc>
      </w:tr>
      <w:tr w:rsidR="00C735C4" w:rsidRPr="00917415" w14:paraId="473985A8" w14:textId="77777777" w:rsidTr="00A00973">
        <w:tc>
          <w:tcPr>
            <w:tcW w:w="1001" w:type="pct"/>
            <w:vAlign w:val="center"/>
          </w:tcPr>
          <w:p w14:paraId="023AD62E" w14:textId="77777777" w:rsidR="00C735C4" w:rsidRPr="00917415" w:rsidRDefault="00C735C4" w:rsidP="00516F35">
            <w:pPr>
              <w:pStyle w:val="Tabletext"/>
              <w:keepNext/>
            </w:pPr>
            <w:r w:rsidRPr="00917415">
              <w:t>SMA incidence in Australia</w:t>
            </w:r>
          </w:p>
        </w:tc>
        <w:tc>
          <w:tcPr>
            <w:tcW w:w="464" w:type="pct"/>
            <w:vAlign w:val="center"/>
          </w:tcPr>
          <w:p w14:paraId="26375151" w14:textId="77777777" w:rsidR="00C735C4" w:rsidRPr="00917415" w:rsidRDefault="00C735C4" w:rsidP="00516F35">
            <w:pPr>
              <w:pStyle w:val="Tabletext"/>
              <w:keepNext/>
              <w:jc w:val="center"/>
            </w:pPr>
            <w:r w:rsidRPr="00917415">
              <w:t>1 / 10,000 live births</w:t>
            </w:r>
          </w:p>
        </w:tc>
        <w:tc>
          <w:tcPr>
            <w:tcW w:w="849" w:type="pct"/>
            <w:vAlign w:val="center"/>
          </w:tcPr>
          <w:p w14:paraId="33376985" w14:textId="77777777" w:rsidR="00C735C4" w:rsidRPr="00917415" w:rsidRDefault="00C735C4" w:rsidP="00516F35">
            <w:pPr>
              <w:pStyle w:val="Tabletext"/>
              <w:keepNext/>
            </w:pPr>
            <w:r w:rsidRPr="00917415">
              <w:t>SMA Australia Fact Sheet</w:t>
            </w:r>
          </w:p>
        </w:tc>
        <w:tc>
          <w:tcPr>
            <w:tcW w:w="2686" w:type="pct"/>
            <w:vAlign w:val="center"/>
          </w:tcPr>
          <w:p w14:paraId="6FD7DCAB" w14:textId="77777777" w:rsidR="00C735C4" w:rsidRPr="00917415" w:rsidRDefault="00C735C4" w:rsidP="00516F35">
            <w:pPr>
              <w:pStyle w:val="Tabletext"/>
              <w:keepNext/>
              <w:rPr>
                <w:iCs/>
              </w:rPr>
            </w:pPr>
            <w:r w:rsidRPr="00917415">
              <w:rPr>
                <w:iCs/>
              </w:rPr>
              <w:t>This may be under</w:t>
            </w:r>
            <w:r w:rsidR="005903DC" w:rsidRPr="00917415">
              <w:rPr>
                <w:iCs/>
              </w:rPr>
              <w:t xml:space="preserve"> or over </w:t>
            </w:r>
            <w:r w:rsidRPr="00917415">
              <w:rPr>
                <w:iCs/>
              </w:rPr>
              <w:t xml:space="preserve">estimated. Other sources indicate that incidence may be 8.5 (Lally et al 2017) or 11.9 (Verhaart et al 2017) per 100,000. </w:t>
            </w:r>
          </w:p>
        </w:tc>
      </w:tr>
      <w:tr w:rsidR="00C735C4" w:rsidRPr="00917415" w14:paraId="65CE3DE8" w14:textId="77777777" w:rsidTr="00A00973">
        <w:tc>
          <w:tcPr>
            <w:tcW w:w="1001" w:type="pct"/>
            <w:vAlign w:val="center"/>
          </w:tcPr>
          <w:p w14:paraId="04C9497D" w14:textId="77777777" w:rsidR="00C735C4" w:rsidRPr="00917415" w:rsidRDefault="00C735C4" w:rsidP="00516F35">
            <w:pPr>
              <w:pStyle w:val="Tabletext"/>
              <w:keepNext/>
            </w:pPr>
            <w:r w:rsidRPr="00917415">
              <w:t>SMA patients diagnosed as Type 1</w:t>
            </w:r>
          </w:p>
        </w:tc>
        <w:tc>
          <w:tcPr>
            <w:tcW w:w="464" w:type="pct"/>
            <w:vAlign w:val="center"/>
          </w:tcPr>
          <w:p w14:paraId="3914F084" w14:textId="77777777" w:rsidR="00C735C4" w:rsidRPr="00917415" w:rsidRDefault="00C735C4" w:rsidP="00516F35">
            <w:pPr>
              <w:pStyle w:val="Tabletext"/>
              <w:keepNext/>
              <w:jc w:val="center"/>
            </w:pPr>
            <w:r w:rsidRPr="00917415">
              <w:t>60%</w:t>
            </w:r>
          </w:p>
        </w:tc>
        <w:tc>
          <w:tcPr>
            <w:tcW w:w="849" w:type="pct"/>
            <w:vAlign w:val="center"/>
          </w:tcPr>
          <w:p w14:paraId="735BC2F4" w14:textId="77777777" w:rsidR="00C735C4" w:rsidRPr="00917415" w:rsidRDefault="00C735C4" w:rsidP="00516F35">
            <w:pPr>
              <w:pStyle w:val="Tabletext"/>
              <w:keepNext/>
            </w:pPr>
            <w:r w:rsidRPr="00917415">
              <w:t>SMA Australia Fact Sheet</w:t>
            </w:r>
          </w:p>
        </w:tc>
        <w:tc>
          <w:tcPr>
            <w:tcW w:w="2686" w:type="pct"/>
            <w:vAlign w:val="center"/>
          </w:tcPr>
          <w:p w14:paraId="22530407" w14:textId="77777777" w:rsidR="00C735C4" w:rsidRPr="00917415" w:rsidRDefault="00C735C4" w:rsidP="00516F35">
            <w:pPr>
              <w:pStyle w:val="Tabletext"/>
              <w:keepNext/>
              <w:rPr>
                <w:iCs/>
              </w:rPr>
            </w:pPr>
            <w:r w:rsidRPr="00917415">
              <w:rPr>
                <w:iCs/>
              </w:rPr>
              <w:t>The lower end of the SMA Australia estimate was used in the base case. The upper estimate of 70% is tested in sensitivity analyses.</w:t>
            </w:r>
          </w:p>
        </w:tc>
      </w:tr>
      <w:tr w:rsidR="00C735C4" w:rsidRPr="00917415" w14:paraId="0096494A" w14:textId="77777777" w:rsidTr="00A00973">
        <w:tc>
          <w:tcPr>
            <w:tcW w:w="1001" w:type="pct"/>
            <w:tcBorders>
              <w:bottom w:val="nil"/>
            </w:tcBorders>
            <w:vAlign w:val="center"/>
          </w:tcPr>
          <w:p w14:paraId="3429E46B" w14:textId="77777777" w:rsidR="00C735C4" w:rsidRPr="00917415" w:rsidRDefault="00C735C4" w:rsidP="00516F35">
            <w:pPr>
              <w:pStyle w:val="Tabletext"/>
              <w:keepNext/>
            </w:pPr>
            <w:r w:rsidRPr="00917415">
              <w:t xml:space="preserve">Proportion of newborns and infants in whom </w:t>
            </w:r>
            <w:r w:rsidR="0084258C" w:rsidRPr="00917415">
              <w:t>AAV</w:t>
            </w:r>
            <w:r w:rsidR="0084258C" w:rsidRPr="00917415">
              <w:rPr>
                <w:vertAlign w:val="subscript"/>
              </w:rPr>
              <w:t>9</w:t>
            </w:r>
            <w:r w:rsidRPr="00917415">
              <w:rPr>
                <w:vertAlign w:val="subscript"/>
              </w:rPr>
              <w:t xml:space="preserve"> </w:t>
            </w:r>
            <w:r w:rsidRPr="00917415">
              <w:t>was detected</w:t>
            </w:r>
          </w:p>
        </w:tc>
        <w:tc>
          <w:tcPr>
            <w:tcW w:w="464" w:type="pct"/>
            <w:tcBorders>
              <w:bottom w:val="nil"/>
            </w:tcBorders>
            <w:vAlign w:val="center"/>
          </w:tcPr>
          <w:p w14:paraId="462CAF5E" w14:textId="77777777" w:rsidR="00C735C4" w:rsidRPr="00917415" w:rsidRDefault="00C735C4" w:rsidP="00516F35">
            <w:pPr>
              <w:pStyle w:val="Tabletext"/>
              <w:keepNext/>
              <w:jc w:val="center"/>
            </w:pPr>
            <w:r w:rsidRPr="00917415">
              <w:t>6.0%</w:t>
            </w:r>
          </w:p>
        </w:tc>
        <w:tc>
          <w:tcPr>
            <w:tcW w:w="849" w:type="pct"/>
            <w:tcBorders>
              <w:bottom w:val="nil"/>
            </w:tcBorders>
            <w:vAlign w:val="center"/>
          </w:tcPr>
          <w:p w14:paraId="3B508277" w14:textId="77777777" w:rsidR="00C735C4" w:rsidRPr="00917415" w:rsidRDefault="00C735C4" w:rsidP="00516F35">
            <w:pPr>
              <w:pStyle w:val="Tabletext"/>
              <w:keepNext/>
            </w:pPr>
            <w:r w:rsidRPr="00917415">
              <w:t>Combined ONA trials</w:t>
            </w:r>
          </w:p>
        </w:tc>
        <w:tc>
          <w:tcPr>
            <w:tcW w:w="2686" w:type="pct"/>
            <w:tcBorders>
              <w:bottom w:val="nil"/>
            </w:tcBorders>
            <w:vAlign w:val="center"/>
          </w:tcPr>
          <w:p w14:paraId="1AA9D67D" w14:textId="77777777" w:rsidR="00C735C4" w:rsidRPr="00917415" w:rsidRDefault="00C735C4" w:rsidP="00BD4350">
            <w:pPr>
              <w:pStyle w:val="Tabletext"/>
              <w:keepNext/>
              <w:rPr>
                <w:iCs/>
              </w:rPr>
            </w:pPr>
            <w:r w:rsidRPr="00917415">
              <w:rPr>
                <w:iCs/>
              </w:rPr>
              <w:t xml:space="preserve">Based on those screened in the clinical trial program. </w:t>
            </w:r>
          </w:p>
        </w:tc>
      </w:tr>
      <w:tr w:rsidR="00C735C4" w:rsidRPr="00917415" w14:paraId="254332DA" w14:textId="77777777" w:rsidTr="00A00973">
        <w:tc>
          <w:tcPr>
            <w:tcW w:w="1001" w:type="pct"/>
            <w:tcBorders>
              <w:bottom w:val="nil"/>
            </w:tcBorders>
            <w:vAlign w:val="center"/>
          </w:tcPr>
          <w:p w14:paraId="20864120" w14:textId="77777777" w:rsidR="00C735C4" w:rsidRPr="00917415" w:rsidRDefault="00C735C4" w:rsidP="00516F35">
            <w:pPr>
              <w:pStyle w:val="Tabletext"/>
              <w:keepNext/>
            </w:pPr>
            <w:r w:rsidRPr="00917415">
              <w:t>Proportion with SMA Type 1 who are treated with N</w:t>
            </w:r>
            <w:r w:rsidR="00621C8B" w:rsidRPr="00917415">
              <w:t xml:space="preserve">USI </w:t>
            </w:r>
            <w:r w:rsidRPr="00917415">
              <w:t>and survive to age 24 months</w:t>
            </w:r>
          </w:p>
        </w:tc>
        <w:tc>
          <w:tcPr>
            <w:tcW w:w="464" w:type="pct"/>
            <w:tcBorders>
              <w:bottom w:val="nil"/>
            </w:tcBorders>
            <w:vAlign w:val="center"/>
          </w:tcPr>
          <w:p w14:paraId="597D26AA" w14:textId="77777777" w:rsidR="00C735C4" w:rsidRPr="00917415" w:rsidRDefault="00C735C4" w:rsidP="00516F35">
            <w:pPr>
              <w:pStyle w:val="Tabletext"/>
              <w:keepNext/>
              <w:jc w:val="center"/>
            </w:pPr>
            <w:r w:rsidRPr="00917415">
              <w:t>50%</w:t>
            </w:r>
          </w:p>
        </w:tc>
        <w:tc>
          <w:tcPr>
            <w:tcW w:w="849" w:type="pct"/>
            <w:tcBorders>
              <w:bottom w:val="nil"/>
            </w:tcBorders>
            <w:vAlign w:val="center"/>
          </w:tcPr>
          <w:p w14:paraId="31413C63" w14:textId="77777777" w:rsidR="00C735C4" w:rsidRPr="00917415" w:rsidRDefault="00C735C4" w:rsidP="00516F35">
            <w:pPr>
              <w:pStyle w:val="Tabletext"/>
              <w:keepNext/>
            </w:pPr>
            <w:r w:rsidRPr="00917415">
              <w:t>ENDEAR</w:t>
            </w:r>
          </w:p>
        </w:tc>
        <w:tc>
          <w:tcPr>
            <w:tcW w:w="2686" w:type="pct"/>
            <w:tcBorders>
              <w:bottom w:val="nil"/>
            </w:tcBorders>
            <w:vAlign w:val="center"/>
          </w:tcPr>
          <w:p w14:paraId="2EB65E0F" w14:textId="77777777" w:rsidR="00C735C4" w:rsidRPr="00917415" w:rsidRDefault="00C735C4" w:rsidP="0035602C">
            <w:pPr>
              <w:pStyle w:val="Tabletext"/>
              <w:keepNext/>
              <w:rPr>
                <w:iCs/>
              </w:rPr>
            </w:pPr>
            <w:r w:rsidRPr="00917415">
              <w:rPr>
                <w:iCs/>
              </w:rPr>
              <w:t xml:space="preserve">Cannot be confirmed. The ENDEAR trial plus SHINE extension indicated overall survival at 24 months for those treated with </w:t>
            </w:r>
            <w:r w:rsidR="00EE09B5" w:rsidRPr="00917415">
              <w:rPr>
                <w:iCs/>
              </w:rPr>
              <w:t>NUSI</w:t>
            </w:r>
            <w:r w:rsidRPr="00917415">
              <w:rPr>
                <w:iCs/>
              </w:rPr>
              <w:t xml:space="preserve"> to be at 78%. </w:t>
            </w:r>
            <w:r w:rsidRPr="00993897">
              <w:rPr>
                <w:iCs/>
              </w:rPr>
              <w:t xml:space="preserve">The submission </w:t>
            </w:r>
            <w:r w:rsidR="0035602C" w:rsidRPr="00993897">
              <w:rPr>
                <w:iCs/>
              </w:rPr>
              <w:t xml:space="preserve">is </w:t>
            </w:r>
            <w:r w:rsidRPr="00993897">
              <w:rPr>
                <w:iCs/>
              </w:rPr>
              <w:t>referring to EFS, which was 48% at 24</w:t>
            </w:r>
            <w:r w:rsidR="00815C4B" w:rsidRPr="00993897">
              <w:rPr>
                <w:iCs/>
              </w:rPr>
              <w:t xml:space="preserve"> </w:t>
            </w:r>
            <w:r w:rsidRPr="00993897">
              <w:rPr>
                <w:iCs/>
              </w:rPr>
              <w:t xml:space="preserve">months for </w:t>
            </w:r>
            <w:r w:rsidR="00EE09B5" w:rsidRPr="00993897">
              <w:rPr>
                <w:iCs/>
              </w:rPr>
              <w:t>NUSI</w:t>
            </w:r>
            <w:r w:rsidRPr="00993897">
              <w:rPr>
                <w:iCs/>
              </w:rPr>
              <w:t xml:space="preserve"> in ENDEAR.</w:t>
            </w:r>
          </w:p>
        </w:tc>
      </w:tr>
      <w:tr w:rsidR="00C735C4" w:rsidRPr="00917415" w14:paraId="1B14820C" w14:textId="77777777" w:rsidTr="00A00973">
        <w:tc>
          <w:tcPr>
            <w:tcW w:w="1001" w:type="pct"/>
            <w:vAlign w:val="center"/>
          </w:tcPr>
          <w:p w14:paraId="1E02A106" w14:textId="77777777" w:rsidR="00C735C4" w:rsidRPr="00917415" w:rsidRDefault="00C735C4" w:rsidP="00516F35">
            <w:pPr>
              <w:pStyle w:val="Tabletext"/>
              <w:keepNext/>
            </w:pPr>
            <w:r w:rsidRPr="00917415">
              <w:t>Proportion with SMA Type 1 who are treated with N</w:t>
            </w:r>
            <w:r w:rsidR="00621C8B" w:rsidRPr="00917415">
              <w:t xml:space="preserve">USI </w:t>
            </w:r>
            <w:r w:rsidRPr="00917415">
              <w:t>and survive to age 12 months</w:t>
            </w:r>
          </w:p>
        </w:tc>
        <w:tc>
          <w:tcPr>
            <w:tcW w:w="464" w:type="pct"/>
            <w:vAlign w:val="center"/>
          </w:tcPr>
          <w:p w14:paraId="65E83620" w14:textId="77777777" w:rsidR="00C735C4" w:rsidRPr="00917415" w:rsidRDefault="00C735C4" w:rsidP="00516F35">
            <w:pPr>
              <w:pStyle w:val="Tabletext"/>
              <w:keepNext/>
              <w:jc w:val="center"/>
            </w:pPr>
            <w:r w:rsidRPr="00917415">
              <w:t>61%</w:t>
            </w:r>
          </w:p>
        </w:tc>
        <w:tc>
          <w:tcPr>
            <w:tcW w:w="849" w:type="pct"/>
            <w:vAlign w:val="center"/>
          </w:tcPr>
          <w:p w14:paraId="18714664" w14:textId="77777777" w:rsidR="00C735C4" w:rsidRPr="00917415" w:rsidRDefault="00C735C4" w:rsidP="00516F35">
            <w:pPr>
              <w:pStyle w:val="Tabletext"/>
              <w:keepNext/>
            </w:pPr>
            <w:r w:rsidRPr="00917415">
              <w:t>ENDEAR/SHINE</w:t>
            </w:r>
          </w:p>
        </w:tc>
        <w:tc>
          <w:tcPr>
            <w:tcW w:w="2686" w:type="pct"/>
            <w:vAlign w:val="center"/>
          </w:tcPr>
          <w:p w14:paraId="4CA618DC" w14:textId="77777777" w:rsidR="00C735C4" w:rsidRPr="00917415" w:rsidRDefault="00C735C4" w:rsidP="0035602C">
            <w:pPr>
              <w:pStyle w:val="Tabletext"/>
              <w:keepNext/>
            </w:pPr>
            <w:r w:rsidRPr="00917415">
              <w:rPr>
                <w:iCs/>
              </w:rPr>
              <w:t xml:space="preserve">Cannot be confirmed. The ENDEAR trial plus SHINE extension indicated overall survival at 12 months for those treated with </w:t>
            </w:r>
            <w:r w:rsidR="00EE09B5" w:rsidRPr="00917415">
              <w:rPr>
                <w:iCs/>
              </w:rPr>
              <w:t>NUSI</w:t>
            </w:r>
            <w:r w:rsidRPr="00917415">
              <w:rPr>
                <w:iCs/>
              </w:rPr>
              <w:t xml:space="preserve"> to be at 83</w:t>
            </w:r>
            <w:r w:rsidR="00F23145" w:rsidRPr="00917415">
              <w:rPr>
                <w:iCs/>
              </w:rPr>
              <w:t>%</w:t>
            </w:r>
            <w:r w:rsidR="00190B17" w:rsidRPr="00917415">
              <w:rPr>
                <w:iCs/>
              </w:rPr>
              <w:t>.</w:t>
            </w:r>
            <w:r w:rsidRPr="00917415">
              <w:rPr>
                <w:iCs/>
              </w:rPr>
              <w:t xml:space="preserve"> </w:t>
            </w:r>
            <w:r w:rsidRPr="00993897">
              <w:rPr>
                <w:iCs/>
              </w:rPr>
              <w:t xml:space="preserve">The submission </w:t>
            </w:r>
            <w:r w:rsidR="0035602C" w:rsidRPr="00993897">
              <w:rPr>
                <w:iCs/>
              </w:rPr>
              <w:t xml:space="preserve">is </w:t>
            </w:r>
            <w:r w:rsidRPr="00993897">
              <w:rPr>
                <w:iCs/>
              </w:rPr>
              <w:t xml:space="preserve">referring to EFS, which was approx 69% for </w:t>
            </w:r>
            <w:r w:rsidR="00EE09B5" w:rsidRPr="00993897">
              <w:rPr>
                <w:iCs/>
              </w:rPr>
              <w:t>NUSI</w:t>
            </w:r>
            <w:r w:rsidRPr="00993897">
              <w:rPr>
                <w:iCs/>
              </w:rPr>
              <w:t xml:space="preserve"> at 1 year.</w:t>
            </w:r>
          </w:p>
        </w:tc>
      </w:tr>
      <w:tr w:rsidR="00C735C4" w:rsidRPr="00917415" w14:paraId="657F7AD2" w14:textId="77777777" w:rsidTr="00A00973">
        <w:tc>
          <w:tcPr>
            <w:tcW w:w="1001" w:type="pct"/>
            <w:vAlign w:val="center"/>
          </w:tcPr>
          <w:p w14:paraId="7CCDBCD4" w14:textId="77777777" w:rsidR="00C735C4" w:rsidRPr="00917415" w:rsidRDefault="00C735C4" w:rsidP="00516F35">
            <w:pPr>
              <w:pStyle w:val="Tabletext"/>
              <w:keepNext/>
            </w:pPr>
            <w:r w:rsidRPr="00917415">
              <w:t>N</w:t>
            </w:r>
            <w:r w:rsidR="00621C8B" w:rsidRPr="00917415">
              <w:t>USI</w:t>
            </w:r>
            <w:r w:rsidRPr="00917415">
              <w:t xml:space="preserve"> continuation after 36 months</w:t>
            </w:r>
          </w:p>
        </w:tc>
        <w:tc>
          <w:tcPr>
            <w:tcW w:w="464" w:type="pct"/>
            <w:vAlign w:val="center"/>
          </w:tcPr>
          <w:p w14:paraId="7BD2133D" w14:textId="77777777" w:rsidR="00C735C4" w:rsidRPr="00917415" w:rsidRDefault="00C735C4" w:rsidP="00516F35">
            <w:pPr>
              <w:pStyle w:val="Tabletext"/>
              <w:keepNext/>
              <w:jc w:val="center"/>
            </w:pPr>
            <w:r w:rsidRPr="00917415">
              <w:t>90%</w:t>
            </w:r>
          </w:p>
        </w:tc>
        <w:tc>
          <w:tcPr>
            <w:tcW w:w="849" w:type="pct"/>
            <w:vAlign w:val="center"/>
          </w:tcPr>
          <w:p w14:paraId="4538FFAC" w14:textId="77777777" w:rsidR="00C735C4" w:rsidRPr="00917415" w:rsidRDefault="00C735C4" w:rsidP="00516F35">
            <w:pPr>
              <w:pStyle w:val="Tabletext"/>
              <w:keepNext/>
            </w:pPr>
            <w:r w:rsidRPr="00917415">
              <w:t>Assumption</w:t>
            </w:r>
          </w:p>
        </w:tc>
        <w:tc>
          <w:tcPr>
            <w:tcW w:w="2686" w:type="pct"/>
            <w:vAlign w:val="center"/>
          </w:tcPr>
          <w:p w14:paraId="36B554B5" w14:textId="77777777" w:rsidR="00C735C4" w:rsidRPr="00917415" w:rsidRDefault="00C735C4" w:rsidP="00516F35">
            <w:pPr>
              <w:pStyle w:val="Tabletext"/>
              <w:keepNext/>
            </w:pPr>
            <w:r w:rsidRPr="00917415">
              <w:t>While it is reasonable to assume discontinuation, this figure is uncertain. Not consistent with the base case economic model, which assumed zero NSN discontinuation.</w:t>
            </w:r>
          </w:p>
        </w:tc>
      </w:tr>
      <w:tr w:rsidR="00C735C4" w:rsidRPr="00917415" w14:paraId="73272F2F" w14:textId="77777777" w:rsidTr="00A00973">
        <w:tc>
          <w:tcPr>
            <w:tcW w:w="1001" w:type="pct"/>
            <w:vAlign w:val="center"/>
          </w:tcPr>
          <w:p w14:paraId="6697A6AC" w14:textId="77777777" w:rsidR="00C735C4" w:rsidRPr="00917415" w:rsidRDefault="00C735C4" w:rsidP="00516F35">
            <w:pPr>
              <w:pStyle w:val="Tabletext"/>
              <w:keepNext/>
            </w:pPr>
            <w:r w:rsidRPr="00917415">
              <w:t>Patients not seeking treatment</w:t>
            </w:r>
          </w:p>
        </w:tc>
        <w:tc>
          <w:tcPr>
            <w:tcW w:w="464" w:type="pct"/>
            <w:vAlign w:val="center"/>
          </w:tcPr>
          <w:p w14:paraId="62E21343" w14:textId="77777777" w:rsidR="00C735C4" w:rsidRPr="00917415" w:rsidRDefault="00C735C4" w:rsidP="00516F35">
            <w:pPr>
              <w:pStyle w:val="Tabletext"/>
              <w:keepNext/>
              <w:jc w:val="center"/>
            </w:pPr>
            <w:r w:rsidRPr="00917415">
              <w:t>2 patients</w:t>
            </w:r>
            <w:r w:rsidR="00D06D25" w:rsidRPr="00917415">
              <w:t xml:space="preserve"> </w:t>
            </w:r>
            <w:r w:rsidRPr="00917415">
              <w:t>/year</w:t>
            </w:r>
          </w:p>
        </w:tc>
        <w:tc>
          <w:tcPr>
            <w:tcW w:w="849" w:type="pct"/>
            <w:vAlign w:val="center"/>
          </w:tcPr>
          <w:p w14:paraId="1609D812" w14:textId="77777777" w:rsidR="00C735C4" w:rsidRPr="00917415" w:rsidRDefault="00C735C4" w:rsidP="00516F35">
            <w:pPr>
              <w:pStyle w:val="Tabletext"/>
              <w:keepNext/>
            </w:pPr>
            <w:r w:rsidRPr="00917415">
              <w:t xml:space="preserve">Assumption </w:t>
            </w:r>
          </w:p>
        </w:tc>
        <w:tc>
          <w:tcPr>
            <w:tcW w:w="2686" w:type="pct"/>
            <w:vAlign w:val="center"/>
          </w:tcPr>
          <w:p w14:paraId="12B2DF24" w14:textId="77777777" w:rsidR="00C735C4" w:rsidRPr="00917415" w:rsidRDefault="00C735C4" w:rsidP="00516F35">
            <w:pPr>
              <w:pStyle w:val="Tabletext"/>
              <w:keepNext/>
            </w:pPr>
          </w:p>
        </w:tc>
      </w:tr>
    </w:tbl>
    <w:p w14:paraId="414A0660" w14:textId="77777777" w:rsidR="00233744" w:rsidRPr="00917415" w:rsidRDefault="00233744" w:rsidP="00A00973">
      <w:pPr>
        <w:pStyle w:val="TableFigureFooter"/>
      </w:pPr>
      <w:r w:rsidRPr="00917415">
        <w:t>Source: compiled during the evaluation. BSC = best supportive care; ONA = onasemnogene abeparvovec, NSN=</w:t>
      </w:r>
      <w:r w:rsidR="00EE09B5" w:rsidRPr="00917415">
        <w:t>NUSI</w:t>
      </w:r>
      <w:r w:rsidRPr="00917415">
        <w:t>.</w:t>
      </w:r>
    </w:p>
    <w:p w14:paraId="4FE364B8" w14:textId="77777777" w:rsidR="003658D3" w:rsidRPr="00917415" w:rsidRDefault="003658D3" w:rsidP="00516F35">
      <w:pPr>
        <w:jc w:val="left"/>
        <w:rPr>
          <w:rFonts w:asciiTheme="minorHAnsi" w:hAnsiTheme="minorHAnsi"/>
          <w:snapToGrid w:val="0"/>
        </w:rPr>
      </w:pPr>
      <w:r w:rsidRPr="00917415">
        <w:br w:type="page"/>
      </w:r>
    </w:p>
    <w:p w14:paraId="619BCA7F" w14:textId="77777777" w:rsidR="00C735C4" w:rsidRPr="00917415" w:rsidRDefault="00C735C4" w:rsidP="00516F35">
      <w:pPr>
        <w:pStyle w:val="3-BodyText"/>
        <w:numPr>
          <w:ilvl w:val="1"/>
          <w:numId w:val="1"/>
        </w:numPr>
      </w:pPr>
      <w:r w:rsidRPr="00917415">
        <w:lastRenderedPageBreak/>
        <w:t xml:space="preserve">The </w:t>
      </w:r>
      <w:r w:rsidR="00621C8B" w:rsidRPr="00917415">
        <w:t xml:space="preserve">submission’s </w:t>
      </w:r>
      <w:r w:rsidRPr="00917415">
        <w:t xml:space="preserve">estimated use and financial impact of listing is presented below. </w:t>
      </w:r>
    </w:p>
    <w:p w14:paraId="30B45A4E" w14:textId="77777777" w:rsidR="000338CD" w:rsidRPr="00917415" w:rsidRDefault="000338CD" w:rsidP="00A00973">
      <w:pPr>
        <w:pStyle w:val="TableFigureHeading"/>
      </w:pPr>
      <w:r w:rsidRPr="00917415">
        <w:t xml:space="preserve">Table </w:t>
      </w:r>
      <w:r w:rsidR="00A00973">
        <w:t>16</w:t>
      </w:r>
      <w:r w:rsidRPr="00917415">
        <w:t>: The estimated use and financial impact of listing</w:t>
      </w:r>
    </w:p>
    <w:tbl>
      <w:tblPr>
        <w:tblStyle w:val="TableGrid"/>
        <w:tblW w:w="5000" w:type="pct"/>
        <w:tblCellMar>
          <w:top w:w="28" w:type="dxa"/>
          <w:left w:w="28" w:type="dxa"/>
          <w:bottom w:w="28" w:type="dxa"/>
          <w:right w:w="28" w:type="dxa"/>
        </w:tblCellMar>
        <w:tblLook w:val="04A0" w:firstRow="1" w:lastRow="0" w:firstColumn="1" w:lastColumn="0" w:noHBand="0" w:noVBand="1"/>
        <w:tblCaption w:val="Table 16: The estimated use and financial impact of listing"/>
      </w:tblPr>
      <w:tblGrid>
        <w:gridCol w:w="2328"/>
        <w:gridCol w:w="1129"/>
        <w:gridCol w:w="1129"/>
        <w:gridCol w:w="1129"/>
        <w:gridCol w:w="1090"/>
        <w:gridCol w:w="1122"/>
        <w:gridCol w:w="1090"/>
      </w:tblGrid>
      <w:tr w:rsidR="0037126D" w:rsidRPr="00A00973" w14:paraId="6CD1F467" w14:textId="77777777" w:rsidTr="002E0331">
        <w:trPr>
          <w:tblHeader/>
        </w:trPr>
        <w:tc>
          <w:tcPr>
            <w:tcW w:w="1334" w:type="pct"/>
          </w:tcPr>
          <w:p w14:paraId="11F938F5" w14:textId="77777777" w:rsidR="0037126D" w:rsidRPr="00A00973" w:rsidRDefault="0037126D" w:rsidP="00516F35">
            <w:pPr>
              <w:pStyle w:val="TableFooter"/>
              <w:keepNext/>
              <w:jc w:val="left"/>
              <w:rPr>
                <w:b/>
                <w:sz w:val="20"/>
                <w:szCs w:val="20"/>
              </w:rPr>
            </w:pPr>
            <w:r w:rsidRPr="00A00973">
              <w:rPr>
                <w:b/>
                <w:sz w:val="20"/>
                <w:szCs w:val="20"/>
              </w:rPr>
              <w:t>Estimates</w:t>
            </w:r>
          </w:p>
        </w:tc>
        <w:tc>
          <w:tcPr>
            <w:tcW w:w="611" w:type="pct"/>
            <w:vAlign w:val="center"/>
          </w:tcPr>
          <w:p w14:paraId="210AC195" w14:textId="77777777" w:rsidR="0037126D" w:rsidRPr="00A00973" w:rsidRDefault="0037126D" w:rsidP="00516F35">
            <w:pPr>
              <w:pStyle w:val="TableFooter"/>
              <w:keepNext/>
              <w:jc w:val="center"/>
              <w:rPr>
                <w:sz w:val="20"/>
                <w:szCs w:val="20"/>
              </w:rPr>
            </w:pPr>
            <w:r w:rsidRPr="00A00973">
              <w:rPr>
                <w:rFonts w:cs="Calibri"/>
                <w:b/>
                <w:bCs/>
                <w:color w:val="000000"/>
                <w:sz w:val="20"/>
                <w:szCs w:val="20"/>
              </w:rPr>
              <w:t>Year 1</w:t>
            </w:r>
          </w:p>
        </w:tc>
        <w:tc>
          <w:tcPr>
            <w:tcW w:w="611" w:type="pct"/>
            <w:vAlign w:val="center"/>
          </w:tcPr>
          <w:p w14:paraId="34B13BE9" w14:textId="77777777" w:rsidR="0037126D" w:rsidRPr="00A00973" w:rsidRDefault="0037126D" w:rsidP="00516F35">
            <w:pPr>
              <w:pStyle w:val="TableFooter"/>
              <w:keepNext/>
              <w:jc w:val="center"/>
              <w:rPr>
                <w:sz w:val="20"/>
                <w:szCs w:val="20"/>
              </w:rPr>
            </w:pPr>
            <w:r w:rsidRPr="00A00973">
              <w:rPr>
                <w:rFonts w:cs="Calibri"/>
                <w:b/>
                <w:bCs/>
                <w:color w:val="000000"/>
                <w:sz w:val="20"/>
                <w:szCs w:val="20"/>
              </w:rPr>
              <w:t>Year 2</w:t>
            </w:r>
          </w:p>
        </w:tc>
        <w:tc>
          <w:tcPr>
            <w:tcW w:w="611" w:type="pct"/>
            <w:vAlign w:val="center"/>
          </w:tcPr>
          <w:p w14:paraId="0E5417C3" w14:textId="77777777" w:rsidR="0037126D" w:rsidRPr="00A00973" w:rsidRDefault="0037126D" w:rsidP="00516F35">
            <w:pPr>
              <w:pStyle w:val="TableFooter"/>
              <w:keepNext/>
              <w:jc w:val="center"/>
              <w:rPr>
                <w:sz w:val="20"/>
                <w:szCs w:val="20"/>
              </w:rPr>
            </w:pPr>
            <w:r w:rsidRPr="00A00973">
              <w:rPr>
                <w:rFonts w:cs="Calibri"/>
                <w:b/>
                <w:bCs/>
                <w:color w:val="000000"/>
                <w:sz w:val="20"/>
                <w:szCs w:val="20"/>
              </w:rPr>
              <w:t>Year 3</w:t>
            </w:r>
          </w:p>
        </w:tc>
        <w:tc>
          <w:tcPr>
            <w:tcW w:w="611" w:type="pct"/>
            <w:vAlign w:val="center"/>
          </w:tcPr>
          <w:p w14:paraId="4B205D92" w14:textId="77777777" w:rsidR="0037126D" w:rsidRPr="00A00973" w:rsidRDefault="0037126D" w:rsidP="00516F35">
            <w:pPr>
              <w:pStyle w:val="TableFooter"/>
              <w:keepNext/>
              <w:jc w:val="center"/>
              <w:rPr>
                <w:sz w:val="20"/>
                <w:szCs w:val="20"/>
              </w:rPr>
            </w:pPr>
            <w:r w:rsidRPr="00A00973">
              <w:rPr>
                <w:rFonts w:cs="Calibri"/>
                <w:b/>
                <w:bCs/>
                <w:color w:val="000000"/>
                <w:sz w:val="20"/>
                <w:szCs w:val="20"/>
              </w:rPr>
              <w:t>Year 4</w:t>
            </w:r>
          </w:p>
        </w:tc>
        <w:tc>
          <w:tcPr>
            <w:tcW w:w="611" w:type="pct"/>
            <w:vAlign w:val="center"/>
          </w:tcPr>
          <w:p w14:paraId="33B279B0" w14:textId="77777777" w:rsidR="0037126D" w:rsidRPr="00A00973" w:rsidRDefault="0037126D" w:rsidP="00516F35">
            <w:pPr>
              <w:pStyle w:val="TableFooter"/>
              <w:keepNext/>
              <w:jc w:val="center"/>
              <w:rPr>
                <w:sz w:val="20"/>
                <w:szCs w:val="20"/>
              </w:rPr>
            </w:pPr>
            <w:r w:rsidRPr="00A00973">
              <w:rPr>
                <w:rFonts w:cs="Calibri"/>
                <w:b/>
                <w:bCs/>
                <w:color w:val="000000"/>
                <w:sz w:val="20"/>
                <w:szCs w:val="20"/>
              </w:rPr>
              <w:t>Year 5</w:t>
            </w:r>
          </w:p>
        </w:tc>
        <w:tc>
          <w:tcPr>
            <w:tcW w:w="611" w:type="pct"/>
            <w:vAlign w:val="center"/>
          </w:tcPr>
          <w:p w14:paraId="60F331FF" w14:textId="77777777" w:rsidR="0037126D" w:rsidRPr="00A00973" w:rsidRDefault="0037126D" w:rsidP="00516F35">
            <w:pPr>
              <w:pStyle w:val="TableFooter"/>
              <w:keepNext/>
              <w:jc w:val="center"/>
              <w:rPr>
                <w:sz w:val="20"/>
                <w:szCs w:val="20"/>
              </w:rPr>
            </w:pPr>
            <w:r w:rsidRPr="00A00973">
              <w:rPr>
                <w:rFonts w:cs="Calibri"/>
                <w:b/>
                <w:bCs/>
                <w:color w:val="000000"/>
                <w:sz w:val="20"/>
                <w:szCs w:val="20"/>
              </w:rPr>
              <w:t>Year 6</w:t>
            </w:r>
          </w:p>
        </w:tc>
      </w:tr>
      <w:tr w:rsidR="0037126D" w:rsidRPr="00A00973" w14:paraId="2013BD08" w14:textId="77777777" w:rsidTr="00A00973">
        <w:tc>
          <w:tcPr>
            <w:tcW w:w="1334" w:type="pct"/>
          </w:tcPr>
          <w:p w14:paraId="4D99FB6B" w14:textId="77777777" w:rsidR="0037126D" w:rsidRPr="00A00973" w:rsidRDefault="0037126D" w:rsidP="00516F35">
            <w:pPr>
              <w:pStyle w:val="TableFooter"/>
              <w:keepNext/>
              <w:jc w:val="left"/>
              <w:rPr>
                <w:b/>
                <w:sz w:val="20"/>
                <w:szCs w:val="20"/>
              </w:rPr>
            </w:pPr>
            <w:r w:rsidRPr="00A00973">
              <w:rPr>
                <w:b/>
                <w:sz w:val="20"/>
                <w:szCs w:val="20"/>
              </w:rPr>
              <w:t>ONA costs</w:t>
            </w:r>
          </w:p>
        </w:tc>
        <w:tc>
          <w:tcPr>
            <w:tcW w:w="3666" w:type="pct"/>
            <w:gridSpan w:val="6"/>
            <w:vAlign w:val="center"/>
          </w:tcPr>
          <w:p w14:paraId="274F1635" w14:textId="77777777" w:rsidR="0037126D" w:rsidRPr="00A00973" w:rsidRDefault="0037126D" w:rsidP="00516F35">
            <w:pPr>
              <w:keepNext/>
              <w:jc w:val="center"/>
              <w:rPr>
                <w:rFonts w:ascii="Arial Narrow" w:hAnsi="Arial Narrow" w:cs="Calibri"/>
                <w:b/>
                <w:bCs/>
                <w:color w:val="000000"/>
                <w:sz w:val="20"/>
                <w:szCs w:val="20"/>
              </w:rPr>
            </w:pPr>
          </w:p>
        </w:tc>
      </w:tr>
      <w:tr w:rsidR="0037126D" w:rsidRPr="00A00973" w14:paraId="4B13F711" w14:textId="77777777" w:rsidTr="00A00973">
        <w:tc>
          <w:tcPr>
            <w:tcW w:w="1334" w:type="pct"/>
          </w:tcPr>
          <w:p w14:paraId="3047A437"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Australian live births</w:t>
            </w:r>
          </w:p>
        </w:tc>
        <w:tc>
          <w:tcPr>
            <w:tcW w:w="611" w:type="pct"/>
            <w:vAlign w:val="center"/>
          </w:tcPr>
          <w:p w14:paraId="47739052" w14:textId="77777777" w:rsidR="0037126D" w:rsidRPr="00CC7358" w:rsidRDefault="00CC7358" w:rsidP="00516F35">
            <w:pPr>
              <w:keepNext/>
              <w:jc w:val="center"/>
              <w:rPr>
                <w:rFonts w:ascii="Arial Narrow" w:hAnsi="Arial Narrow"/>
                <w:sz w:val="20"/>
                <w:szCs w:val="20"/>
                <w:vertAlign w:val="superscript"/>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14:paraId="3774786D"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14:paraId="0A3CB0E3"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14:paraId="555AAC49"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14:paraId="129052BA"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c>
          <w:tcPr>
            <w:tcW w:w="611" w:type="pct"/>
            <w:vAlign w:val="center"/>
          </w:tcPr>
          <w:p w14:paraId="45C253C1"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sidRPr="00E109FE">
              <w:rPr>
                <w:rFonts w:ascii="Arial Narrow" w:hAnsi="Arial Narrow"/>
                <w:sz w:val="20"/>
                <w:szCs w:val="20"/>
                <w:vertAlign w:val="superscript"/>
              </w:rPr>
              <w:t>1</w:t>
            </w:r>
          </w:p>
        </w:tc>
      </w:tr>
      <w:tr w:rsidR="0037126D" w:rsidRPr="00A00973" w14:paraId="3B51D896" w14:textId="77777777" w:rsidTr="00A00973">
        <w:tc>
          <w:tcPr>
            <w:tcW w:w="1334" w:type="pct"/>
          </w:tcPr>
          <w:p w14:paraId="57FA2CDA"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SMA population</w:t>
            </w:r>
          </w:p>
        </w:tc>
        <w:tc>
          <w:tcPr>
            <w:tcW w:w="611" w:type="pct"/>
            <w:vAlign w:val="center"/>
          </w:tcPr>
          <w:p w14:paraId="339793B1"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5909C7BD"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674080B7"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3096CB44"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2400C0ED"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4BF61A0A"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14:paraId="4F2E6270" w14:textId="77777777" w:rsidTr="00A00973">
        <w:tc>
          <w:tcPr>
            <w:tcW w:w="1334" w:type="pct"/>
          </w:tcPr>
          <w:p w14:paraId="4DEEBBFF"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SMA Type 1</w:t>
            </w:r>
          </w:p>
        </w:tc>
        <w:tc>
          <w:tcPr>
            <w:tcW w:w="611" w:type="pct"/>
            <w:vAlign w:val="center"/>
          </w:tcPr>
          <w:p w14:paraId="5AAF06BE"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07A29074"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028C5510"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5CA7ECA6"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312E9218"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62A781E0"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14:paraId="5A35C441" w14:textId="77777777" w:rsidTr="00A00973">
        <w:tc>
          <w:tcPr>
            <w:tcW w:w="1334" w:type="pct"/>
          </w:tcPr>
          <w:p w14:paraId="41834A63"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N</w:t>
            </w:r>
            <w:r w:rsidR="00621C8B" w:rsidRPr="00A00973">
              <w:rPr>
                <w:rFonts w:ascii="Arial Narrow" w:hAnsi="Arial Narrow"/>
                <w:sz w:val="20"/>
                <w:szCs w:val="20"/>
              </w:rPr>
              <w:t xml:space="preserve">USI </w:t>
            </w:r>
            <w:r w:rsidRPr="00A00973">
              <w:rPr>
                <w:rFonts w:ascii="Arial Narrow" w:hAnsi="Arial Narrow"/>
                <w:sz w:val="20"/>
                <w:szCs w:val="20"/>
              </w:rPr>
              <w:t>patients - 24 months</w:t>
            </w:r>
          </w:p>
        </w:tc>
        <w:tc>
          <w:tcPr>
            <w:tcW w:w="611" w:type="pct"/>
            <w:vAlign w:val="center"/>
          </w:tcPr>
          <w:p w14:paraId="64C9A0CA"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262A43A5" w14:textId="77777777" w:rsidR="0037126D" w:rsidRPr="00CC7358" w:rsidRDefault="0037126D" w:rsidP="00516F35">
            <w:pPr>
              <w:keepNext/>
              <w:jc w:val="center"/>
              <w:rPr>
                <w:rFonts w:ascii="Arial Narrow" w:hAnsi="Arial Narrow"/>
                <w:sz w:val="20"/>
                <w:szCs w:val="20"/>
              </w:rPr>
            </w:pPr>
          </w:p>
        </w:tc>
        <w:tc>
          <w:tcPr>
            <w:tcW w:w="611" w:type="pct"/>
            <w:vAlign w:val="center"/>
          </w:tcPr>
          <w:p w14:paraId="3E71D7C0" w14:textId="77777777" w:rsidR="0037126D" w:rsidRPr="00CC7358" w:rsidRDefault="0037126D" w:rsidP="00516F35">
            <w:pPr>
              <w:keepNext/>
              <w:jc w:val="center"/>
              <w:rPr>
                <w:rFonts w:ascii="Arial Narrow" w:hAnsi="Arial Narrow"/>
                <w:sz w:val="20"/>
                <w:szCs w:val="20"/>
              </w:rPr>
            </w:pPr>
          </w:p>
        </w:tc>
        <w:tc>
          <w:tcPr>
            <w:tcW w:w="611" w:type="pct"/>
            <w:vAlign w:val="center"/>
          </w:tcPr>
          <w:p w14:paraId="306EAD2E" w14:textId="77777777" w:rsidR="0037126D" w:rsidRPr="00CC7358" w:rsidRDefault="0037126D" w:rsidP="00516F35">
            <w:pPr>
              <w:keepNext/>
              <w:jc w:val="center"/>
              <w:rPr>
                <w:rFonts w:ascii="Arial Narrow" w:hAnsi="Arial Narrow"/>
                <w:sz w:val="20"/>
                <w:szCs w:val="20"/>
              </w:rPr>
            </w:pPr>
          </w:p>
        </w:tc>
        <w:tc>
          <w:tcPr>
            <w:tcW w:w="611" w:type="pct"/>
            <w:vAlign w:val="center"/>
          </w:tcPr>
          <w:p w14:paraId="20F67BAE" w14:textId="77777777" w:rsidR="0037126D" w:rsidRPr="00CC7358" w:rsidRDefault="0037126D" w:rsidP="00516F35">
            <w:pPr>
              <w:keepNext/>
              <w:jc w:val="center"/>
              <w:rPr>
                <w:rFonts w:ascii="Arial Narrow" w:hAnsi="Arial Narrow"/>
                <w:sz w:val="20"/>
                <w:szCs w:val="20"/>
              </w:rPr>
            </w:pPr>
          </w:p>
        </w:tc>
        <w:tc>
          <w:tcPr>
            <w:tcW w:w="611" w:type="pct"/>
            <w:vAlign w:val="center"/>
          </w:tcPr>
          <w:p w14:paraId="2AF37E01" w14:textId="77777777" w:rsidR="0037126D" w:rsidRPr="00CC7358" w:rsidRDefault="0037126D" w:rsidP="00516F35">
            <w:pPr>
              <w:keepNext/>
              <w:jc w:val="center"/>
              <w:rPr>
                <w:rFonts w:ascii="Arial Narrow" w:hAnsi="Arial Narrow"/>
                <w:sz w:val="20"/>
                <w:szCs w:val="20"/>
              </w:rPr>
            </w:pPr>
          </w:p>
        </w:tc>
      </w:tr>
      <w:tr w:rsidR="0037126D" w:rsidRPr="00A00973" w14:paraId="43BFD441" w14:textId="77777777" w:rsidTr="00A00973">
        <w:tc>
          <w:tcPr>
            <w:tcW w:w="1334" w:type="pct"/>
          </w:tcPr>
          <w:p w14:paraId="5BB6CDEC"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N</w:t>
            </w:r>
            <w:r w:rsidR="00621C8B" w:rsidRPr="00A00973">
              <w:rPr>
                <w:rFonts w:ascii="Arial Narrow" w:hAnsi="Arial Narrow"/>
                <w:sz w:val="20"/>
                <w:szCs w:val="20"/>
              </w:rPr>
              <w:t xml:space="preserve">USI </w:t>
            </w:r>
            <w:r w:rsidRPr="00A00973">
              <w:rPr>
                <w:rFonts w:ascii="Arial Narrow" w:hAnsi="Arial Narrow"/>
                <w:sz w:val="20"/>
                <w:szCs w:val="20"/>
              </w:rPr>
              <w:t>patients - 12 months</w:t>
            </w:r>
          </w:p>
        </w:tc>
        <w:tc>
          <w:tcPr>
            <w:tcW w:w="611" w:type="pct"/>
            <w:vAlign w:val="center"/>
          </w:tcPr>
          <w:p w14:paraId="0F06CE8C"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132E9559" w14:textId="77777777" w:rsidR="0037126D" w:rsidRPr="00CC7358" w:rsidRDefault="0037126D" w:rsidP="00516F35">
            <w:pPr>
              <w:keepNext/>
              <w:jc w:val="center"/>
              <w:rPr>
                <w:rFonts w:ascii="Arial Narrow" w:hAnsi="Arial Narrow"/>
                <w:sz w:val="20"/>
                <w:szCs w:val="20"/>
              </w:rPr>
            </w:pPr>
          </w:p>
        </w:tc>
        <w:tc>
          <w:tcPr>
            <w:tcW w:w="611" w:type="pct"/>
            <w:vAlign w:val="center"/>
          </w:tcPr>
          <w:p w14:paraId="7D242B8E" w14:textId="77777777" w:rsidR="0037126D" w:rsidRPr="00CC7358" w:rsidRDefault="0037126D" w:rsidP="00516F35">
            <w:pPr>
              <w:keepNext/>
              <w:jc w:val="center"/>
              <w:rPr>
                <w:rFonts w:ascii="Arial Narrow" w:hAnsi="Arial Narrow"/>
                <w:sz w:val="20"/>
                <w:szCs w:val="20"/>
              </w:rPr>
            </w:pPr>
          </w:p>
        </w:tc>
        <w:tc>
          <w:tcPr>
            <w:tcW w:w="611" w:type="pct"/>
            <w:vAlign w:val="center"/>
          </w:tcPr>
          <w:p w14:paraId="6FA7D793" w14:textId="77777777" w:rsidR="0037126D" w:rsidRPr="00CC7358" w:rsidRDefault="0037126D" w:rsidP="00516F35">
            <w:pPr>
              <w:keepNext/>
              <w:jc w:val="center"/>
              <w:rPr>
                <w:rFonts w:ascii="Arial Narrow" w:hAnsi="Arial Narrow"/>
                <w:sz w:val="20"/>
                <w:szCs w:val="20"/>
              </w:rPr>
            </w:pPr>
          </w:p>
        </w:tc>
        <w:tc>
          <w:tcPr>
            <w:tcW w:w="611" w:type="pct"/>
            <w:vAlign w:val="center"/>
          </w:tcPr>
          <w:p w14:paraId="15061F50" w14:textId="77777777" w:rsidR="0037126D" w:rsidRPr="00CC7358" w:rsidRDefault="0037126D" w:rsidP="00516F35">
            <w:pPr>
              <w:keepNext/>
              <w:jc w:val="center"/>
              <w:rPr>
                <w:rFonts w:ascii="Arial Narrow" w:hAnsi="Arial Narrow"/>
                <w:sz w:val="20"/>
                <w:szCs w:val="20"/>
              </w:rPr>
            </w:pPr>
          </w:p>
        </w:tc>
        <w:tc>
          <w:tcPr>
            <w:tcW w:w="611" w:type="pct"/>
            <w:vAlign w:val="center"/>
          </w:tcPr>
          <w:p w14:paraId="26EBEBBF" w14:textId="77777777" w:rsidR="0037126D" w:rsidRPr="00CC7358" w:rsidRDefault="0037126D" w:rsidP="00516F35">
            <w:pPr>
              <w:keepNext/>
              <w:jc w:val="center"/>
              <w:rPr>
                <w:rFonts w:ascii="Arial Narrow" w:hAnsi="Arial Narrow"/>
                <w:sz w:val="20"/>
                <w:szCs w:val="20"/>
              </w:rPr>
            </w:pPr>
          </w:p>
        </w:tc>
      </w:tr>
      <w:tr w:rsidR="0037126D" w:rsidRPr="00A00973" w14:paraId="0F111D9F" w14:textId="77777777" w:rsidTr="00A00973">
        <w:tc>
          <w:tcPr>
            <w:tcW w:w="1334" w:type="pct"/>
          </w:tcPr>
          <w:p w14:paraId="313EA199"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already treated</w:t>
            </w:r>
          </w:p>
        </w:tc>
        <w:tc>
          <w:tcPr>
            <w:tcW w:w="611" w:type="pct"/>
            <w:vAlign w:val="center"/>
          </w:tcPr>
          <w:p w14:paraId="4ACA3835" w14:textId="77777777" w:rsidR="0037126D" w:rsidRPr="00A00973" w:rsidRDefault="0037126D" w:rsidP="00516F35">
            <w:pPr>
              <w:keepNext/>
              <w:jc w:val="center"/>
              <w:rPr>
                <w:rFonts w:ascii="Arial Narrow" w:hAnsi="Arial Narrow"/>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4ADB29FC" w14:textId="77777777" w:rsidR="0037126D" w:rsidRPr="00A00973" w:rsidRDefault="0037126D" w:rsidP="00516F35">
            <w:pPr>
              <w:keepNext/>
              <w:jc w:val="center"/>
              <w:rPr>
                <w:rFonts w:ascii="Arial Narrow" w:hAnsi="Arial Narrow"/>
                <w:sz w:val="20"/>
                <w:szCs w:val="20"/>
              </w:rPr>
            </w:pPr>
          </w:p>
        </w:tc>
        <w:tc>
          <w:tcPr>
            <w:tcW w:w="611" w:type="pct"/>
            <w:vAlign w:val="center"/>
          </w:tcPr>
          <w:p w14:paraId="54E6957E" w14:textId="77777777" w:rsidR="0037126D" w:rsidRPr="00A00973" w:rsidRDefault="0037126D" w:rsidP="00516F35">
            <w:pPr>
              <w:keepNext/>
              <w:jc w:val="center"/>
              <w:rPr>
                <w:rFonts w:ascii="Arial Narrow" w:hAnsi="Arial Narrow"/>
                <w:sz w:val="20"/>
                <w:szCs w:val="20"/>
              </w:rPr>
            </w:pPr>
          </w:p>
        </w:tc>
        <w:tc>
          <w:tcPr>
            <w:tcW w:w="611" w:type="pct"/>
            <w:vAlign w:val="center"/>
          </w:tcPr>
          <w:p w14:paraId="2D01E0A9" w14:textId="77777777" w:rsidR="0037126D" w:rsidRPr="00A00973" w:rsidRDefault="0037126D" w:rsidP="00516F35">
            <w:pPr>
              <w:keepNext/>
              <w:jc w:val="center"/>
              <w:rPr>
                <w:rFonts w:ascii="Arial Narrow" w:hAnsi="Arial Narrow"/>
                <w:sz w:val="20"/>
                <w:szCs w:val="20"/>
              </w:rPr>
            </w:pPr>
          </w:p>
        </w:tc>
        <w:tc>
          <w:tcPr>
            <w:tcW w:w="611" w:type="pct"/>
            <w:vAlign w:val="center"/>
          </w:tcPr>
          <w:p w14:paraId="3C147DB9" w14:textId="77777777" w:rsidR="0037126D" w:rsidRPr="00A00973" w:rsidRDefault="0037126D" w:rsidP="00516F35">
            <w:pPr>
              <w:keepNext/>
              <w:jc w:val="center"/>
              <w:rPr>
                <w:rFonts w:ascii="Arial Narrow" w:hAnsi="Arial Narrow"/>
                <w:sz w:val="20"/>
                <w:szCs w:val="20"/>
              </w:rPr>
            </w:pPr>
          </w:p>
        </w:tc>
        <w:tc>
          <w:tcPr>
            <w:tcW w:w="611" w:type="pct"/>
            <w:vAlign w:val="center"/>
          </w:tcPr>
          <w:p w14:paraId="7928033C" w14:textId="77777777" w:rsidR="0037126D" w:rsidRPr="00A00973" w:rsidRDefault="0037126D" w:rsidP="00516F35">
            <w:pPr>
              <w:keepNext/>
              <w:jc w:val="center"/>
              <w:rPr>
                <w:rFonts w:ascii="Arial Narrow" w:hAnsi="Arial Narrow"/>
                <w:sz w:val="20"/>
                <w:szCs w:val="20"/>
              </w:rPr>
            </w:pPr>
          </w:p>
        </w:tc>
      </w:tr>
      <w:tr w:rsidR="0037126D" w:rsidRPr="00A00973" w14:paraId="2CFC6564" w14:textId="77777777" w:rsidTr="00A00973">
        <w:tc>
          <w:tcPr>
            <w:tcW w:w="1334" w:type="pct"/>
          </w:tcPr>
          <w:p w14:paraId="1EAA03F4"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not seeking treatment</w:t>
            </w:r>
          </w:p>
        </w:tc>
        <w:tc>
          <w:tcPr>
            <w:tcW w:w="611" w:type="pct"/>
            <w:vAlign w:val="center"/>
          </w:tcPr>
          <w:p w14:paraId="7B665B0A" w14:textId="77777777" w:rsidR="0037126D" w:rsidRPr="00A00973" w:rsidRDefault="0037126D" w:rsidP="00516F35">
            <w:pPr>
              <w:keepNext/>
              <w:jc w:val="center"/>
              <w:rPr>
                <w:rFonts w:ascii="Arial Narrow" w:hAnsi="Arial Narrow"/>
                <w:sz w:val="20"/>
                <w:szCs w:val="20"/>
              </w:rPr>
            </w:pPr>
            <w:r w:rsidRPr="00A00973">
              <w:rPr>
                <w:rFonts w:ascii="Arial Narrow" w:hAnsi="Arial Narrow"/>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20BF7FB4" w14:textId="77777777" w:rsidR="0037126D" w:rsidRPr="00A00973" w:rsidRDefault="0037126D" w:rsidP="00516F35">
            <w:pPr>
              <w:keepNext/>
              <w:jc w:val="center"/>
              <w:rPr>
                <w:rFonts w:ascii="Arial Narrow" w:hAnsi="Arial Narrow"/>
                <w:sz w:val="20"/>
                <w:szCs w:val="20"/>
              </w:rPr>
            </w:pPr>
          </w:p>
        </w:tc>
        <w:tc>
          <w:tcPr>
            <w:tcW w:w="611" w:type="pct"/>
            <w:vAlign w:val="center"/>
          </w:tcPr>
          <w:p w14:paraId="6D92D39C" w14:textId="77777777" w:rsidR="0037126D" w:rsidRPr="00A00973" w:rsidRDefault="0037126D" w:rsidP="00516F35">
            <w:pPr>
              <w:keepNext/>
              <w:jc w:val="center"/>
              <w:rPr>
                <w:rFonts w:ascii="Arial Narrow" w:hAnsi="Arial Narrow"/>
                <w:sz w:val="20"/>
                <w:szCs w:val="20"/>
              </w:rPr>
            </w:pPr>
          </w:p>
        </w:tc>
        <w:tc>
          <w:tcPr>
            <w:tcW w:w="611" w:type="pct"/>
            <w:vAlign w:val="center"/>
          </w:tcPr>
          <w:p w14:paraId="34CD02DB" w14:textId="77777777" w:rsidR="0037126D" w:rsidRPr="00A00973" w:rsidRDefault="0037126D" w:rsidP="00516F35">
            <w:pPr>
              <w:keepNext/>
              <w:jc w:val="center"/>
              <w:rPr>
                <w:rFonts w:ascii="Arial Narrow" w:hAnsi="Arial Narrow"/>
                <w:sz w:val="20"/>
                <w:szCs w:val="20"/>
              </w:rPr>
            </w:pPr>
          </w:p>
        </w:tc>
        <w:tc>
          <w:tcPr>
            <w:tcW w:w="611" w:type="pct"/>
            <w:vAlign w:val="center"/>
          </w:tcPr>
          <w:p w14:paraId="37F356B6" w14:textId="77777777" w:rsidR="0037126D" w:rsidRPr="00A00973" w:rsidRDefault="0037126D" w:rsidP="00516F35">
            <w:pPr>
              <w:keepNext/>
              <w:jc w:val="center"/>
              <w:rPr>
                <w:rFonts w:ascii="Arial Narrow" w:hAnsi="Arial Narrow"/>
                <w:sz w:val="20"/>
                <w:szCs w:val="20"/>
              </w:rPr>
            </w:pPr>
          </w:p>
        </w:tc>
        <w:tc>
          <w:tcPr>
            <w:tcW w:w="611" w:type="pct"/>
            <w:vAlign w:val="center"/>
          </w:tcPr>
          <w:p w14:paraId="0D526514" w14:textId="77777777" w:rsidR="0037126D" w:rsidRPr="00A00973" w:rsidRDefault="0037126D" w:rsidP="00516F35">
            <w:pPr>
              <w:keepNext/>
              <w:jc w:val="center"/>
              <w:rPr>
                <w:rFonts w:ascii="Arial Narrow" w:hAnsi="Arial Narrow"/>
                <w:sz w:val="20"/>
                <w:szCs w:val="20"/>
              </w:rPr>
            </w:pPr>
          </w:p>
        </w:tc>
      </w:tr>
      <w:tr w:rsidR="0037126D" w:rsidRPr="00A00973" w14:paraId="73F78E9E" w14:textId="77777777" w:rsidTr="00A00973">
        <w:tc>
          <w:tcPr>
            <w:tcW w:w="1334" w:type="pct"/>
          </w:tcPr>
          <w:p w14:paraId="69CA7ED9"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prevalent patients</w:t>
            </w:r>
          </w:p>
        </w:tc>
        <w:tc>
          <w:tcPr>
            <w:tcW w:w="611" w:type="pct"/>
            <w:vAlign w:val="center"/>
          </w:tcPr>
          <w:p w14:paraId="18713CA7"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4B3082C6" w14:textId="77777777" w:rsidR="0037126D" w:rsidRPr="00CC7358" w:rsidRDefault="0037126D" w:rsidP="00516F35">
            <w:pPr>
              <w:keepNext/>
              <w:jc w:val="center"/>
              <w:rPr>
                <w:rFonts w:ascii="Arial Narrow" w:hAnsi="Arial Narrow"/>
                <w:sz w:val="20"/>
                <w:szCs w:val="20"/>
              </w:rPr>
            </w:pPr>
          </w:p>
        </w:tc>
        <w:tc>
          <w:tcPr>
            <w:tcW w:w="611" w:type="pct"/>
            <w:vAlign w:val="center"/>
          </w:tcPr>
          <w:p w14:paraId="1F15B0EF" w14:textId="77777777" w:rsidR="0037126D" w:rsidRPr="00CC7358" w:rsidRDefault="0037126D" w:rsidP="00516F35">
            <w:pPr>
              <w:keepNext/>
              <w:jc w:val="center"/>
              <w:rPr>
                <w:rFonts w:ascii="Arial Narrow" w:hAnsi="Arial Narrow"/>
                <w:sz w:val="20"/>
                <w:szCs w:val="20"/>
              </w:rPr>
            </w:pPr>
          </w:p>
        </w:tc>
        <w:tc>
          <w:tcPr>
            <w:tcW w:w="611" w:type="pct"/>
            <w:vAlign w:val="center"/>
          </w:tcPr>
          <w:p w14:paraId="1E3193D9" w14:textId="77777777" w:rsidR="0037126D" w:rsidRPr="00CC7358" w:rsidRDefault="0037126D" w:rsidP="00516F35">
            <w:pPr>
              <w:keepNext/>
              <w:jc w:val="center"/>
              <w:rPr>
                <w:rFonts w:ascii="Arial Narrow" w:hAnsi="Arial Narrow"/>
                <w:sz w:val="20"/>
                <w:szCs w:val="20"/>
              </w:rPr>
            </w:pPr>
          </w:p>
        </w:tc>
        <w:tc>
          <w:tcPr>
            <w:tcW w:w="611" w:type="pct"/>
            <w:vAlign w:val="center"/>
          </w:tcPr>
          <w:p w14:paraId="6F01A932" w14:textId="77777777" w:rsidR="0037126D" w:rsidRPr="00CC7358" w:rsidRDefault="0037126D" w:rsidP="00516F35">
            <w:pPr>
              <w:keepNext/>
              <w:jc w:val="center"/>
              <w:rPr>
                <w:rFonts w:ascii="Arial Narrow" w:hAnsi="Arial Narrow"/>
                <w:sz w:val="20"/>
                <w:szCs w:val="20"/>
              </w:rPr>
            </w:pPr>
          </w:p>
        </w:tc>
        <w:tc>
          <w:tcPr>
            <w:tcW w:w="611" w:type="pct"/>
            <w:vAlign w:val="center"/>
          </w:tcPr>
          <w:p w14:paraId="2DC4DA4D" w14:textId="77777777" w:rsidR="0037126D" w:rsidRPr="00CC7358" w:rsidRDefault="0037126D" w:rsidP="00516F35">
            <w:pPr>
              <w:keepNext/>
              <w:jc w:val="center"/>
              <w:rPr>
                <w:rFonts w:ascii="Arial Narrow" w:hAnsi="Arial Narrow"/>
                <w:sz w:val="20"/>
                <w:szCs w:val="20"/>
              </w:rPr>
            </w:pPr>
          </w:p>
        </w:tc>
      </w:tr>
      <w:tr w:rsidR="0037126D" w:rsidRPr="00A00973" w14:paraId="127A5CA0" w14:textId="77777777" w:rsidTr="00A00973">
        <w:tc>
          <w:tcPr>
            <w:tcW w:w="1334" w:type="pct"/>
          </w:tcPr>
          <w:p w14:paraId="7B272AA5"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available patients</w:t>
            </w:r>
          </w:p>
        </w:tc>
        <w:tc>
          <w:tcPr>
            <w:tcW w:w="611" w:type="pct"/>
            <w:vAlign w:val="center"/>
          </w:tcPr>
          <w:p w14:paraId="289C07D6"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04E55504"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6CFB3DBC"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7D7C59D7"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268F99BF"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6E0A0BFA"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14:paraId="7082468B" w14:textId="77777777" w:rsidTr="00A00973">
        <w:tc>
          <w:tcPr>
            <w:tcW w:w="1334" w:type="pct"/>
          </w:tcPr>
          <w:p w14:paraId="7B4021B1"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AAV</w:t>
            </w:r>
            <w:r w:rsidRPr="00A00973">
              <w:rPr>
                <w:rFonts w:ascii="Arial Narrow" w:hAnsi="Arial Narrow"/>
                <w:sz w:val="20"/>
                <w:szCs w:val="20"/>
                <w:vertAlign w:val="subscript"/>
              </w:rPr>
              <w:t>9</w:t>
            </w:r>
            <w:r w:rsidRPr="00A00973">
              <w:rPr>
                <w:rFonts w:ascii="Arial Narrow" w:hAnsi="Arial Narrow"/>
                <w:sz w:val="20"/>
                <w:szCs w:val="20"/>
              </w:rPr>
              <w:t xml:space="preserve"> positive patients</w:t>
            </w:r>
          </w:p>
        </w:tc>
        <w:tc>
          <w:tcPr>
            <w:tcW w:w="611" w:type="pct"/>
            <w:vAlign w:val="center"/>
          </w:tcPr>
          <w:p w14:paraId="66596CA6" w14:textId="77777777" w:rsidR="0037126D" w:rsidRPr="00A00973" w:rsidRDefault="0037126D"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0FAA0522"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14:paraId="0893A140"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14:paraId="229DDB0F"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14:paraId="1CE99AE1"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14:paraId="48E767B4"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r>
      <w:tr w:rsidR="0037126D" w:rsidRPr="00A00973" w14:paraId="6755133E" w14:textId="77777777" w:rsidTr="00A00973">
        <w:tc>
          <w:tcPr>
            <w:tcW w:w="1334" w:type="pct"/>
          </w:tcPr>
          <w:p w14:paraId="50D940C0"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Total eligible patients</w:t>
            </w:r>
          </w:p>
        </w:tc>
        <w:tc>
          <w:tcPr>
            <w:tcW w:w="611" w:type="pct"/>
            <w:vAlign w:val="center"/>
          </w:tcPr>
          <w:p w14:paraId="3995E223"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46113121"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1C96A5B8"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5A603871"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38623486"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2A85BA9E"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14:paraId="47549C2A" w14:textId="77777777" w:rsidTr="00A00973">
        <w:tc>
          <w:tcPr>
            <w:tcW w:w="1334" w:type="pct"/>
          </w:tcPr>
          <w:p w14:paraId="45D0152E"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Patients not seeking treatment</w:t>
            </w:r>
          </w:p>
        </w:tc>
        <w:tc>
          <w:tcPr>
            <w:tcW w:w="611" w:type="pct"/>
            <w:vAlign w:val="center"/>
          </w:tcPr>
          <w:p w14:paraId="5AC94F84" w14:textId="77777777" w:rsidR="0037126D" w:rsidRPr="00A00973" w:rsidRDefault="0037126D"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77FC5191"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14:paraId="25D226FB"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14:paraId="0A2E360A"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14:paraId="29DBE2B8"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c>
          <w:tcPr>
            <w:tcW w:w="611" w:type="pct"/>
            <w:vAlign w:val="center"/>
          </w:tcPr>
          <w:p w14:paraId="73957273" w14:textId="77777777" w:rsidR="0037126D" w:rsidRPr="00A00973" w:rsidRDefault="00E109FE" w:rsidP="00516F35">
            <w:pPr>
              <w:keepNext/>
              <w:jc w:val="center"/>
              <w:rPr>
                <w:rFonts w:ascii="Arial Narrow" w:hAnsi="Arial Narrow"/>
                <w:color w:val="FF0000"/>
                <w:sz w:val="20"/>
                <w:szCs w:val="20"/>
              </w:rPr>
            </w:pPr>
            <w:r w:rsidRPr="00A00973">
              <w:rPr>
                <w:rFonts w:ascii="Arial Narrow" w:hAnsi="Arial Narrow"/>
                <w:color w:val="FF0000"/>
                <w:sz w:val="20"/>
                <w:szCs w:val="20"/>
              </w:rPr>
              <w:t>-</w:t>
            </w:r>
            <w:r w:rsidR="00CC7358">
              <w:rPr>
                <w:rFonts w:ascii="Arial Narrow" w:hAnsi="Arial Narrow"/>
                <w:noProof/>
                <w:color w:val="000000"/>
                <w:sz w:val="20"/>
                <w:szCs w:val="20"/>
                <w:highlight w:val="black"/>
              </w:rPr>
              <w:t>'''</w:t>
            </w:r>
            <w:r>
              <w:rPr>
                <w:rFonts w:ascii="Arial Narrow" w:hAnsi="Arial Narrow"/>
                <w:sz w:val="20"/>
                <w:szCs w:val="20"/>
                <w:vertAlign w:val="superscript"/>
              </w:rPr>
              <w:t>2</w:t>
            </w:r>
          </w:p>
        </w:tc>
      </w:tr>
      <w:tr w:rsidR="0037126D" w:rsidRPr="00A00973" w14:paraId="580C57C3" w14:textId="77777777" w:rsidTr="00A00973">
        <w:tc>
          <w:tcPr>
            <w:tcW w:w="1334" w:type="pct"/>
          </w:tcPr>
          <w:p w14:paraId="13F7D0CD"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Treated patients</w:t>
            </w:r>
          </w:p>
        </w:tc>
        <w:tc>
          <w:tcPr>
            <w:tcW w:w="611" w:type="pct"/>
            <w:vAlign w:val="center"/>
          </w:tcPr>
          <w:p w14:paraId="2511FE46"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3E5486F1"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4BC99847"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0FE3B5A3"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2DBBD986"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1A94C312"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r>
      <w:tr w:rsidR="0037126D" w:rsidRPr="00A00973" w14:paraId="5DF57F93" w14:textId="77777777" w:rsidTr="00A00973">
        <w:tc>
          <w:tcPr>
            <w:tcW w:w="1334" w:type="pct"/>
          </w:tcPr>
          <w:p w14:paraId="6C8FC5F4" w14:textId="77777777" w:rsidR="0037126D" w:rsidRPr="00A00973" w:rsidRDefault="003411AA" w:rsidP="00516F35">
            <w:pPr>
              <w:keepNext/>
              <w:jc w:val="left"/>
              <w:rPr>
                <w:rFonts w:ascii="Arial Narrow" w:hAnsi="Arial Narrow"/>
                <w:sz w:val="20"/>
                <w:szCs w:val="20"/>
              </w:rPr>
            </w:pPr>
            <w:r w:rsidRPr="00A00973">
              <w:rPr>
                <w:rFonts w:ascii="Arial Narrow" w:hAnsi="Arial Narrow"/>
                <w:sz w:val="20"/>
                <w:szCs w:val="20"/>
              </w:rPr>
              <w:t>MTOP</w:t>
            </w:r>
            <w:r w:rsidR="0037126D" w:rsidRPr="00A00973">
              <w:rPr>
                <w:rFonts w:ascii="Arial Narrow" w:hAnsi="Arial Narrow"/>
                <w:sz w:val="20"/>
                <w:szCs w:val="20"/>
              </w:rPr>
              <w:t xml:space="preserve"> patients*</w:t>
            </w:r>
          </w:p>
        </w:tc>
        <w:tc>
          <w:tcPr>
            <w:tcW w:w="611" w:type="pct"/>
            <w:vAlign w:val="center"/>
          </w:tcPr>
          <w:p w14:paraId="62AA13FB"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31CD6538" w14:textId="77777777" w:rsidR="0037126D" w:rsidRPr="00CC7358" w:rsidRDefault="0037126D" w:rsidP="00516F35">
            <w:pPr>
              <w:keepNext/>
              <w:jc w:val="center"/>
              <w:rPr>
                <w:rFonts w:ascii="Arial Narrow" w:hAnsi="Arial Narrow"/>
                <w:sz w:val="20"/>
                <w:szCs w:val="20"/>
              </w:rPr>
            </w:pPr>
          </w:p>
        </w:tc>
        <w:tc>
          <w:tcPr>
            <w:tcW w:w="611" w:type="pct"/>
            <w:vAlign w:val="center"/>
          </w:tcPr>
          <w:p w14:paraId="2FB0D170" w14:textId="77777777" w:rsidR="0037126D" w:rsidRPr="00CC7358" w:rsidRDefault="0037126D" w:rsidP="00516F35">
            <w:pPr>
              <w:keepNext/>
              <w:jc w:val="center"/>
              <w:rPr>
                <w:rFonts w:ascii="Arial Narrow" w:hAnsi="Arial Narrow"/>
                <w:sz w:val="20"/>
                <w:szCs w:val="20"/>
              </w:rPr>
            </w:pPr>
          </w:p>
        </w:tc>
        <w:tc>
          <w:tcPr>
            <w:tcW w:w="611" w:type="pct"/>
            <w:vAlign w:val="center"/>
          </w:tcPr>
          <w:p w14:paraId="2D5F8317" w14:textId="77777777" w:rsidR="0037126D" w:rsidRPr="00CC7358" w:rsidRDefault="0037126D" w:rsidP="00516F35">
            <w:pPr>
              <w:keepNext/>
              <w:jc w:val="center"/>
              <w:rPr>
                <w:rFonts w:ascii="Arial Narrow" w:hAnsi="Arial Narrow"/>
                <w:sz w:val="20"/>
                <w:szCs w:val="20"/>
              </w:rPr>
            </w:pPr>
          </w:p>
        </w:tc>
        <w:tc>
          <w:tcPr>
            <w:tcW w:w="611" w:type="pct"/>
            <w:vAlign w:val="center"/>
          </w:tcPr>
          <w:p w14:paraId="4434D52F" w14:textId="77777777" w:rsidR="0037126D" w:rsidRPr="00CC7358" w:rsidRDefault="0037126D" w:rsidP="00516F35">
            <w:pPr>
              <w:keepNext/>
              <w:jc w:val="center"/>
              <w:rPr>
                <w:rFonts w:ascii="Arial Narrow" w:hAnsi="Arial Narrow"/>
                <w:sz w:val="20"/>
                <w:szCs w:val="20"/>
              </w:rPr>
            </w:pPr>
          </w:p>
        </w:tc>
        <w:tc>
          <w:tcPr>
            <w:tcW w:w="611" w:type="pct"/>
            <w:vAlign w:val="center"/>
          </w:tcPr>
          <w:p w14:paraId="39E33F05" w14:textId="77777777" w:rsidR="0037126D" w:rsidRPr="00CC7358" w:rsidRDefault="0037126D" w:rsidP="00516F35">
            <w:pPr>
              <w:keepNext/>
              <w:jc w:val="center"/>
              <w:rPr>
                <w:rFonts w:ascii="Arial Narrow" w:hAnsi="Arial Narrow"/>
                <w:sz w:val="20"/>
                <w:szCs w:val="20"/>
              </w:rPr>
            </w:pPr>
          </w:p>
        </w:tc>
      </w:tr>
      <w:tr w:rsidR="0037126D" w:rsidRPr="00A00973" w14:paraId="11CBC391" w14:textId="77777777" w:rsidTr="00A00973">
        <w:tc>
          <w:tcPr>
            <w:tcW w:w="1334" w:type="pct"/>
          </w:tcPr>
          <w:p w14:paraId="2E2C25A9"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AVXS MAP patients**</w:t>
            </w:r>
          </w:p>
        </w:tc>
        <w:tc>
          <w:tcPr>
            <w:tcW w:w="611" w:type="pct"/>
            <w:vAlign w:val="center"/>
          </w:tcPr>
          <w:p w14:paraId="6EAD9683"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147422CB" w14:textId="77777777" w:rsidR="0037126D" w:rsidRPr="00CC7358" w:rsidRDefault="0037126D" w:rsidP="00516F35">
            <w:pPr>
              <w:keepNext/>
              <w:jc w:val="center"/>
              <w:rPr>
                <w:rFonts w:ascii="Arial Narrow" w:hAnsi="Arial Narrow"/>
                <w:sz w:val="20"/>
                <w:szCs w:val="20"/>
              </w:rPr>
            </w:pPr>
          </w:p>
        </w:tc>
        <w:tc>
          <w:tcPr>
            <w:tcW w:w="611" w:type="pct"/>
            <w:vAlign w:val="center"/>
          </w:tcPr>
          <w:p w14:paraId="46677B52" w14:textId="77777777" w:rsidR="0037126D" w:rsidRPr="00CC7358" w:rsidRDefault="0037126D" w:rsidP="00516F35">
            <w:pPr>
              <w:keepNext/>
              <w:jc w:val="center"/>
              <w:rPr>
                <w:rFonts w:ascii="Arial Narrow" w:hAnsi="Arial Narrow"/>
                <w:sz w:val="20"/>
                <w:szCs w:val="20"/>
              </w:rPr>
            </w:pPr>
          </w:p>
        </w:tc>
        <w:tc>
          <w:tcPr>
            <w:tcW w:w="611" w:type="pct"/>
            <w:vAlign w:val="center"/>
          </w:tcPr>
          <w:p w14:paraId="0AF2CDC3" w14:textId="77777777" w:rsidR="0037126D" w:rsidRPr="00CC7358" w:rsidRDefault="0037126D" w:rsidP="00516F35">
            <w:pPr>
              <w:keepNext/>
              <w:jc w:val="center"/>
              <w:rPr>
                <w:rFonts w:ascii="Arial Narrow" w:hAnsi="Arial Narrow"/>
                <w:sz w:val="20"/>
                <w:szCs w:val="20"/>
              </w:rPr>
            </w:pPr>
          </w:p>
        </w:tc>
        <w:tc>
          <w:tcPr>
            <w:tcW w:w="611" w:type="pct"/>
            <w:vAlign w:val="center"/>
          </w:tcPr>
          <w:p w14:paraId="1FCC6492" w14:textId="77777777" w:rsidR="0037126D" w:rsidRPr="00CC7358" w:rsidRDefault="0037126D" w:rsidP="00516F35">
            <w:pPr>
              <w:keepNext/>
              <w:jc w:val="center"/>
              <w:rPr>
                <w:rFonts w:ascii="Arial Narrow" w:hAnsi="Arial Narrow"/>
                <w:sz w:val="20"/>
                <w:szCs w:val="20"/>
              </w:rPr>
            </w:pPr>
          </w:p>
        </w:tc>
        <w:tc>
          <w:tcPr>
            <w:tcW w:w="611" w:type="pct"/>
            <w:vAlign w:val="center"/>
          </w:tcPr>
          <w:p w14:paraId="7F3AE763" w14:textId="77777777" w:rsidR="0037126D" w:rsidRPr="00CC7358" w:rsidRDefault="0037126D" w:rsidP="00516F35">
            <w:pPr>
              <w:keepNext/>
              <w:jc w:val="center"/>
              <w:rPr>
                <w:rFonts w:ascii="Arial Narrow" w:hAnsi="Arial Narrow"/>
                <w:sz w:val="20"/>
                <w:szCs w:val="20"/>
              </w:rPr>
            </w:pPr>
          </w:p>
        </w:tc>
      </w:tr>
      <w:tr w:rsidR="0037126D" w:rsidRPr="00A00973" w14:paraId="47B8167E" w14:textId="77777777" w:rsidTr="00A00973">
        <w:tc>
          <w:tcPr>
            <w:tcW w:w="1334" w:type="pct"/>
          </w:tcPr>
          <w:p w14:paraId="511A5C3B" w14:textId="77777777" w:rsidR="0037126D" w:rsidRPr="00A00973" w:rsidRDefault="0037126D" w:rsidP="00516F35">
            <w:pPr>
              <w:keepNext/>
              <w:jc w:val="left"/>
              <w:rPr>
                <w:rFonts w:ascii="Arial Narrow" w:hAnsi="Arial Narrow"/>
                <w:b/>
                <w:sz w:val="20"/>
                <w:szCs w:val="20"/>
              </w:rPr>
            </w:pPr>
            <w:r w:rsidRPr="00A00973">
              <w:rPr>
                <w:rFonts w:ascii="Arial Narrow" w:hAnsi="Arial Narrow"/>
                <w:b/>
                <w:sz w:val="20"/>
                <w:szCs w:val="20"/>
              </w:rPr>
              <w:t>Total ONA patients (scripts)</w:t>
            </w:r>
          </w:p>
        </w:tc>
        <w:tc>
          <w:tcPr>
            <w:tcW w:w="611" w:type="pct"/>
            <w:vAlign w:val="center"/>
          </w:tcPr>
          <w:p w14:paraId="7B511301"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705309D1"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3CAC8BE4"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427F7222"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2E4A670E"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c>
          <w:tcPr>
            <w:tcW w:w="611" w:type="pct"/>
            <w:vAlign w:val="center"/>
          </w:tcPr>
          <w:p w14:paraId="776062B8"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E109FE">
              <w:rPr>
                <w:rFonts w:ascii="Arial Narrow" w:hAnsi="Arial Narrow"/>
                <w:sz w:val="20"/>
                <w:szCs w:val="20"/>
                <w:vertAlign w:val="superscript"/>
              </w:rPr>
              <w:t>2</w:t>
            </w:r>
          </w:p>
        </w:tc>
      </w:tr>
      <w:tr w:rsidR="0037126D" w:rsidRPr="00A00973" w14:paraId="0DBEE77D" w14:textId="77777777" w:rsidTr="00A00973">
        <w:tc>
          <w:tcPr>
            <w:tcW w:w="1334" w:type="pct"/>
          </w:tcPr>
          <w:p w14:paraId="7C43BE1B" w14:textId="77777777" w:rsidR="0037126D" w:rsidRPr="00A00973" w:rsidRDefault="003411AA" w:rsidP="003411AA">
            <w:pPr>
              <w:keepNext/>
              <w:jc w:val="left"/>
              <w:rPr>
                <w:rFonts w:ascii="Arial Narrow" w:hAnsi="Arial Narrow"/>
                <w:sz w:val="20"/>
                <w:szCs w:val="20"/>
              </w:rPr>
            </w:pPr>
            <w:r w:rsidRPr="00A00973">
              <w:rPr>
                <w:rFonts w:ascii="Arial Narrow" w:hAnsi="Arial Narrow"/>
                <w:sz w:val="20"/>
                <w:szCs w:val="20"/>
              </w:rPr>
              <w:t>MTOP</w:t>
            </w:r>
            <w:r w:rsidR="0037126D" w:rsidRPr="00A00973">
              <w:rPr>
                <w:rFonts w:ascii="Arial Narrow" w:hAnsi="Arial Narrow"/>
                <w:sz w:val="20"/>
                <w:szCs w:val="20"/>
              </w:rPr>
              <w:t xml:space="preserve"> ONA costs</w:t>
            </w:r>
          </w:p>
        </w:tc>
        <w:tc>
          <w:tcPr>
            <w:tcW w:w="611" w:type="pct"/>
            <w:vAlign w:val="center"/>
          </w:tcPr>
          <w:p w14:paraId="4DE105F2"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3</w:t>
            </w:r>
          </w:p>
        </w:tc>
        <w:tc>
          <w:tcPr>
            <w:tcW w:w="611" w:type="pct"/>
            <w:vAlign w:val="center"/>
          </w:tcPr>
          <w:p w14:paraId="4CAE03BC" w14:textId="77777777" w:rsidR="0037126D" w:rsidRPr="00CC7358" w:rsidRDefault="0037126D" w:rsidP="00516F35">
            <w:pPr>
              <w:keepNext/>
              <w:jc w:val="center"/>
              <w:rPr>
                <w:rFonts w:ascii="Arial Narrow" w:hAnsi="Arial Narrow"/>
                <w:sz w:val="20"/>
                <w:szCs w:val="20"/>
              </w:rPr>
            </w:pPr>
          </w:p>
        </w:tc>
        <w:tc>
          <w:tcPr>
            <w:tcW w:w="611" w:type="pct"/>
            <w:vAlign w:val="center"/>
          </w:tcPr>
          <w:p w14:paraId="4AD20F93" w14:textId="77777777" w:rsidR="0037126D" w:rsidRPr="00CC7358" w:rsidRDefault="0037126D" w:rsidP="00516F35">
            <w:pPr>
              <w:keepNext/>
              <w:jc w:val="center"/>
              <w:rPr>
                <w:rFonts w:ascii="Arial Narrow" w:hAnsi="Arial Narrow"/>
                <w:b/>
                <w:sz w:val="20"/>
                <w:szCs w:val="20"/>
              </w:rPr>
            </w:pPr>
          </w:p>
        </w:tc>
        <w:tc>
          <w:tcPr>
            <w:tcW w:w="611" w:type="pct"/>
            <w:vAlign w:val="center"/>
          </w:tcPr>
          <w:p w14:paraId="77AC50CB" w14:textId="77777777" w:rsidR="0037126D" w:rsidRPr="00CC7358" w:rsidRDefault="0037126D" w:rsidP="00516F35">
            <w:pPr>
              <w:keepNext/>
              <w:jc w:val="center"/>
              <w:rPr>
                <w:rFonts w:ascii="Arial Narrow" w:hAnsi="Arial Narrow"/>
                <w:b/>
                <w:sz w:val="20"/>
                <w:szCs w:val="20"/>
              </w:rPr>
            </w:pPr>
          </w:p>
        </w:tc>
        <w:tc>
          <w:tcPr>
            <w:tcW w:w="611" w:type="pct"/>
            <w:vAlign w:val="center"/>
          </w:tcPr>
          <w:p w14:paraId="28A46625" w14:textId="77777777" w:rsidR="0037126D" w:rsidRPr="00CC7358" w:rsidRDefault="0037126D" w:rsidP="00516F35">
            <w:pPr>
              <w:keepNext/>
              <w:jc w:val="center"/>
              <w:rPr>
                <w:rFonts w:ascii="Arial Narrow" w:hAnsi="Arial Narrow"/>
                <w:b/>
                <w:sz w:val="20"/>
                <w:szCs w:val="20"/>
              </w:rPr>
            </w:pPr>
          </w:p>
        </w:tc>
        <w:tc>
          <w:tcPr>
            <w:tcW w:w="611" w:type="pct"/>
            <w:vAlign w:val="center"/>
          </w:tcPr>
          <w:p w14:paraId="45EF7095" w14:textId="77777777" w:rsidR="0037126D" w:rsidRPr="00CC7358" w:rsidRDefault="0037126D" w:rsidP="00516F35">
            <w:pPr>
              <w:keepNext/>
              <w:jc w:val="center"/>
              <w:rPr>
                <w:rFonts w:ascii="Arial Narrow" w:hAnsi="Arial Narrow"/>
                <w:b/>
                <w:sz w:val="20"/>
                <w:szCs w:val="20"/>
              </w:rPr>
            </w:pPr>
          </w:p>
        </w:tc>
      </w:tr>
      <w:tr w:rsidR="0037126D" w:rsidRPr="00A00973" w14:paraId="6E443E1F" w14:textId="77777777" w:rsidTr="00A00973">
        <w:tc>
          <w:tcPr>
            <w:tcW w:w="1334" w:type="pct"/>
          </w:tcPr>
          <w:p w14:paraId="6FC35457"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 xml:space="preserve">Total ONA costs </w:t>
            </w:r>
            <w:r w:rsidR="00041225" w:rsidRPr="00A00973">
              <w:rPr>
                <w:rFonts w:ascii="Arial Narrow" w:hAnsi="Arial Narrow"/>
                <w:sz w:val="20"/>
                <w:szCs w:val="20"/>
              </w:rPr>
              <w:t>–</w:t>
            </w:r>
            <w:r w:rsidRPr="00A00973">
              <w:rPr>
                <w:rFonts w:ascii="Arial Narrow" w:hAnsi="Arial Narrow"/>
                <w:sz w:val="20"/>
                <w:szCs w:val="20"/>
              </w:rPr>
              <w:t xml:space="preserve"> PBS</w:t>
            </w:r>
          </w:p>
        </w:tc>
        <w:tc>
          <w:tcPr>
            <w:tcW w:w="611" w:type="pct"/>
            <w:vAlign w:val="center"/>
          </w:tcPr>
          <w:p w14:paraId="338774B5"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4</w:t>
            </w:r>
          </w:p>
        </w:tc>
        <w:tc>
          <w:tcPr>
            <w:tcW w:w="611" w:type="pct"/>
            <w:vAlign w:val="center"/>
          </w:tcPr>
          <w:p w14:paraId="6E951B31"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14:paraId="69412607"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14:paraId="035CC4DF"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14:paraId="18F948D3"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c>
          <w:tcPr>
            <w:tcW w:w="611" w:type="pct"/>
            <w:vAlign w:val="center"/>
          </w:tcPr>
          <w:p w14:paraId="2E6B87C4"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5</w:t>
            </w:r>
          </w:p>
        </w:tc>
      </w:tr>
      <w:tr w:rsidR="0037126D" w:rsidRPr="00A00973" w14:paraId="539FAD78" w14:textId="77777777" w:rsidTr="00A00973">
        <w:tc>
          <w:tcPr>
            <w:tcW w:w="1334" w:type="pct"/>
            <w:tcBorders>
              <w:bottom w:val="double" w:sz="4" w:space="0" w:color="auto"/>
            </w:tcBorders>
          </w:tcPr>
          <w:p w14:paraId="4B1015E2" w14:textId="77777777" w:rsidR="0037126D" w:rsidRPr="00A00973" w:rsidRDefault="0037126D" w:rsidP="00516F35">
            <w:pPr>
              <w:keepNext/>
              <w:jc w:val="left"/>
              <w:rPr>
                <w:rFonts w:ascii="Arial Narrow" w:hAnsi="Arial Narrow"/>
                <w:sz w:val="20"/>
                <w:szCs w:val="20"/>
              </w:rPr>
            </w:pPr>
            <w:r w:rsidRPr="00A00973">
              <w:rPr>
                <w:rFonts w:ascii="Arial Narrow" w:hAnsi="Arial Narrow"/>
                <w:sz w:val="20"/>
                <w:szCs w:val="20"/>
              </w:rPr>
              <w:t>Concomitant PBS medicines</w:t>
            </w:r>
          </w:p>
        </w:tc>
        <w:tc>
          <w:tcPr>
            <w:tcW w:w="611" w:type="pct"/>
            <w:tcBorders>
              <w:bottom w:val="double" w:sz="4" w:space="0" w:color="auto"/>
            </w:tcBorders>
            <w:vAlign w:val="center"/>
          </w:tcPr>
          <w:p w14:paraId="43246B39"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14:paraId="673247AA"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14:paraId="0EF43C6C"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14:paraId="4ABEB1C8"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14:paraId="10B7287D"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c>
          <w:tcPr>
            <w:tcW w:w="611" w:type="pct"/>
            <w:tcBorders>
              <w:bottom w:val="double" w:sz="4" w:space="0" w:color="auto"/>
            </w:tcBorders>
            <w:vAlign w:val="center"/>
          </w:tcPr>
          <w:p w14:paraId="5D990D4A" w14:textId="77777777" w:rsidR="0037126D" w:rsidRPr="00CC7358" w:rsidRDefault="00CC7358" w:rsidP="00516F35">
            <w:pPr>
              <w:keepNext/>
              <w:jc w:val="center"/>
              <w:rPr>
                <w:rFonts w:ascii="Arial Narrow" w:hAnsi="Arial Narrow"/>
                <w:sz w:val="20"/>
                <w:szCs w:val="20"/>
              </w:rPr>
            </w:pPr>
            <w:r>
              <w:rPr>
                <w:rFonts w:ascii="Arial Narrow" w:hAnsi="Arial Narrow"/>
                <w:noProof/>
                <w:color w:val="000000"/>
                <w:sz w:val="20"/>
                <w:szCs w:val="20"/>
                <w:highlight w:val="black"/>
              </w:rPr>
              <w:t>''''''''''''</w:t>
            </w:r>
            <w:r w:rsidR="00B83169">
              <w:rPr>
                <w:rFonts w:ascii="Arial Narrow" w:hAnsi="Arial Narrow"/>
                <w:sz w:val="20"/>
                <w:szCs w:val="20"/>
                <w:vertAlign w:val="superscript"/>
              </w:rPr>
              <w:t>6</w:t>
            </w:r>
          </w:p>
        </w:tc>
      </w:tr>
      <w:tr w:rsidR="0037126D" w:rsidRPr="00A00973" w14:paraId="671E872A" w14:textId="77777777" w:rsidTr="00A00973">
        <w:tc>
          <w:tcPr>
            <w:tcW w:w="1334" w:type="pct"/>
            <w:tcBorders>
              <w:bottom w:val="double" w:sz="4" w:space="0" w:color="auto"/>
            </w:tcBorders>
            <w:shd w:val="clear" w:color="auto" w:fill="auto"/>
          </w:tcPr>
          <w:p w14:paraId="2FCEA96A" w14:textId="77777777" w:rsidR="0037126D" w:rsidRPr="00A00973" w:rsidRDefault="0037126D" w:rsidP="00516F35">
            <w:pPr>
              <w:keepNext/>
              <w:jc w:val="left"/>
              <w:rPr>
                <w:rFonts w:ascii="Arial Narrow" w:hAnsi="Arial Narrow"/>
                <w:b/>
                <w:sz w:val="20"/>
                <w:szCs w:val="20"/>
              </w:rPr>
            </w:pPr>
            <w:r w:rsidRPr="00A00973">
              <w:rPr>
                <w:rFonts w:ascii="Arial Narrow" w:hAnsi="Arial Narrow"/>
                <w:b/>
                <w:sz w:val="20"/>
                <w:szCs w:val="20"/>
              </w:rPr>
              <w:t>Total PBS cost of listing ONA</w:t>
            </w:r>
          </w:p>
        </w:tc>
        <w:tc>
          <w:tcPr>
            <w:tcW w:w="611" w:type="pct"/>
            <w:tcBorders>
              <w:bottom w:val="double" w:sz="4" w:space="0" w:color="auto"/>
            </w:tcBorders>
            <w:shd w:val="clear" w:color="auto" w:fill="auto"/>
            <w:vAlign w:val="center"/>
          </w:tcPr>
          <w:p w14:paraId="264612AA"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4</w:t>
            </w:r>
          </w:p>
        </w:tc>
        <w:tc>
          <w:tcPr>
            <w:tcW w:w="611" w:type="pct"/>
            <w:tcBorders>
              <w:bottom w:val="double" w:sz="4" w:space="0" w:color="auto"/>
            </w:tcBorders>
            <w:shd w:val="clear" w:color="auto" w:fill="auto"/>
            <w:vAlign w:val="center"/>
          </w:tcPr>
          <w:p w14:paraId="6946BE59" w14:textId="77777777" w:rsidR="0037126D" w:rsidRPr="00CC7358" w:rsidRDefault="00CC7358" w:rsidP="00B83169">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14:paraId="5A015E2E"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14:paraId="0187029A"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14:paraId="337B7309"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c>
          <w:tcPr>
            <w:tcW w:w="611" w:type="pct"/>
            <w:tcBorders>
              <w:bottom w:val="double" w:sz="4" w:space="0" w:color="auto"/>
            </w:tcBorders>
            <w:shd w:val="clear" w:color="auto" w:fill="auto"/>
            <w:vAlign w:val="center"/>
          </w:tcPr>
          <w:p w14:paraId="21F8F6BD" w14:textId="77777777" w:rsidR="0037126D" w:rsidRPr="00CC7358" w:rsidRDefault="00CC7358" w:rsidP="00516F35">
            <w:pPr>
              <w:keepNext/>
              <w:jc w:val="center"/>
              <w:rPr>
                <w:rFonts w:ascii="Arial Narrow" w:hAnsi="Arial Narrow"/>
                <w:b/>
                <w:sz w:val="20"/>
                <w:szCs w:val="20"/>
              </w:rPr>
            </w:pPr>
            <w:r>
              <w:rPr>
                <w:rFonts w:ascii="Arial Narrow" w:hAnsi="Arial Narrow"/>
                <w:b/>
                <w:noProof/>
                <w:color w:val="000000"/>
                <w:sz w:val="20"/>
                <w:szCs w:val="20"/>
                <w:highlight w:val="black"/>
              </w:rPr>
              <w:t>'''''''''''''''''''''''</w:t>
            </w:r>
            <w:r w:rsidR="00B83169">
              <w:rPr>
                <w:rFonts w:ascii="Arial Narrow" w:hAnsi="Arial Narrow"/>
                <w:sz w:val="20"/>
                <w:szCs w:val="20"/>
                <w:vertAlign w:val="superscript"/>
              </w:rPr>
              <w:t>5</w:t>
            </w:r>
          </w:p>
        </w:tc>
      </w:tr>
      <w:tr w:rsidR="0037126D" w:rsidRPr="00A00973" w14:paraId="0AB48F25" w14:textId="77777777" w:rsidTr="00A00973">
        <w:tc>
          <w:tcPr>
            <w:tcW w:w="1334" w:type="pct"/>
            <w:tcBorders>
              <w:top w:val="double" w:sz="4" w:space="0" w:color="auto"/>
            </w:tcBorders>
          </w:tcPr>
          <w:p w14:paraId="193437EE" w14:textId="77777777" w:rsidR="0037126D" w:rsidRPr="00A00973" w:rsidRDefault="0037126D" w:rsidP="00516F35">
            <w:pPr>
              <w:pStyle w:val="TableFooter"/>
              <w:keepNext/>
              <w:jc w:val="left"/>
              <w:rPr>
                <w:b/>
                <w:sz w:val="20"/>
                <w:szCs w:val="20"/>
              </w:rPr>
            </w:pPr>
            <w:r w:rsidRPr="00A00973">
              <w:rPr>
                <w:b/>
                <w:sz w:val="20"/>
                <w:szCs w:val="20"/>
              </w:rPr>
              <w:t>NSN cost offsets</w:t>
            </w:r>
          </w:p>
        </w:tc>
        <w:tc>
          <w:tcPr>
            <w:tcW w:w="3666" w:type="pct"/>
            <w:gridSpan w:val="6"/>
            <w:tcBorders>
              <w:top w:val="double" w:sz="4" w:space="0" w:color="auto"/>
            </w:tcBorders>
            <w:vAlign w:val="center"/>
          </w:tcPr>
          <w:p w14:paraId="03526335" w14:textId="77777777" w:rsidR="0037126D" w:rsidRPr="00A00973" w:rsidRDefault="0037126D" w:rsidP="00516F35">
            <w:pPr>
              <w:pStyle w:val="TableFooter"/>
              <w:keepNext/>
              <w:jc w:val="center"/>
              <w:rPr>
                <w:sz w:val="20"/>
                <w:szCs w:val="20"/>
              </w:rPr>
            </w:pPr>
          </w:p>
        </w:tc>
      </w:tr>
      <w:tr w:rsidR="0037126D" w:rsidRPr="00A00973" w14:paraId="286C2D4E" w14:textId="77777777" w:rsidTr="00A00973">
        <w:tc>
          <w:tcPr>
            <w:tcW w:w="1334" w:type="pct"/>
          </w:tcPr>
          <w:p w14:paraId="4BE43C56" w14:textId="77777777" w:rsidR="0037126D" w:rsidRPr="00A00973" w:rsidRDefault="0037126D" w:rsidP="00516F35">
            <w:pPr>
              <w:pStyle w:val="TableFooter"/>
              <w:keepNext/>
              <w:jc w:val="left"/>
              <w:rPr>
                <w:sz w:val="20"/>
                <w:szCs w:val="20"/>
              </w:rPr>
            </w:pPr>
            <w:r w:rsidRPr="00A00973">
              <w:rPr>
                <w:sz w:val="20"/>
                <w:szCs w:val="20"/>
              </w:rPr>
              <w:t>NSN - initiating patient</w:t>
            </w:r>
          </w:p>
        </w:tc>
        <w:tc>
          <w:tcPr>
            <w:tcW w:w="611" w:type="pct"/>
          </w:tcPr>
          <w:p w14:paraId="0DEB7B10"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1DDCD87A"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3C69749F"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Borders>
              <w:bottom w:val="single" w:sz="4" w:space="0" w:color="auto"/>
            </w:tcBorders>
          </w:tcPr>
          <w:p w14:paraId="34ABC95C"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3D58A0D8"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0C1F50D2"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14:paraId="51A47BB6" w14:textId="77777777" w:rsidTr="00A00973">
        <w:tc>
          <w:tcPr>
            <w:tcW w:w="1334" w:type="pct"/>
          </w:tcPr>
          <w:p w14:paraId="5912D8D5" w14:textId="77777777" w:rsidR="0037126D" w:rsidRPr="00A00973" w:rsidRDefault="0037126D" w:rsidP="00516F35">
            <w:pPr>
              <w:pStyle w:val="TableFooter"/>
              <w:keepNext/>
              <w:jc w:val="left"/>
              <w:rPr>
                <w:sz w:val="20"/>
                <w:szCs w:val="20"/>
              </w:rPr>
            </w:pPr>
            <w:r w:rsidRPr="00A00973">
              <w:rPr>
                <w:sz w:val="20"/>
                <w:szCs w:val="20"/>
              </w:rPr>
              <w:t>NSN - initiating scripts</w:t>
            </w:r>
          </w:p>
        </w:tc>
        <w:tc>
          <w:tcPr>
            <w:tcW w:w="611" w:type="pct"/>
          </w:tcPr>
          <w:p w14:paraId="431558DE"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24FF0F4C"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67FA977F"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Borders>
              <w:bottom w:val="single" w:sz="4" w:space="0" w:color="auto"/>
            </w:tcBorders>
          </w:tcPr>
          <w:p w14:paraId="1392C885"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01234095"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40713253"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14:paraId="4762D594" w14:textId="77777777" w:rsidTr="00A00973">
        <w:tc>
          <w:tcPr>
            <w:tcW w:w="1334" w:type="pct"/>
          </w:tcPr>
          <w:p w14:paraId="2E2AC717" w14:textId="77777777" w:rsidR="0037126D" w:rsidRPr="00A00973" w:rsidRDefault="0037126D" w:rsidP="00516F35">
            <w:pPr>
              <w:pStyle w:val="TableFooter"/>
              <w:keepNext/>
              <w:jc w:val="left"/>
              <w:rPr>
                <w:sz w:val="20"/>
                <w:szCs w:val="20"/>
              </w:rPr>
            </w:pPr>
            <w:r w:rsidRPr="00A00973">
              <w:rPr>
                <w:sz w:val="20"/>
                <w:szCs w:val="20"/>
              </w:rPr>
              <w:t>PBS costs - initiating scripts</w:t>
            </w:r>
          </w:p>
        </w:tc>
        <w:tc>
          <w:tcPr>
            <w:tcW w:w="611" w:type="pct"/>
          </w:tcPr>
          <w:p w14:paraId="3A248C41"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14:paraId="27257DB8"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14:paraId="6454C918"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Borders>
              <w:top w:val="single" w:sz="4" w:space="0" w:color="auto"/>
            </w:tcBorders>
          </w:tcPr>
          <w:p w14:paraId="23B381FA"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14:paraId="388E08A5"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c>
          <w:tcPr>
            <w:tcW w:w="611" w:type="pct"/>
          </w:tcPr>
          <w:p w14:paraId="3BEE7DF4"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3876F4">
              <w:rPr>
                <w:sz w:val="20"/>
                <w:szCs w:val="20"/>
                <w:vertAlign w:val="superscript"/>
              </w:rPr>
              <w:t>3</w:t>
            </w:r>
          </w:p>
        </w:tc>
      </w:tr>
      <w:tr w:rsidR="0037126D" w:rsidRPr="00A00973" w14:paraId="4A908EFD" w14:textId="77777777" w:rsidTr="00A00973">
        <w:tc>
          <w:tcPr>
            <w:tcW w:w="1334" w:type="pct"/>
          </w:tcPr>
          <w:p w14:paraId="35A863BC" w14:textId="77777777" w:rsidR="0037126D" w:rsidRPr="00A00973" w:rsidRDefault="0037126D" w:rsidP="00516F35">
            <w:pPr>
              <w:pStyle w:val="TableFooter"/>
              <w:keepNext/>
              <w:jc w:val="left"/>
              <w:rPr>
                <w:sz w:val="20"/>
                <w:szCs w:val="20"/>
              </w:rPr>
            </w:pPr>
            <w:r w:rsidRPr="00A00973">
              <w:rPr>
                <w:sz w:val="20"/>
                <w:szCs w:val="20"/>
              </w:rPr>
              <w:t>NSN - continuing patient</w:t>
            </w:r>
          </w:p>
        </w:tc>
        <w:tc>
          <w:tcPr>
            <w:tcW w:w="611" w:type="pct"/>
          </w:tcPr>
          <w:p w14:paraId="1806FC64"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5F0D3AAE"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19910173"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6AF16341"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4979A395"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5A85656B"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14:paraId="23491684" w14:textId="77777777" w:rsidTr="00A00973">
        <w:tc>
          <w:tcPr>
            <w:tcW w:w="1334" w:type="pct"/>
          </w:tcPr>
          <w:p w14:paraId="26CA66F0" w14:textId="77777777" w:rsidR="0037126D" w:rsidRPr="00A00973" w:rsidRDefault="0037126D" w:rsidP="00516F35">
            <w:pPr>
              <w:pStyle w:val="TableFooter"/>
              <w:keepNext/>
              <w:jc w:val="left"/>
              <w:rPr>
                <w:sz w:val="20"/>
                <w:szCs w:val="20"/>
              </w:rPr>
            </w:pPr>
            <w:r w:rsidRPr="00A00973">
              <w:rPr>
                <w:sz w:val="20"/>
                <w:szCs w:val="20"/>
              </w:rPr>
              <w:t>NSN - continuing scripts</w:t>
            </w:r>
          </w:p>
        </w:tc>
        <w:tc>
          <w:tcPr>
            <w:tcW w:w="611" w:type="pct"/>
          </w:tcPr>
          <w:p w14:paraId="3DDBD5A9"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35A09162"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6BF62009"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5C37E564"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67680B5C"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c>
          <w:tcPr>
            <w:tcW w:w="611" w:type="pct"/>
          </w:tcPr>
          <w:p w14:paraId="1D88C70E"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B83169">
              <w:rPr>
                <w:sz w:val="20"/>
                <w:szCs w:val="20"/>
                <w:vertAlign w:val="superscript"/>
              </w:rPr>
              <w:t>2</w:t>
            </w:r>
          </w:p>
        </w:tc>
      </w:tr>
      <w:tr w:rsidR="0037126D" w:rsidRPr="00A00973" w14:paraId="16DF84D2" w14:textId="77777777" w:rsidTr="00A00973">
        <w:tc>
          <w:tcPr>
            <w:tcW w:w="1334" w:type="pct"/>
          </w:tcPr>
          <w:p w14:paraId="45F182CB" w14:textId="77777777" w:rsidR="0037126D" w:rsidRPr="00A00973" w:rsidRDefault="0037126D" w:rsidP="00516F35">
            <w:pPr>
              <w:pStyle w:val="TableFooter"/>
              <w:keepNext/>
              <w:jc w:val="left"/>
              <w:rPr>
                <w:sz w:val="20"/>
                <w:szCs w:val="20"/>
              </w:rPr>
            </w:pPr>
            <w:r w:rsidRPr="00A00973">
              <w:rPr>
                <w:sz w:val="20"/>
                <w:szCs w:val="20"/>
              </w:rPr>
              <w:t>PBS costs - continuing scripts</w:t>
            </w:r>
          </w:p>
        </w:tc>
        <w:tc>
          <w:tcPr>
            <w:tcW w:w="611" w:type="pct"/>
          </w:tcPr>
          <w:p w14:paraId="5D339277"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14:paraId="1E86CE94"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14:paraId="34AFB418"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14:paraId="539CDCA0"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6</w:t>
            </w:r>
          </w:p>
        </w:tc>
        <w:tc>
          <w:tcPr>
            <w:tcW w:w="611" w:type="pct"/>
          </w:tcPr>
          <w:p w14:paraId="43C8D325"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3</w:t>
            </w:r>
          </w:p>
        </w:tc>
        <w:tc>
          <w:tcPr>
            <w:tcW w:w="611" w:type="pct"/>
          </w:tcPr>
          <w:p w14:paraId="0A59174C" w14:textId="77777777" w:rsidR="0037126D" w:rsidRPr="00CC7358" w:rsidRDefault="00CC7358" w:rsidP="00516F35">
            <w:pPr>
              <w:pStyle w:val="TableFooter"/>
              <w:keepNext/>
              <w:jc w:val="center"/>
              <w:rPr>
                <w:sz w:val="20"/>
                <w:szCs w:val="20"/>
              </w:rPr>
            </w:pPr>
            <w:r>
              <w:rPr>
                <w:noProof/>
                <w:color w:val="000000"/>
                <w:sz w:val="20"/>
                <w:szCs w:val="20"/>
                <w:highlight w:val="black"/>
              </w:rPr>
              <w:t>'''''''''''''''''''''''''''''</w:t>
            </w:r>
            <w:r w:rsidR="00EE34AA">
              <w:rPr>
                <w:sz w:val="20"/>
                <w:szCs w:val="20"/>
                <w:vertAlign w:val="superscript"/>
              </w:rPr>
              <w:t>3</w:t>
            </w:r>
          </w:p>
        </w:tc>
      </w:tr>
      <w:tr w:rsidR="0037126D" w:rsidRPr="00A00973" w14:paraId="04770C54" w14:textId="77777777" w:rsidTr="00A00973">
        <w:tc>
          <w:tcPr>
            <w:tcW w:w="1334" w:type="pct"/>
            <w:tcBorders>
              <w:bottom w:val="double" w:sz="4" w:space="0" w:color="auto"/>
            </w:tcBorders>
            <w:shd w:val="clear" w:color="auto" w:fill="auto"/>
          </w:tcPr>
          <w:p w14:paraId="17F72756" w14:textId="77777777" w:rsidR="0037126D" w:rsidRPr="00A00973" w:rsidRDefault="0037126D" w:rsidP="00516F35">
            <w:pPr>
              <w:pStyle w:val="TableFooter"/>
              <w:keepNext/>
              <w:jc w:val="left"/>
              <w:rPr>
                <w:b/>
                <w:color w:val="FF0000"/>
                <w:sz w:val="20"/>
                <w:szCs w:val="20"/>
              </w:rPr>
            </w:pPr>
            <w:r w:rsidRPr="00A00973">
              <w:rPr>
                <w:b/>
                <w:color w:val="FF0000"/>
                <w:sz w:val="20"/>
                <w:szCs w:val="20"/>
              </w:rPr>
              <w:t xml:space="preserve">Total NSN cost offsets </w:t>
            </w:r>
            <w:r w:rsidR="00041225" w:rsidRPr="00A00973">
              <w:rPr>
                <w:b/>
                <w:color w:val="FF0000"/>
                <w:sz w:val="20"/>
                <w:szCs w:val="20"/>
              </w:rPr>
              <w:t>–</w:t>
            </w:r>
            <w:r w:rsidRPr="00A00973">
              <w:rPr>
                <w:b/>
                <w:color w:val="FF0000"/>
                <w:sz w:val="20"/>
                <w:szCs w:val="20"/>
              </w:rPr>
              <w:t xml:space="preserve"> PBS</w:t>
            </w:r>
          </w:p>
        </w:tc>
        <w:tc>
          <w:tcPr>
            <w:tcW w:w="611" w:type="pct"/>
            <w:tcBorders>
              <w:bottom w:val="double" w:sz="4" w:space="0" w:color="auto"/>
            </w:tcBorders>
            <w:shd w:val="clear" w:color="auto" w:fill="auto"/>
          </w:tcPr>
          <w:p w14:paraId="7FACC6CF" w14:textId="77777777"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14:paraId="2253F8B9" w14:textId="77777777"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14:paraId="0A799F10" w14:textId="77777777"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3</w:t>
            </w:r>
          </w:p>
        </w:tc>
        <w:tc>
          <w:tcPr>
            <w:tcW w:w="611" w:type="pct"/>
            <w:tcBorders>
              <w:bottom w:val="double" w:sz="4" w:space="0" w:color="auto"/>
            </w:tcBorders>
            <w:shd w:val="clear" w:color="auto" w:fill="auto"/>
          </w:tcPr>
          <w:p w14:paraId="76D7D1B8" w14:textId="77777777"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c>
          <w:tcPr>
            <w:tcW w:w="611" w:type="pct"/>
            <w:tcBorders>
              <w:bottom w:val="double" w:sz="4" w:space="0" w:color="auto"/>
            </w:tcBorders>
            <w:shd w:val="clear" w:color="auto" w:fill="auto"/>
          </w:tcPr>
          <w:p w14:paraId="509586CA" w14:textId="77777777"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c>
          <w:tcPr>
            <w:tcW w:w="611" w:type="pct"/>
            <w:tcBorders>
              <w:bottom w:val="double" w:sz="4" w:space="0" w:color="auto"/>
            </w:tcBorders>
            <w:shd w:val="clear" w:color="auto" w:fill="auto"/>
          </w:tcPr>
          <w:p w14:paraId="1360D278" w14:textId="77777777" w:rsidR="0037126D" w:rsidRPr="00CC7358" w:rsidRDefault="00CC7358" w:rsidP="00516F35">
            <w:pPr>
              <w:pStyle w:val="TableFooter"/>
              <w:keepNext/>
              <w:jc w:val="center"/>
              <w:rPr>
                <w:b/>
                <w:color w:val="FF0000"/>
                <w:sz w:val="20"/>
                <w:szCs w:val="20"/>
              </w:rPr>
            </w:pPr>
            <w:r>
              <w:rPr>
                <w:b/>
                <w:noProof/>
                <w:color w:val="000000"/>
                <w:sz w:val="20"/>
                <w:szCs w:val="20"/>
                <w:highlight w:val="black"/>
              </w:rPr>
              <w:t>'''''''''''''''''''''''''</w:t>
            </w:r>
            <w:r w:rsidR="00EE34AA">
              <w:rPr>
                <w:sz w:val="20"/>
                <w:szCs w:val="20"/>
                <w:vertAlign w:val="superscript"/>
              </w:rPr>
              <w:t>7</w:t>
            </w:r>
          </w:p>
        </w:tc>
      </w:tr>
      <w:tr w:rsidR="0037126D" w:rsidRPr="00A00973" w14:paraId="59894AC9" w14:textId="77777777" w:rsidTr="00A00973">
        <w:tc>
          <w:tcPr>
            <w:tcW w:w="1334" w:type="pct"/>
            <w:tcBorders>
              <w:top w:val="double" w:sz="4" w:space="0" w:color="auto"/>
            </w:tcBorders>
            <w:shd w:val="clear" w:color="auto" w:fill="auto"/>
          </w:tcPr>
          <w:p w14:paraId="6620B7F9" w14:textId="77777777" w:rsidR="0037126D" w:rsidRPr="00A00973" w:rsidRDefault="0037126D" w:rsidP="00516F35">
            <w:pPr>
              <w:pStyle w:val="TableFooter"/>
              <w:keepNext/>
              <w:jc w:val="left"/>
              <w:rPr>
                <w:b/>
                <w:sz w:val="20"/>
                <w:szCs w:val="20"/>
              </w:rPr>
            </w:pPr>
            <w:r w:rsidRPr="00A00973">
              <w:rPr>
                <w:b/>
                <w:sz w:val="20"/>
                <w:szCs w:val="20"/>
              </w:rPr>
              <w:t>Net PBS cost of listing ONA</w:t>
            </w:r>
          </w:p>
        </w:tc>
        <w:tc>
          <w:tcPr>
            <w:tcW w:w="611" w:type="pct"/>
            <w:tcBorders>
              <w:top w:val="double" w:sz="4" w:space="0" w:color="auto"/>
            </w:tcBorders>
            <w:shd w:val="clear" w:color="auto" w:fill="auto"/>
          </w:tcPr>
          <w:p w14:paraId="103EB3E9" w14:textId="77777777"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5</w:t>
            </w:r>
          </w:p>
        </w:tc>
        <w:tc>
          <w:tcPr>
            <w:tcW w:w="611" w:type="pct"/>
            <w:tcBorders>
              <w:top w:val="double" w:sz="4" w:space="0" w:color="auto"/>
            </w:tcBorders>
            <w:shd w:val="clear" w:color="auto" w:fill="auto"/>
          </w:tcPr>
          <w:p w14:paraId="5088AD10" w14:textId="77777777"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14:paraId="26641A3A" w14:textId="77777777"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14:paraId="694EED9F" w14:textId="77777777"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14:paraId="13FEE2B4" w14:textId="77777777"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c>
          <w:tcPr>
            <w:tcW w:w="611" w:type="pct"/>
            <w:tcBorders>
              <w:top w:val="double" w:sz="4" w:space="0" w:color="auto"/>
            </w:tcBorders>
            <w:shd w:val="clear" w:color="auto" w:fill="auto"/>
          </w:tcPr>
          <w:p w14:paraId="344BC31F" w14:textId="77777777" w:rsidR="0037126D" w:rsidRPr="00CC7358" w:rsidRDefault="00CC7358" w:rsidP="00516F35">
            <w:pPr>
              <w:pStyle w:val="TableFooter"/>
              <w:keepNext/>
              <w:jc w:val="center"/>
              <w:rPr>
                <w:b/>
                <w:sz w:val="20"/>
                <w:szCs w:val="20"/>
              </w:rPr>
            </w:pPr>
            <w:r>
              <w:rPr>
                <w:b/>
                <w:noProof/>
                <w:color w:val="000000"/>
                <w:sz w:val="20"/>
                <w:szCs w:val="20"/>
                <w:highlight w:val="black"/>
              </w:rPr>
              <w:t>''''''''''''''''''''''</w:t>
            </w:r>
            <w:r w:rsidR="00EE34AA">
              <w:rPr>
                <w:sz w:val="20"/>
                <w:szCs w:val="20"/>
                <w:vertAlign w:val="superscript"/>
              </w:rPr>
              <w:t>8</w:t>
            </w:r>
          </w:p>
        </w:tc>
      </w:tr>
    </w:tbl>
    <w:p w14:paraId="0306E8A6" w14:textId="77777777" w:rsidR="00C735C4" w:rsidRPr="00917415" w:rsidRDefault="00C735C4" w:rsidP="00A00973">
      <w:pPr>
        <w:pStyle w:val="TableFigureFooter"/>
      </w:pPr>
      <w:r w:rsidRPr="00917415">
        <w:t xml:space="preserve">* </w:t>
      </w:r>
      <w:r w:rsidR="003411AA" w:rsidRPr="00917415">
        <w:t>MTOP: Medical Treatment Overseas Program</w:t>
      </w:r>
      <w:r w:rsidRPr="00917415">
        <w:t xml:space="preserve"> patients </w:t>
      </w:r>
      <w:r w:rsidR="004C2AE8" w:rsidRPr="00917415">
        <w:t>(N=</w:t>
      </w:r>
      <w:r w:rsidR="00A76C6C">
        <w:t>&lt;500</w:t>
      </w:r>
      <w:r w:rsidR="004C2AE8" w:rsidRPr="00917415">
        <w:t xml:space="preserve">) </w:t>
      </w:r>
      <w:r w:rsidRPr="00917415">
        <w:t>were included in the total patients (N=</w:t>
      </w:r>
      <w:r w:rsidR="00A76C6C">
        <w:t>&lt;500</w:t>
      </w:r>
      <w:r w:rsidRPr="00917415">
        <w:t>) in Year 1</w:t>
      </w:r>
      <w:r w:rsidR="00621C8B" w:rsidRPr="00917415">
        <w:t xml:space="preserve">; </w:t>
      </w:r>
      <w:r w:rsidRPr="00917415">
        <w:t>** The Market Access Program (MAP) patients (N=</w:t>
      </w:r>
      <w:r w:rsidR="00A76C6C">
        <w:t>&lt;500</w:t>
      </w:r>
      <w:r w:rsidRPr="00917415">
        <w:t xml:space="preserve">) did not contribute to the PBS drug costs but were included for the MBS costs associated with treatment </w:t>
      </w:r>
    </w:p>
    <w:p w14:paraId="3B17E3CC" w14:textId="77777777" w:rsidR="00C735C4" w:rsidRDefault="00C9619F" w:rsidP="00A00973">
      <w:pPr>
        <w:pStyle w:val="TableFigureFooter"/>
      </w:pPr>
      <w:r w:rsidRPr="00917415">
        <w:t>S</w:t>
      </w:r>
      <w:r w:rsidR="00621C8B" w:rsidRPr="00917415">
        <w:t xml:space="preserve">MA=spinal muscular atrophy; </w:t>
      </w:r>
      <w:r w:rsidR="00C735C4" w:rsidRPr="00917415">
        <w:t>Source:</w:t>
      </w:r>
      <w:r w:rsidR="00900CD0" w:rsidRPr="00917415">
        <w:t xml:space="preserve"> Table 4.5, 4.7 of the submission and calculated during the evaluation.</w:t>
      </w:r>
    </w:p>
    <w:p w14:paraId="1E8AEB7F" w14:textId="77777777" w:rsidR="00823FBD" w:rsidRPr="009868C4" w:rsidRDefault="00823FBD" w:rsidP="00823FBD">
      <w:pPr>
        <w:pStyle w:val="TableFigureFooter"/>
        <w:spacing w:after="0"/>
        <w:contextualSpacing w:val="0"/>
      </w:pPr>
      <w:r w:rsidRPr="009868C4">
        <w:rPr>
          <w:i/>
        </w:rPr>
        <w:t>The redacted values correspond to the following ranges</w:t>
      </w:r>
      <w:r>
        <w:rPr>
          <w:i/>
        </w:rPr>
        <w:t xml:space="preserve">: </w:t>
      </w:r>
    </w:p>
    <w:p w14:paraId="52791E35" w14:textId="77777777" w:rsidR="00823FBD" w:rsidRPr="00E76465" w:rsidRDefault="00823FBD" w:rsidP="00823FBD">
      <w:pPr>
        <w:pStyle w:val="TableFigureFooter"/>
        <w:rPr>
          <w:i/>
        </w:rPr>
      </w:pPr>
      <w:r w:rsidRPr="00E76465">
        <w:rPr>
          <w:i/>
          <w:vertAlign w:val="superscript"/>
        </w:rPr>
        <w:t>1</w:t>
      </w:r>
      <w:r w:rsidRPr="00E76465">
        <w:rPr>
          <w:i/>
        </w:rPr>
        <w:t xml:space="preserve"> </w:t>
      </w:r>
      <w:r w:rsidR="00E109FE" w:rsidRPr="00E109FE">
        <w:rPr>
          <w:i/>
        </w:rPr>
        <w:t>300,000 to &lt; 400,000</w:t>
      </w:r>
    </w:p>
    <w:p w14:paraId="0B88C481" w14:textId="77777777" w:rsidR="00823FBD" w:rsidRPr="00E76465" w:rsidRDefault="00823FBD" w:rsidP="00823FBD">
      <w:pPr>
        <w:pStyle w:val="TableFigureFooter"/>
        <w:rPr>
          <w:i/>
        </w:rPr>
      </w:pPr>
      <w:r w:rsidRPr="00E76465">
        <w:rPr>
          <w:i/>
          <w:vertAlign w:val="superscript"/>
        </w:rPr>
        <w:t>2</w:t>
      </w:r>
      <w:r w:rsidRPr="00E76465">
        <w:rPr>
          <w:i/>
        </w:rPr>
        <w:t xml:space="preserve"> </w:t>
      </w:r>
      <w:r w:rsidR="00E109FE" w:rsidRPr="00E109FE">
        <w:rPr>
          <w:i/>
        </w:rPr>
        <w:t>&lt; 500</w:t>
      </w:r>
    </w:p>
    <w:p w14:paraId="18E735E6" w14:textId="77777777" w:rsidR="00B83169" w:rsidRDefault="00823FBD" w:rsidP="00B83169">
      <w:pPr>
        <w:pStyle w:val="TableFigureFooter"/>
        <w:rPr>
          <w:i/>
        </w:rPr>
      </w:pPr>
      <w:r w:rsidRPr="00E76465">
        <w:rPr>
          <w:i/>
          <w:vertAlign w:val="superscript"/>
        </w:rPr>
        <w:t>3</w:t>
      </w:r>
      <w:r w:rsidRPr="00E76465">
        <w:rPr>
          <w:i/>
        </w:rPr>
        <w:t xml:space="preserve"> </w:t>
      </w:r>
      <w:r w:rsidR="00B83169" w:rsidRPr="00B83169">
        <w:rPr>
          <w:i/>
        </w:rPr>
        <w:t>$10 million to &lt; $20 million</w:t>
      </w:r>
    </w:p>
    <w:p w14:paraId="790B7265" w14:textId="77777777" w:rsidR="00B83169" w:rsidRPr="00B83169" w:rsidRDefault="00B83169" w:rsidP="00B83169">
      <w:pPr>
        <w:pStyle w:val="TableFigureFooter"/>
        <w:rPr>
          <w:i/>
        </w:rPr>
      </w:pPr>
      <w:r>
        <w:rPr>
          <w:i/>
          <w:vertAlign w:val="superscript"/>
        </w:rPr>
        <w:t xml:space="preserve">4 </w:t>
      </w:r>
      <w:r w:rsidRPr="00B83169">
        <w:rPr>
          <w:i/>
        </w:rPr>
        <w:t>$60 million to &lt; $70 million</w:t>
      </w:r>
    </w:p>
    <w:p w14:paraId="47309596" w14:textId="77777777" w:rsidR="00B83169" w:rsidRPr="00B83169" w:rsidRDefault="00B83169" w:rsidP="00B83169">
      <w:pPr>
        <w:pStyle w:val="TableFigureFooter"/>
        <w:rPr>
          <w:i/>
        </w:rPr>
      </w:pPr>
      <w:r>
        <w:rPr>
          <w:i/>
          <w:vertAlign w:val="superscript"/>
        </w:rPr>
        <w:t xml:space="preserve">5 </w:t>
      </w:r>
      <w:r w:rsidRPr="00B83169">
        <w:rPr>
          <w:i/>
        </w:rPr>
        <w:t>$50 million to &lt; $60 million</w:t>
      </w:r>
    </w:p>
    <w:p w14:paraId="2DE76FF0" w14:textId="77777777" w:rsidR="00B83169" w:rsidRPr="00B83169" w:rsidRDefault="00B83169" w:rsidP="00B83169">
      <w:pPr>
        <w:pStyle w:val="TableFigureFooter"/>
        <w:rPr>
          <w:i/>
        </w:rPr>
      </w:pPr>
      <w:r>
        <w:rPr>
          <w:i/>
          <w:vertAlign w:val="superscript"/>
        </w:rPr>
        <w:t xml:space="preserve">6 </w:t>
      </w:r>
      <w:r w:rsidRPr="00B83169">
        <w:rPr>
          <w:i/>
        </w:rPr>
        <w:t>$0 to &lt; $10 million</w:t>
      </w:r>
    </w:p>
    <w:p w14:paraId="22BE18DD" w14:textId="77777777" w:rsidR="00B83169" w:rsidRPr="00B83169" w:rsidRDefault="00EE34AA" w:rsidP="00B83169">
      <w:pPr>
        <w:pStyle w:val="TableFigureFooter"/>
        <w:rPr>
          <w:i/>
        </w:rPr>
      </w:pPr>
      <w:r>
        <w:rPr>
          <w:i/>
          <w:vertAlign w:val="superscript"/>
        </w:rPr>
        <w:t xml:space="preserve">7 </w:t>
      </w:r>
      <w:r w:rsidR="00B83169" w:rsidRPr="00B83169">
        <w:rPr>
          <w:i/>
        </w:rPr>
        <w:t>$20 million to &lt; $30 million</w:t>
      </w:r>
    </w:p>
    <w:p w14:paraId="71CCA57B" w14:textId="77777777" w:rsidR="00823FBD" w:rsidRPr="00EE34AA" w:rsidRDefault="00EE34AA" w:rsidP="00A00973">
      <w:pPr>
        <w:pStyle w:val="TableFigureFooter"/>
        <w:rPr>
          <w:i/>
        </w:rPr>
      </w:pPr>
      <w:r>
        <w:rPr>
          <w:i/>
          <w:vertAlign w:val="superscript"/>
        </w:rPr>
        <w:t xml:space="preserve">8 </w:t>
      </w:r>
      <w:r w:rsidR="00B83169" w:rsidRPr="00B83169">
        <w:rPr>
          <w:i/>
        </w:rPr>
        <w:t>$30 million to &lt; $40 million</w:t>
      </w:r>
    </w:p>
    <w:p w14:paraId="52F55FA9" w14:textId="77777777" w:rsidR="00903287" w:rsidRPr="00917415" w:rsidRDefault="00903287" w:rsidP="00516F35">
      <w:pPr>
        <w:pStyle w:val="3-BodyText"/>
        <w:numPr>
          <w:ilvl w:val="1"/>
          <w:numId w:val="1"/>
        </w:numPr>
      </w:pPr>
      <w:r w:rsidRPr="00917415">
        <w:lastRenderedPageBreak/>
        <w:t xml:space="preserve">The pre-PBAC response noted that “since lodgement of the original submission, children with Type 1 SMA have continued to be treated with ONA under various early access routes in </w:t>
      </w:r>
      <w:r w:rsidRPr="002578B8">
        <w:t xml:space="preserve">Australia and an additional six children have now been treated”. </w:t>
      </w:r>
      <w:r w:rsidR="00CC7358">
        <w:rPr>
          <w:noProof/>
          <w:color w:val="000000"/>
          <w:highlight w:val="black"/>
        </w:rPr>
        <w:t>'''''''''' '''''' ''''''''''''' ''''''''''''''''''' ''''''''' '''''''''''''''''' '''' ''''''' ''''''''''''''' '''''''''''''''''''''' '''''' ''''''''''''''''' ''''''''' ''''''''' ''''''''' ''''''''''''''</w:t>
      </w:r>
      <w:r w:rsidRPr="002578B8">
        <w:t>.</w:t>
      </w:r>
    </w:p>
    <w:p w14:paraId="2A63B987" w14:textId="77777777" w:rsidR="00621C8B" w:rsidRPr="00917415" w:rsidRDefault="00C735C4" w:rsidP="00B72AF9">
      <w:pPr>
        <w:pStyle w:val="3-BodyText"/>
      </w:pPr>
      <w:r w:rsidRPr="00917415">
        <w:t xml:space="preserve">The </w:t>
      </w:r>
      <w:r w:rsidR="0037126D" w:rsidRPr="00917415">
        <w:t>net</w:t>
      </w:r>
      <w:r w:rsidRPr="00917415">
        <w:t xml:space="preserve"> cost to the PBS of listing ONA was estimated </w:t>
      </w:r>
      <w:r w:rsidR="00621C8B" w:rsidRPr="00917415">
        <w:t xml:space="preserve">by the submission </w:t>
      </w:r>
      <w:r w:rsidRPr="00917415">
        <w:t xml:space="preserve">to be over </w:t>
      </w:r>
      <w:r w:rsidR="00B72AF9" w:rsidRPr="00B72AF9">
        <w:t>$30 million to &lt; $40 million</w:t>
      </w:r>
      <w:r w:rsidR="00B72AF9">
        <w:t xml:space="preserve"> </w:t>
      </w:r>
      <w:r w:rsidRPr="00917415">
        <w:t xml:space="preserve">in Year 6, and </w:t>
      </w:r>
      <w:r w:rsidR="00B72AF9">
        <w:t>$20</w:t>
      </w:r>
      <w:r w:rsidR="00B72AF9" w:rsidRPr="00B72AF9">
        <w:t>0 million to &lt; $</w:t>
      </w:r>
      <w:r w:rsidR="00B72AF9">
        <w:t>30</w:t>
      </w:r>
      <w:r w:rsidR="00B72AF9" w:rsidRPr="00B72AF9">
        <w:t>0 million</w:t>
      </w:r>
      <w:r w:rsidR="00B72AF9">
        <w:t xml:space="preserve"> </w:t>
      </w:r>
      <w:r w:rsidRPr="00917415">
        <w:t>in the first 6 years of listing.</w:t>
      </w:r>
      <w:r w:rsidR="0037126D" w:rsidRPr="00917415">
        <w:t xml:space="preserve"> </w:t>
      </w:r>
      <w:r w:rsidRPr="00917415">
        <w:t xml:space="preserve">This included a net PBS offset for </w:t>
      </w:r>
      <w:r w:rsidR="00EE09B5" w:rsidRPr="00917415">
        <w:t>NUSI</w:t>
      </w:r>
      <w:r w:rsidRPr="00917415">
        <w:t xml:space="preserve"> of </w:t>
      </w:r>
      <w:r w:rsidR="00B72AF9" w:rsidRPr="00B72AF9">
        <w:t>$</w:t>
      </w:r>
      <w:r w:rsidR="00B72AF9">
        <w:t>10</w:t>
      </w:r>
      <w:r w:rsidR="00B72AF9" w:rsidRPr="00B72AF9">
        <w:t>0 million to &lt; $</w:t>
      </w:r>
      <w:r w:rsidR="00B72AF9">
        <w:t>20</w:t>
      </w:r>
      <w:r w:rsidR="00B72AF9" w:rsidRPr="00B72AF9">
        <w:t>0 million</w:t>
      </w:r>
      <w:r w:rsidR="00B72AF9">
        <w:t xml:space="preserve"> </w:t>
      </w:r>
      <w:r w:rsidRPr="00917415">
        <w:t>over six years</w:t>
      </w:r>
      <w:r w:rsidR="00E972CB" w:rsidRPr="00917415">
        <w:t>, based on the published price for NUSI</w:t>
      </w:r>
      <w:r w:rsidR="003411AA" w:rsidRPr="00917415">
        <w:t>, and includ</w:t>
      </w:r>
      <w:r w:rsidR="00812204" w:rsidRPr="00917415">
        <w:t xml:space="preserve">ed </w:t>
      </w:r>
      <w:r w:rsidR="003411AA" w:rsidRPr="00917415">
        <w:t>the cost for patients treated through the Medical Treatment Overseas Program</w:t>
      </w:r>
      <w:r w:rsidR="00621C8B" w:rsidRPr="00917415">
        <w:t>.</w:t>
      </w:r>
    </w:p>
    <w:p w14:paraId="4ED12F6F" w14:textId="77777777" w:rsidR="00B0619D" w:rsidRPr="00917415" w:rsidRDefault="00B0619D" w:rsidP="00516F35">
      <w:pPr>
        <w:pStyle w:val="3-BodyText"/>
        <w:numPr>
          <w:ilvl w:val="1"/>
          <w:numId w:val="1"/>
        </w:numPr>
      </w:pPr>
      <w:r w:rsidRPr="00917415">
        <w:t>The PBAC noted the submission</w:t>
      </w:r>
      <w:r w:rsidR="00635341" w:rsidRPr="00917415">
        <w:t>’</w:t>
      </w:r>
      <w:r w:rsidRPr="00917415">
        <w:t>s assumption ONA will replace NUSI is not consistent with the requested PBS restriction and has a large impact on the cost to the PBS</w:t>
      </w:r>
      <w:r w:rsidR="00917415">
        <w:t xml:space="preserve">. </w:t>
      </w:r>
    </w:p>
    <w:p w14:paraId="4A15826D" w14:textId="77777777" w:rsidR="00B0619D" w:rsidRPr="00917415" w:rsidRDefault="00B0619D" w:rsidP="00516F35">
      <w:pPr>
        <w:pStyle w:val="3-BodyText"/>
      </w:pPr>
      <w:r w:rsidRPr="00917415">
        <w:t xml:space="preserve">The PBAC noted the submission’s estimates do not account for the recent MSAC </w:t>
      </w:r>
      <w:r w:rsidR="00A41C3F" w:rsidRPr="00917415">
        <w:t xml:space="preserve">support for public funding of reproductive carrier testing to detect </w:t>
      </w:r>
      <w:r w:rsidR="006F5DA2" w:rsidRPr="00917415">
        <w:t>c</w:t>
      </w:r>
      <w:r w:rsidR="00A41C3F" w:rsidRPr="00917415">
        <w:t xml:space="preserve">ystic </w:t>
      </w:r>
      <w:r w:rsidR="006F5DA2" w:rsidRPr="00917415">
        <w:t>f</w:t>
      </w:r>
      <w:r w:rsidR="00A41C3F" w:rsidRPr="00917415">
        <w:t xml:space="preserve">ibrosis, SMA and </w:t>
      </w:r>
      <w:r w:rsidR="006F5DA2" w:rsidRPr="00917415">
        <w:t>f</w:t>
      </w:r>
      <w:r w:rsidR="00A41C3F" w:rsidRPr="00917415">
        <w:t>ragile X</w:t>
      </w:r>
      <w:r w:rsidR="006F5DA2" w:rsidRPr="00917415">
        <w:t xml:space="preserve"> syndrome</w:t>
      </w:r>
      <w:r w:rsidR="00A41C3F" w:rsidRPr="00917415">
        <w:t xml:space="preserve"> pathogenic variants in women early</w:t>
      </w:r>
      <w:r w:rsidR="006F5DA2" w:rsidRPr="00917415">
        <w:t xml:space="preserve"> </w:t>
      </w:r>
      <w:r w:rsidR="00A41C3F" w:rsidRPr="00917415">
        <w:t>in pregnancy or intending to become pregnant, and in their reproductive partners as needed</w:t>
      </w:r>
      <w:r w:rsidR="00F22FFD" w:rsidRPr="00917415">
        <w:t xml:space="preserve"> (MSAC 1573)</w:t>
      </w:r>
      <w:r w:rsidR="00A41C3F" w:rsidRPr="00917415">
        <w:t xml:space="preserve">. </w:t>
      </w:r>
    </w:p>
    <w:p w14:paraId="363965EA" w14:textId="77777777" w:rsidR="00C735C4" w:rsidRPr="00917415" w:rsidRDefault="00C735C4" w:rsidP="00516F35">
      <w:pPr>
        <w:pStyle w:val="4-SubsectionHeading"/>
      </w:pPr>
      <w:bookmarkStart w:id="21" w:name="_Toc22897648"/>
      <w:bookmarkStart w:id="22" w:name="_Toc51152462"/>
      <w:r w:rsidRPr="00917415">
        <w:t>Quality Use of Medicines</w:t>
      </w:r>
      <w:bookmarkEnd w:id="21"/>
      <w:bookmarkEnd w:id="22"/>
    </w:p>
    <w:p w14:paraId="5307A570" w14:textId="77777777" w:rsidR="00C735C4" w:rsidRPr="00917415" w:rsidRDefault="00C735C4" w:rsidP="00516F35">
      <w:pPr>
        <w:pStyle w:val="3-BodyText"/>
        <w:numPr>
          <w:ilvl w:val="1"/>
          <w:numId w:val="1"/>
        </w:numPr>
      </w:pPr>
      <w:r w:rsidRPr="00917415">
        <w:t>No quality use of medicines information was presented in the submission</w:t>
      </w:r>
      <w:r w:rsidRPr="00917415">
        <w:rPr>
          <w:iCs/>
        </w:rPr>
        <w:t>.</w:t>
      </w:r>
    </w:p>
    <w:p w14:paraId="676294F3" w14:textId="77777777" w:rsidR="00C735C4" w:rsidRPr="00917415" w:rsidRDefault="00C735C4" w:rsidP="00516F35">
      <w:pPr>
        <w:pStyle w:val="4-SubsectionHeading"/>
      </w:pPr>
      <w:bookmarkStart w:id="23" w:name="_Toc22897649"/>
      <w:bookmarkStart w:id="24" w:name="_Toc51152463"/>
      <w:r w:rsidRPr="00917415">
        <w:t>Financial Management – Risk Sharing Arrangements</w:t>
      </w:r>
      <w:bookmarkEnd w:id="23"/>
      <w:bookmarkEnd w:id="24"/>
    </w:p>
    <w:p w14:paraId="4BF91142" w14:textId="77777777" w:rsidR="006F5DA2" w:rsidRPr="00917415" w:rsidRDefault="00C735C4" w:rsidP="00516F35">
      <w:pPr>
        <w:pStyle w:val="3-BodyText"/>
      </w:pPr>
      <w:r w:rsidRPr="00917415">
        <w:t>The</w:t>
      </w:r>
      <w:r w:rsidR="006F5DA2" w:rsidRPr="00917415">
        <w:t xml:space="preserve"> PBAC noted the</w:t>
      </w:r>
      <w:r w:rsidRPr="00917415">
        <w:t xml:space="preserve"> submission listed a number of options</w:t>
      </w:r>
      <w:r w:rsidR="006F5DA2" w:rsidRPr="00917415">
        <w:t xml:space="preserve"> for structuring payments for ONA</w:t>
      </w:r>
      <w:r w:rsidRPr="00917415">
        <w:t>, including payments by instalment, a pay-for-performance model or a more traditional PBS-type agreement with ‘list versus effective’ pricing rebates and expenditure caps.</w:t>
      </w:r>
      <w:r w:rsidR="00E420E2" w:rsidRPr="00917415">
        <w:t xml:space="preserve"> </w:t>
      </w:r>
    </w:p>
    <w:p w14:paraId="2D17E8CB" w14:textId="77777777" w:rsidR="005B7F80" w:rsidRPr="00917415" w:rsidRDefault="0004317C" w:rsidP="00516F35">
      <w:pPr>
        <w:pStyle w:val="3-BodyText"/>
      </w:pPr>
      <w:r w:rsidRPr="00917415">
        <w:t xml:space="preserve">The PBAC </w:t>
      </w:r>
      <w:r w:rsidR="000A66AA" w:rsidRPr="00917415">
        <w:t xml:space="preserve">advised </w:t>
      </w:r>
      <w:r w:rsidRPr="00917415">
        <w:t>the usual practice of paying the full price</w:t>
      </w:r>
      <w:r w:rsidRPr="00917415">
        <w:rPr>
          <w:vertAlign w:val="superscript"/>
        </w:rPr>
        <w:footnoteReference w:id="3"/>
      </w:r>
      <w:r w:rsidRPr="00917415">
        <w:t xml:space="preserve"> for each prescription up front may not be appropriate for ONA</w:t>
      </w:r>
      <w:r w:rsidR="006F5DA2" w:rsidRPr="00917415">
        <w:t xml:space="preserve">. </w:t>
      </w:r>
      <w:r w:rsidR="005B7F80" w:rsidRPr="00917415">
        <w:t xml:space="preserve">The </w:t>
      </w:r>
      <w:r w:rsidR="006F5DA2" w:rsidRPr="00917415">
        <w:t xml:space="preserve">PBAC </w:t>
      </w:r>
      <w:r w:rsidR="005B7F80" w:rsidRPr="00917415">
        <w:t>considered an instalment and performance based payment arrangement may be an appropriate means of managing the risk to the payer that ONA will not deliver the long term improvements in function predicted by the submission, particularly in the context of the available short duration of follow up of a small number of patients.</w:t>
      </w:r>
      <w:r w:rsidR="00E61F30" w:rsidRPr="00917415">
        <w:t xml:space="preserve"> The Pre-PBAC response noted that the price in the submission is influenced by the exchange rate at the time, and that the upfront payment for ONA should be taken into the context of it being a once only payment while </w:t>
      </w:r>
      <w:r w:rsidR="006F5DA2" w:rsidRPr="00917415">
        <w:t xml:space="preserve">treatment with </w:t>
      </w:r>
      <w:r w:rsidR="00EE09B5" w:rsidRPr="00917415">
        <w:t>NUSI</w:t>
      </w:r>
      <w:r w:rsidR="00E61F30" w:rsidRPr="00917415">
        <w:t xml:space="preserve"> involves ongoing costs. </w:t>
      </w:r>
    </w:p>
    <w:p w14:paraId="094A8918" w14:textId="77777777" w:rsidR="00584C56" w:rsidRPr="00917415" w:rsidRDefault="00584C56" w:rsidP="00584C56">
      <w:pPr>
        <w:pStyle w:val="3-BodyText"/>
      </w:pPr>
      <w:r w:rsidRPr="00917415">
        <w:t xml:space="preserve">In the event ONA is recommended for subsidy, the PBAC considered it appropriate for long-term data on the effectiveness and safety of ONA to be captured in a registry as a way to better inform the cost-effectiveness of treatment with ONA in the longer term. The PBAC noted a registry may form part of the TGA Risk Management Plan </w:t>
      </w:r>
      <w:r w:rsidRPr="00917415">
        <w:lastRenderedPageBreak/>
        <w:t xml:space="preserve">(RMP). The PBAC requested the applicant provide further information on this matter to allow </w:t>
      </w:r>
      <w:r w:rsidR="00A70E7D" w:rsidRPr="00917415">
        <w:t xml:space="preserve">the </w:t>
      </w:r>
      <w:r w:rsidRPr="00917415">
        <w:t>PBAC to consider whether the RMP data could be used for an instalment based payment arrangement and/or for monitoring and reviewing cost-effectiveness, or whether it would need to be supplemented with further data elements</w:t>
      </w:r>
      <w:r w:rsidR="00F31641" w:rsidRPr="00917415">
        <w:t xml:space="preserve"> (see additional comments in PBAC outcome regarding potential need for a disease-based registry)</w:t>
      </w:r>
      <w:r w:rsidRPr="00917415">
        <w:t>.</w:t>
      </w:r>
    </w:p>
    <w:p w14:paraId="0B7A0CED" w14:textId="77777777" w:rsidR="00E37F2D" w:rsidRPr="00917415" w:rsidRDefault="00E37F2D" w:rsidP="00E37F2D">
      <w:pPr>
        <w:pStyle w:val="BodyText1"/>
        <w:ind w:left="510" w:firstLine="170"/>
        <w:rPr>
          <w:rFonts w:asciiTheme="minorHAnsi" w:hAnsiTheme="minorHAnsi" w:cstheme="minorHAnsi"/>
          <w:i/>
          <w:sz w:val="24"/>
          <w:lang w:val="en-AU"/>
        </w:rPr>
      </w:pPr>
      <w:r w:rsidRPr="00917415">
        <w:rPr>
          <w:rFonts w:asciiTheme="minorHAnsi" w:hAnsiTheme="minorHAnsi" w:cstheme="minorHAnsi"/>
          <w:i/>
          <w:sz w:val="24"/>
          <w:lang w:val="en-AU"/>
        </w:rPr>
        <w:t>For more detail on PBAC’s view, see section 7 PBAC outcome.</w:t>
      </w:r>
    </w:p>
    <w:p w14:paraId="644EA435" w14:textId="77777777" w:rsidR="00641B06" w:rsidRPr="00917415" w:rsidRDefault="00641B06" w:rsidP="00516F35">
      <w:pPr>
        <w:pStyle w:val="2-SectionHeading"/>
      </w:pPr>
      <w:bookmarkStart w:id="25" w:name="_Toc380746195"/>
      <w:bookmarkStart w:id="26" w:name="_Toc380746321"/>
      <w:bookmarkStart w:id="27" w:name="_Toc380746602"/>
      <w:r w:rsidRPr="00917415">
        <w:t>PBAC Outcome</w:t>
      </w:r>
    </w:p>
    <w:p w14:paraId="37FE635D" w14:textId="77777777" w:rsidR="0075654A" w:rsidRPr="00917415" w:rsidRDefault="00F622C8" w:rsidP="0075654A">
      <w:pPr>
        <w:pStyle w:val="3-BodyText"/>
        <w:widowControl w:val="0"/>
        <w:numPr>
          <w:ilvl w:val="1"/>
          <w:numId w:val="1"/>
        </w:numPr>
        <w:rPr>
          <w:bCs/>
        </w:rPr>
      </w:pPr>
      <w:r w:rsidRPr="00917415">
        <w:t xml:space="preserve">The PBAC deferred making a </w:t>
      </w:r>
      <w:r w:rsidR="00D43768" w:rsidRPr="00917415">
        <w:t xml:space="preserve">decision on the request for PBS listing of </w:t>
      </w:r>
      <w:r w:rsidRPr="00917415">
        <w:t>onasemnogene abeparvovec</w:t>
      </w:r>
      <w:r w:rsidR="007749DA" w:rsidRPr="00917415">
        <w:t xml:space="preserve"> (ONA)</w:t>
      </w:r>
      <w:r w:rsidRPr="00917415">
        <w:t xml:space="preserve"> (Zolgensma®) in patients less than 2 years of age with </w:t>
      </w:r>
      <w:r w:rsidR="00F512D1" w:rsidRPr="00917415">
        <w:t xml:space="preserve">confirmed </w:t>
      </w:r>
      <w:r w:rsidRPr="00917415">
        <w:t>Type I SMA</w:t>
      </w:r>
      <w:r w:rsidR="00D43768" w:rsidRPr="00917415">
        <w:t xml:space="preserve"> </w:t>
      </w:r>
      <w:r w:rsidR="00F512D1" w:rsidRPr="00917415">
        <w:t xml:space="preserve">(based on genotype and phenotype) </w:t>
      </w:r>
      <w:r w:rsidR="00D43768" w:rsidRPr="00917415">
        <w:t xml:space="preserve">to allow </w:t>
      </w:r>
      <w:r w:rsidR="002932EC">
        <w:t xml:space="preserve">the </w:t>
      </w:r>
      <w:r w:rsidR="00D43768" w:rsidRPr="00917415">
        <w:t xml:space="preserve">TGA to confirm the indication </w:t>
      </w:r>
      <w:r w:rsidR="00F512D1" w:rsidRPr="00917415">
        <w:t xml:space="preserve">for the therapy </w:t>
      </w:r>
      <w:r w:rsidR="00D43768" w:rsidRPr="00917415">
        <w:t>and work to be progressed on a Decision Support Analysis as described below.</w:t>
      </w:r>
      <w:r w:rsidRPr="00917415">
        <w:t xml:space="preserve"> </w:t>
      </w:r>
      <w:r w:rsidR="00FE17C9" w:rsidRPr="00917415">
        <w:t>However,</w:t>
      </w:r>
      <w:r w:rsidR="003C6DDF" w:rsidRPr="00917415">
        <w:t xml:space="preserve"> as set out above,</w:t>
      </w:r>
      <w:r w:rsidR="00FE17C9" w:rsidRPr="00917415">
        <w:t xml:space="preserve"> the PBAC had a number of concerns with the current subsidy proposal</w:t>
      </w:r>
      <w:r w:rsidR="003C6DDF" w:rsidRPr="00917415">
        <w:t xml:space="preserve"> for ONA. Most importantly, the PBAC did not accept the submission’s claim that ONA is superior in terms of effectiveness and safety </w:t>
      </w:r>
      <w:r w:rsidR="00F512D1" w:rsidRPr="00917415">
        <w:t xml:space="preserve">compared to </w:t>
      </w:r>
      <w:r w:rsidR="003C6DDF" w:rsidRPr="00917415">
        <w:t>NUSI</w:t>
      </w:r>
      <w:r w:rsidR="0075654A" w:rsidRPr="00917415">
        <w:t xml:space="preserve">. Overall, having considered all the available evidence, </w:t>
      </w:r>
      <w:r w:rsidR="00A70E7D" w:rsidRPr="00917415">
        <w:t xml:space="preserve">the </w:t>
      </w:r>
      <w:r w:rsidR="0075654A" w:rsidRPr="00917415">
        <w:t xml:space="preserve">PBAC concluded that, on balance ONA would likely deliver similar clinical outcomes to NUSI in matched patients (see Clinical Claim above). </w:t>
      </w:r>
    </w:p>
    <w:p w14:paraId="3536C605" w14:textId="77777777" w:rsidR="007749DA" w:rsidRPr="00917415" w:rsidRDefault="007749DA" w:rsidP="0075654A">
      <w:pPr>
        <w:pStyle w:val="3-BodyText"/>
        <w:widowControl w:val="0"/>
        <w:numPr>
          <w:ilvl w:val="1"/>
          <w:numId w:val="1"/>
        </w:numPr>
        <w:rPr>
          <w:bCs/>
        </w:rPr>
      </w:pPr>
      <w:r w:rsidRPr="00917415">
        <w:t>The PBAC recognised the high clinical need for effective treatments to treat Type I SMA and noted that ONA is a new in class therapy</w:t>
      </w:r>
      <w:r w:rsidR="0075654A" w:rsidRPr="00917415">
        <w:t xml:space="preserve">, which will expand the options available for patients and their families. </w:t>
      </w:r>
      <w:r w:rsidR="00A70E7D" w:rsidRPr="00917415">
        <w:t xml:space="preserve">The PBAC noted the consumer comments describing the perceived quality of life improvements for patients and their families and indicating that patients value the once off treatment for ONA which avoids the trauma associated with ongoing intrathecal injections of NUSI. </w:t>
      </w:r>
      <w:r w:rsidR="00B12AE6" w:rsidRPr="00917415">
        <w:t>I</w:t>
      </w:r>
      <w:r w:rsidR="0075654A" w:rsidRPr="00917415" w:rsidDel="000108FE">
        <w:t xml:space="preserve">n the absence of substantial new clinical data, which is unlikely to be forthcoming, </w:t>
      </w:r>
      <w:r w:rsidR="00B12AE6" w:rsidRPr="00917415">
        <w:t xml:space="preserve">and in the context of the high clinical need for effective treatments for SMA, the PBAC considered </w:t>
      </w:r>
      <w:r w:rsidR="0075654A" w:rsidRPr="00917415" w:rsidDel="000108FE">
        <w:t xml:space="preserve">a simple “frame of reference” cost-comparison with NUSI may provide a way forward. </w:t>
      </w:r>
    </w:p>
    <w:p w14:paraId="1157827D" w14:textId="77777777" w:rsidR="00FE17C9" w:rsidRPr="00917415" w:rsidRDefault="00FE17C9" w:rsidP="00516F35">
      <w:pPr>
        <w:pStyle w:val="3-BodyText"/>
        <w:widowControl w:val="0"/>
        <w:numPr>
          <w:ilvl w:val="1"/>
          <w:numId w:val="1"/>
        </w:numPr>
        <w:rPr>
          <w:bCs/>
        </w:rPr>
      </w:pPr>
      <w:r w:rsidRPr="00917415">
        <w:rPr>
          <w:rFonts w:ascii="Calibri" w:hAnsi="Calibri"/>
          <w:snapToGrid/>
        </w:rPr>
        <w:t xml:space="preserve">The PBAC considered that without a TGA decision on the key aspects of the indication viz: </w:t>
      </w:r>
      <w:r w:rsidR="00F512D1" w:rsidRPr="00917415">
        <w:rPr>
          <w:rFonts w:ascii="Calibri" w:hAnsi="Calibri"/>
          <w:snapToGrid/>
        </w:rPr>
        <w:t xml:space="preserve">patient </w:t>
      </w:r>
      <w:r w:rsidRPr="00917415">
        <w:rPr>
          <w:rFonts w:ascii="Calibri" w:hAnsi="Calibri"/>
          <w:snapToGrid/>
        </w:rPr>
        <w:t>age</w:t>
      </w:r>
      <w:r w:rsidR="00F512D1" w:rsidRPr="00917415">
        <w:rPr>
          <w:rFonts w:ascii="Calibri" w:hAnsi="Calibri"/>
          <w:snapToGrid/>
        </w:rPr>
        <w:t xml:space="preserve"> at time of treatment</w:t>
      </w:r>
      <w:r w:rsidRPr="00917415">
        <w:rPr>
          <w:rFonts w:ascii="Calibri" w:hAnsi="Calibri"/>
          <w:snapToGrid/>
        </w:rPr>
        <w:t xml:space="preserve">; number of copies of the survival motor neuron 2 (SMN2) gene; </w:t>
      </w:r>
      <w:r w:rsidR="00F31641" w:rsidRPr="00917415">
        <w:rPr>
          <w:rFonts w:ascii="Calibri" w:hAnsi="Calibri"/>
          <w:snapToGrid/>
        </w:rPr>
        <w:t xml:space="preserve">defined SMA type </w:t>
      </w:r>
      <w:r w:rsidRPr="00917415">
        <w:rPr>
          <w:rFonts w:ascii="Calibri" w:hAnsi="Calibri"/>
          <w:snapToGrid/>
        </w:rPr>
        <w:t>and symptomatic versus pre-symptomatic</w:t>
      </w:r>
      <w:r w:rsidR="00F31641" w:rsidRPr="00917415">
        <w:rPr>
          <w:rFonts w:ascii="Calibri" w:hAnsi="Calibri"/>
          <w:snapToGrid/>
        </w:rPr>
        <w:t xml:space="preserve"> status</w:t>
      </w:r>
      <w:r w:rsidRPr="00917415">
        <w:rPr>
          <w:rFonts w:ascii="Calibri" w:hAnsi="Calibri"/>
          <w:snapToGrid/>
        </w:rPr>
        <w:t xml:space="preserve">, it would be premature for PBAC to recommend PBS eligibility criteria. </w:t>
      </w:r>
    </w:p>
    <w:p w14:paraId="6535B2A0" w14:textId="77777777" w:rsidR="00984908" w:rsidRPr="00917415" w:rsidRDefault="00984908" w:rsidP="00984908">
      <w:pPr>
        <w:pStyle w:val="3-BodyText"/>
      </w:pPr>
      <w:r w:rsidRPr="00917415">
        <w:t xml:space="preserve">The PBAC noted that evidence for ONA consisted of small single arm studies (N&lt;35 in each study). The PBAC considered the claim of improved survival and motor functioning with ONA compared with BSC was reasonable, however, the size of the benefit is uncertain because of the lack of a comparator arm in the ONA studies and because the natural history studies may not adequately capture improvements in supportive care over time. </w:t>
      </w:r>
    </w:p>
    <w:p w14:paraId="58128D53" w14:textId="77777777" w:rsidR="00984908" w:rsidRPr="00917415" w:rsidRDefault="00984908" w:rsidP="00984908">
      <w:pPr>
        <w:pStyle w:val="3-BodyText"/>
      </w:pPr>
      <w:r w:rsidRPr="00917415">
        <w:t xml:space="preserve">The PBAC noted the main evidence supporting the clinical claim for ONA was an unanchored matching adjusted indirect comparison (MAIC) of ONA versus </w:t>
      </w:r>
      <w:r w:rsidR="002932EC">
        <w:t>NUSI</w:t>
      </w:r>
      <w:r w:rsidRPr="00917415">
        <w:t xml:space="preserve"> which </w:t>
      </w:r>
      <w:r w:rsidRPr="00917415">
        <w:lastRenderedPageBreak/>
        <w:t xml:space="preserve">was only able to adjust for two factors (baseline CHOP-INTEND score and proportion with nutritional support). The PBAC did not accept the claim that ONA is superior to NUSI in terms of effectiveness, noting the </w:t>
      </w:r>
      <w:r w:rsidR="00F15124" w:rsidRPr="00917415">
        <w:t xml:space="preserve">study populations in the MAIC remained imbalanced, with the results of the MAIC likely to be biased against </w:t>
      </w:r>
      <w:r w:rsidR="00B12AE6" w:rsidRPr="00917415">
        <w:t>NUSI</w:t>
      </w:r>
      <w:r w:rsidR="00F15124" w:rsidRPr="00917415">
        <w:t xml:space="preserve">. Further, the </w:t>
      </w:r>
      <w:r w:rsidRPr="00917415">
        <w:t>result</w:t>
      </w:r>
      <w:r w:rsidR="00F15124" w:rsidRPr="00917415">
        <w:t>s</w:t>
      </w:r>
      <w:r w:rsidRPr="00917415">
        <w:t xml:space="preserve"> of the MAIC did not show a statistically significant improvement in OS for ONA compared to NUSI and the confidence intervals were very wide due to the small sample size in ONA trials. </w:t>
      </w:r>
    </w:p>
    <w:p w14:paraId="5AC483E4" w14:textId="77777777" w:rsidR="00984908" w:rsidRPr="00917415" w:rsidRDefault="00984908" w:rsidP="00984908">
      <w:pPr>
        <w:pStyle w:val="3-BodyText"/>
      </w:pPr>
      <w:r w:rsidRPr="00917415">
        <w:t>The PBAC did not accept the claim of superior safety for ONA versus NUSI, noting this was not consistent with the presented evidence</w:t>
      </w:r>
      <w:r w:rsidR="00F15124" w:rsidRPr="00917415">
        <w:t xml:space="preserve">, where safety data presented for ONA and </w:t>
      </w:r>
      <w:r w:rsidR="00B12AE6" w:rsidRPr="00917415">
        <w:t>NUSI</w:t>
      </w:r>
      <w:r w:rsidR="00F15124" w:rsidRPr="00917415">
        <w:t xml:space="preserve"> indicated that ONA had a similar or greater proportion of patients with any AE, serious AEs, and treatment related serious AEs and noting the black box safety warning for the risk of acute serious liver injury.</w:t>
      </w:r>
    </w:p>
    <w:p w14:paraId="40049A65" w14:textId="77777777" w:rsidR="005C10B3" w:rsidRPr="00917415" w:rsidRDefault="00984908" w:rsidP="00984908">
      <w:pPr>
        <w:pStyle w:val="3-BodyText"/>
      </w:pPr>
      <w:r w:rsidRPr="00917415">
        <w:t xml:space="preserve">Overall, the PBAC concluded that, on balance ONA would likely deliver similar clinical outcomes to NUSI in matched patients. </w:t>
      </w:r>
    </w:p>
    <w:p w14:paraId="0BA3E2FF" w14:textId="77777777" w:rsidR="00984908" w:rsidRPr="00917415" w:rsidRDefault="005C10B3" w:rsidP="00984908">
      <w:pPr>
        <w:pStyle w:val="3-BodyText"/>
      </w:pPr>
      <w:r w:rsidRPr="00917415">
        <w:t>The PBAC considered the cost-effectiveness analysis presented in the submission was not suitable to support decision-making.</w:t>
      </w:r>
    </w:p>
    <w:p w14:paraId="2947FCFF" w14:textId="77777777" w:rsidR="00FE17C9" w:rsidRPr="00917415" w:rsidRDefault="00FE17C9" w:rsidP="00516F35">
      <w:pPr>
        <w:pStyle w:val="3-BodyText"/>
        <w:rPr>
          <w:bCs/>
        </w:rPr>
      </w:pPr>
      <w:r w:rsidRPr="00917415">
        <w:rPr>
          <w:bCs/>
        </w:rPr>
        <w:t xml:space="preserve">The PBAC noted that there are now a number of therapies available for the treatment of SMA internationally, one of which is currently registered and subsidised in Australia </w:t>
      </w:r>
      <w:r w:rsidR="00E37F2D" w:rsidRPr="00917415">
        <w:rPr>
          <w:bCs/>
        </w:rPr>
        <w:t xml:space="preserve">for </w:t>
      </w:r>
      <w:r w:rsidR="00F31641" w:rsidRPr="00917415">
        <w:rPr>
          <w:bCs/>
        </w:rPr>
        <w:t xml:space="preserve">a defined group of </w:t>
      </w:r>
      <w:r w:rsidRPr="00917415">
        <w:rPr>
          <w:bCs/>
        </w:rPr>
        <w:t>patients</w:t>
      </w:r>
      <w:r w:rsidR="00F31641" w:rsidRPr="00917415">
        <w:rPr>
          <w:bCs/>
        </w:rPr>
        <w:t>. O</w:t>
      </w:r>
      <w:r w:rsidR="000A41CB" w:rsidRPr="00917415">
        <w:rPr>
          <w:bCs/>
        </w:rPr>
        <w:t>t</w:t>
      </w:r>
      <w:r w:rsidRPr="00917415">
        <w:rPr>
          <w:bCs/>
        </w:rPr>
        <w:t>hers</w:t>
      </w:r>
      <w:r w:rsidR="00F31641" w:rsidRPr="00917415">
        <w:rPr>
          <w:bCs/>
        </w:rPr>
        <w:t xml:space="preserve"> are either</w:t>
      </w:r>
      <w:r w:rsidR="006A489C" w:rsidRPr="00917415">
        <w:rPr>
          <w:bCs/>
        </w:rPr>
        <w:t xml:space="preserve"> </w:t>
      </w:r>
      <w:r w:rsidRPr="00917415">
        <w:rPr>
          <w:bCs/>
        </w:rPr>
        <w:t>in development</w:t>
      </w:r>
      <w:r w:rsidR="000A66AA" w:rsidRPr="00917415">
        <w:rPr>
          <w:bCs/>
        </w:rPr>
        <w:t>,</w:t>
      </w:r>
      <w:r w:rsidRPr="00917415">
        <w:rPr>
          <w:bCs/>
        </w:rPr>
        <w:t xml:space="preserve"> or being considered for registration by the TGA and for public subsidy by the PBAC. These therapies include NUSI (sponsored by Biogen), ONA and branaplam (sponsored by Novartis) and risdiplam (sponsored by Roche)</w:t>
      </w:r>
      <w:r w:rsidR="00917415">
        <w:rPr>
          <w:bCs/>
        </w:rPr>
        <w:t xml:space="preserve">. </w:t>
      </w:r>
    </w:p>
    <w:p w14:paraId="49C18A7E" w14:textId="77777777" w:rsidR="00FE17C9" w:rsidRPr="00917415" w:rsidRDefault="00FE17C9" w:rsidP="00516F35">
      <w:pPr>
        <w:pStyle w:val="3-BodyText"/>
        <w:rPr>
          <w:bCs/>
        </w:rPr>
      </w:pPr>
      <w:r w:rsidRPr="00917415">
        <w:rPr>
          <w:bCs/>
        </w:rPr>
        <w:t xml:space="preserve">The PBAC further noted that up to now, PBAC has been presented with subsidy applications for therapies for SMA sequentially </w:t>
      </w:r>
      <w:r w:rsidR="00F31641" w:rsidRPr="00917415">
        <w:rPr>
          <w:bCs/>
        </w:rPr>
        <w:t>with evidence based on</w:t>
      </w:r>
      <w:r w:rsidRPr="00917415">
        <w:rPr>
          <w:bCs/>
        </w:rPr>
        <w:t xml:space="preserve"> sub-populations and stages of treatment. Submissions for NUSI were considered at the November 2017, March 2018, July 2018, July 2019, November 2019 and July 2020 PBAC meetings, submissions for NUSI, and for ONA were considered at the November 2020 PBAC meeting, and further PBAC submissions are expected in 2021.</w:t>
      </w:r>
    </w:p>
    <w:p w14:paraId="20EAE508" w14:textId="77777777" w:rsidR="00FE17C9" w:rsidRPr="00917415" w:rsidRDefault="00FE17C9" w:rsidP="00516F35">
      <w:pPr>
        <w:pStyle w:val="3-BodyText"/>
        <w:rPr>
          <w:bCs/>
        </w:rPr>
      </w:pPr>
      <w:r w:rsidRPr="00917415">
        <w:rPr>
          <w:bCs/>
        </w:rPr>
        <w:t>The PBAC noted that whilst this</w:t>
      </w:r>
      <w:r w:rsidR="00F31641" w:rsidRPr="00917415">
        <w:rPr>
          <w:bCs/>
        </w:rPr>
        <w:t xml:space="preserve"> approach</w:t>
      </w:r>
      <w:r w:rsidRPr="00917415">
        <w:rPr>
          <w:bCs/>
        </w:rPr>
        <w:t xml:space="preserve"> reasonably reflects the different timeframes in which these therapies and/or new clinical data have become available, it means that it has not been in a position to conduct an overall assessment of all available therapies across the whole of this comparatively rare disease for which direct treatments have only become available in the past 5-years. </w:t>
      </w:r>
    </w:p>
    <w:p w14:paraId="6E6134E7" w14:textId="77777777" w:rsidR="00FE17C9" w:rsidRPr="00917415" w:rsidRDefault="00FE17C9" w:rsidP="00516F35">
      <w:pPr>
        <w:pStyle w:val="3-BodyText"/>
        <w:rPr>
          <w:bCs/>
        </w:rPr>
      </w:pPr>
      <w:r w:rsidRPr="00917415">
        <w:rPr>
          <w:bCs/>
        </w:rPr>
        <w:t>The PBAC noted this</w:t>
      </w:r>
      <w:r w:rsidR="00F31641" w:rsidRPr="00917415">
        <w:rPr>
          <w:bCs/>
        </w:rPr>
        <w:t xml:space="preserve"> submission-by-submission approach</w:t>
      </w:r>
      <w:r w:rsidRPr="00917415">
        <w:rPr>
          <w:bCs/>
        </w:rPr>
        <w:t xml:space="preserve"> is further complicated because NUSI, ONA and risdiplam/branaplam have different mechanisms of action or routes of administration. However, at present there is very little information on how these three types of therapies could best be</w:t>
      </w:r>
      <w:r w:rsidR="00F31641" w:rsidRPr="00917415">
        <w:rPr>
          <w:bCs/>
        </w:rPr>
        <w:t>, or are being,</w:t>
      </w:r>
      <w:r w:rsidRPr="00917415">
        <w:rPr>
          <w:bCs/>
        </w:rPr>
        <w:t xml:space="preserve"> used in SMA patients in clinical practice</w:t>
      </w:r>
      <w:r w:rsidR="003C6DDF" w:rsidRPr="00917415">
        <w:rPr>
          <w:bCs/>
        </w:rPr>
        <w:t xml:space="preserve">, for example, </w:t>
      </w:r>
      <w:r w:rsidRPr="00917415">
        <w:rPr>
          <w:bCs/>
        </w:rPr>
        <w:t xml:space="preserve">as </w:t>
      </w:r>
      <w:r w:rsidR="00F31641" w:rsidRPr="00917415">
        <w:rPr>
          <w:bCs/>
        </w:rPr>
        <w:t>mono</w:t>
      </w:r>
      <w:r w:rsidRPr="00917415">
        <w:rPr>
          <w:bCs/>
        </w:rPr>
        <w:t>therapy, or sequential</w:t>
      </w:r>
      <w:r w:rsidR="00F31641" w:rsidRPr="00917415">
        <w:rPr>
          <w:bCs/>
        </w:rPr>
        <w:t xml:space="preserve"> monotherapy</w:t>
      </w:r>
      <w:r w:rsidRPr="00917415">
        <w:rPr>
          <w:bCs/>
        </w:rPr>
        <w:t xml:space="preserve"> </w:t>
      </w:r>
      <w:r w:rsidR="00F31641" w:rsidRPr="00917415">
        <w:rPr>
          <w:bCs/>
        </w:rPr>
        <w:t>(</w:t>
      </w:r>
      <w:r w:rsidRPr="00917415">
        <w:rPr>
          <w:bCs/>
        </w:rPr>
        <w:t>on failure of prior therapy</w:t>
      </w:r>
      <w:r w:rsidR="00F31641" w:rsidRPr="00917415">
        <w:rPr>
          <w:bCs/>
        </w:rPr>
        <w:t>)</w:t>
      </w:r>
      <w:r w:rsidRPr="00917415">
        <w:rPr>
          <w:bCs/>
        </w:rPr>
        <w:t>, or concomitantly in all</w:t>
      </w:r>
      <w:r w:rsidR="003C6DDF" w:rsidRPr="00917415">
        <w:rPr>
          <w:bCs/>
        </w:rPr>
        <w:t xml:space="preserve"> or </w:t>
      </w:r>
      <w:r w:rsidRPr="00917415">
        <w:rPr>
          <w:bCs/>
        </w:rPr>
        <w:t xml:space="preserve">certain patients. </w:t>
      </w:r>
    </w:p>
    <w:p w14:paraId="22376952" w14:textId="77777777" w:rsidR="0075654A" w:rsidRPr="00917415" w:rsidRDefault="0075654A" w:rsidP="0075654A">
      <w:pPr>
        <w:pStyle w:val="3-BodyText"/>
        <w:rPr>
          <w:bCs/>
        </w:rPr>
      </w:pPr>
      <w:r w:rsidRPr="00917415">
        <w:rPr>
          <w:bCs/>
        </w:rPr>
        <w:lastRenderedPageBreak/>
        <w:t xml:space="preserve">The PBAC considered an overall and holistic </w:t>
      </w:r>
      <w:r w:rsidR="00F31641" w:rsidRPr="00917415">
        <w:rPr>
          <w:bCs/>
        </w:rPr>
        <w:t xml:space="preserve">approach to </w:t>
      </w:r>
      <w:r w:rsidRPr="00917415">
        <w:rPr>
          <w:bCs/>
        </w:rPr>
        <w:t xml:space="preserve">consideration of the entire treatment algorithm and the strength of all available evidence would better support its decision making, particularly given that only short-term clinical data are available but the claims from each sponsor make varying predictions about the benefits of each treatment into the future which cannot be reconciled by an assessment of individual submissions independently from each other. </w:t>
      </w:r>
    </w:p>
    <w:p w14:paraId="42D03BBE" w14:textId="77777777" w:rsidR="00FE17C9" w:rsidRPr="00917415" w:rsidRDefault="00FE17C9" w:rsidP="00516F35">
      <w:pPr>
        <w:pStyle w:val="3-BodyText"/>
        <w:rPr>
          <w:bCs/>
        </w:rPr>
      </w:pPr>
      <w:r w:rsidRPr="00917415">
        <w:rPr>
          <w:bCs/>
        </w:rPr>
        <w:t>The PBAC noted</w:t>
      </w:r>
      <w:r w:rsidR="00D511E1" w:rsidRPr="00917415">
        <w:rPr>
          <w:bCs/>
        </w:rPr>
        <w:t xml:space="preserve"> its ESC canvassed</w:t>
      </w:r>
      <w:r w:rsidRPr="00917415">
        <w:rPr>
          <w:bCs/>
        </w:rPr>
        <w:t xml:space="preserve"> the potential for a decision support analysis </w:t>
      </w:r>
      <w:r w:rsidR="00F31641" w:rsidRPr="00917415">
        <w:rPr>
          <w:bCs/>
        </w:rPr>
        <w:t xml:space="preserve">encompassing all available therapies </w:t>
      </w:r>
      <w:r w:rsidR="00D511E1" w:rsidRPr="00917415">
        <w:rPr>
          <w:bCs/>
        </w:rPr>
        <w:t>with the applicant</w:t>
      </w:r>
      <w:r w:rsidRPr="00917415">
        <w:rPr>
          <w:bCs/>
        </w:rPr>
        <w:t xml:space="preserve"> and</w:t>
      </w:r>
      <w:r w:rsidR="003C6DDF" w:rsidRPr="00917415">
        <w:rPr>
          <w:bCs/>
        </w:rPr>
        <w:t xml:space="preserve"> that</w:t>
      </w:r>
      <w:r w:rsidRPr="00917415">
        <w:rPr>
          <w:bCs/>
        </w:rPr>
        <w:t xml:space="preserve"> the </w:t>
      </w:r>
      <w:r w:rsidR="00D511E1" w:rsidRPr="00917415">
        <w:rPr>
          <w:bCs/>
        </w:rPr>
        <w:t xml:space="preserve">applicant </w:t>
      </w:r>
      <w:r w:rsidRPr="00917415">
        <w:rPr>
          <w:bCs/>
        </w:rPr>
        <w:t>Pre-PBAC Response was strongly opposed to such an approach</w:t>
      </w:r>
      <w:r w:rsidR="00D511E1" w:rsidRPr="00917415">
        <w:rPr>
          <w:bCs/>
        </w:rPr>
        <w:t xml:space="preserve">. The applicant argued such an analysis would be premature ahead of PBAC consideration of risdiplam and that PBAC had </w:t>
      </w:r>
      <w:r w:rsidR="00A41762" w:rsidRPr="00917415">
        <w:rPr>
          <w:bCs/>
        </w:rPr>
        <w:t xml:space="preserve">recently </w:t>
      </w:r>
      <w:r w:rsidR="00D511E1" w:rsidRPr="00917415">
        <w:rPr>
          <w:bCs/>
        </w:rPr>
        <w:t>made a decision on NUSI for pre-symptomatic treatment and therefore could make a decision on ONA. Finally, the applicant asserted that PBAC is the independent body best positioned to consider this as it is privy to unpublished data and the prices for each therapy</w:t>
      </w:r>
      <w:r w:rsidR="00917415">
        <w:rPr>
          <w:bCs/>
        </w:rPr>
        <w:t xml:space="preserve">. </w:t>
      </w:r>
    </w:p>
    <w:p w14:paraId="4990B067" w14:textId="77777777" w:rsidR="00D511E1" w:rsidRPr="00917415" w:rsidRDefault="00A41762" w:rsidP="00A41762">
      <w:pPr>
        <w:pStyle w:val="3-BodyText"/>
        <w:rPr>
          <w:bCs/>
        </w:rPr>
      </w:pPr>
      <w:r w:rsidRPr="00917415">
        <w:t xml:space="preserve">However, for the reasons given above, the PBAC considered it was in the interests of patients and families, prescribers and payers for a decision support analysis </w:t>
      </w:r>
      <w:r w:rsidR="00153E63" w:rsidRPr="00FE17C9">
        <w:rPr>
          <w:lang w:val="en-GB"/>
        </w:rPr>
        <w:t xml:space="preserve">for SMA </w:t>
      </w:r>
      <w:r w:rsidR="00153E63">
        <w:rPr>
          <w:lang w:val="en-GB"/>
        </w:rPr>
        <w:t xml:space="preserve">treatment </w:t>
      </w:r>
      <w:r w:rsidR="00153E63" w:rsidRPr="00FE17C9">
        <w:rPr>
          <w:lang w:val="en-GB"/>
        </w:rPr>
        <w:t xml:space="preserve">that takes into account all the currently available clinical data and </w:t>
      </w:r>
      <w:r w:rsidR="00153E63">
        <w:rPr>
          <w:lang w:val="en-GB"/>
        </w:rPr>
        <w:t xml:space="preserve">informs a broader </w:t>
      </w:r>
      <w:r w:rsidR="00153E63" w:rsidRPr="00FE17C9">
        <w:rPr>
          <w:lang w:val="en-GB"/>
        </w:rPr>
        <w:t>“whole of disease” economic and financial analyses.</w:t>
      </w:r>
      <w:r w:rsidR="00153E63">
        <w:rPr>
          <w:lang w:val="en-GB"/>
        </w:rPr>
        <w:t xml:space="preserve"> </w:t>
      </w:r>
    </w:p>
    <w:p w14:paraId="4ECC4B17" w14:textId="77777777" w:rsidR="003C6DDF" w:rsidRPr="00917415" w:rsidRDefault="00153E63" w:rsidP="00516F35">
      <w:pPr>
        <w:pStyle w:val="3-BodyText"/>
        <w:widowControl w:val="0"/>
        <w:numPr>
          <w:ilvl w:val="1"/>
          <w:numId w:val="1"/>
        </w:numPr>
      </w:pPr>
      <w:r>
        <w:rPr>
          <w:lang w:val="en-GB"/>
        </w:rPr>
        <w:t xml:space="preserve">Noting the responses of the companies to the approach proposed by its ESC, </w:t>
      </w:r>
      <w:r>
        <w:t>t</w:t>
      </w:r>
      <w:r w:rsidR="00D511E1" w:rsidRPr="00917415">
        <w:t>he PBAC requested the Department convene a stakeholder meeting</w:t>
      </w:r>
      <w:r w:rsidR="005A6DFE" w:rsidRPr="00917415">
        <w:t xml:space="preserve"> including clinical</w:t>
      </w:r>
      <w:r w:rsidR="00D511E1" w:rsidRPr="00917415">
        <w:t xml:space="preserve"> </w:t>
      </w:r>
      <w:r w:rsidR="005A6DFE" w:rsidRPr="00917415">
        <w:t xml:space="preserve">experts, consumer representatives and </w:t>
      </w:r>
      <w:r w:rsidR="00635341" w:rsidRPr="00917415">
        <w:t xml:space="preserve">relevant </w:t>
      </w:r>
      <w:r w:rsidR="005A6DFE" w:rsidRPr="00917415">
        <w:t xml:space="preserve">sponsors </w:t>
      </w:r>
      <w:r w:rsidR="00D511E1" w:rsidRPr="00917415">
        <w:t xml:space="preserve">with </w:t>
      </w:r>
      <w:r w:rsidR="00D511E1" w:rsidRPr="00917415">
        <w:rPr>
          <w:bCs/>
        </w:rPr>
        <w:t xml:space="preserve">the intention of progressing work </w:t>
      </w:r>
      <w:r>
        <w:rPr>
          <w:bCs/>
        </w:rPr>
        <w:t>towards</w:t>
      </w:r>
      <w:r w:rsidRPr="00917415">
        <w:rPr>
          <w:bCs/>
        </w:rPr>
        <w:t xml:space="preserve"> </w:t>
      </w:r>
      <w:r w:rsidR="00D511E1" w:rsidRPr="00917415">
        <w:rPr>
          <w:bCs/>
        </w:rPr>
        <w:t>a decision support analysis</w:t>
      </w:r>
      <w:r w:rsidR="003C6DDF" w:rsidRPr="00917415">
        <w:t xml:space="preserve"> for SMA</w:t>
      </w:r>
      <w:r w:rsidR="005A6DFE" w:rsidRPr="00917415">
        <w:t xml:space="preserve">. The PBAC considered an appropriate starting point </w:t>
      </w:r>
      <w:r w:rsidR="000A66AA" w:rsidRPr="00917415">
        <w:t>w</w:t>
      </w:r>
      <w:r w:rsidR="005A6DFE" w:rsidRPr="00917415">
        <w:t>ould be for the stakeholder meeting to consider the following issues for each of the two broad groups of patients, presymptomatic and symptomatic for whom treatment with one, or more, SMA therapies may be considered</w:t>
      </w:r>
      <w:r w:rsidR="00917415">
        <w:t xml:space="preserve">. </w:t>
      </w:r>
      <w:r w:rsidR="005A6DFE" w:rsidRPr="00917415">
        <w:t xml:space="preserve">The PBAC noted </w:t>
      </w:r>
      <w:r w:rsidR="00635341" w:rsidRPr="00917415">
        <w:t>these issues are intended to be a starting point for discussion</w:t>
      </w:r>
      <w:r w:rsidR="000A66AA" w:rsidRPr="00917415">
        <w:t xml:space="preserve"> </w:t>
      </w:r>
      <w:r w:rsidR="005A6DFE" w:rsidRPr="00917415">
        <w:t>and further matters may arise</w:t>
      </w:r>
      <w:r w:rsidR="00917415">
        <w:t xml:space="preserve">. </w:t>
      </w:r>
      <w:r w:rsidR="005A6DFE" w:rsidRPr="00917415">
        <w:t xml:space="preserve"> </w:t>
      </w:r>
    </w:p>
    <w:p w14:paraId="0E698BDF" w14:textId="77777777" w:rsidR="00F31641" w:rsidRPr="00917415" w:rsidRDefault="00F31641" w:rsidP="00F31641">
      <w:pPr>
        <w:ind w:left="510" w:firstLine="170"/>
        <w:jc w:val="left"/>
      </w:pPr>
      <w:r w:rsidRPr="00917415">
        <w:rPr>
          <w:b/>
          <w:bCs/>
        </w:rPr>
        <w:t>Pre</w:t>
      </w:r>
      <w:r w:rsidR="00153E63">
        <w:rPr>
          <w:b/>
          <w:bCs/>
        </w:rPr>
        <w:t>-</w:t>
      </w:r>
      <w:r w:rsidRPr="00917415">
        <w:rPr>
          <w:b/>
          <w:bCs/>
        </w:rPr>
        <w:t xml:space="preserve">symptomatic </w:t>
      </w:r>
    </w:p>
    <w:p w14:paraId="0227ADAD" w14:textId="77777777" w:rsidR="00F31641" w:rsidRPr="00917415" w:rsidRDefault="00F31641" w:rsidP="00811665">
      <w:pPr>
        <w:numPr>
          <w:ilvl w:val="1"/>
          <w:numId w:val="18"/>
        </w:numPr>
        <w:tabs>
          <w:tab w:val="clear" w:pos="1440"/>
          <w:tab w:val="num" w:pos="993"/>
        </w:tabs>
        <w:ind w:left="1134" w:hanging="425"/>
        <w:jc w:val="left"/>
      </w:pPr>
      <w:r w:rsidRPr="00917415">
        <w:t xml:space="preserve">For diagnosis by genotype alone – </w:t>
      </w:r>
    </w:p>
    <w:p w14:paraId="473E7A26" w14:textId="77777777" w:rsidR="00F31641" w:rsidRPr="00917415" w:rsidRDefault="00F31641" w:rsidP="00F31641">
      <w:pPr>
        <w:numPr>
          <w:ilvl w:val="2"/>
          <w:numId w:val="18"/>
        </w:numPr>
        <w:tabs>
          <w:tab w:val="clear" w:pos="2160"/>
          <w:tab w:val="num" w:pos="1418"/>
        </w:tabs>
        <w:ind w:hanging="1026"/>
        <w:jc w:val="left"/>
      </w:pPr>
      <w:r w:rsidRPr="00917415">
        <w:t xml:space="preserve">What SMN2 copy numbers should be eligible to initiate treatment </w:t>
      </w:r>
    </w:p>
    <w:p w14:paraId="42E0D567" w14:textId="77777777" w:rsidR="00F31641" w:rsidRPr="00917415" w:rsidRDefault="00F31641" w:rsidP="00F31641">
      <w:pPr>
        <w:numPr>
          <w:ilvl w:val="2"/>
          <w:numId w:val="18"/>
        </w:numPr>
        <w:tabs>
          <w:tab w:val="clear" w:pos="2160"/>
          <w:tab w:val="num" w:pos="1418"/>
        </w:tabs>
        <w:ind w:hanging="1026"/>
        <w:jc w:val="left"/>
      </w:pPr>
      <w:r w:rsidRPr="00917415">
        <w:t>Should antenatal genetic diagnosis be confirmed by post-natal genetic testing</w:t>
      </w:r>
    </w:p>
    <w:p w14:paraId="4667B9D8" w14:textId="77777777" w:rsidR="00F31641" w:rsidRPr="00917415" w:rsidRDefault="00F31641" w:rsidP="00F31641">
      <w:pPr>
        <w:numPr>
          <w:ilvl w:val="1"/>
          <w:numId w:val="18"/>
        </w:numPr>
        <w:tabs>
          <w:tab w:val="clear" w:pos="1440"/>
          <w:tab w:val="num" w:pos="993"/>
        </w:tabs>
        <w:ind w:hanging="731"/>
        <w:jc w:val="left"/>
      </w:pPr>
      <w:r w:rsidRPr="00917415">
        <w:t>First, second and subsequent line treatment options</w:t>
      </w:r>
    </w:p>
    <w:p w14:paraId="14515CC0" w14:textId="77777777" w:rsidR="00F31641" w:rsidRPr="00917415" w:rsidRDefault="00F31641" w:rsidP="00F31641">
      <w:pPr>
        <w:numPr>
          <w:ilvl w:val="1"/>
          <w:numId w:val="18"/>
        </w:numPr>
        <w:tabs>
          <w:tab w:val="clear" w:pos="1440"/>
          <w:tab w:val="num" w:pos="993"/>
        </w:tabs>
        <w:ind w:left="1418" w:hanging="731"/>
        <w:jc w:val="left"/>
      </w:pPr>
      <w:r w:rsidRPr="00917415">
        <w:t xml:space="preserve">Criteria to determine when to move to second or subsequent options </w:t>
      </w:r>
    </w:p>
    <w:p w14:paraId="105FFDF5" w14:textId="77777777" w:rsidR="00F31641" w:rsidRPr="00917415" w:rsidRDefault="00F31641" w:rsidP="00F31641">
      <w:pPr>
        <w:numPr>
          <w:ilvl w:val="1"/>
          <w:numId w:val="18"/>
        </w:numPr>
        <w:tabs>
          <w:tab w:val="clear" w:pos="1440"/>
          <w:tab w:val="num" w:pos="993"/>
        </w:tabs>
        <w:ind w:hanging="731"/>
        <w:jc w:val="left"/>
      </w:pPr>
      <w:r w:rsidRPr="00917415">
        <w:t xml:space="preserve">Concomitant therapy </w:t>
      </w:r>
    </w:p>
    <w:p w14:paraId="4D9E4910" w14:textId="77777777" w:rsidR="00F31641" w:rsidRPr="00917415" w:rsidRDefault="00F31641" w:rsidP="00F31641">
      <w:pPr>
        <w:numPr>
          <w:ilvl w:val="1"/>
          <w:numId w:val="18"/>
        </w:numPr>
        <w:tabs>
          <w:tab w:val="clear" w:pos="1440"/>
          <w:tab w:val="num" w:pos="993"/>
        </w:tabs>
        <w:ind w:hanging="731"/>
        <w:jc w:val="left"/>
      </w:pPr>
      <w:r w:rsidRPr="00917415">
        <w:t xml:space="preserve">Therapy continuation rules </w:t>
      </w:r>
    </w:p>
    <w:p w14:paraId="4C65D955" w14:textId="77777777" w:rsidR="00F31641" w:rsidRPr="00917415" w:rsidRDefault="00F31641" w:rsidP="00F31641">
      <w:pPr>
        <w:numPr>
          <w:ilvl w:val="1"/>
          <w:numId w:val="18"/>
        </w:numPr>
        <w:tabs>
          <w:tab w:val="clear" w:pos="1440"/>
          <w:tab w:val="num" w:pos="993"/>
        </w:tabs>
        <w:ind w:hanging="731"/>
        <w:jc w:val="left"/>
      </w:pPr>
      <w:r w:rsidRPr="00917415">
        <w:t>When to stop therapy</w:t>
      </w:r>
    </w:p>
    <w:p w14:paraId="7A4F68A5" w14:textId="77777777" w:rsidR="00F31641" w:rsidRPr="00917415" w:rsidRDefault="00F31641" w:rsidP="00F31641">
      <w:pPr>
        <w:ind w:left="680"/>
        <w:jc w:val="left"/>
        <w:rPr>
          <w:b/>
          <w:bCs/>
        </w:rPr>
      </w:pPr>
    </w:p>
    <w:p w14:paraId="536E68D1" w14:textId="77777777" w:rsidR="00F31641" w:rsidRPr="00917415" w:rsidRDefault="00F31641" w:rsidP="00F31641">
      <w:pPr>
        <w:ind w:left="680"/>
        <w:jc w:val="left"/>
      </w:pPr>
      <w:r w:rsidRPr="00917415">
        <w:rPr>
          <w:b/>
          <w:bCs/>
        </w:rPr>
        <w:t>Symptomatic</w:t>
      </w:r>
    </w:p>
    <w:p w14:paraId="4DB802E6" w14:textId="77777777" w:rsidR="00F31641" w:rsidRPr="00917415" w:rsidRDefault="00F31641" w:rsidP="00F31641">
      <w:pPr>
        <w:numPr>
          <w:ilvl w:val="1"/>
          <w:numId w:val="19"/>
        </w:numPr>
        <w:tabs>
          <w:tab w:val="clear" w:pos="1440"/>
          <w:tab w:val="num" w:pos="993"/>
        </w:tabs>
        <w:ind w:hanging="731"/>
        <w:jc w:val="left"/>
      </w:pPr>
      <w:r w:rsidRPr="00917415">
        <w:t>Who should be treated: some patients can access now, some not.</w:t>
      </w:r>
    </w:p>
    <w:p w14:paraId="27541DC1" w14:textId="77777777" w:rsidR="00F31641" w:rsidRPr="00917415" w:rsidRDefault="00F31641" w:rsidP="00F31641">
      <w:pPr>
        <w:numPr>
          <w:ilvl w:val="1"/>
          <w:numId w:val="19"/>
        </w:numPr>
        <w:tabs>
          <w:tab w:val="clear" w:pos="1440"/>
          <w:tab w:val="num" w:pos="993"/>
        </w:tabs>
        <w:ind w:hanging="731"/>
        <w:jc w:val="left"/>
      </w:pPr>
      <w:r w:rsidRPr="00917415">
        <w:t>First line treatment options (if not treated while presymptomatic)</w:t>
      </w:r>
    </w:p>
    <w:p w14:paraId="610633AD" w14:textId="77777777" w:rsidR="00F31641" w:rsidRPr="00917415" w:rsidRDefault="00F31641" w:rsidP="00F31641">
      <w:pPr>
        <w:numPr>
          <w:ilvl w:val="1"/>
          <w:numId w:val="19"/>
        </w:numPr>
        <w:tabs>
          <w:tab w:val="clear" w:pos="1440"/>
          <w:tab w:val="num" w:pos="993"/>
        </w:tabs>
        <w:ind w:hanging="731"/>
        <w:jc w:val="left"/>
      </w:pPr>
      <w:r w:rsidRPr="00917415">
        <w:t xml:space="preserve">Criteria to determine when to move to second or subsequent options </w:t>
      </w:r>
    </w:p>
    <w:p w14:paraId="45F96763" w14:textId="77777777" w:rsidR="00F31641" w:rsidRPr="00917415" w:rsidRDefault="00F31641" w:rsidP="00F31641">
      <w:pPr>
        <w:numPr>
          <w:ilvl w:val="1"/>
          <w:numId w:val="19"/>
        </w:numPr>
        <w:tabs>
          <w:tab w:val="clear" w:pos="1440"/>
          <w:tab w:val="num" w:pos="993"/>
        </w:tabs>
        <w:ind w:hanging="731"/>
        <w:jc w:val="left"/>
      </w:pPr>
      <w:r w:rsidRPr="00917415">
        <w:t xml:space="preserve">Concomitant therapy </w:t>
      </w:r>
    </w:p>
    <w:p w14:paraId="0C001E41" w14:textId="77777777" w:rsidR="00F31641" w:rsidRPr="00917415" w:rsidRDefault="00F31641" w:rsidP="00F31641">
      <w:pPr>
        <w:numPr>
          <w:ilvl w:val="1"/>
          <w:numId w:val="19"/>
        </w:numPr>
        <w:tabs>
          <w:tab w:val="clear" w:pos="1440"/>
          <w:tab w:val="num" w:pos="993"/>
        </w:tabs>
        <w:ind w:hanging="731"/>
        <w:jc w:val="left"/>
        <w:rPr>
          <w:rFonts w:asciiTheme="minorHAnsi" w:hAnsiTheme="minorHAnsi"/>
          <w:snapToGrid w:val="0"/>
        </w:rPr>
      </w:pPr>
      <w:r w:rsidRPr="00917415">
        <w:lastRenderedPageBreak/>
        <w:t xml:space="preserve">Therapy continuation rules </w:t>
      </w:r>
    </w:p>
    <w:p w14:paraId="7B955C8E" w14:textId="77777777" w:rsidR="00EA00C7" w:rsidRPr="00A00973" w:rsidRDefault="00F31641" w:rsidP="00A00973">
      <w:pPr>
        <w:numPr>
          <w:ilvl w:val="1"/>
          <w:numId w:val="19"/>
        </w:numPr>
        <w:tabs>
          <w:tab w:val="clear" w:pos="1440"/>
          <w:tab w:val="num" w:pos="993"/>
        </w:tabs>
        <w:ind w:hanging="731"/>
        <w:jc w:val="left"/>
        <w:rPr>
          <w:rFonts w:asciiTheme="minorHAnsi" w:hAnsiTheme="minorHAnsi"/>
          <w:snapToGrid w:val="0"/>
        </w:rPr>
      </w:pPr>
      <w:r w:rsidRPr="00917415">
        <w:t>When to stop therapy</w:t>
      </w:r>
    </w:p>
    <w:p w14:paraId="2C0CB597" w14:textId="77777777" w:rsidR="00D43768" w:rsidRPr="00917415" w:rsidRDefault="00EA00C7" w:rsidP="00903287">
      <w:pPr>
        <w:widowControl w:val="0"/>
        <w:numPr>
          <w:ilvl w:val="1"/>
          <w:numId w:val="1"/>
        </w:numPr>
        <w:spacing w:after="120"/>
      </w:pPr>
      <w:r w:rsidRPr="00917415">
        <w:t xml:space="preserve">The PBAC noted that the limited clinical data available may make it </w:t>
      </w:r>
      <w:r w:rsidR="00A41762" w:rsidRPr="00917415">
        <w:t xml:space="preserve">more </w:t>
      </w:r>
      <w:r w:rsidRPr="00917415">
        <w:t>difficult to conduct robust economic</w:t>
      </w:r>
      <w:r w:rsidR="002F17E6" w:rsidRPr="00917415">
        <w:t xml:space="preserve"> and financial analyse</w:t>
      </w:r>
      <w:r w:rsidRPr="00917415">
        <w:t>s that reflect the preferred treatment algorithm(s)</w:t>
      </w:r>
      <w:r w:rsidR="00F31641" w:rsidRPr="00917415">
        <w:t>. H</w:t>
      </w:r>
      <w:r w:rsidRPr="00917415">
        <w:t>owever</w:t>
      </w:r>
      <w:r w:rsidR="00153E63">
        <w:t>,</w:t>
      </w:r>
      <w:r w:rsidRPr="00917415">
        <w:t xml:space="preserve"> </w:t>
      </w:r>
      <w:r w:rsidR="00153E63">
        <w:t xml:space="preserve">the PBAC </w:t>
      </w:r>
      <w:r w:rsidRPr="00917415">
        <w:t xml:space="preserve">considered this does not, of itself, justify continuing the current </w:t>
      </w:r>
      <w:r w:rsidR="007B10B8" w:rsidRPr="00917415">
        <w:t xml:space="preserve">piecemeal </w:t>
      </w:r>
      <w:r w:rsidR="00A41762" w:rsidRPr="00917415">
        <w:t>approach</w:t>
      </w:r>
      <w:r w:rsidRPr="00917415">
        <w:t>.</w:t>
      </w:r>
    </w:p>
    <w:p w14:paraId="7E9F1B06" w14:textId="77777777" w:rsidR="00893B58" w:rsidRPr="00917415" w:rsidRDefault="00F31641" w:rsidP="00B12AE6">
      <w:pPr>
        <w:widowControl w:val="0"/>
        <w:numPr>
          <w:ilvl w:val="1"/>
          <w:numId w:val="1"/>
        </w:numPr>
        <w:spacing w:after="120"/>
        <w:rPr>
          <w:rFonts w:asciiTheme="minorHAnsi" w:hAnsiTheme="minorHAnsi"/>
          <w:bCs/>
          <w:snapToGrid w:val="0"/>
          <w:color w:val="000000" w:themeColor="text1"/>
        </w:rPr>
      </w:pPr>
      <w:r w:rsidRPr="00917415">
        <w:t>The PBAC noted a disease-based registry, rather than therapy</w:t>
      </w:r>
      <w:r w:rsidR="00153E63">
        <w:t>-</w:t>
      </w:r>
      <w:r w:rsidRPr="00917415">
        <w:t>based registries, may be appropriate for informing the cost-effectiveness of all SMA therapies.</w:t>
      </w:r>
    </w:p>
    <w:p w14:paraId="38DCA5B9" w14:textId="77777777" w:rsidR="002A5F7C" w:rsidRPr="00917415" w:rsidRDefault="00F434D1" w:rsidP="00516F35">
      <w:pPr>
        <w:widowControl w:val="0"/>
        <w:numPr>
          <w:ilvl w:val="1"/>
          <w:numId w:val="1"/>
        </w:numPr>
        <w:spacing w:after="120"/>
        <w:rPr>
          <w:rFonts w:asciiTheme="minorHAnsi" w:hAnsiTheme="minorHAnsi"/>
          <w:bCs/>
          <w:snapToGrid w:val="0"/>
          <w:color w:val="000000" w:themeColor="text1"/>
        </w:rPr>
      </w:pPr>
      <w:r w:rsidRPr="00917415">
        <w:rPr>
          <w:color w:val="000000" w:themeColor="text1"/>
        </w:rPr>
        <w:t xml:space="preserve">The PBAC noted that the </w:t>
      </w:r>
      <w:r w:rsidR="00903287" w:rsidRPr="00917415">
        <w:rPr>
          <w:color w:val="000000" w:themeColor="text1"/>
        </w:rPr>
        <w:t xml:space="preserve">effective </w:t>
      </w:r>
      <w:r w:rsidRPr="00917415">
        <w:rPr>
          <w:color w:val="000000" w:themeColor="text1"/>
        </w:rPr>
        <w:t xml:space="preserve">price requested for ONA is </w:t>
      </w:r>
      <w:r w:rsidR="00635341" w:rsidRPr="00917415">
        <w:rPr>
          <w:color w:val="000000" w:themeColor="text1"/>
        </w:rPr>
        <w:t>more than three times the price requested for</w:t>
      </w:r>
      <w:r w:rsidRPr="00917415">
        <w:rPr>
          <w:color w:val="000000" w:themeColor="text1"/>
        </w:rPr>
        <w:t xml:space="preserve"> voretigene naparvovec (VOR, Luxturna®) another single-dose gene therapy </w:t>
      </w:r>
      <w:r w:rsidR="00635341" w:rsidRPr="00917415">
        <w:rPr>
          <w:color w:val="000000" w:themeColor="text1"/>
        </w:rPr>
        <w:t xml:space="preserve">that is also </w:t>
      </w:r>
      <w:r w:rsidRPr="00917415">
        <w:rPr>
          <w:color w:val="000000" w:themeColor="text1"/>
        </w:rPr>
        <w:t>sponsored by Novartis</w:t>
      </w:r>
      <w:r w:rsidR="00635341" w:rsidRPr="00917415">
        <w:rPr>
          <w:color w:val="000000" w:themeColor="text1"/>
        </w:rPr>
        <w:t xml:space="preserve">. The PBAC advised the Minister consider </w:t>
      </w:r>
      <w:r w:rsidR="002A5F7C" w:rsidRPr="00917415">
        <w:rPr>
          <w:color w:val="000000" w:themeColor="text1"/>
        </w:rPr>
        <w:t>whether this price differential is justified,</w:t>
      </w:r>
      <w:r w:rsidRPr="00917415">
        <w:rPr>
          <w:color w:val="000000" w:themeColor="text1"/>
        </w:rPr>
        <w:t xml:space="preserve"> particularly as the TGA has advised the manufacturing methods for both therapies appear broadly similar, albeit more production batches may be needed to produce the sufficient product to treat the same number of patients with ONA compared to VOR (ONA is dosed at 1.1 x 10</w:t>
      </w:r>
      <w:r w:rsidRPr="00917415">
        <w:rPr>
          <w:color w:val="000000" w:themeColor="text1"/>
          <w:vertAlign w:val="superscript"/>
        </w:rPr>
        <w:t xml:space="preserve">14 </w:t>
      </w:r>
      <w:r w:rsidRPr="00917415">
        <w:rPr>
          <w:color w:val="000000" w:themeColor="text1"/>
        </w:rPr>
        <w:t>vector genomes per kg; VOR at 1.5 x 10</w:t>
      </w:r>
      <w:r w:rsidRPr="00917415">
        <w:rPr>
          <w:color w:val="000000" w:themeColor="text1"/>
          <w:vertAlign w:val="superscript"/>
        </w:rPr>
        <w:t>11</w:t>
      </w:r>
      <w:r w:rsidRPr="00917415">
        <w:rPr>
          <w:color w:val="000000" w:themeColor="text1"/>
        </w:rPr>
        <w:t xml:space="preserve"> vector genomes per eye). </w:t>
      </w:r>
    </w:p>
    <w:p w14:paraId="03CE7D75" w14:textId="77777777" w:rsidR="002A5F7C" w:rsidRPr="00917415" w:rsidRDefault="002A5F7C" w:rsidP="00903287">
      <w:pPr>
        <w:widowControl w:val="0"/>
        <w:numPr>
          <w:ilvl w:val="1"/>
          <w:numId w:val="1"/>
        </w:numPr>
        <w:spacing w:after="120"/>
        <w:rPr>
          <w:color w:val="000000" w:themeColor="text1"/>
        </w:rPr>
      </w:pPr>
      <w:r w:rsidRPr="00917415">
        <w:rPr>
          <w:color w:val="000000" w:themeColor="text1"/>
        </w:rPr>
        <w:t>The PBAC noted that the Japanese reimbursement price for ONA is ¥</w:t>
      </w:r>
      <w:r w:rsidR="00CC7358">
        <w:rPr>
          <w:noProof/>
          <w:color w:val="000000"/>
          <w:highlight w:val="black"/>
        </w:rPr>
        <w:t>''''''''''''''''''''''''</w:t>
      </w:r>
      <w:r w:rsidRPr="00917415">
        <w:rPr>
          <w:rStyle w:val="FootnoteReference"/>
          <w:color w:val="000000" w:themeColor="text1"/>
        </w:rPr>
        <w:footnoteReference w:id="4"/>
      </w:r>
      <w:r w:rsidRPr="00917415">
        <w:rPr>
          <w:color w:val="000000" w:themeColor="text1"/>
        </w:rPr>
        <w:t xml:space="preserve"> or approx. $</w:t>
      </w:r>
      <w:r w:rsidR="00CC7358">
        <w:rPr>
          <w:noProof/>
          <w:color w:val="000000"/>
          <w:highlight w:val="black"/>
        </w:rPr>
        <w:t>''''''''''''''''''''''</w:t>
      </w:r>
      <w:r w:rsidRPr="00917415">
        <w:rPr>
          <w:color w:val="000000" w:themeColor="text1"/>
        </w:rPr>
        <w:t xml:space="preserve"> AUD, around $</w:t>
      </w:r>
      <w:r w:rsidR="00CC7358">
        <w:rPr>
          <w:noProof/>
          <w:color w:val="000000"/>
          <w:highlight w:val="black"/>
        </w:rPr>
        <w:t>'''''''''''''''</w:t>
      </w:r>
      <w:r w:rsidRPr="00917415">
        <w:rPr>
          <w:color w:val="000000" w:themeColor="text1"/>
        </w:rPr>
        <w:t xml:space="preserve"> less than the requested price to the PBS. The pre-PBAC re</w:t>
      </w:r>
      <w:r w:rsidR="00AE4947" w:rsidRPr="00917415">
        <w:rPr>
          <w:color w:val="000000" w:themeColor="text1"/>
        </w:rPr>
        <w:t xml:space="preserve">sponse added that in Japan, this is </w:t>
      </w:r>
      <w:r w:rsidRPr="00917415">
        <w:rPr>
          <w:color w:val="000000" w:themeColor="text1"/>
        </w:rPr>
        <w:t>a single up-front payment</w:t>
      </w:r>
      <w:r w:rsidR="00AE4947" w:rsidRPr="00917415">
        <w:rPr>
          <w:color w:val="000000" w:themeColor="text1"/>
        </w:rPr>
        <w:t xml:space="preserve"> </w:t>
      </w:r>
      <w:r w:rsidRPr="00917415">
        <w:rPr>
          <w:color w:val="000000" w:themeColor="text1"/>
        </w:rPr>
        <w:t>for all Types of SMA in patients under the age of 2 years old, whether they</w:t>
      </w:r>
      <w:r w:rsidR="00AE4947" w:rsidRPr="00917415">
        <w:rPr>
          <w:color w:val="000000" w:themeColor="text1"/>
        </w:rPr>
        <w:t xml:space="preserve"> are</w:t>
      </w:r>
      <w:r w:rsidRPr="00917415">
        <w:rPr>
          <w:color w:val="000000" w:themeColor="text1"/>
        </w:rPr>
        <w:t xml:space="preserve"> </w:t>
      </w:r>
      <w:r w:rsidR="00AE4947" w:rsidRPr="00917415">
        <w:rPr>
          <w:color w:val="000000" w:themeColor="text1"/>
        </w:rPr>
        <w:t>symptomatic or</w:t>
      </w:r>
      <w:r w:rsidRPr="00917415">
        <w:rPr>
          <w:color w:val="000000" w:themeColor="text1"/>
        </w:rPr>
        <w:t xml:space="preserve"> pre-symptomatic, and not restricted by number of SMN2 gene copy numbers. </w:t>
      </w:r>
    </w:p>
    <w:p w14:paraId="23AF9D6A" w14:textId="77777777" w:rsidR="00903287" w:rsidRPr="00917415" w:rsidRDefault="00903287" w:rsidP="00B72AF9">
      <w:pPr>
        <w:pStyle w:val="3-BodyText"/>
      </w:pPr>
      <w:r w:rsidRPr="00917415">
        <w:rPr>
          <w:color w:val="000000" w:themeColor="text1"/>
        </w:rPr>
        <w:t xml:space="preserve">The PBAC noted that the </w:t>
      </w:r>
      <w:r w:rsidRPr="00917415">
        <w:t xml:space="preserve">estimated net cost to the PBS of listing ONA was estimated by the submission to be over </w:t>
      </w:r>
      <w:r w:rsidR="00B72AF9" w:rsidRPr="00B72AF9">
        <w:t>$30 million to &lt; $40 million</w:t>
      </w:r>
      <w:r w:rsidR="00B72AF9">
        <w:t xml:space="preserve"> </w:t>
      </w:r>
      <w:r w:rsidRPr="00917415">
        <w:t xml:space="preserve">in Year 6, and </w:t>
      </w:r>
      <w:r w:rsidR="00B72AF9">
        <w:t>$200 million to &lt; $30</w:t>
      </w:r>
      <w:r w:rsidR="00B72AF9" w:rsidRPr="00B72AF9">
        <w:t>0 million</w:t>
      </w:r>
      <w:r w:rsidR="00B72AF9">
        <w:t xml:space="preserve"> </w:t>
      </w:r>
      <w:r w:rsidRPr="00917415">
        <w:t xml:space="preserve">in the first 6 years of listing. This included a net PBS offset for NUSI of </w:t>
      </w:r>
      <w:r w:rsidR="00B72AF9">
        <w:t>$100 million to &lt; $20</w:t>
      </w:r>
      <w:r w:rsidR="00B72AF9" w:rsidRPr="00B72AF9">
        <w:t>0 million</w:t>
      </w:r>
      <w:r w:rsidR="00B72AF9">
        <w:t xml:space="preserve"> </w:t>
      </w:r>
      <w:r w:rsidRPr="00917415">
        <w:t xml:space="preserve">over six years, based on the published price for NUSI, which is unlikely to be </w:t>
      </w:r>
      <w:r w:rsidRPr="002578B8">
        <w:t xml:space="preserve">realised. The PBAC also noted advice in the pre-PBAC response that </w:t>
      </w:r>
      <w:r w:rsidR="00CC7358">
        <w:rPr>
          <w:noProof/>
          <w:color w:val="000000"/>
          <w:highlight w:val="black"/>
        </w:rPr>
        <w:t>''''''' '''''''''''''''''''' ''''''''' ''''''''''''''''''''' '''' '''''' '''''''''''''''''''''' ''''''' '''''''''''''''' '''''''''' '''''''' '''''''''' ''''''''''''''' ''''''''' '''''''''</w:t>
      </w:r>
      <w:r w:rsidR="00B05918" w:rsidRPr="002578B8">
        <w:t>.</w:t>
      </w:r>
    </w:p>
    <w:p w14:paraId="2336AFEB" w14:textId="77777777" w:rsidR="00641B06" w:rsidRPr="00917415" w:rsidRDefault="00641B06" w:rsidP="00516F35">
      <w:pPr>
        <w:spacing w:before="240"/>
        <w:rPr>
          <w:rFonts w:asciiTheme="minorHAnsi" w:hAnsiTheme="minorHAnsi"/>
          <w:b/>
          <w:bCs/>
          <w:snapToGrid w:val="0"/>
        </w:rPr>
      </w:pPr>
      <w:r w:rsidRPr="00917415">
        <w:rPr>
          <w:rFonts w:asciiTheme="minorHAnsi" w:hAnsiTheme="minorHAnsi"/>
          <w:b/>
          <w:bCs/>
          <w:snapToGrid w:val="0"/>
        </w:rPr>
        <w:t>Outcome:</w:t>
      </w:r>
    </w:p>
    <w:p w14:paraId="04079DFF" w14:textId="77777777" w:rsidR="00B2678A" w:rsidRPr="00CC5D45" w:rsidRDefault="00574E52" w:rsidP="00CC5D45">
      <w:pPr>
        <w:rPr>
          <w:rFonts w:asciiTheme="minorHAnsi" w:hAnsiTheme="minorHAnsi"/>
          <w:bCs/>
          <w:snapToGrid w:val="0"/>
        </w:rPr>
      </w:pPr>
      <w:r w:rsidRPr="00917415">
        <w:rPr>
          <w:rFonts w:asciiTheme="minorHAnsi" w:hAnsiTheme="minorHAnsi"/>
          <w:bCs/>
          <w:snapToGrid w:val="0"/>
        </w:rPr>
        <w:t>Deferred</w:t>
      </w:r>
    </w:p>
    <w:bookmarkEnd w:id="25"/>
    <w:bookmarkEnd w:id="26"/>
    <w:bookmarkEnd w:id="27"/>
    <w:p w14:paraId="3344E806" w14:textId="77777777" w:rsidR="001B763D" w:rsidRDefault="001B763D" w:rsidP="00F31641">
      <w:pPr>
        <w:widowControl w:val="0"/>
        <w:rPr>
          <w:b/>
          <w:bCs/>
        </w:rPr>
      </w:pPr>
    </w:p>
    <w:p w14:paraId="75860458" w14:textId="77777777" w:rsidR="001B763D" w:rsidRPr="003D0B82" w:rsidRDefault="001B763D" w:rsidP="001B763D">
      <w:pPr>
        <w:pStyle w:val="2-SectionHeading"/>
        <w:numPr>
          <w:ilvl w:val="0"/>
          <w:numId w:val="1"/>
        </w:numPr>
      </w:pPr>
      <w:r w:rsidRPr="00C07617">
        <w:t>Context for Decision</w:t>
      </w:r>
    </w:p>
    <w:p w14:paraId="31619FD4" w14:textId="77777777" w:rsidR="001B763D" w:rsidRPr="007129F2" w:rsidRDefault="001B763D" w:rsidP="001B763D">
      <w:pPr>
        <w:spacing w:after="120"/>
        <w:ind w:left="709"/>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w:t>
      </w:r>
      <w:r w:rsidRPr="007129F2">
        <w:rPr>
          <w:rFonts w:asciiTheme="minorHAnsi" w:hAnsiTheme="minorHAnsi"/>
          <w:bCs/>
          <w:lang w:val="en-GB"/>
        </w:rPr>
        <w:lastRenderedPageBreak/>
        <w:t>relation to PBS listings does not necessarily represent a final PBAC view about the merits of the medicine or the circumstances in which it should be made available through the PBS. The PBAC welcomes applications containing new information at any time.</w:t>
      </w:r>
    </w:p>
    <w:p w14:paraId="093D453C" w14:textId="77777777" w:rsidR="001B763D" w:rsidRPr="003D0B82" w:rsidRDefault="001B763D" w:rsidP="001B763D">
      <w:pPr>
        <w:pStyle w:val="2-SectionHeading"/>
        <w:numPr>
          <w:ilvl w:val="0"/>
          <w:numId w:val="1"/>
        </w:numPr>
      </w:pPr>
      <w:r w:rsidRPr="00C07617" w:rsidDel="007129F2">
        <w:t xml:space="preserve"> </w:t>
      </w:r>
      <w:r>
        <w:t>Sponsor’s Comment</w:t>
      </w:r>
    </w:p>
    <w:p w14:paraId="0E95D1A3" w14:textId="77777777" w:rsidR="001B763D" w:rsidRPr="00843DF5" w:rsidRDefault="001B763D" w:rsidP="001B763D">
      <w:pPr>
        <w:spacing w:after="120"/>
        <w:ind w:left="851"/>
        <w:rPr>
          <w:rFonts w:asciiTheme="minorHAnsi" w:hAnsiTheme="minorHAnsi"/>
          <w:bCs/>
        </w:rPr>
      </w:pPr>
      <w:r w:rsidRPr="00C07617">
        <w:rPr>
          <w:rFonts w:asciiTheme="minorHAnsi" w:hAnsiTheme="minorHAnsi"/>
          <w:bCs/>
        </w:rPr>
        <w:t>The sponsor had no comment.</w:t>
      </w:r>
    </w:p>
    <w:p w14:paraId="24980E97" w14:textId="77777777" w:rsidR="008F45AF" w:rsidRPr="00917415" w:rsidRDefault="008F45AF" w:rsidP="00F31641">
      <w:pPr>
        <w:widowControl w:val="0"/>
        <w:rPr>
          <w:b/>
          <w:bCs/>
        </w:rPr>
      </w:pPr>
      <w:r w:rsidRPr="00917415">
        <w:rPr>
          <w:b/>
          <w:bCs/>
        </w:rPr>
        <w:br w:type="page"/>
      </w:r>
    </w:p>
    <w:p w14:paraId="78748F6B" w14:textId="77777777" w:rsidR="008E6C6F" w:rsidRPr="00A00973" w:rsidRDefault="00AE4947" w:rsidP="00A00973">
      <w:pPr>
        <w:pStyle w:val="2-SectionHeading"/>
        <w:numPr>
          <w:ilvl w:val="0"/>
          <w:numId w:val="0"/>
        </w:numPr>
        <w:ind w:left="720" w:hanging="720"/>
      </w:pPr>
      <w:r w:rsidRPr="00917415">
        <w:lastRenderedPageBreak/>
        <w:t>A</w:t>
      </w:r>
      <w:r w:rsidR="008E6C6F" w:rsidRPr="00917415">
        <w:t>ppendix 1 – Additional figures and tables referred to in text</w:t>
      </w:r>
    </w:p>
    <w:p w14:paraId="2AAEF089" w14:textId="77777777" w:rsidR="008E6C6F" w:rsidRPr="00917415" w:rsidRDefault="008E6C6F" w:rsidP="00A00973">
      <w:pPr>
        <w:pStyle w:val="TableFigureHeading"/>
      </w:pPr>
      <w:r w:rsidRPr="00917415">
        <w:t>Figure 4: EFS (ventilation free survival) from ONA studies START, STR1VE US and START-LT vs natural history</w:t>
      </w:r>
    </w:p>
    <w:tbl>
      <w:tblPr>
        <w:tblStyle w:val="TableGrid"/>
        <w:tblW w:w="0" w:type="auto"/>
        <w:tblLook w:val="04A0" w:firstRow="1" w:lastRow="0" w:firstColumn="1" w:lastColumn="0" w:noHBand="0" w:noVBand="1"/>
        <w:tblCaption w:val="Figure 4: EFS (ventilation free survival) from ONA studies START, STR1VE US and START-LT vs natural history"/>
      </w:tblPr>
      <w:tblGrid>
        <w:gridCol w:w="4688"/>
        <w:gridCol w:w="4329"/>
      </w:tblGrid>
      <w:tr w:rsidR="008E6C6F" w:rsidRPr="00917415" w14:paraId="037FDE87" w14:textId="77777777" w:rsidTr="002E0331">
        <w:trPr>
          <w:tblHeader/>
        </w:trPr>
        <w:tc>
          <w:tcPr>
            <w:tcW w:w="4688" w:type="dxa"/>
          </w:tcPr>
          <w:p w14:paraId="144E8A91" w14:textId="77777777" w:rsidR="008E6C6F" w:rsidRPr="00917415" w:rsidRDefault="008E6C6F" w:rsidP="00516F35">
            <w:pPr>
              <w:jc w:val="center"/>
              <w:rPr>
                <w:rFonts w:ascii="Arial Narrow" w:hAnsi="Arial Narrow"/>
                <w:sz w:val="16"/>
                <w:szCs w:val="20"/>
                <w:lang w:eastAsia="zh-CN"/>
              </w:rPr>
            </w:pPr>
            <w:r w:rsidRPr="00917415">
              <w:rPr>
                <w:rFonts w:ascii="Arial Narrow" w:hAnsi="Arial Narrow"/>
                <w:b/>
                <w:sz w:val="16"/>
                <w:szCs w:val="20"/>
              </w:rPr>
              <w:t>A: START: ONA vs PNCR and NeuroNEXT (natural history)</w:t>
            </w:r>
          </w:p>
          <w:p w14:paraId="2426AB81" w14:textId="77777777" w:rsidR="008E6C6F" w:rsidRPr="00917415" w:rsidRDefault="008E6C6F" w:rsidP="00516F35">
            <w:r w:rsidRPr="00917415">
              <w:rPr>
                <w:noProof/>
              </w:rPr>
              <w:drawing>
                <wp:inline distT="0" distB="0" distL="0" distR="0" wp14:anchorId="5A56E1A0" wp14:editId="6FB6A16C">
                  <wp:extent cx="2879725" cy="2324100"/>
                  <wp:effectExtent l="0" t="0" r="0" b="0"/>
                  <wp:docPr id="1539485761" name="Picture 1539485761" title="A: START: ONA vs PNCR and NeuroNEXT (natur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2890459" cy="2332763"/>
                          </a:xfrm>
                          <a:prstGeom prst="rect">
                            <a:avLst/>
                          </a:prstGeom>
                        </pic:spPr>
                      </pic:pic>
                    </a:graphicData>
                  </a:graphic>
                </wp:inline>
              </w:drawing>
            </w:r>
          </w:p>
        </w:tc>
        <w:tc>
          <w:tcPr>
            <w:tcW w:w="4329" w:type="dxa"/>
          </w:tcPr>
          <w:p w14:paraId="7A8E2AA2" w14:textId="77777777" w:rsidR="008E6C6F" w:rsidRPr="00917415" w:rsidRDefault="008E6C6F" w:rsidP="00516F35">
            <w:pPr>
              <w:jc w:val="center"/>
              <w:rPr>
                <w:rFonts w:ascii="Arial Narrow" w:hAnsi="Arial Narrow"/>
                <w:sz w:val="16"/>
                <w:szCs w:val="20"/>
                <w:lang w:eastAsia="zh-CN"/>
              </w:rPr>
            </w:pPr>
            <w:r w:rsidRPr="00917415">
              <w:rPr>
                <w:rFonts w:ascii="Arial Narrow" w:hAnsi="Arial Narrow"/>
                <w:b/>
                <w:sz w:val="16"/>
                <w:szCs w:val="20"/>
              </w:rPr>
              <w:t>B: STR1VE US: ONA vs PNCR (natural history)</w:t>
            </w:r>
          </w:p>
          <w:p w14:paraId="3B068096" w14:textId="77777777" w:rsidR="008E6C6F" w:rsidRPr="00917415" w:rsidRDefault="008E6C6F" w:rsidP="00516F35">
            <w:r w:rsidRPr="00917415">
              <w:rPr>
                <w:noProof/>
              </w:rPr>
              <w:drawing>
                <wp:inline distT="0" distB="0" distL="0" distR="0" wp14:anchorId="60D63E4A" wp14:editId="0A82813B">
                  <wp:extent cx="2646680" cy="2000250"/>
                  <wp:effectExtent l="0" t="0" r="1270" b="0"/>
                  <wp:docPr id="1539485762" name="Picture 1539485762" title="B: STR1VE US: ONA vs PNCR (natur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4638" cy="2028937"/>
                          </a:xfrm>
                          <a:prstGeom prst="rect">
                            <a:avLst/>
                          </a:prstGeom>
                        </pic:spPr>
                      </pic:pic>
                    </a:graphicData>
                  </a:graphic>
                </wp:inline>
              </w:drawing>
            </w:r>
          </w:p>
        </w:tc>
      </w:tr>
      <w:tr w:rsidR="008E6C6F" w:rsidRPr="00917415" w14:paraId="042864D7" w14:textId="77777777" w:rsidTr="009F04F5">
        <w:tc>
          <w:tcPr>
            <w:tcW w:w="9017" w:type="dxa"/>
            <w:gridSpan w:val="2"/>
          </w:tcPr>
          <w:p w14:paraId="5B8880F6" w14:textId="77777777" w:rsidR="008E6C6F" w:rsidRPr="00917415" w:rsidRDefault="008E6C6F" w:rsidP="00516F35">
            <w:pPr>
              <w:jc w:val="center"/>
              <w:rPr>
                <w:rFonts w:ascii="Arial Narrow" w:hAnsi="Arial Narrow"/>
                <w:b/>
                <w:sz w:val="16"/>
                <w:szCs w:val="20"/>
              </w:rPr>
            </w:pPr>
            <w:r w:rsidRPr="00917415">
              <w:rPr>
                <w:rFonts w:ascii="Arial Narrow" w:hAnsi="Arial Narrow"/>
                <w:b/>
                <w:sz w:val="16"/>
                <w:szCs w:val="20"/>
              </w:rPr>
              <w:t>C: START-LT (31 Dec 2019 data cut off)</w:t>
            </w:r>
          </w:p>
          <w:p w14:paraId="1EC845BF" w14:textId="77777777" w:rsidR="008E6C6F" w:rsidRPr="00917415" w:rsidRDefault="008E6C6F" w:rsidP="00516F35">
            <w:pPr>
              <w:jc w:val="center"/>
              <w:rPr>
                <w:rFonts w:ascii="Arial Narrow" w:hAnsi="Arial Narrow"/>
                <w:b/>
                <w:sz w:val="16"/>
                <w:szCs w:val="20"/>
              </w:rPr>
            </w:pPr>
            <w:r w:rsidRPr="00917415">
              <w:rPr>
                <w:noProof/>
              </w:rPr>
              <w:drawing>
                <wp:inline distT="0" distB="0" distL="0" distR="0" wp14:anchorId="76ED4393" wp14:editId="22407591">
                  <wp:extent cx="4839419" cy="2569210"/>
                  <wp:effectExtent l="0" t="0" r="0" b="2540"/>
                  <wp:docPr id="1539485763" name="Picture 1539485763" title="C: START-LT (31 Dec 2019 data cut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68000"/>
                                    </a14:imgEffect>
                                  </a14:imgLayer>
                                </a14:imgProps>
                              </a:ext>
                            </a:extLst>
                          </a:blip>
                          <a:stretch>
                            <a:fillRect/>
                          </a:stretch>
                        </pic:blipFill>
                        <pic:spPr>
                          <a:xfrm>
                            <a:off x="0" y="0"/>
                            <a:ext cx="4858675" cy="2579433"/>
                          </a:xfrm>
                          <a:prstGeom prst="rect">
                            <a:avLst/>
                          </a:prstGeom>
                        </pic:spPr>
                      </pic:pic>
                    </a:graphicData>
                  </a:graphic>
                </wp:inline>
              </w:drawing>
            </w:r>
          </w:p>
        </w:tc>
      </w:tr>
    </w:tbl>
    <w:p w14:paraId="1CB14547" w14:textId="77777777" w:rsidR="008E6C6F" w:rsidRPr="00917415" w:rsidRDefault="008E6C6F" w:rsidP="00A00973">
      <w:pPr>
        <w:pStyle w:val="TableFigureFooter"/>
      </w:pPr>
      <w:r w:rsidRPr="00917415">
        <w:t>Source: Figure 2.12 p112, Figure 2.17, p121, Figure 2.28, p143 of the submission. Finkel et al 2014, Kolb et al 2017, Attachment 9 of submission.</w:t>
      </w:r>
    </w:p>
    <w:p w14:paraId="57BB7EF9" w14:textId="77777777" w:rsidR="008E6C6F" w:rsidRPr="00917415" w:rsidRDefault="008E6C6F" w:rsidP="00A00973">
      <w:pPr>
        <w:pStyle w:val="TableFigureFooter"/>
      </w:pPr>
      <w:r w:rsidRPr="00917415">
        <w:t>Note: The percentages of infants who were event</w:t>
      </w:r>
      <w:r w:rsidRPr="00917415">
        <w:rPr>
          <w:rFonts w:ascii="Cambria Math" w:hAnsi="Cambria Math" w:cs="Cambria Math"/>
        </w:rPr>
        <w:t>‐</w:t>
      </w:r>
      <w:r w:rsidRPr="00917415">
        <w:t>free in a study of SMA conducted by the PNCR network included ventilation-free survival measured as time until death or the need for ventilation for at least 16 hours/day for at least 14 consecutive days. In the NeuroNEXT study, a prospective natural history study in SMA infants with two copies of SMN2, survival is defined as alive without tracheostomy.</w:t>
      </w:r>
    </w:p>
    <w:p w14:paraId="4F02E98D" w14:textId="77777777" w:rsidR="008E6C6F" w:rsidRPr="00917415" w:rsidRDefault="008E6C6F" w:rsidP="00A00973">
      <w:pPr>
        <w:pStyle w:val="TableFigureFooter"/>
      </w:pPr>
      <w:r w:rsidRPr="00917415">
        <w:rPr>
          <w:vertAlign w:val="superscript"/>
        </w:rPr>
        <w:t>a</w:t>
      </w:r>
      <w:r w:rsidRPr="00917415">
        <w:t>: Study number: NCT02122952</w:t>
      </w:r>
    </w:p>
    <w:p w14:paraId="3DC6B0EC" w14:textId="77777777" w:rsidR="008E6C6F" w:rsidRPr="00917415" w:rsidRDefault="008E6C6F" w:rsidP="00A00973">
      <w:pPr>
        <w:pStyle w:val="TableFigureFooter"/>
      </w:pPr>
      <w:r w:rsidRPr="00917415">
        <w:rPr>
          <w:vertAlign w:val="superscript"/>
        </w:rPr>
        <w:t>2:</w:t>
      </w:r>
      <w:r w:rsidRPr="00917415">
        <w:rPr>
          <w:vertAlign w:val="superscript"/>
        </w:rPr>
        <w:tab/>
      </w:r>
      <w:r w:rsidRPr="00917415">
        <w:t>2 patients discontinued from START-LT are being followed by PNCR</w:t>
      </w:r>
    </w:p>
    <w:p w14:paraId="0A7E1A64" w14:textId="77777777" w:rsidR="008E6C6F" w:rsidRPr="00917415" w:rsidRDefault="008E6C6F" w:rsidP="00A00973">
      <w:pPr>
        <w:pStyle w:val="TableFigureHeading"/>
      </w:pPr>
      <w:r w:rsidRPr="00917415">
        <w:lastRenderedPageBreak/>
        <w:t xml:space="preserve">Figure 5: EFS NUSI studies: A: ENDEAR (NUSI versus sham control) B: SHINE, infantile-onset patients: IA: 30th June 2017 </w:t>
      </w:r>
    </w:p>
    <w:tbl>
      <w:tblPr>
        <w:tblStyle w:val="TableGrid"/>
        <w:tblW w:w="0" w:type="auto"/>
        <w:tblLook w:val="04A0" w:firstRow="1" w:lastRow="0" w:firstColumn="1" w:lastColumn="0" w:noHBand="0" w:noVBand="1"/>
        <w:tblCaption w:val="Figure 5: EFS NUSI studies: A: ENDEAR (NUSI versus sham control) B: SHINE, infantile-onset patients: IA: 30th June 2017 "/>
      </w:tblPr>
      <w:tblGrid>
        <w:gridCol w:w="4503"/>
        <w:gridCol w:w="4514"/>
      </w:tblGrid>
      <w:tr w:rsidR="008E6C6F" w:rsidRPr="00917415" w14:paraId="5E38E6FF" w14:textId="77777777" w:rsidTr="002E0331">
        <w:trPr>
          <w:tblHeader/>
        </w:trPr>
        <w:tc>
          <w:tcPr>
            <w:tcW w:w="4508" w:type="dxa"/>
          </w:tcPr>
          <w:p w14:paraId="22C71AD6" w14:textId="77777777"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rFonts w:ascii="Arial Narrow" w:hAnsi="Arial Narrow" w:cstheme="minorHAnsi"/>
                <w:b/>
                <w:color w:val="auto"/>
                <w:sz w:val="20"/>
              </w:rPr>
              <w:t>ENDEAR: NUSI versus sham control</w:t>
            </w:r>
          </w:p>
          <w:p w14:paraId="4B5D5989" w14:textId="77777777" w:rsidR="008E6C6F" w:rsidRPr="00917415" w:rsidRDefault="008E6C6F" w:rsidP="00516F35">
            <w:pPr>
              <w:pStyle w:val="V50Instructions"/>
              <w:keepNext/>
              <w:spacing w:before="0" w:after="0"/>
              <w:rPr>
                <w:rFonts w:ascii="Arial Narrow" w:hAnsi="Arial Narrow" w:cstheme="minorHAnsi"/>
                <w:b/>
                <w:color w:val="auto"/>
                <w:sz w:val="20"/>
              </w:rPr>
            </w:pPr>
            <w:r w:rsidRPr="00917415">
              <w:rPr>
                <w:rFonts w:ascii="Arial Narrow" w:hAnsi="Arial Narrow" w:cstheme="minorHAnsi"/>
                <w:b/>
                <w:noProof/>
                <w:color w:val="auto"/>
                <w:sz w:val="20"/>
              </w:rPr>
              <mc:AlternateContent>
                <mc:Choice Requires="wps">
                  <w:drawing>
                    <wp:anchor distT="0" distB="0" distL="114300" distR="114300" simplePos="0" relativeHeight="251660288" behindDoc="0" locked="0" layoutInCell="1" allowOverlap="1" wp14:anchorId="2F43EDAE" wp14:editId="5C01E89A">
                      <wp:simplePos x="0" y="0"/>
                      <wp:positionH relativeFrom="column">
                        <wp:posOffset>-2540</wp:posOffset>
                      </wp:positionH>
                      <wp:positionV relativeFrom="paragraph">
                        <wp:posOffset>148986</wp:posOffset>
                      </wp:positionV>
                      <wp:extent cx="258793" cy="319178"/>
                      <wp:effectExtent l="0" t="0" r="8255" b="5080"/>
                      <wp:wrapNone/>
                      <wp:docPr id="63" name="Text Box 63"/>
                      <wp:cNvGraphicFramePr/>
                      <a:graphic xmlns:a="http://schemas.openxmlformats.org/drawingml/2006/main">
                        <a:graphicData uri="http://schemas.microsoft.com/office/word/2010/wordprocessingShape">
                          <wps:wsp>
                            <wps:cNvSpPr txBox="1"/>
                            <wps:spPr>
                              <a:xfrm>
                                <a:off x="0" y="0"/>
                                <a:ext cx="258793" cy="319178"/>
                              </a:xfrm>
                              <a:prstGeom prst="rect">
                                <a:avLst/>
                              </a:prstGeom>
                              <a:solidFill>
                                <a:schemeClr val="lt1"/>
                              </a:solidFill>
                              <a:ln w="6350">
                                <a:noFill/>
                              </a:ln>
                            </wps:spPr>
                            <wps:txbx>
                              <w:txbxContent>
                                <w:p w14:paraId="731CCC50" w14:textId="77777777" w:rsidR="000636A6" w:rsidRDefault="000636A6" w:rsidP="008E6C6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43EDAE" id="_x0000_t202" coordsize="21600,21600" o:spt="202" path="m,l,21600r21600,l21600,xe">
                      <v:stroke joinstyle="miter"/>
                      <v:path gradientshapeok="t" o:connecttype="rect"/>
                    </v:shapetype>
                    <v:shape id="Text Box 63" o:spid="_x0000_s1026" type="#_x0000_t202" style="position:absolute;margin-left:-.2pt;margin-top:11.75pt;width:20.4pt;height:2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" fillcolor="white [3201]" stroked="f" strokeweight=".5pt">
                      <v:textbox>
                        <w:txbxContent>
                          <w:p w14:paraId="731CCC50" w14:textId="77777777" w:rsidR="000636A6" w:rsidRDefault="000636A6" w:rsidP="008E6C6F">
                            <w:r>
                              <w:t>A</w:t>
                            </w:r>
                          </w:p>
                        </w:txbxContent>
                      </v:textbox>
                    </v:shape>
                  </w:pict>
                </mc:Fallback>
              </mc:AlternateContent>
            </w:r>
          </w:p>
          <w:p w14:paraId="5740B5C9" w14:textId="77777777"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noProof/>
              </w:rPr>
              <w:drawing>
                <wp:inline distT="0" distB="0" distL="0" distR="0" wp14:anchorId="50454538" wp14:editId="6A2E4E40">
                  <wp:extent cx="2753042" cy="2415097"/>
                  <wp:effectExtent l="0" t="0" r="9525" b="4445"/>
                  <wp:docPr id="1539485764" name="Picture 1539485764" title="ENDEAR: NUSI versus sham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93969" cy="2451000"/>
                          </a:xfrm>
                          <a:prstGeom prst="rect">
                            <a:avLst/>
                          </a:prstGeom>
                        </pic:spPr>
                      </pic:pic>
                    </a:graphicData>
                  </a:graphic>
                </wp:inline>
              </w:drawing>
            </w:r>
          </w:p>
        </w:tc>
        <w:tc>
          <w:tcPr>
            <w:tcW w:w="4509" w:type="dxa"/>
          </w:tcPr>
          <w:p w14:paraId="688AB1C4" w14:textId="77777777" w:rsidR="008E6C6F" w:rsidRPr="00917415" w:rsidRDefault="008E6C6F" w:rsidP="00516F35">
            <w:pPr>
              <w:pStyle w:val="V50Instructions"/>
              <w:keepNext/>
              <w:spacing w:before="0" w:after="0"/>
              <w:jc w:val="center"/>
              <w:rPr>
                <w:rFonts w:ascii="Arial Narrow" w:hAnsi="Arial Narrow" w:cstheme="minorHAnsi"/>
                <w:b/>
                <w:color w:val="auto"/>
                <w:sz w:val="20"/>
              </w:rPr>
            </w:pPr>
            <w:r w:rsidRPr="00917415">
              <w:rPr>
                <w:rFonts w:ascii="Arial Narrow" w:hAnsi="Arial Narrow" w:cstheme="minorHAnsi"/>
                <w:b/>
                <w:color w:val="auto"/>
                <w:sz w:val="20"/>
              </w:rPr>
              <w:t xml:space="preserve">EFS: SHINE, infantile onset patients: IA 30 June 2017 </w:t>
            </w:r>
          </w:p>
          <w:p w14:paraId="2BD28C90" w14:textId="77777777" w:rsidR="008E6C6F" w:rsidRPr="00917415" w:rsidRDefault="008E6C6F" w:rsidP="00516F35">
            <w:pPr>
              <w:pStyle w:val="V50Instructions"/>
              <w:keepNext/>
              <w:spacing w:before="0" w:after="0"/>
              <w:rPr>
                <w:rFonts w:ascii="Arial Narrow" w:hAnsi="Arial Narrow" w:cstheme="minorHAnsi"/>
                <w:b/>
                <w:color w:val="auto"/>
                <w:sz w:val="20"/>
              </w:rPr>
            </w:pPr>
            <w:r w:rsidRPr="00917415">
              <w:rPr>
                <w:rFonts w:ascii="Arial Narrow" w:hAnsi="Arial Narrow" w:cstheme="minorHAnsi"/>
                <w:b/>
                <w:noProof/>
                <w:color w:val="auto"/>
                <w:sz w:val="20"/>
              </w:rPr>
              <mc:AlternateContent>
                <mc:Choice Requires="wps">
                  <w:drawing>
                    <wp:anchor distT="0" distB="0" distL="114300" distR="114300" simplePos="0" relativeHeight="251659264" behindDoc="0" locked="0" layoutInCell="1" allowOverlap="1" wp14:anchorId="3F81622B" wp14:editId="619FDA4B">
                      <wp:simplePos x="0" y="0"/>
                      <wp:positionH relativeFrom="column">
                        <wp:posOffset>-1785</wp:posOffset>
                      </wp:positionH>
                      <wp:positionV relativeFrom="paragraph">
                        <wp:posOffset>79158</wp:posOffset>
                      </wp:positionV>
                      <wp:extent cx="258792" cy="379563"/>
                      <wp:effectExtent l="0" t="0" r="8255" b="1905"/>
                      <wp:wrapNone/>
                      <wp:docPr id="1539485760" name="Text Box 1539485760"/>
                      <wp:cNvGraphicFramePr/>
                      <a:graphic xmlns:a="http://schemas.openxmlformats.org/drawingml/2006/main">
                        <a:graphicData uri="http://schemas.microsoft.com/office/word/2010/wordprocessingShape">
                          <wps:wsp>
                            <wps:cNvSpPr txBox="1"/>
                            <wps:spPr>
                              <a:xfrm>
                                <a:off x="0" y="0"/>
                                <a:ext cx="258792" cy="379563"/>
                              </a:xfrm>
                              <a:prstGeom prst="rect">
                                <a:avLst/>
                              </a:prstGeom>
                              <a:solidFill>
                                <a:schemeClr val="lt1"/>
                              </a:solidFill>
                              <a:ln w="6350">
                                <a:noFill/>
                              </a:ln>
                            </wps:spPr>
                            <wps:txbx>
                              <w:txbxContent>
                                <w:p w14:paraId="7CE8AD2A" w14:textId="77777777" w:rsidR="000636A6" w:rsidRDefault="000636A6" w:rsidP="008E6C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81622B" id="Text Box 1539485760" o:spid="_x0000_s1027" type="#_x0000_t202" style="position:absolute;margin-left:-.15pt;margin-top:6.25pt;width:20.4pt;height:2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" fillcolor="white [3201]" stroked="f" strokeweight=".5pt">
                      <v:textbox>
                        <w:txbxContent>
                          <w:p w14:paraId="7CE8AD2A" w14:textId="77777777" w:rsidR="000636A6" w:rsidRDefault="000636A6" w:rsidP="008E6C6F">
                            <w:r>
                              <w:t>B</w:t>
                            </w:r>
                          </w:p>
                        </w:txbxContent>
                      </v:textbox>
                    </v:shape>
                  </w:pict>
                </mc:Fallback>
              </mc:AlternateContent>
            </w:r>
          </w:p>
          <w:p w14:paraId="47673A6B" w14:textId="77777777" w:rsidR="008E6C6F" w:rsidRPr="00917415" w:rsidRDefault="008E6C6F" w:rsidP="00516F35">
            <w:pPr>
              <w:pStyle w:val="V50Instructions"/>
              <w:keepNext/>
              <w:spacing w:before="0" w:after="0"/>
              <w:rPr>
                <w:rFonts w:ascii="Arial Narrow" w:hAnsi="Arial Narrow" w:cstheme="minorHAnsi"/>
                <w:b/>
                <w:color w:val="auto"/>
                <w:sz w:val="20"/>
              </w:rPr>
            </w:pPr>
            <w:r w:rsidRPr="00917415">
              <w:rPr>
                <w:noProof/>
              </w:rPr>
              <w:drawing>
                <wp:inline distT="0" distB="0" distL="0" distR="0" wp14:anchorId="4C8664CF" wp14:editId="21B82E04">
                  <wp:extent cx="2769713" cy="2191243"/>
                  <wp:effectExtent l="0" t="0" r="0" b="0"/>
                  <wp:docPr id="1539485765" name="Picture 1539485765" title="EFS: SHINE, infantile onset patients: IA 30 June 20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2850140" cy="2254872"/>
                          </a:xfrm>
                          <a:prstGeom prst="rect">
                            <a:avLst/>
                          </a:prstGeom>
                        </pic:spPr>
                      </pic:pic>
                    </a:graphicData>
                  </a:graphic>
                </wp:inline>
              </w:drawing>
            </w:r>
          </w:p>
        </w:tc>
      </w:tr>
    </w:tbl>
    <w:p w14:paraId="4802B375" w14:textId="77777777" w:rsidR="008E6C6F" w:rsidRPr="00917415" w:rsidRDefault="008E6C6F" w:rsidP="00A00973">
      <w:pPr>
        <w:pStyle w:val="TableFigureFooter"/>
      </w:pPr>
      <w:r w:rsidRPr="00917415">
        <w:t>Source: Figure 2, Finkel at al 2017 for ENDEAR trial, Figure 2.40, p171 of the submission, NICE Assessment Report, page 238-9 Attachment 5.</w:t>
      </w:r>
    </w:p>
    <w:p w14:paraId="2AAB5BC8" w14:textId="77777777" w:rsidR="008E6C6F" w:rsidRPr="00A00973" w:rsidRDefault="008E6C6F" w:rsidP="00A00973">
      <w:pPr>
        <w:pStyle w:val="TableFigureFooter"/>
      </w:pPr>
      <w:r w:rsidRPr="00917415">
        <w:t>IA=interim analysis</w:t>
      </w:r>
    </w:p>
    <w:p w14:paraId="0AECDE0D" w14:textId="77777777" w:rsidR="00DF54DE" w:rsidRPr="00917415" w:rsidRDefault="00DF54DE" w:rsidP="00A00973">
      <w:pPr>
        <w:pStyle w:val="TableFigureHeading"/>
        <w:spacing w:before="240"/>
        <w:rPr>
          <w:sz w:val="18"/>
          <w:szCs w:val="18"/>
        </w:rPr>
      </w:pPr>
      <w:r w:rsidRPr="00917415">
        <w:rPr>
          <w:lang w:eastAsia="en-US"/>
        </w:rPr>
        <w:t>Table 8: Motor milestones and other achievements in Cohort 2 at 24 months post ONA administration in START vs historical cohorts</w:t>
      </w:r>
    </w:p>
    <w:tbl>
      <w:tblPr>
        <w:tblStyle w:val="GVD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Motor milestones and other achievements in Cohort 2 at 24 months post ONA administration in START vs historical cohorts"/>
      </w:tblPr>
      <w:tblGrid>
        <w:gridCol w:w="3259"/>
        <w:gridCol w:w="2983"/>
        <w:gridCol w:w="2775"/>
      </w:tblGrid>
      <w:tr w:rsidR="00DF54DE" w:rsidRPr="00A00973" w14:paraId="716CB68B" w14:textId="77777777" w:rsidTr="00A00973">
        <w:trPr>
          <w:cnfStyle w:val="100000000000" w:firstRow="1" w:lastRow="0" w:firstColumn="0" w:lastColumn="0" w:oddVBand="0" w:evenVBand="0" w:oddHBand="0" w:evenHBand="0" w:firstRowFirstColumn="0" w:firstRowLastColumn="0" w:lastRowFirstColumn="0" w:lastRowLastColumn="0"/>
          <w:trHeight w:val="357"/>
          <w:tblHeader/>
        </w:trPr>
        <w:tc>
          <w:tcPr>
            <w:cnfStyle w:val="001000000000" w:firstRow="0" w:lastRow="0" w:firstColumn="1" w:lastColumn="0" w:oddVBand="0" w:evenVBand="0" w:oddHBand="0" w:evenHBand="0" w:firstRowFirstColumn="0" w:firstRowLastColumn="0" w:lastRowFirstColumn="0" w:lastRowLastColumn="0"/>
            <w:tcW w:w="1807" w:type="pct"/>
            <w:shd w:val="clear" w:color="auto" w:fill="auto"/>
            <w:vAlign w:val="center"/>
          </w:tcPr>
          <w:p w14:paraId="3C0F5CC2"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Endpoint</w:t>
            </w:r>
          </w:p>
        </w:tc>
        <w:tc>
          <w:tcPr>
            <w:tcW w:w="1654" w:type="pct"/>
            <w:shd w:val="clear" w:color="auto" w:fill="auto"/>
            <w:vAlign w:val="center"/>
          </w:tcPr>
          <w:p w14:paraId="3466559F" w14:textId="77777777"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0"/>
                <w:szCs w:val="20"/>
                <w:lang w:val="en-AU"/>
              </w:rPr>
            </w:pPr>
            <w:r w:rsidRPr="00A00973">
              <w:rPr>
                <w:rFonts w:ascii="Arial Narrow" w:hAnsi="Arial Narrow"/>
                <w:color w:val="auto"/>
                <w:sz w:val="20"/>
                <w:szCs w:val="20"/>
                <w:lang w:val="en-AU"/>
              </w:rPr>
              <w:t>Cohort 2</w:t>
            </w:r>
          </w:p>
          <w:p w14:paraId="54EF71C1" w14:textId="77777777"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(n=12)</w:t>
            </w:r>
          </w:p>
        </w:tc>
        <w:tc>
          <w:tcPr>
            <w:tcW w:w="1539" w:type="pct"/>
            <w:shd w:val="clear" w:color="auto" w:fill="auto"/>
            <w:vAlign w:val="center"/>
          </w:tcPr>
          <w:p w14:paraId="00EBCD69" w14:textId="77777777"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Historical cohorts</w:t>
            </w:r>
          </w:p>
          <w:p w14:paraId="7133F5E1" w14:textId="77777777" w:rsidR="00DF54DE" w:rsidRPr="00A00973" w:rsidRDefault="00DF54DE" w:rsidP="00516F35">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auto"/>
                <w:sz w:val="20"/>
                <w:szCs w:val="20"/>
                <w:lang w:val="en-AU"/>
              </w:rPr>
            </w:pPr>
            <w:r w:rsidRPr="00A00973">
              <w:rPr>
                <w:rFonts w:ascii="Arial Narrow" w:hAnsi="Arial Narrow"/>
                <w:color w:val="auto"/>
                <w:sz w:val="20"/>
                <w:szCs w:val="20"/>
                <w:lang w:val="en-AU"/>
              </w:rPr>
              <w:t>(N=33)</w:t>
            </w:r>
          </w:p>
        </w:tc>
      </w:tr>
      <w:tr w:rsidR="00DF54DE" w:rsidRPr="00A00973" w14:paraId="127AFEA1" w14:textId="77777777" w:rsidTr="00A0097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tcPr>
          <w:p w14:paraId="72A3D6F9" w14:textId="77777777" w:rsidR="00DF54DE" w:rsidRPr="00A00973" w:rsidRDefault="00DF54DE" w:rsidP="00516F35">
            <w:pPr>
              <w:spacing w:before="0" w:after="0"/>
              <w:jc w:val="left"/>
              <w:rPr>
                <w:rFonts w:ascii="Arial Narrow" w:hAnsi="Arial Narrow"/>
                <w:b/>
                <w:color w:val="auto"/>
                <w:sz w:val="20"/>
                <w:szCs w:val="20"/>
                <w:lang w:val="en-AU"/>
              </w:rPr>
            </w:pPr>
            <w:r w:rsidRPr="00A00973">
              <w:rPr>
                <w:rFonts w:ascii="Arial Narrow" w:hAnsi="Arial Narrow"/>
                <w:b/>
                <w:color w:val="auto"/>
                <w:sz w:val="20"/>
                <w:szCs w:val="20"/>
                <w:lang w:val="en-AU"/>
              </w:rPr>
              <w:t>Motor milestone achievements, n (%)</w:t>
            </w:r>
          </w:p>
        </w:tc>
      </w:tr>
      <w:tr w:rsidR="00DF54DE" w:rsidRPr="00A00973" w14:paraId="34298CE9"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138716D2"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Brings hand to mouth</w:t>
            </w:r>
          </w:p>
        </w:tc>
        <w:tc>
          <w:tcPr>
            <w:tcW w:w="1654" w:type="pct"/>
            <w:shd w:val="clear" w:color="auto" w:fill="auto"/>
          </w:tcPr>
          <w:p w14:paraId="40832FD6"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12 (100)</w:t>
            </w:r>
          </w:p>
        </w:tc>
        <w:tc>
          <w:tcPr>
            <w:tcW w:w="1539" w:type="pct"/>
            <w:shd w:val="clear" w:color="auto" w:fill="auto"/>
          </w:tcPr>
          <w:p w14:paraId="03CEEB67"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NR</w:t>
            </w:r>
          </w:p>
        </w:tc>
      </w:tr>
      <w:tr w:rsidR="00DF54DE" w:rsidRPr="00A00973" w14:paraId="5EF628E5"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390F8CDA"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Controls head</w:t>
            </w:r>
          </w:p>
        </w:tc>
        <w:tc>
          <w:tcPr>
            <w:tcW w:w="1654" w:type="pct"/>
            <w:shd w:val="clear" w:color="auto" w:fill="auto"/>
          </w:tcPr>
          <w:p w14:paraId="249B689B"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14:paraId="7908BAE0"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14:paraId="294C4222"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248BCD68"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Rolls over†</w:t>
            </w:r>
          </w:p>
        </w:tc>
        <w:tc>
          <w:tcPr>
            <w:tcW w:w="1654" w:type="pct"/>
            <w:shd w:val="clear" w:color="auto" w:fill="auto"/>
          </w:tcPr>
          <w:p w14:paraId="2253DE0F"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9 (75.0)</w:t>
            </w:r>
          </w:p>
        </w:tc>
        <w:tc>
          <w:tcPr>
            <w:tcW w:w="1539" w:type="pct"/>
            <w:shd w:val="clear" w:color="auto" w:fill="auto"/>
          </w:tcPr>
          <w:p w14:paraId="067A9FAC"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14:paraId="7738D9BC"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6D91D21D"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Sits with assistance</w:t>
            </w:r>
          </w:p>
        </w:tc>
        <w:tc>
          <w:tcPr>
            <w:tcW w:w="1654" w:type="pct"/>
            <w:shd w:val="clear" w:color="auto" w:fill="auto"/>
          </w:tcPr>
          <w:p w14:paraId="0E36927B"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14:paraId="5E9E3A8B"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14:paraId="460F8AE4"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5B05E912"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Sits unassisted</w:t>
            </w:r>
            <w:r w:rsidRPr="00A00973">
              <w:rPr>
                <w:rFonts w:ascii="Arial Narrow" w:hAnsi="Arial Narrow"/>
                <w:color w:val="auto"/>
                <w:sz w:val="20"/>
                <w:szCs w:val="20"/>
                <w:vertAlign w:val="superscript"/>
                <w:lang w:val="en-AU"/>
              </w:rPr>
              <w:t>§</w:t>
            </w:r>
          </w:p>
        </w:tc>
        <w:tc>
          <w:tcPr>
            <w:tcW w:w="1654" w:type="pct"/>
            <w:shd w:val="clear" w:color="auto" w:fill="auto"/>
          </w:tcPr>
          <w:p w14:paraId="0CCB4769"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p>
        </w:tc>
        <w:tc>
          <w:tcPr>
            <w:tcW w:w="1539" w:type="pct"/>
            <w:shd w:val="clear" w:color="auto" w:fill="auto"/>
          </w:tcPr>
          <w:p w14:paraId="6D7F41E3"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p>
        </w:tc>
      </w:tr>
      <w:tr w:rsidR="00DF54DE" w:rsidRPr="00A00973" w14:paraId="544FA855"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5D50162E" w14:textId="77777777"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≥5 seconds</w:t>
            </w:r>
          </w:p>
        </w:tc>
        <w:tc>
          <w:tcPr>
            <w:tcW w:w="1654" w:type="pct"/>
            <w:shd w:val="clear" w:color="auto" w:fill="auto"/>
          </w:tcPr>
          <w:p w14:paraId="646FDC3E"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11 (91.7)</w:t>
            </w:r>
          </w:p>
        </w:tc>
        <w:tc>
          <w:tcPr>
            <w:tcW w:w="1539" w:type="pct"/>
            <w:shd w:val="clear" w:color="auto" w:fill="auto"/>
          </w:tcPr>
          <w:p w14:paraId="32612831"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14:paraId="74798359"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0EF99821" w14:textId="77777777"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≥10 seconds</w:t>
            </w:r>
          </w:p>
        </w:tc>
        <w:tc>
          <w:tcPr>
            <w:tcW w:w="1654" w:type="pct"/>
            <w:shd w:val="clear" w:color="auto" w:fill="auto"/>
          </w:tcPr>
          <w:p w14:paraId="184DD5E6"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10 (83.3)</w:t>
            </w:r>
          </w:p>
        </w:tc>
        <w:tc>
          <w:tcPr>
            <w:tcW w:w="1539" w:type="pct"/>
            <w:shd w:val="clear" w:color="auto" w:fill="auto"/>
          </w:tcPr>
          <w:p w14:paraId="7D139CF6"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14:paraId="114AD308"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74B0E271" w14:textId="77777777" w:rsidR="00DF54DE" w:rsidRPr="00A00973" w:rsidRDefault="00DF54DE" w:rsidP="00516F35">
            <w:pPr>
              <w:spacing w:before="0" w:after="0"/>
              <w:ind w:left="112"/>
              <w:jc w:val="left"/>
              <w:rPr>
                <w:rFonts w:ascii="Arial Narrow" w:hAnsi="Arial Narrow"/>
                <w:color w:val="auto"/>
                <w:sz w:val="20"/>
                <w:szCs w:val="20"/>
                <w:lang w:val="en-AU"/>
              </w:rPr>
            </w:pPr>
            <w:r w:rsidRPr="00A00973">
              <w:rPr>
                <w:rFonts w:ascii="Arial Narrow" w:hAnsi="Arial Narrow"/>
                <w:color w:val="auto"/>
                <w:sz w:val="20"/>
                <w:szCs w:val="20"/>
                <w:lang w:val="en-AU"/>
              </w:rPr>
              <w:t>≥30 seconds</w:t>
            </w:r>
          </w:p>
        </w:tc>
        <w:tc>
          <w:tcPr>
            <w:tcW w:w="1654" w:type="pct"/>
            <w:shd w:val="clear" w:color="auto" w:fill="auto"/>
          </w:tcPr>
          <w:p w14:paraId="40EC05A8"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9 (75.0)</w:t>
            </w:r>
          </w:p>
        </w:tc>
        <w:tc>
          <w:tcPr>
            <w:tcW w:w="1539" w:type="pct"/>
            <w:shd w:val="clear" w:color="auto" w:fill="auto"/>
          </w:tcPr>
          <w:p w14:paraId="39A1DA92"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14:paraId="19ABFB17"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7E8E9206"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Stands with assistance</w:t>
            </w:r>
          </w:p>
        </w:tc>
        <w:tc>
          <w:tcPr>
            <w:tcW w:w="1654" w:type="pct"/>
            <w:shd w:val="clear" w:color="auto" w:fill="auto"/>
          </w:tcPr>
          <w:p w14:paraId="3E84F241"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14:paraId="0D4E8E0B"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14:paraId="4A0EE5AD"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75CC5295"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Stands unassisted</w:t>
            </w:r>
          </w:p>
        </w:tc>
        <w:tc>
          <w:tcPr>
            <w:tcW w:w="1654" w:type="pct"/>
            <w:shd w:val="clear" w:color="auto" w:fill="auto"/>
          </w:tcPr>
          <w:p w14:paraId="3A8904EE"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14:paraId="358F0065"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r w:rsidR="00DF54DE" w:rsidRPr="00A00973" w14:paraId="4D8A9A2F" w14:textId="77777777" w:rsidTr="00A00973">
        <w:tc>
          <w:tcPr>
            <w:cnfStyle w:val="001000000000" w:firstRow="0" w:lastRow="0" w:firstColumn="1" w:lastColumn="0" w:oddVBand="0" w:evenVBand="0" w:oddHBand="0" w:evenHBand="0" w:firstRowFirstColumn="0" w:firstRowLastColumn="0" w:lastRowFirstColumn="0" w:lastRowLastColumn="0"/>
            <w:tcW w:w="1807" w:type="pct"/>
            <w:shd w:val="clear" w:color="auto" w:fill="auto"/>
          </w:tcPr>
          <w:p w14:paraId="388E0686" w14:textId="77777777" w:rsidR="00DF54DE" w:rsidRPr="00A00973" w:rsidRDefault="00DF54DE" w:rsidP="00516F35">
            <w:pPr>
              <w:spacing w:before="0" w:after="0"/>
              <w:jc w:val="left"/>
              <w:rPr>
                <w:rFonts w:ascii="Arial Narrow" w:hAnsi="Arial Narrow"/>
                <w:color w:val="auto"/>
                <w:sz w:val="20"/>
                <w:szCs w:val="20"/>
                <w:lang w:val="en-AU"/>
              </w:rPr>
            </w:pPr>
            <w:r w:rsidRPr="00A00973">
              <w:rPr>
                <w:rFonts w:ascii="Arial Narrow" w:hAnsi="Arial Narrow"/>
                <w:color w:val="auto"/>
                <w:sz w:val="20"/>
                <w:szCs w:val="20"/>
                <w:lang w:val="en-AU"/>
              </w:rPr>
              <w:t>Walks unassisted</w:t>
            </w:r>
          </w:p>
        </w:tc>
        <w:tc>
          <w:tcPr>
            <w:tcW w:w="1654" w:type="pct"/>
            <w:shd w:val="clear" w:color="auto" w:fill="auto"/>
          </w:tcPr>
          <w:p w14:paraId="3B9D1301"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2 (16.7)</w:t>
            </w:r>
          </w:p>
        </w:tc>
        <w:tc>
          <w:tcPr>
            <w:tcW w:w="1539" w:type="pct"/>
            <w:shd w:val="clear" w:color="auto" w:fill="auto"/>
          </w:tcPr>
          <w:p w14:paraId="13EEDC6A" w14:textId="77777777" w:rsidR="00DF54DE" w:rsidRPr="00A00973" w:rsidRDefault="00DF54DE" w:rsidP="00516F35">
            <w:pPr>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0"/>
                <w:szCs w:val="20"/>
                <w:lang w:val="en-AU"/>
              </w:rPr>
            </w:pPr>
            <w:r w:rsidRPr="00A00973">
              <w:rPr>
                <w:rFonts w:ascii="Arial Narrow" w:hAnsi="Arial Narrow"/>
                <w:color w:val="auto"/>
                <w:sz w:val="20"/>
                <w:szCs w:val="20"/>
                <w:lang w:val="en-AU"/>
              </w:rPr>
              <w:t>0‡</w:t>
            </w:r>
          </w:p>
        </w:tc>
      </w:tr>
    </w:tbl>
    <w:p w14:paraId="5949E872" w14:textId="77777777" w:rsidR="00DF54DE" w:rsidRPr="00917415" w:rsidRDefault="00DF54DE" w:rsidP="00A00973">
      <w:pPr>
        <w:pStyle w:val="TableFigureFooter"/>
      </w:pPr>
      <w:r w:rsidRPr="00917415">
        <w:t>Sources: Table 2.23, p115 of the submission.</w:t>
      </w:r>
    </w:p>
    <w:p w14:paraId="0367426C" w14:textId="77777777" w:rsidR="00DF54DE" w:rsidRPr="00917415" w:rsidRDefault="00DF54DE" w:rsidP="00A00973">
      <w:pPr>
        <w:pStyle w:val="TableFigureFooter"/>
      </w:pPr>
      <w:r w:rsidRPr="00917415">
        <w:t>n/N, number of infants meeting the criterion/number of infants in the group; NR, not reported; SMA, spinal muscular atrophy; WHO, World Health Organization.</w:t>
      </w:r>
    </w:p>
    <w:p w14:paraId="2B6BD704" w14:textId="77777777" w:rsidR="00DF54DE" w:rsidRPr="00917415" w:rsidRDefault="00DF54DE" w:rsidP="00A00973">
      <w:pPr>
        <w:pStyle w:val="TableFigureFooter"/>
      </w:pPr>
      <w:r w:rsidRPr="00917415">
        <w:t>At baseline, none of the infants in Cohort 2 had achieved any of the listed motor milestones, except for bringing a hand to the mouth. During the 24-month study period, the majority of these infants had reached ≥1 major motor milestone. No infants in Cohort 1 are listed, since none attained any motor milestones and did not receive the correct dose of ONA.</w:t>
      </w:r>
    </w:p>
    <w:p w14:paraId="63248D9E" w14:textId="77777777" w:rsidR="00DF54DE" w:rsidRPr="00917415" w:rsidRDefault="00DF54DE" w:rsidP="00A00973">
      <w:pPr>
        <w:pStyle w:val="TableFigureFooter"/>
      </w:pPr>
      <w:r w:rsidRPr="00917415">
        <w:t>†</w:t>
      </w:r>
      <w:r w:rsidRPr="00917415">
        <w:tab/>
        <w:t>According to item 20 on the Bayley-III assessment tool, rolling over is defined as movement of ≥180 degrees both left and right from a position of lying on the back.</w:t>
      </w:r>
    </w:p>
    <w:p w14:paraId="0C59C616" w14:textId="77777777" w:rsidR="00DF54DE" w:rsidRPr="00917415" w:rsidRDefault="00DF54DE" w:rsidP="00A00973">
      <w:pPr>
        <w:pStyle w:val="TableFigureFooter"/>
      </w:pPr>
      <w:r w:rsidRPr="00917415">
        <w:t>‡</w:t>
      </w:r>
      <w:r w:rsidRPr="00917415">
        <w:tab/>
        <w:t>Data are from De Sanctis et al, 2016 for PNCR.</w:t>
      </w:r>
    </w:p>
    <w:p w14:paraId="6B10EBBE" w14:textId="77777777" w:rsidR="00DF54DE" w:rsidRPr="00917415" w:rsidRDefault="00DF54DE" w:rsidP="00A00973">
      <w:pPr>
        <w:pStyle w:val="TableFigureFooter"/>
      </w:pPr>
      <w:r w:rsidRPr="00917415">
        <w:t>§</w:t>
      </w:r>
      <w:r w:rsidRPr="00917415">
        <w:tab/>
        <w:t>Sitting unassisted for ≥5 seconds is in accordance with the criteria of item 22 on the Bayley-III assessment tool gross motor subtest. Sitting unassisted for ≥10 seconds is in accordance with the criteria used in the WHO Multicentre Growth Reference Study. Sitting unassisted for ≥30 seconds defines functional independent sitting and is in accordance with the criteria of item 26 on the Bayley-III assessment tool gross motor subtest.</w:t>
      </w:r>
    </w:p>
    <w:p w14:paraId="0330C93E" w14:textId="77777777" w:rsidR="000062B0" w:rsidRPr="00917415" w:rsidRDefault="000062B0" w:rsidP="00A00973">
      <w:pPr>
        <w:pStyle w:val="TableFigureHeading"/>
      </w:pPr>
      <w:r w:rsidRPr="00917415">
        <w:lastRenderedPageBreak/>
        <w:t>Table 9: ONA: Highest Development Milestone Achievement in START and START-LT and concomitant NUSI usage (As of 31 Dec 2019)</w:t>
      </w:r>
    </w:p>
    <w:tbl>
      <w:tblPr>
        <w:tblW w:w="5000" w:type="pct"/>
        <w:tblCellMar>
          <w:left w:w="115" w:type="dxa"/>
          <w:right w:w="115" w:type="dxa"/>
        </w:tblCellMar>
        <w:tblLook w:val="0000" w:firstRow="0" w:lastRow="0" w:firstColumn="0" w:lastColumn="0" w:noHBand="0" w:noVBand="0"/>
      </w:tblPr>
      <w:tblGrid>
        <w:gridCol w:w="1214"/>
        <w:gridCol w:w="2426"/>
        <w:gridCol w:w="2426"/>
        <w:gridCol w:w="1559"/>
        <w:gridCol w:w="1386"/>
      </w:tblGrid>
      <w:tr w:rsidR="000062B0" w:rsidRPr="00917415" w14:paraId="05F6156A" w14:textId="77777777" w:rsidTr="00A00973">
        <w:trPr>
          <w:cantSplit/>
          <w:tblHeader/>
        </w:trPr>
        <w:tc>
          <w:tcPr>
            <w:tcW w:w="674" w:type="pct"/>
            <w:tcBorders>
              <w:top w:val="single" w:sz="6" w:space="0" w:color="000000"/>
              <w:left w:val="single" w:sz="6" w:space="0" w:color="000000"/>
              <w:bottom w:val="single" w:sz="2" w:space="0" w:color="000000"/>
              <w:right w:val="nil"/>
            </w:tcBorders>
            <w:shd w:val="clear" w:color="auto" w:fill="auto"/>
            <w:tcMar>
              <w:left w:w="60" w:type="dxa"/>
              <w:right w:w="60" w:type="dxa"/>
            </w:tcMar>
            <w:vAlign w:val="center"/>
          </w:tcPr>
          <w:p w14:paraId="01A514B0" w14:textId="77777777" w:rsidR="000062B0" w:rsidRPr="00917415" w:rsidRDefault="000062B0" w:rsidP="00516F35">
            <w:pPr>
              <w:keepNext/>
              <w:jc w:val="left"/>
              <w:rPr>
                <w:rFonts w:ascii="Arial Narrow" w:eastAsiaTheme="minorEastAsia" w:hAnsi="Arial Narrow"/>
                <w:b/>
                <w:sz w:val="20"/>
                <w:szCs w:val="20"/>
              </w:rPr>
            </w:pPr>
            <w:r w:rsidRPr="00917415">
              <w:rPr>
                <w:rFonts w:ascii="Arial Narrow" w:eastAsiaTheme="minorEastAsia" w:hAnsi="Arial Narrow"/>
                <w:b/>
                <w:sz w:val="20"/>
                <w:szCs w:val="20"/>
              </w:rPr>
              <w:t>Patient ID</w:t>
            </w:r>
          </w:p>
        </w:tc>
        <w:tc>
          <w:tcPr>
            <w:tcW w:w="1346"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14:paraId="35174A27" w14:textId="77777777"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Highest Milestone Achieved in START(Video-Confirmed)</w:t>
            </w:r>
          </w:p>
        </w:tc>
        <w:tc>
          <w:tcPr>
            <w:tcW w:w="1346"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14:paraId="59849D11" w14:textId="77777777"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 xml:space="preserve">Highest Milestone Achievement </w:t>
            </w:r>
          </w:p>
          <w:p w14:paraId="4F8A793E" w14:textId="77777777"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in START-LT</w:t>
            </w:r>
          </w:p>
        </w:tc>
        <w:tc>
          <w:tcPr>
            <w:tcW w:w="865" w:type="pct"/>
            <w:tcBorders>
              <w:top w:val="single" w:sz="6" w:space="0" w:color="000000"/>
              <w:left w:val="single" w:sz="2" w:space="0" w:color="000000"/>
              <w:bottom w:val="single" w:sz="2" w:space="0" w:color="000000"/>
              <w:right w:val="nil"/>
            </w:tcBorders>
            <w:shd w:val="clear" w:color="auto" w:fill="auto"/>
            <w:tcMar>
              <w:left w:w="60" w:type="dxa"/>
              <w:right w:w="60" w:type="dxa"/>
            </w:tcMar>
            <w:vAlign w:val="center"/>
          </w:tcPr>
          <w:p w14:paraId="0E5A1C70" w14:textId="77777777"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NUSI Usage at Baseline in START-LT</w:t>
            </w:r>
          </w:p>
        </w:tc>
        <w:tc>
          <w:tcPr>
            <w:tcW w:w="769" w:type="pct"/>
            <w:tcBorders>
              <w:top w:val="single" w:sz="6" w:space="0" w:color="000000"/>
              <w:left w:val="single" w:sz="2" w:space="0" w:color="000000"/>
              <w:bottom w:val="single" w:sz="2" w:space="0" w:color="000000"/>
              <w:right w:val="single" w:sz="6" w:space="0" w:color="000000"/>
            </w:tcBorders>
            <w:shd w:val="clear" w:color="auto" w:fill="auto"/>
            <w:tcMar>
              <w:left w:w="60" w:type="dxa"/>
              <w:right w:w="60" w:type="dxa"/>
            </w:tcMar>
            <w:vAlign w:val="center"/>
          </w:tcPr>
          <w:p w14:paraId="3201B128" w14:textId="77777777" w:rsidR="000062B0" w:rsidRPr="00917415" w:rsidRDefault="000062B0" w:rsidP="00516F35">
            <w:pPr>
              <w:keepNext/>
              <w:jc w:val="center"/>
              <w:rPr>
                <w:rFonts w:ascii="Arial Narrow" w:eastAsiaTheme="minorEastAsia" w:hAnsi="Arial Narrow"/>
                <w:b/>
                <w:sz w:val="20"/>
                <w:szCs w:val="20"/>
              </w:rPr>
            </w:pPr>
            <w:r w:rsidRPr="00917415">
              <w:rPr>
                <w:rFonts w:ascii="Arial Narrow" w:eastAsiaTheme="minorEastAsia" w:hAnsi="Arial Narrow"/>
                <w:b/>
                <w:sz w:val="20"/>
                <w:szCs w:val="20"/>
              </w:rPr>
              <w:t>NUSI Usage at Year 1 START-LT</w:t>
            </w:r>
          </w:p>
        </w:tc>
      </w:tr>
      <w:tr w:rsidR="000062B0" w:rsidRPr="00917415" w14:paraId="7550FD9F"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4CA03ABB"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E-01-643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39F9ECC1"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43FC7344"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46DED8A9"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6E2AA6E1"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14:paraId="4066F301"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3F1EAE94"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E-02-491</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171C3A50"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30F5BAAC"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5E072762"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537EBEB4"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14:paraId="49E76424"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4885519E"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E-03-285</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3D98F596"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30125781"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4AB3CBCD"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6E9E4C70"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14:paraId="796FE3DF"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4CF991DE"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E-04-186*</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1D5DD4DB"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≥5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33BB9BEB"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3F594F5A"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60460663"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14:paraId="482EB53E"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5485CF08"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E-05-829*</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2C644AD6"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1E97C0EC"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3ED0D4A8"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6C7B1056"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14:paraId="7D07DEE1"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42EBEB0F"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E-06-965*</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6FA568A0"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Walks alone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37ABBB96"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 alone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52482DE7"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3615CA8A"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14:paraId="2F52C971"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31FE5A45"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E-07-254*</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05D9DEB7"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≥15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1241B733"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7E1DD326"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593A5EC6"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14:paraId="13E81BA7"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1606C307"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E-08-208*</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1C74A841"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42678EBE"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Not in study</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19DBF3A8"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261F2556"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r>
      <w:tr w:rsidR="000062B0" w:rsidRPr="00917415" w14:paraId="29E8F24D"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4A798D1D"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E-09-860*</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34277B43"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69B07821"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Not in study</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31FD6C12"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6227BF76"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w:t>
            </w:r>
          </w:p>
        </w:tc>
      </w:tr>
      <w:tr w:rsidR="000062B0" w:rsidRPr="00917415" w14:paraId="04F938A9"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68A4450B"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E-10-243*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00F9A55F"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Walks alone</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0449CFFC"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Walk alone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1EBC98F1"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444422D6"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14:paraId="47D48A9B"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67FF5D25"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E-11-174*</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4AA545A8"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416E297B"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3A3A194B"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61E92245"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14:paraId="7EA61848"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3FD63879"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E-12-343*</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18413D78"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19DFF153"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3F39B0A1"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2339E22A"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14:paraId="21E08576" w14:textId="77777777" w:rsidTr="00A00973">
        <w:trPr>
          <w:cantSplit/>
        </w:trPr>
        <w:tc>
          <w:tcPr>
            <w:tcW w:w="674" w:type="pct"/>
            <w:tcBorders>
              <w:top w:val="nil"/>
              <w:left w:val="single" w:sz="6" w:space="0" w:color="000000"/>
              <w:bottom w:val="single" w:sz="2" w:space="0" w:color="000000"/>
              <w:right w:val="nil"/>
            </w:tcBorders>
            <w:shd w:val="clear" w:color="auto" w:fill="FFFFFF"/>
            <w:tcMar>
              <w:left w:w="60" w:type="dxa"/>
              <w:right w:w="60" w:type="dxa"/>
            </w:tcMar>
          </w:tcPr>
          <w:p w14:paraId="44FE76BF"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E-13-842*</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711E4923"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2" w:space="0" w:color="000000"/>
              <w:right w:val="nil"/>
            </w:tcBorders>
            <w:shd w:val="clear" w:color="auto" w:fill="FFFFFF"/>
            <w:tcMar>
              <w:left w:w="60" w:type="dxa"/>
              <w:right w:w="60" w:type="dxa"/>
            </w:tcMar>
          </w:tcPr>
          <w:p w14:paraId="31E8B60E"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nil"/>
              <w:left w:val="single" w:sz="2" w:space="0" w:color="000000"/>
              <w:bottom w:val="single" w:sz="2" w:space="0" w:color="000000"/>
              <w:right w:val="nil"/>
            </w:tcBorders>
            <w:shd w:val="clear" w:color="auto" w:fill="FFFFFF"/>
            <w:tcMar>
              <w:left w:w="60" w:type="dxa"/>
              <w:right w:w="60" w:type="dxa"/>
            </w:tcMar>
            <w:vAlign w:val="center"/>
          </w:tcPr>
          <w:p w14:paraId="479D181E"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2" w:space="0" w:color="000000"/>
              <w:right w:val="single" w:sz="6" w:space="0" w:color="000000"/>
            </w:tcBorders>
            <w:shd w:val="clear" w:color="auto" w:fill="FFFFFF"/>
            <w:tcMar>
              <w:left w:w="60" w:type="dxa"/>
              <w:right w:w="60" w:type="dxa"/>
            </w:tcMar>
            <w:vAlign w:val="center"/>
          </w:tcPr>
          <w:p w14:paraId="70B3195A"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Yes</w:t>
            </w:r>
          </w:p>
        </w:tc>
      </w:tr>
      <w:tr w:rsidR="000062B0" w:rsidRPr="00917415" w14:paraId="7EBBD0F8" w14:textId="77777777" w:rsidTr="00A00973">
        <w:trPr>
          <w:cantSplit/>
        </w:trPr>
        <w:tc>
          <w:tcPr>
            <w:tcW w:w="674" w:type="pct"/>
            <w:tcBorders>
              <w:top w:val="nil"/>
              <w:left w:val="single" w:sz="6" w:space="0" w:color="000000"/>
              <w:bottom w:val="single" w:sz="4" w:space="0" w:color="auto"/>
              <w:right w:val="nil"/>
            </w:tcBorders>
            <w:shd w:val="clear" w:color="auto" w:fill="FFFFFF"/>
            <w:tcMar>
              <w:left w:w="60" w:type="dxa"/>
              <w:right w:w="60" w:type="dxa"/>
            </w:tcMar>
          </w:tcPr>
          <w:p w14:paraId="3D6CCBC5"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E-14-078*</w:t>
            </w:r>
          </w:p>
        </w:tc>
        <w:tc>
          <w:tcPr>
            <w:tcW w:w="1346" w:type="pct"/>
            <w:tcBorders>
              <w:top w:val="nil"/>
              <w:left w:val="single" w:sz="2" w:space="0" w:color="000000"/>
              <w:bottom w:val="single" w:sz="4" w:space="0" w:color="auto"/>
              <w:right w:val="nil"/>
            </w:tcBorders>
            <w:shd w:val="clear" w:color="auto" w:fill="FFFFFF"/>
            <w:tcMar>
              <w:left w:w="60" w:type="dxa"/>
              <w:right w:w="60" w:type="dxa"/>
            </w:tcMar>
          </w:tcPr>
          <w:p w14:paraId="11D21E7C"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nil"/>
              <w:left w:val="single" w:sz="2" w:space="0" w:color="000000"/>
              <w:bottom w:val="single" w:sz="4" w:space="0" w:color="auto"/>
              <w:right w:val="nil"/>
            </w:tcBorders>
            <w:shd w:val="clear" w:color="auto" w:fill="FFFFFF"/>
            <w:tcMar>
              <w:left w:w="60" w:type="dxa"/>
              <w:right w:w="60" w:type="dxa"/>
            </w:tcMar>
          </w:tcPr>
          <w:p w14:paraId="44E82D53"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Stand with assistance</w:t>
            </w:r>
          </w:p>
        </w:tc>
        <w:tc>
          <w:tcPr>
            <w:tcW w:w="865" w:type="pct"/>
            <w:tcBorders>
              <w:top w:val="nil"/>
              <w:left w:val="single" w:sz="2" w:space="0" w:color="000000"/>
              <w:bottom w:val="single" w:sz="4" w:space="0" w:color="auto"/>
              <w:right w:val="nil"/>
            </w:tcBorders>
            <w:shd w:val="clear" w:color="auto" w:fill="FFFFFF"/>
            <w:tcMar>
              <w:left w:w="60" w:type="dxa"/>
              <w:right w:w="60" w:type="dxa"/>
            </w:tcMar>
            <w:vAlign w:val="center"/>
          </w:tcPr>
          <w:p w14:paraId="1A1F9E6C"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nil"/>
              <w:left w:val="single" w:sz="2" w:space="0" w:color="000000"/>
              <w:bottom w:val="single" w:sz="4" w:space="0" w:color="auto"/>
              <w:right w:val="single" w:sz="6" w:space="0" w:color="000000"/>
            </w:tcBorders>
            <w:shd w:val="clear" w:color="auto" w:fill="FFFFFF"/>
            <w:tcMar>
              <w:left w:w="60" w:type="dxa"/>
              <w:right w:w="60" w:type="dxa"/>
            </w:tcMar>
            <w:vAlign w:val="center"/>
          </w:tcPr>
          <w:p w14:paraId="4A0D63D5"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r w:rsidR="000062B0" w:rsidRPr="00917415" w14:paraId="3242ABDE" w14:textId="77777777" w:rsidTr="00A00973">
        <w:trPr>
          <w:cantSplit/>
        </w:trPr>
        <w:tc>
          <w:tcPr>
            <w:tcW w:w="674" w:type="pct"/>
            <w:tcBorders>
              <w:top w:val="single" w:sz="4" w:space="0" w:color="auto"/>
              <w:left w:val="single" w:sz="4" w:space="0" w:color="auto"/>
              <w:bottom w:val="single" w:sz="4" w:space="0" w:color="auto"/>
              <w:right w:val="nil"/>
            </w:tcBorders>
            <w:shd w:val="clear" w:color="auto" w:fill="FFFFFF"/>
            <w:tcMar>
              <w:left w:w="60" w:type="dxa"/>
              <w:right w:w="60" w:type="dxa"/>
            </w:tcMar>
          </w:tcPr>
          <w:p w14:paraId="064CBE32"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E-15-098*</w:t>
            </w:r>
          </w:p>
        </w:tc>
        <w:tc>
          <w:tcPr>
            <w:tcW w:w="1346" w:type="pct"/>
            <w:tcBorders>
              <w:top w:val="single" w:sz="4" w:space="0" w:color="auto"/>
              <w:left w:val="single" w:sz="2" w:space="0" w:color="000000"/>
              <w:bottom w:val="single" w:sz="4" w:space="0" w:color="auto"/>
              <w:right w:val="nil"/>
            </w:tcBorders>
            <w:shd w:val="clear" w:color="auto" w:fill="FFFFFF"/>
            <w:tcMar>
              <w:left w:w="60" w:type="dxa"/>
              <w:right w:w="60" w:type="dxa"/>
            </w:tcMar>
          </w:tcPr>
          <w:p w14:paraId="492940A2"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Sits alone ≥30 seconds</w:t>
            </w:r>
          </w:p>
        </w:tc>
        <w:tc>
          <w:tcPr>
            <w:tcW w:w="1346" w:type="pct"/>
            <w:tcBorders>
              <w:top w:val="single" w:sz="4" w:space="0" w:color="auto"/>
              <w:left w:val="single" w:sz="2" w:space="0" w:color="000000"/>
              <w:bottom w:val="single" w:sz="4" w:space="0" w:color="auto"/>
              <w:right w:val="nil"/>
            </w:tcBorders>
            <w:shd w:val="clear" w:color="auto" w:fill="FFFFFF"/>
            <w:tcMar>
              <w:left w:w="60" w:type="dxa"/>
              <w:right w:w="60" w:type="dxa"/>
            </w:tcMar>
          </w:tcPr>
          <w:p w14:paraId="4EA150BB" w14:textId="77777777" w:rsidR="000062B0" w:rsidRPr="00917415" w:rsidRDefault="000062B0" w:rsidP="00516F35">
            <w:pPr>
              <w:keepNext/>
              <w:rPr>
                <w:rFonts w:ascii="Arial Narrow" w:eastAsiaTheme="minorEastAsia" w:hAnsi="Arial Narrow"/>
                <w:sz w:val="20"/>
                <w:szCs w:val="20"/>
              </w:rPr>
            </w:pPr>
            <w:r w:rsidRPr="00917415">
              <w:rPr>
                <w:rFonts w:ascii="Arial Narrow" w:eastAsiaTheme="minorEastAsia" w:hAnsi="Arial Narrow"/>
                <w:sz w:val="20"/>
                <w:szCs w:val="20"/>
              </w:rPr>
              <w:t>Sitting without support</w:t>
            </w:r>
          </w:p>
        </w:tc>
        <w:tc>
          <w:tcPr>
            <w:tcW w:w="865" w:type="pct"/>
            <w:tcBorders>
              <w:top w:val="single" w:sz="4" w:space="0" w:color="auto"/>
              <w:left w:val="single" w:sz="2" w:space="0" w:color="000000"/>
              <w:bottom w:val="single" w:sz="4" w:space="0" w:color="auto"/>
              <w:right w:val="nil"/>
            </w:tcBorders>
            <w:shd w:val="clear" w:color="auto" w:fill="FFFFFF"/>
            <w:tcMar>
              <w:left w:w="60" w:type="dxa"/>
              <w:right w:w="60" w:type="dxa"/>
            </w:tcMar>
            <w:vAlign w:val="center"/>
          </w:tcPr>
          <w:p w14:paraId="1DA2F385"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c>
          <w:tcPr>
            <w:tcW w:w="769" w:type="pct"/>
            <w:tcBorders>
              <w:top w:val="single" w:sz="4" w:space="0" w:color="auto"/>
              <w:left w:val="single" w:sz="2" w:space="0" w:color="000000"/>
              <w:bottom w:val="single" w:sz="4" w:space="0" w:color="auto"/>
              <w:right w:val="single" w:sz="4" w:space="0" w:color="auto"/>
            </w:tcBorders>
            <w:shd w:val="clear" w:color="auto" w:fill="FFFFFF"/>
            <w:tcMar>
              <w:left w:w="60" w:type="dxa"/>
              <w:right w:w="60" w:type="dxa"/>
            </w:tcMar>
            <w:vAlign w:val="center"/>
          </w:tcPr>
          <w:p w14:paraId="0F650A23" w14:textId="77777777" w:rsidR="000062B0" w:rsidRPr="00917415" w:rsidRDefault="000062B0" w:rsidP="00516F35">
            <w:pPr>
              <w:keepNext/>
              <w:jc w:val="center"/>
              <w:rPr>
                <w:rFonts w:ascii="Arial Narrow" w:eastAsiaTheme="minorEastAsia" w:hAnsi="Arial Narrow"/>
                <w:sz w:val="20"/>
                <w:szCs w:val="20"/>
              </w:rPr>
            </w:pPr>
            <w:r w:rsidRPr="00917415">
              <w:rPr>
                <w:rFonts w:ascii="Arial Narrow" w:eastAsiaTheme="minorEastAsia" w:hAnsi="Arial Narrow"/>
                <w:sz w:val="20"/>
                <w:szCs w:val="20"/>
              </w:rPr>
              <w:t>No</w:t>
            </w:r>
          </w:p>
        </w:tc>
      </w:tr>
    </w:tbl>
    <w:p w14:paraId="42C8449B" w14:textId="77777777" w:rsidR="000062B0" w:rsidRPr="00917415" w:rsidRDefault="000062B0" w:rsidP="00A00973">
      <w:pPr>
        <w:pStyle w:val="TableFigureFooter"/>
        <w:rPr>
          <w:rFonts w:eastAsiaTheme="minorEastAsia"/>
        </w:rPr>
      </w:pPr>
      <w:r w:rsidRPr="00917415">
        <w:rPr>
          <w:rFonts w:eastAsiaTheme="minorEastAsia"/>
        </w:rPr>
        <w:t>Source: Table 2.31 of the submission, Study LT-001 Listing 16.2.4, Total patients in table is 15, so include 3 patients who were in Cohort 1 of START.</w:t>
      </w:r>
    </w:p>
    <w:p w14:paraId="17FCC9CC" w14:textId="77777777" w:rsidR="000062B0" w:rsidRPr="00A00973" w:rsidRDefault="000062B0" w:rsidP="00A00973">
      <w:pPr>
        <w:pStyle w:val="TableFigureFooter"/>
      </w:pPr>
      <w:r w:rsidRPr="00917415">
        <w:t>*</w:t>
      </w:r>
      <w:r w:rsidRPr="00917415">
        <w:tab/>
        <w:t xml:space="preserve"> Cohort 2, determined by cross checking against PrecisionHEOR indirect comparison report, p49, Attachment 11 of the submission.</w:t>
      </w:r>
    </w:p>
    <w:p w14:paraId="57D668A1" w14:textId="77777777" w:rsidR="000062B0" w:rsidRPr="00917415" w:rsidRDefault="000062B0" w:rsidP="00A00973">
      <w:pPr>
        <w:pStyle w:val="TableFigureHeading"/>
        <w:spacing w:before="240"/>
      </w:pPr>
      <w:r w:rsidRPr="00917415">
        <w:t>Table 10: Highest milestone attained in long term follow up studies for ONA (START-LT) and NUSI (SHINE/ENDEAR)</w:t>
      </w:r>
    </w:p>
    <w:tbl>
      <w:tblPr>
        <w:tblStyle w:val="TableGrid"/>
        <w:tblW w:w="5000" w:type="pct"/>
        <w:tblLook w:val="04A0" w:firstRow="1" w:lastRow="0" w:firstColumn="1" w:lastColumn="0" w:noHBand="0" w:noVBand="1"/>
        <w:tblCaption w:val="Table 10: Highest milestone attained in long term follow up studies for ONA (START-LT) and NUSI (SHINE/ENDEAR)"/>
      </w:tblPr>
      <w:tblGrid>
        <w:gridCol w:w="1935"/>
        <w:gridCol w:w="830"/>
        <w:gridCol w:w="830"/>
        <w:gridCol w:w="691"/>
        <w:gridCol w:w="722"/>
        <w:gridCol w:w="906"/>
        <w:gridCol w:w="906"/>
        <w:gridCol w:w="538"/>
        <w:gridCol w:w="708"/>
        <w:gridCol w:w="951"/>
      </w:tblGrid>
      <w:tr w:rsidR="000062B0" w:rsidRPr="00A00973" w14:paraId="4EFC4D75" w14:textId="77777777" w:rsidTr="002E0331">
        <w:trPr>
          <w:tblHeader/>
        </w:trPr>
        <w:tc>
          <w:tcPr>
            <w:tcW w:w="1075" w:type="pct"/>
            <w:tcMar>
              <w:left w:w="28" w:type="dxa"/>
              <w:right w:w="28" w:type="dxa"/>
            </w:tcMar>
            <w:vAlign w:val="center"/>
          </w:tcPr>
          <w:p w14:paraId="5778DA4E" w14:textId="77777777"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n/N(%)</w:t>
            </w:r>
          </w:p>
        </w:tc>
        <w:tc>
          <w:tcPr>
            <w:tcW w:w="462" w:type="pct"/>
            <w:vAlign w:val="center"/>
          </w:tcPr>
          <w:p w14:paraId="525BB8CD"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None</w:t>
            </w:r>
          </w:p>
        </w:tc>
        <w:tc>
          <w:tcPr>
            <w:tcW w:w="462" w:type="pct"/>
            <w:vAlign w:val="center"/>
          </w:tcPr>
          <w:p w14:paraId="23CD81D7"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Sit with support</w:t>
            </w:r>
          </w:p>
        </w:tc>
        <w:tc>
          <w:tcPr>
            <w:tcW w:w="385" w:type="pct"/>
            <w:tcMar>
              <w:left w:w="28" w:type="dxa"/>
              <w:right w:w="28" w:type="dxa"/>
            </w:tcMar>
            <w:vAlign w:val="center"/>
          </w:tcPr>
          <w:p w14:paraId="1DFAE821"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Sit without support</w:t>
            </w:r>
          </w:p>
        </w:tc>
        <w:tc>
          <w:tcPr>
            <w:tcW w:w="385" w:type="pct"/>
            <w:tcMar>
              <w:left w:w="28" w:type="dxa"/>
              <w:right w:w="28" w:type="dxa"/>
            </w:tcMar>
            <w:vAlign w:val="center"/>
          </w:tcPr>
          <w:p w14:paraId="3DA7F75B"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Hand &amp; knees crawling</w:t>
            </w:r>
          </w:p>
        </w:tc>
        <w:tc>
          <w:tcPr>
            <w:tcW w:w="504" w:type="pct"/>
            <w:tcMar>
              <w:left w:w="28" w:type="dxa"/>
              <w:right w:w="28" w:type="dxa"/>
            </w:tcMar>
            <w:vAlign w:val="center"/>
          </w:tcPr>
          <w:p w14:paraId="6FC92ED4"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Stand with assistance</w:t>
            </w:r>
          </w:p>
        </w:tc>
        <w:tc>
          <w:tcPr>
            <w:tcW w:w="504" w:type="pct"/>
            <w:tcMar>
              <w:left w:w="28" w:type="dxa"/>
              <w:right w:w="28" w:type="dxa"/>
            </w:tcMar>
            <w:vAlign w:val="center"/>
          </w:tcPr>
          <w:p w14:paraId="141673E1"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Walk with assistance</w:t>
            </w:r>
          </w:p>
        </w:tc>
        <w:tc>
          <w:tcPr>
            <w:tcW w:w="300" w:type="pct"/>
            <w:tcMar>
              <w:left w:w="28" w:type="dxa"/>
              <w:right w:w="28" w:type="dxa"/>
            </w:tcMar>
            <w:vAlign w:val="center"/>
          </w:tcPr>
          <w:p w14:paraId="3C6831C4"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Stand alone</w:t>
            </w:r>
          </w:p>
        </w:tc>
        <w:tc>
          <w:tcPr>
            <w:tcW w:w="394" w:type="pct"/>
            <w:tcMar>
              <w:left w:w="28" w:type="dxa"/>
              <w:right w:w="28" w:type="dxa"/>
            </w:tcMar>
            <w:vAlign w:val="center"/>
          </w:tcPr>
          <w:p w14:paraId="0449FA6F"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Walk alone</w:t>
            </w:r>
          </w:p>
        </w:tc>
        <w:tc>
          <w:tcPr>
            <w:tcW w:w="530" w:type="pct"/>
            <w:tcMar>
              <w:left w:w="28" w:type="dxa"/>
              <w:right w:w="28" w:type="dxa"/>
            </w:tcMar>
            <w:vAlign w:val="center"/>
          </w:tcPr>
          <w:p w14:paraId="251919B7" w14:textId="77777777" w:rsidR="000062B0" w:rsidRPr="00A00973" w:rsidRDefault="000062B0" w:rsidP="00516F35">
            <w:pPr>
              <w:keepNext/>
              <w:jc w:val="center"/>
              <w:rPr>
                <w:rFonts w:ascii="Arial Narrow" w:hAnsi="Arial Narrow"/>
                <w:b/>
                <w:sz w:val="20"/>
                <w:szCs w:val="20"/>
              </w:rPr>
            </w:pPr>
            <w:r w:rsidRPr="00A00973">
              <w:rPr>
                <w:rFonts w:ascii="Arial Narrow" w:hAnsi="Arial Narrow"/>
                <w:b/>
                <w:sz w:val="20"/>
                <w:szCs w:val="20"/>
              </w:rPr>
              <w:t>Co admin NUSI</w:t>
            </w:r>
          </w:p>
        </w:tc>
      </w:tr>
      <w:tr w:rsidR="000062B0" w:rsidRPr="00A00973" w14:paraId="34AF447C" w14:textId="77777777" w:rsidTr="00A00973">
        <w:tc>
          <w:tcPr>
            <w:tcW w:w="5000" w:type="pct"/>
            <w:gridSpan w:val="10"/>
            <w:tcMar>
              <w:left w:w="28" w:type="dxa"/>
              <w:right w:w="28" w:type="dxa"/>
            </w:tcMar>
            <w:vAlign w:val="center"/>
          </w:tcPr>
          <w:p w14:paraId="40346263" w14:textId="77777777"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START-LT/START</w:t>
            </w:r>
          </w:p>
        </w:tc>
      </w:tr>
      <w:tr w:rsidR="000062B0" w:rsidRPr="00A00973" w14:paraId="6E886B47" w14:textId="77777777" w:rsidTr="00A00973">
        <w:tc>
          <w:tcPr>
            <w:tcW w:w="1075" w:type="pct"/>
            <w:tcMar>
              <w:left w:w="28" w:type="dxa"/>
              <w:right w:w="28" w:type="dxa"/>
            </w:tcMar>
            <w:vAlign w:val="center"/>
          </w:tcPr>
          <w:p w14:paraId="42E31EB1" w14:textId="77777777"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end of START (</w:t>
            </w:r>
            <w:r w:rsidRPr="00A00973">
              <w:rPr>
                <w:rFonts w:ascii="Arial Narrow" w:hAnsi="Arial Narrow" w:cs="Calibri"/>
                <w:sz w:val="20"/>
                <w:szCs w:val="20"/>
              </w:rPr>
              <w:t>≥</w:t>
            </w:r>
            <w:r w:rsidRPr="00A00973">
              <w:rPr>
                <w:rFonts w:ascii="Arial Narrow" w:hAnsi="Arial Narrow"/>
                <w:sz w:val="20"/>
                <w:szCs w:val="20"/>
              </w:rPr>
              <w:t>20mth of age, mean age 27.9mth)</w:t>
            </w:r>
          </w:p>
        </w:tc>
        <w:tc>
          <w:tcPr>
            <w:tcW w:w="462" w:type="pct"/>
            <w:vAlign w:val="bottom"/>
          </w:tcPr>
          <w:p w14:paraId="1E1D3762"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4/15</w:t>
            </w:r>
          </w:p>
          <w:p w14:paraId="61E25E3A"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(27%)</w:t>
            </w:r>
          </w:p>
        </w:tc>
        <w:tc>
          <w:tcPr>
            <w:tcW w:w="462" w:type="pct"/>
            <w:vAlign w:val="bottom"/>
          </w:tcPr>
          <w:p w14:paraId="4445B6AE"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w:t>
            </w:r>
          </w:p>
          <w:p w14:paraId="417E025C"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(13%)</w:t>
            </w:r>
          </w:p>
        </w:tc>
        <w:tc>
          <w:tcPr>
            <w:tcW w:w="385" w:type="pct"/>
            <w:tcMar>
              <w:left w:w="28" w:type="dxa"/>
              <w:right w:w="28" w:type="dxa"/>
            </w:tcMar>
            <w:vAlign w:val="bottom"/>
          </w:tcPr>
          <w:p w14:paraId="1A2D5266"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9/15</w:t>
            </w:r>
          </w:p>
          <w:p w14:paraId="57BED7C3"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(60%)</w:t>
            </w:r>
          </w:p>
        </w:tc>
        <w:tc>
          <w:tcPr>
            <w:tcW w:w="385" w:type="pct"/>
            <w:tcMar>
              <w:left w:w="28" w:type="dxa"/>
              <w:right w:w="28" w:type="dxa"/>
            </w:tcMar>
            <w:vAlign w:val="bottom"/>
          </w:tcPr>
          <w:p w14:paraId="4F684355"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504" w:type="pct"/>
            <w:tcMar>
              <w:left w:w="28" w:type="dxa"/>
              <w:right w:w="28" w:type="dxa"/>
            </w:tcMar>
            <w:vAlign w:val="bottom"/>
          </w:tcPr>
          <w:p w14:paraId="6DEBF881"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504" w:type="pct"/>
            <w:tcMar>
              <w:left w:w="28" w:type="dxa"/>
              <w:right w:w="28" w:type="dxa"/>
            </w:tcMar>
            <w:vAlign w:val="bottom"/>
          </w:tcPr>
          <w:p w14:paraId="10A96AE5"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00" w:type="pct"/>
            <w:tcMar>
              <w:left w:w="28" w:type="dxa"/>
              <w:right w:w="28" w:type="dxa"/>
            </w:tcMar>
            <w:vAlign w:val="bottom"/>
          </w:tcPr>
          <w:p w14:paraId="4E769ABF"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94" w:type="pct"/>
            <w:tcMar>
              <w:left w:w="28" w:type="dxa"/>
              <w:right w:w="28" w:type="dxa"/>
            </w:tcMar>
            <w:vAlign w:val="bottom"/>
          </w:tcPr>
          <w:p w14:paraId="371B7D22"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 (13%)</w:t>
            </w:r>
          </w:p>
        </w:tc>
        <w:tc>
          <w:tcPr>
            <w:tcW w:w="530" w:type="pct"/>
            <w:tcMar>
              <w:left w:w="28" w:type="dxa"/>
              <w:right w:w="28" w:type="dxa"/>
            </w:tcMar>
            <w:vAlign w:val="bottom"/>
          </w:tcPr>
          <w:p w14:paraId="349C62D6"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r>
      <w:tr w:rsidR="000062B0" w:rsidRPr="00A00973" w14:paraId="0367396C" w14:textId="77777777" w:rsidTr="00A00973">
        <w:tc>
          <w:tcPr>
            <w:tcW w:w="1075" w:type="pct"/>
            <w:tcMar>
              <w:left w:w="28" w:type="dxa"/>
              <w:right w:w="28" w:type="dxa"/>
            </w:tcMar>
            <w:vAlign w:val="center"/>
          </w:tcPr>
          <w:p w14:paraId="02888433" w14:textId="77777777"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Mean age 4.8 yrs*</w:t>
            </w:r>
          </w:p>
        </w:tc>
        <w:tc>
          <w:tcPr>
            <w:tcW w:w="462" w:type="pct"/>
            <w:vAlign w:val="bottom"/>
          </w:tcPr>
          <w:p w14:paraId="4A444050"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w:t>
            </w:r>
          </w:p>
          <w:p w14:paraId="3764283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(13%)</w:t>
            </w:r>
          </w:p>
        </w:tc>
        <w:tc>
          <w:tcPr>
            <w:tcW w:w="462" w:type="pct"/>
            <w:vAlign w:val="bottom"/>
          </w:tcPr>
          <w:p w14:paraId="186786B9"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1/15</w:t>
            </w:r>
          </w:p>
          <w:p w14:paraId="56A81849"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w:t>
            </w:r>
          </w:p>
        </w:tc>
        <w:tc>
          <w:tcPr>
            <w:tcW w:w="385" w:type="pct"/>
            <w:tcMar>
              <w:left w:w="28" w:type="dxa"/>
              <w:right w:w="28" w:type="dxa"/>
            </w:tcMar>
            <w:vAlign w:val="bottom"/>
          </w:tcPr>
          <w:p w14:paraId="09B88163"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5/15 (33%)</w:t>
            </w:r>
          </w:p>
        </w:tc>
        <w:tc>
          <w:tcPr>
            <w:tcW w:w="385" w:type="pct"/>
            <w:tcMar>
              <w:left w:w="28" w:type="dxa"/>
              <w:right w:w="28" w:type="dxa"/>
            </w:tcMar>
            <w:vAlign w:val="bottom"/>
          </w:tcPr>
          <w:p w14:paraId="064876C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504" w:type="pct"/>
            <w:tcMar>
              <w:left w:w="28" w:type="dxa"/>
              <w:right w:w="28" w:type="dxa"/>
            </w:tcMar>
            <w:vAlign w:val="bottom"/>
          </w:tcPr>
          <w:p w14:paraId="25017288"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3/15</w:t>
            </w:r>
          </w:p>
          <w:p w14:paraId="439394C3"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(20%)</w:t>
            </w:r>
          </w:p>
        </w:tc>
        <w:tc>
          <w:tcPr>
            <w:tcW w:w="504" w:type="pct"/>
            <w:tcMar>
              <w:left w:w="28" w:type="dxa"/>
              <w:right w:w="28" w:type="dxa"/>
            </w:tcMar>
            <w:vAlign w:val="bottom"/>
          </w:tcPr>
          <w:p w14:paraId="0FBED003"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00" w:type="pct"/>
            <w:tcMar>
              <w:left w:w="28" w:type="dxa"/>
              <w:right w:w="28" w:type="dxa"/>
            </w:tcMar>
            <w:vAlign w:val="bottom"/>
          </w:tcPr>
          <w:p w14:paraId="263ECE65"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c>
          <w:tcPr>
            <w:tcW w:w="394" w:type="pct"/>
            <w:tcMar>
              <w:left w:w="28" w:type="dxa"/>
              <w:right w:w="28" w:type="dxa"/>
            </w:tcMar>
            <w:vAlign w:val="bottom"/>
          </w:tcPr>
          <w:p w14:paraId="5280C139"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2/15 (13%)</w:t>
            </w:r>
          </w:p>
        </w:tc>
        <w:tc>
          <w:tcPr>
            <w:tcW w:w="530" w:type="pct"/>
            <w:tcMar>
              <w:left w:w="28" w:type="dxa"/>
              <w:right w:w="28" w:type="dxa"/>
            </w:tcMar>
            <w:vAlign w:val="bottom"/>
          </w:tcPr>
          <w:p w14:paraId="30817AF4"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7/15</w:t>
            </w:r>
          </w:p>
          <w:p w14:paraId="7256B4E9"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(47%)</w:t>
            </w:r>
          </w:p>
        </w:tc>
      </w:tr>
      <w:tr w:rsidR="000062B0" w:rsidRPr="00A00973" w14:paraId="25673D65" w14:textId="77777777" w:rsidTr="00A00973">
        <w:tc>
          <w:tcPr>
            <w:tcW w:w="5000" w:type="pct"/>
            <w:gridSpan w:val="10"/>
            <w:tcMar>
              <w:left w:w="28" w:type="dxa"/>
              <w:right w:w="28" w:type="dxa"/>
            </w:tcMar>
            <w:vAlign w:val="center"/>
          </w:tcPr>
          <w:p w14:paraId="2A129191" w14:textId="77777777"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SHINE/ENDEAR (NUSI in ENDEAR)</w:t>
            </w:r>
          </w:p>
        </w:tc>
      </w:tr>
      <w:tr w:rsidR="000062B0" w:rsidRPr="00A00973" w14:paraId="13C42F54" w14:textId="77777777" w:rsidTr="00A00973">
        <w:tc>
          <w:tcPr>
            <w:tcW w:w="1075" w:type="pct"/>
            <w:tcMar>
              <w:left w:w="28" w:type="dxa"/>
              <w:right w:w="28" w:type="dxa"/>
            </w:tcMar>
            <w:vAlign w:val="center"/>
          </w:tcPr>
          <w:p w14:paraId="04AB1DBE" w14:textId="77777777"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2.08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w:t>
            </w:r>
          </w:p>
        </w:tc>
        <w:tc>
          <w:tcPr>
            <w:tcW w:w="462" w:type="pct"/>
            <w:vAlign w:val="bottom"/>
          </w:tcPr>
          <w:p w14:paraId="33A0B18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14:paraId="36C7680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14:paraId="1AEEA22C"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22/59 (37%)</w:t>
            </w:r>
          </w:p>
        </w:tc>
        <w:tc>
          <w:tcPr>
            <w:tcW w:w="385" w:type="pct"/>
            <w:tcMar>
              <w:left w:w="28" w:type="dxa"/>
              <w:right w:w="28" w:type="dxa"/>
            </w:tcMar>
            <w:vAlign w:val="bottom"/>
          </w:tcPr>
          <w:p w14:paraId="4FD02C5A"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1/59</w:t>
            </w:r>
          </w:p>
          <w:p w14:paraId="004265A5"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 xml:space="preserve"> (2%)</w:t>
            </w:r>
          </w:p>
        </w:tc>
        <w:tc>
          <w:tcPr>
            <w:tcW w:w="504" w:type="pct"/>
            <w:tcMar>
              <w:left w:w="28" w:type="dxa"/>
              <w:right w:w="28" w:type="dxa"/>
            </w:tcMar>
            <w:vAlign w:val="bottom"/>
          </w:tcPr>
          <w:p w14:paraId="0E42227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5/59</w:t>
            </w:r>
          </w:p>
          <w:p w14:paraId="1A30F990"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(8%)</w:t>
            </w:r>
          </w:p>
        </w:tc>
        <w:tc>
          <w:tcPr>
            <w:tcW w:w="504" w:type="pct"/>
            <w:tcMar>
              <w:left w:w="28" w:type="dxa"/>
              <w:right w:w="28" w:type="dxa"/>
            </w:tcMar>
            <w:vAlign w:val="bottom"/>
          </w:tcPr>
          <w:p w14:paraId="63E2D259"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3/59</w:t>
            </w:r>
          </w:p>
          <w:p w14:paraId="0FAC85D8"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w:t>
            </w:r>
          </w:p>
        </w:tc>
        <w:tc>
          <w:tcPr>
            <w:tcW w:w="300" w:type="pct"/>
            <w:tcMar>
              <w:left w:w="28" w:type="dxa"/>
              <w:right w:w="28" w:type="dxa"/>
            </w:tcMar>
            <w:vAlign w:val="bottom"/>
          </w:tcPr>
          <w:p w14:paraId="68976F88"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0/59</w:t>
            </w:r>
          </w:p>
          <w:p w14:paraId="149E99DD"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14:paraId="23816484"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0/59</w:t>
            </w:r>
          </w:p>
          <w:p w14:paraId="35F9DC64"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14:paraId="4D88CA42"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14:paraId="362E1E42" w14:textId="77777777" w:rsidTr="00A00973">
        <w:tc>
          <w:tcPr>
            <w:tcW w:w="1075" w:type="pct"/>
            <w:tcMar>
              <w:left w:w="28" w:type="dxa"/>
              <w:right w:w="28" w:type="dxa"/>
            </w:tcMar>
            <w:vAlign w:val="center"/>
          </w:tcPr>
          <w:p w14:paraId="68586BD3" w14:textId="77777777"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3.4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of NUSI</w:t>
            </w:r>
          </w:p>
        </w:tc>
        <w:tc>
          <w:tcPr>
            <w:tcW w:w="462" w:type="pct"/>
            <w:vAlign w:val="bottom"/>
          </w:tcPr>
          <w:p w14:paraId="232D745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14:paraId="21D4FCA8"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14:paraId="02ED84B6"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37/58 (64%)</w:t>
            </w:r>
          </w:p>
        </w:tc>
        <w:tc>
          <w:tcPr>
            <w:tcW w:w="385" w:type="pct"/>
            <w:tcMar>
              <w:left w:w="28" w:type="dxa"/>
              <w:right w:w="28" w:type="dxa"/>
            </w:tcMar>
            <w:vAlign w:val="bottom"/>
          </w:tcPr>
          <w:p w14:paraId="6D08FF20"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3/58</w:t>
            </w:r>
          </w:p>
          <w:p w14:paraId="0D3053A2"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 xml:space="preserve"> (5%)</w:t>
            </w:r>
          </w:p>
        </w:tc>
        <w:tc>
          <w:tcPr>
            <w:tcW w:w="504" w:type="pct"/>
            <w:tcMar>
              <w:left w:w="28" w:type="dxa"/>
              <w:right w:w="28" w:type="dxa"/>
            </w:tcMar>
            <w:vAlign w:val="bottom"/>
          </w:tcPr>
          <w:p w14:paraId="120532B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11/58</w:t>
            </w:r>
          </w:p>
          <w:p w14:paraId="6C77472E"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(19%)</w:t>
            </w:r>
          </w:p>
        </w:tc>
        <w:tc>
          <w:tcPr>
            <w:tcW w:w="504" w:type="pct"/>
            <w:tcMar>
              <w:left w:w="28" w:type="dxa"/>
              <w:right w:w="28" w:type="dxa"/>
            </w:tcMar>
            <w:vAlign w:val="bottom"/>
          </w:tcPr>
          <w:p w14:paraId="36F2B276"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4/58</w:t>
            </w:r>
          </w:p>
          <w:p w14:paraId="17B5315C"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(7%)</w:t>
            </w:r>
          </w:p>
        </w:tc>
        <w:tc>
          <w:tcPr>
            <w:tcW w:w="300" w:type="pct"/>
            <w:tcMar>
              <w:left w:w="28" w:type="dxa"/>
              <w:right w:w="28" w:type="dxa"/>
            </w:tcMar>
            <w:vAlign w:val="bottom"/>
          </w:tcPr>
          <w:p w14:paraId="1D335DC2"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1/58 (2%)</w:t>
            </w:r>
          </w:p>
        </w:tc>
        <w:tc>
          <w:tcPr>
            <w:tcW w:w="394" w:type="pct"/>
            <w:tcMar>
              <w:left w:w="28" w:type="dxa"/>
              <w:right w:w="28" w:type="dxa"/>
            </w:tcMar>
            <w:vAlign w:val="bottom"/>
          </w:tcPr>
          <w:p w14:paraId="56A08BF4"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1/58</w:t>
            </w:r>
          </w:p>
          <w:p w14:paraId="6825FD7C"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(2%)</w:t>
            </w:r>
          </w:p>
        </w:tc>
        <w:tc>
          <w:tcPr>
            <w:tcW w:w="530" w:type="pct"/>
            <w:tcMar>
              <w:left w:w="28" w:type="dxa"/>
              <w:right w:w="28" w:type="dxa"/>
            </w:tcMar>
            <w:vAlign w:val="bottom"/>
          </w:tcPr>
          <w:p w14:paraId="147A62D4"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14:paraId="46D908A3" w14:textId="77777777" w:rsidTr="00A00973">
        <w:tc>
          <w:tcPr>
            <w:tcW w:w="5000" w:type="pct"/>
            <w:gridSpan w:val="10"/>
            <w:tcMar>
              <w:left w:w="28" w:type="dxa"/>
              <w:right w:w="28" w:type="dxa"/>
            </w:tcMar>
            <w:vAlign w:val="center"/>
          </w:tcPr>
          <w:p w14:paraId="224B8925" w14:textId="77777777" w:rsidR="000062B0" w:rsidRPr="00A00973" w:rsidRDefault="000062B0" w:rsidP="00516F35">
            <w:pPr>
              <w:keepNext/>
              <w:jc w:val="left"/>
              <w:rPr>
                <w:rFonts w:ascii="Arial Narrow" w:hAnsi="Arial Narrow"/>
                <w:b/>
                <w:sz w:val="20"/>
                <w:szCs w:val="20"/>
              </w:rPr>
            </w:pPr>
            <w:r w:rsidRPr="00A00973">
              <w:rPr>
                <w:rFonts w:ascii="Arial Narrow" w:hAnsi="Arial Narrow"/>
                <w:b/>
                <w:sz w:val="20"/>
                <w:szCs w:val="20"/>
              </w:rPr>
              <w:t>SHINE/ENDEAR (Sham control in ENDEAR)</w:t>
            </w:r>
          </w:p>
        </w:tc>
      </w:tr>
      <w:tr w:rsidR="000062B0" w:rsidRPr="00A00973" w14:paraId="355EF567" w14:textId="77777777" w:rsidTr="00A00973">
        <w:tc>
          <w:tcPr>
            <w:tcW w:w="1075" w:type="pct"/>
            <w:tcMar>
              <w:left w:w="28" w:type="dxa"/>
              <w:right w:w="28" w:type="dxa"/>
            </w:tcMar>
            <w:vAlign w:val="center"/>
          </w:tcPr>
          <w:p w14:paraId="0F2D37E6" w14:textId="77777777"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1.34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w:t>
            </w:r>
          </w:p>
        </w:tc>
        <w:tc>
          <w:tcPr>
            <w:tcW w:w="462" w:type="pct"/>
            <w:vAlign w:val="bottom"/>
          </w:tcPr>
          <w:p w14:paraId="54C62E7F"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14:paraId="51F2A3F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14:paraId="64890ECC"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14:paraId="7909A0AA"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85" w:type="pct"/>
            <w:tcMar>
              <w:left w:w="28" w:type="dxa"/>
              <w:right w:w="28" w:type="dxa"/>
            </w:tcMar>
            <w:vAlign w:val="bottom"/>
          </w:tcPr>
          <w:p w14:paraId="0165A3EE"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14:paraId="334E92D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14:paraId="6864107B"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14:paraId="61D923DF"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14:paraId="62421ACB"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14:paraId="1D0AD675"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00" w:type="pct"/>
            <w:tcMar>
              <w:left w:w="28" w:type="dxa"/>
              <w:right w:w="28" w:type="dxa"/>
            </w:tcMar>
            <w:vAlign w:val="bottom"/>
          </w:tcPr>
          <w:p w14:paraId="43D211E2"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14:paraId="6D04DA99"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14:paraId="6E431511"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0/22</w:t>
            </w:r>
          </w:p>
          <w:p w14:paraId="1E8C2630"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14:paraId="01A1C068"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r w:rsidR="000062B0" w:rsidRPr="00A00973" w14:paraId="5AABB1D9" w14:textId="77777777" w:rsidTr="00A00973">
        <w:tc>
          <w:tcPr>
            <w:tcW w:w="1075" w:type="pct"/>
            <w:tcMar>
              <w:left w:w="28" w:type="dxa"/>
              <w:right w:w="28" w:type="dxa"/>
            </w:tcMar>
            <w:vAlign w:val="center"/>
          </w:tcPr>
          <w:p w14:paraId="16F93CEC" w14:textId="77777777" w:rsidR="000062B0" w:rsidRPr="00A00973" w:rsidRDefault="000062B0" w:rsidP="00516F35">
            <w:pPr>
              <w:pStyle w:val="ListParagraph"/>
              <w:keepNext/>
              <w:numPr>
                <w:ilvl w:val="0"/>
                <w:numId w:val="12"/>
              </w:numPr>
              <w:spacing w:after="0"/>
              <w:ind w:left="115" w:hanging="115"/>
              <w:jc w:val="left"/>
              <w:rPr>
                <w:rFonts w:ascii="Arial Narrow" w:hAnsi="Arial Narrow"/>
                <w:sz w:val="20"/>
                <w:szCs w:val="20"/>
              </w:rPr>
            </w:pPr>
            <w:r w:rsidRPr="00A00973">
              <w:rPr>
                <w:rFonts w:ascii="Arial Narrow" w:hAnsi="Arial Narrow"/>
                <w:sz w:val="20"/>
                <w:szCs w:val="20"/>
              </w:rPr>
              <w:t>2.65 yrs since 1</w:t>
            </w:r>
            <w:r w:rsidRPr="00A00973">
              <w:rPr>
                <w:rFonts w:ascii="Arial Narrow" w:hAnsi="Arial Narrow"/>
                <w:sz w:val="20"/>
                <w:szCs w:val="20"/>
                <w:vertAlign w:val="superscript"/>
              </w:rPr>
              <w:t>st</w:t>
            </w:r>
            <w:r w:rsidRPr="00A00973">
              <w:rPr>
                <w:rFonts w:ascii="Arial Narrow" w:hAnsi="Arial Narrow"/>
                <w:sz w:val="20"/>
                <w:szCs w:val="20"/>
              </w:rPr>
              <w:t xml:space="preserve"> dose of NUSI</w:t>
            </w:r>
          </w:p>
        </w:tc>
        <w:tc>
          <w:tcPr>
            <w:tcW w:w="462" w:type="pct"/>
            <w:vAlign w:val="bottom"/>
          </w:tcPr>
          <w:p w14:paraId="72A2FA2B"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462" w:type="pct"/>
            <w:vAlign w:val="bottom"/>
          </w:tcPr>
          <w:p w14:paraId="7164304D"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NR</w:t>
            </w:r>
          </w:p>
        </w:tc>
        <w:tc>
          <w:tcPr>
            <w:tcW w:w="385" w:type="pct"/>
            <w:tcMar>
              <w:left w:w="28" w:type="dxa"/>
              <w:right w:w="28" w:type="dxa"/>
            </w:tcMar>
            <w:vAlign w:val="bottom"/>
          </w:tcPr>
          <w:p w14:paraId="2B9DF921"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1/20</w:t>
            </w:r>
          </w:p>
          <w:p w14:paraId="666B23E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(5%)</w:t>
            </w:r>
          </w:p>
        </w:tc>
        <w:tc>
          <w:tcPr>
            <w:tcW w:w="385" w:type="pct"/>
            <w:tcMar>
              <w:left w:w="28" w:type="dxa"/>
              <w:right w:w="28" w:type="dxa"/>
            </w:tcMar>
            <w:vAlign w:val="bottom"/>
          </w:tcPr>
          <w:p w14:paraId="374D489C"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14:paraId="2AE74D88"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14:paraId="0696317A"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14:paraId="4AF4CB58"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04" w:type="pct"/>
            <w:tcMar>
              <w:left w:w="28" w:type="dxa"/>
              <w:right w:w="28" w:type="dxa"/>
            </w:tcMar>
            <w:vAlign w:val="bottom"/>
          </w:tcPr>
          <w:p w14:paraId="2C29C763"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14:paraId="59D2E154"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00" w:type="pct"/>
            <w:tcMar>
              <w:left w:w="28" w:type="dxa"/>
              <w:right w:w="28" w:type="dxa"/>
            </w:tcMar>
            <w:vAlign w:val="bottom"/>
          </w:tcPr>
          <w:p w14:paraId="0A1B2E7B"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14:paraId="4FD2EBCA"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394" w:type="pct"/>
            <w:tcMar>
              <w:left w:w="28" w:type="dxa"/>
              <w:right w:w="28" w:type="dxa"/>
            </w:tcMar>
            <w:vAlign w:val="bottom"/>
          </w:tcPr>
          <w:p w14:paraId="69AC8CAE"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0/20</w:t>
            </w:r>
          </w:p>
          <w:p w14:paraId="1B9DE96C"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(0%)</w:t>
            </w:r>
          </w:p>
        </w:tc>
        <w:tc>
          <w:tcPr>
            <w:tcW w:w="530" w:type="pct"/>
            <w:tcMar>
              <w:left w:w="28" w:type="dxa"/>
              <w:right w:w="28" w:type="dxa"/>
            </w:tcMar>
            <w:vAlign w:val="bottom"/>
          </w:tcPr>
          <w:p w14:paraId="14109187" w14:textId="77777777" w:rsidR="000062B0" w:rsidRPr="00A00973" w:rsidRDefault="000062B0" w:rsidP="00516F35">
            <w:pPr>
              <w:keepNext/>
              <w:jc w:val="center"/>
              <w:rPr>
                <w:rFonts w:ascii="Arial Narrow" w:hAnsi="Arial Narrow"/>
                <w:sz w:val="20"/>
                <w:szCs w:val="20"/>
              </w:rPr>
            </w:pPr>
            <w:r w:rsidRPr="00A00973">
              <w:rPr>
                <w:rFonts w:ascii="Arial Narrow" w:hAnsi="Arial Narrow"/>
                <w:sz w:val="20"/>
                <w:szCs w:val="20"/>
              </w:rPr>
              <w:t>-</w:t>
            </w:r>
          </w:p>
        </w:tc>
      </w:tr>
    </w:tbl>
    <w:p w14:paraId="07D2A874" w14:textId="77777777" w:rsidR="000062B0" w:rsidRPr="00917415" w:rsidRDefault="000062B0" w:rsidP="00A00973">
      <w:pPr>
        <w:pStyle w:val="TableFigureFooter"/>
      </w:pPr>
      <w:r w:rsidRPr="00917415">
        <w:t>Source: Compiled during the evaluation from Table 2.31 of the submission and Castro 2020 (p8).</w:t>
      </w:r>
    </w:p>
    <w:p w14:paraId="37951CB8" w14:textId="77777777" w:rsidR="000062B0" w:rsidRPr="00917415" w:rsidRDefault="000062B0" w:rsidP="00A00973">
      <w:pPr>
        <w:pStyle w:val="TableFigureFooter"/>
      </w:pPr>
      <w:r w:rsidRPr="00917415">
        <w:t>^</w:t>
      </w:r>
      <w:r w:rsidRPr="00917415">
        <w:tab/>
        <w:t xml:space="preserve">assumed to be those who could sit for </w:t>
      </w:r>
      <w:r w:rsidRPr="00917415">
        <w:rPr>
          <w:rFonts w:cs="Calibri"/>
        </w:rPr>
        <w:t>≥</w:t>
      </w:r>
      <w:r w:rsidRPr="00917415">
        <w:t>5 and ≤15 sec.</w:t>
      </w:r>
    </w:p>
    <w:p w14:paraId="6E7B899F" w14:textId="77777777" w:rsidR="00507D76" w:rsidRDefault="000062B0" w:rsidP="00A00973">
      <w:pPr>
        <w:pStyle w:val="TableFigureFooter"/>
      </w:pPr>
      <w:r w:rsidRPr="00917415">
        <w:t>*</w:t>
      </w:r>
      <w:r w:rsidRPr="00917415">
        <w:tab/>
        <w:t>2 patients discontinued from START LT, but % still expressed out of the original N.</w:t>
      </w:r>
    </w:p>
    <w:p w14:paraId="145B7D3E" w14:textId="77777777" w:rsidR="001B763D" w:rsidRDefault="001B763D" w:rsidP="00A00973">
      <w:pPr>
        <w:pStyle w:val="TableFigureFooter"/>
      </w:pPr>
    </w:p>
    <w:p w14:paraId="14E07D55" w14:textId="77777777" w:rsidR="001B763D" w:rsidRPr="00A00973" w:rsidRDefault="001B763D" w:rsidP="00A00973">
      <w:pPr>
        <w:pStyle w:val="TableFigureFooter"/>
      </w:pPr>
      <w:bookmarkStart w:id="28" w:name="_GoBack"/>
      <w:bookmarkEnd w:id="28"/>
    </w:p>
    <w:sectPr w:rsidR="001B763D" w:rsidRPr="00A00973" w:rsidSect="00273C89">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C7FC" w14:textId="77777777" w:rsidR="000636A6" w:rsidRDefault="000636A6" w:rsidP="00124A51">
      <w:r>
        <w:separator/>
      </w:r>
    </w:p>
    <w:p w14:paraId="2CC0D894" w14:textId="77777777" w:rsidR="000636A6" w:rsidRDefault="000636A6"/>
  </w:endnote>
  <w:endnote w:type="continuationSeparator" w:id="0">
    <w:p w14:paraId="53690ED2" w14:textId="77777777" w:rsidR="000636A6" w:rsidRDefault="000636A6" w:rsidP="00124A51">
      <w:r>
        <w:continuationSeparator/>
      </w:r>
    </w:p>
    <w:p w14:paraId="006A8102" w14:textId="77777777" w:rsidR="000636A6" w:rsidRDefault="00063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4CB9" w14:textId="77777777" w:rsidR="000636A6" w:rsidRDefault="00063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3313"/>
      <w:docPartObj>
        <w:docPartGallery w:val="Page Numbers (Bottom of Page)"/>
        <w:docPartUnique/>
      </w:docPartObj>
    </w:sdtPr>
    <w:sdtEndPr>
      <w:rPr>
        <w:noProof/>
      </w:rPr>
    </w:sdtEndPr>
    <w:sdtContent>
      <w:p w14:paraId="490EBA66" w14:textId="77777777" w:rsidR="000636A6" w:rsidRDefault="000636A6">
        <w:pPr>
          <w:pStyle w:val="Footer"/>
          <w:jc w:val="center"/>
        </w:pPr>
      </w:p>
      <w:p w14:paraId="5511BC29" w14:textId="1BBCC04E" w:rsidR="000636A6" w:rsidRPr="0059570B" w:rsidRDefault="000636A6" w:rsidP="006A395C">
        <w:pPr>
          <w:pStyle w:val="Footer"/>
          <w:jc w:val="center"/>
        </w:pPr>
        <w:r w:rsidRPr="00600BF4">
          <w:rPr>
            <w:b/>
          </w:rPr>
          <w:fldChar w:fldCharType="begin"/>
        </w:r>
        <w:r w:rsidRPr="00600BF4">
          <w:rPr>
            <w:b/>
          </w:rPr>
          <w:instrText xml:space="preserve"> PAGE   \* MERGEFORMAT </w:instrText>
        </w:r>
        <w:r w:rsidRPr="00600BF4">
          <w:rPr>
            <w:b/>
          </w:rPr>
          <w:fldChar w:fldCharType="separate"/>
        </w:r>
        <w:r w:rsidR="00496FB5">
          <w:rPr>
            <w:b/>
            <w:noProof/>
          </w:rPr>
          <w:t>35</w:t>
        </w:r>
        <w:r w:rsidRPr="00600BF4">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BB86" w14:textId="77777777" w:rsidR="000636A6" w:rsidRDefault="0006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992F2" w14:textId="77777777" w:rsidR="000636A6" w:rsidRDefault="000636A6" w:rsidP="00124A51">
      <w:r>
        <w:separator/>
      </w:r>
    </w:p>
    <w:p w14:paraId="4347177E" w14:textId="77777777" w:rsidR="000636A6" w:rsidRDefault="000636A6"/>
  </w:footnote>
  <w:footnote w:type="continuationSeparator" w:id="0">
    <w:p w14:paraId="255B7E23" w14:textId="77777777" w:rsidR="000636A6" w:rsidRDefault="000636A6" w:rsidP="00124A51">
      <w:r>
        <w:continuationSeparator/>
      </w:r>
    </w:p>
    <w:p w14:paraId="4202CE5F" w14:textId="77777777" w:rsidR="000636A6" w:rsidRDefault="000636A6"/>
  </w:footnote>
  <w:footnote w:id="1">
    <w:p w14:paraId="5EF384EF" w14:textId="77777777" w:rsidR="000636A6" w:rsidRDefault="000636A6" w:rsidP="0060660A">
      <w:pPr>
        <w:pStyle w:val="FootnoteText"/>
      </w:pPr>
      <w:r>
        <w:rPr>
          <w:rStyle w:val="FootnoteReference"/>
        </w:rPr>
        <w:footnoteRef/>
      </w:r>
      <w:r>
        <w:t xml:space="preserve"> </w:t>
      </w:r>
      <w:r w:rsidRPr="00816FD6">
        <w:t>Finkel, Richard S., et al. "Observational study of spinal muscular atrophy type I and implications for clinical trials." Neurology 83.9 (2014): 810-817.</w:t>
      </w:r>
    </w:p>
  </w:footnote>
  <w:footnote w:id="2">
    <w:p w14:paraId="3F3FAA34" w14:textId="77777777" w:rsidR="000636A6" w:rsidRDefault="000636A6" w:rsidP="002160E9">
      <w:pPr>
        <w:pStyle w:val="FootnoteText"/>
      </w:pPr>
      <w:r>
        <w:rPr>
          <w:rStyle w:val="FootnoteReference"/>
        </w:rPr>
        <w:footnoteRef/>
      </w:r>
      <w:r>
        <w:t xml:space="preserve"> </w:t>
      </w:r>
      <w:r w:rsidRPr="005A3F40">
        <w:t>https://www.tga.gov.au/publication/boxed-warning-guidance</w:t>
      </w:r>
    </w:p>
  </w:footnote>
  <w:footnote w:id="3">
    <w:p w14:paraId="08715D84" w14:textId="77777777" w:rsidR="000636A6" w:rsidRDefault="000636A6" w:rsidP="0004317C">
      <w:pPr>
        <w:pStyle w:val="FootnoteText"/>
      </w:pPr>
      <w:r>
        <w:rPr>
          <w:rStyle w:val="FootnoteReference"/>
        </w:rPr>
        <w:footnoteRef/>
      </w:r>
      <w:r>
        <w:t xml:space="preserve"> With or without a Special Pricing Arrangement rebate.</w:t>
      </w:r>
    </w:p>
  </w:footnote>
  <w:footnote w:id="4">
    <w:p w14:paraId="001D5584" w14:textId="77777777" w:rsidR="000636A6" w:rsidRDefault="000636A6" w:rsidP="002A5F7C">
      <w:pPr>
        <w:pStyle w:val="FootnoteText"/>
      </w:pPr>
      <w:r>
        <w:rPr>
          <w:rStyle w:val="FootnoteReference"/>
        </w:rPr>
        <w:footnoteRef/>
      </w:r>
      <w:r>
        <w:t xml:space="preserve"> </w:t>
      </w:r>
      <w:hyperlink r:id="rId1" w:history="1">
        <w:r w:rsidRPr="000E4166">
          <w:t>www.mhlw.go.jp/content/12404000/000629578.pdf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0FF7D" w14:textId="77777777" w:rsidR="000636A6" w:rsidRDefault="00063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234C" w14:textId="77777777" w:rsidR="000636A6" w:rsidRPr="00056684" w:rsidRDefault="000636A6" w:rsidP="006A395C">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 xml:space="preserve">November 2020 </w:t>
    </w:r>
    <w:r w:rsidRPr="00056684">
      <w:rPr>
        <w:rFonts w:asciiTheme="minorHAnsi" w:hAnsiTheme="minorHAnsi"/>
        <w:i/>
        <w:color w:val="808080"/>
      </w:rPr>
      <w:t>PBAC Meeting</w:t>
    </w:r>
  </w:p>
  <w:p w14:paraId="0F9BDAB7" w14:textId="77777777" w:rsidR="000636A6" w:rsidRPr="008C7ECB" w:rsidRDefault="00063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C511" w14:textId="77777777" w:rsidR="000636A6" w:rsidRDefault="00063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D44CFA"/>
    <w:lvl w:ilvl="0">
      <w:start w:val="1"/>
      <w:numFmt w:val="bullet"/>
      <w:pStyle w:val="ListBullet"/>
      <w:lvlText w:val=""/>
      <w:lvlJc w:val="left"/>
      <w:pPr>
        <w:tabs>
          <w:tab w:val="num" w:pos="240"/>
        </w:tabs>
        <w:ind w:left="240" w:hanging="360"/>
      </w:pPr>
      <w:rPr>
        <w:rFonts w:ascii="Symbol" w:hAnsi="Symbol" w:hint="default"/>
      </w:rPr>
    </w:lvl>
  </w:abstractNum>
  <w:abstractNum w:abstractNumId="1" w15:restartNumberingAfterBreak="0">
    <w:nsid w:val="019E4944"/>
    <w:multiLevelType w:val="hybridMultilevel"/>
    <w:tmpl w:val="CFF6BCBE"/>
    <w:lvl w:ilvl="0" w:tplc="463821CC">
      <w:start w:val="1"/>
      <w:numFmt w:val="bullet"/>
      <w:lvlText w:val="o"/>
      <w:lvlJc w:val="left"/>
      <w:pPr>
        <w:tabs>
          <w:tab w:val="num" w:pos="720"/>
        </w:tabs>
        <w:ind w:left="720" w:hanging="360"/>
      </w:pPr>
      <w:rPr>
        <w:rFonts w:ascii="Courier New" w:hAnsi="Courier New" w:hint="default"/>
      </w:rPr>
    </w:lvl>
    <w:lvl w:ilvl="1" w:tplc="F71CA0BC">
      <w:start w:val="1"/>
      <w:numFmt w:val="bullet"/>
      <w:lvlText w:val="o"/>
      <w:lvlJc w:val="left"/>
      <w:pPr>
        <w:tabs>
          <w:tab w:val="num" w:pos="1440"/>
        </w:tabs>
        <w:ind w:left="1440" w:hanging="360"/>
      </w:pPr>
      <w:rPr>
        <w:rFonts w:ascii="Courier New" w:hAnsi="Courier New" w:hint="default"/>
      </w:rPr>
    </w:lvl>
    <w:lvl w:ilvl="2" w:tplc="F432A862">
      <w:start w:val="242"/>
      <w:numFmt w:val="bullet"/>
      <w:lvlText w:val="o"/>
      <w:lvlJc w:val="left"/>
      <w:pPr>
        <w:tabs>
          <w:tab w:val="num" w:pos="2160"/>
        </w:tabs>
        <w:ind w:left="2160" w:hanging="360"/>
      </w:pPr>
      <w:rPr>
        <w:rFonts w:ascii="Courier New" w:hAnsi="Courier New" w:hint="default"/>
      </w:rPr>
    </w:lvl>
    <w:lvl w:ilvl="3" w:tplc="4ABEA920">
      <w:start w:val="1"/>
      <w:numFmt w:val="bullet"/>
      <w:lvlText w:val="o"/>
      <w:lvlJc w:val="left"/>
      <w:pPr>
        <w:tabs>
          <w:tab w:val="num" w:pos="2880"/>
        </w:tabs>
        <w:ind w:left="2880" w:hanging="360"/>
      </w:pPr>
      <w:rPr>
        <w:rFonts w:ascii="Courier New" w:hAnsi="Courier New" w:hint="default"/>
      </w:rPr>
    </w:lvl>
    <w:lvl w:ilvl="4" w:tplc="C2605970" w:tentative="1">
      <w:start w:val="1"/>
      <w:numFmt w:val="bullet"/>
      <w:lvlText w:val="o"/>
      <w:lvlJc w:val="left"/>
      <w:pPr>
        <w:tabs>
          <w:tab w:val="num" w:pos="3600"/>
        </w:tabs>
        <w:ind w:left="3600" w:hanging="360"/>
      </w:pPr>
      <w:rPr>
        <w:rFonts w:ascii="Courier New" w:hAnsi="Courier New" w:hint="default"/>
      </w:rPr>
    </w:lvl>
    <w:lvl w:ilvl="5" w:tplc="AA38BF8A" w:tentative="1">
      <w:start w:val="1"/>
      <w:numFmt w:val="bullet"/>
      <w:lvlText w:val="o"/>
      <w:lvlJc w:val="left"/>
      <w:pPr>
        <w:tabs>
          <w:tab w:val="num" w:pos="4320"/>
        </w:tabs>
        <w:ind w:left="4320" w:hanging="360"/>
      </w:pPr>
      <w:rPr>
        <w:rFonts w:ascii="Courier New" w:hAnsi="Courier New" w:hint="default"/>
      </w:rPr>
    </w:lvl>
    <w:lvl w:ilvl="6" w:tplc="A3185DCC" w:tentative="1">
      <w:start w:val="1"/>
      <w:numFmt w:val="bullet"/>
      <w:lvlText w:val="o"/>
      <w:lvlJc w:val="left"/>
      <w:pPr>
        <w:tabs>
          <w:tab w:val="num" w:pos="5040"/>
        </w:tabs>
        <w:ind w:left="5040" w:hanging="360"/>
      </w:pPr>
      <w:rPr>
        <w:rFonts w:ascii="Courier New" w:hAnsi="Courier New" w:hint="default"/>
      </w:rPr>
    </w:lvl>
    <w:lvl w:ilvl="7" w:tplc="C19AB126" w:tentative="1">
      <w:start w:val="1"/>
      <w:numFmt w:val="bullet"/>
      <w:lvlText w:val="o"/>
      <w:lvlJc w:val="left"/>
      <w:pPr>
        <w:tabs>
          <w:tab w:val="num" w:pos="5760"/>
        </w:tabs>
        <w:ind w:left="5760" w:hanging="360"/>
      </w:pPr>
      <w:rPr>
        <w:rFonts w:ascii="Courier New" w:hAnsi="Courier New" w:hint="default"/>
      </w:rPr>
    </w:lvl>
    <w:lvl w:ilvl="8" w:tplc="8BA83FC8"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E377A96"/>
    <w:multiLevelType w:val="hybridMultilevel"/>
    <w:tmpl w:val="461E7E12"/>
    <w:lvl w:ilvl="0" w:tplc="39CEE9D8">
      <w:start w:val="1"/>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04A93"/>
    <w:multiLevelType w:val="hybridMultilevel"/>
    <w:tmpl w:val="56C079E6"/>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8658DC"/>
    <w:multiLevelType w:val="hybridMultilevel"/>
    <w:tmpl w:val="624C867E"/>
    <w:lvl w:ilvl="0" w:tplc="E386288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4931E1"/>
    <w:multiLevelType w:val="hybridMultilevel"/>
    <w:tmpl w:val="89CCB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02F81"/>
    <w:multiLevelType w:val="hybridMultilevel"/>
    <w:tmpl w:val="732A6EA6"/>
    <w:lvl w:ilvl="0" w:tplc="EA4282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CCE4D2A"/>
    <w:multiLevelType w:val="hybridMultilevel"/>
    <w:tmpl w:val="02747222"/>
    <w:lvl w:ilvl="0" w:tplc="16E22D1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2C6405B"/>
    <w:multiLevelType w:val="hybridMultilevel"/>
    <w:tmpl w:val="5C021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E08D4"/>
    <w:multiLevelType w:val="hybridMultilevel"/>
    <w:tmpl w:val="C1A442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AD73C61"/>
    <w:multiLevelType w:val="hybridMultilevel"/>
    <w:tmpl w:val="0CAC69DA"/>
    <w:lvl w:ilvl="0" w:tplc="694ABEB4">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FF3D19"/>
    <w:multiLevelType w:val="hybridMultilevel"/>
    <w:tmpl w:val="2D9AC0A2"/>
    <w:lvl w:ilvl="0" w:tplc="A182984E">
      <w:start w:val="1"/>
      <w:numFmt w:val="bullet"/>
      <w:lvlText w:val="o"/>
      <w:lvlJc w:val="left"/>
      <w:pPr>
        <w:tabs>
          <w:tab w:val="num" w:pos="720"/>
        </w:tabs>
        <w:ind w:left="720" w:hanging="360"/>
      </w:pPr>
      <w:rPr>
        <w:rFonts w:ascii="Courier New" w:hAnsi="Courier New" w:hint="default"/>
      </w:rPr>
    </w:lvl>
    <w:lvl w:ilvl="1" w:tplc="8D242A2E">
      <w:start w:val="1"/>
      <w:numFmt w:val="bullet"/>
      <w:lvlText w:val="o"/>
      <w:lvlJc w:val="left"/>
      <w:pPr>
        <w:tabs>
          <w:tab w:val="num" w:pos="1440"/>
        </w:tabs>
        <w:ind w:left="1440" w:hanging="360"/>
      </w:pPr>
      <w:rPr>
        <w:rFonts w:ascii="Courier New" w:hAnsi="Courier New" w:hint="default"/>
      </w:rPr>
    </w:lvl>
    <w:lvl w:ilvl="2" w:tplc="88E401B0" w:tentative="1">
      <w:start w:val="1"/>
      <w:numFmt w:val="bullet"/>
      <w:lvlText w:val="o"/>
      <w:lvlJc w:val="left"/>
      <w:pPr>
        <w:tabs>
          <w:tab w:val="num" w:pos="2160"/>
        </w:tabs>
        <w:ind w:left="2160" w:hanging="360"/>
      </w:pPr>
      <w:rPr>
        <w:rFonts w:ascii="Courier New" w:hAnsi="Courier New" w:hint="default"/>
      </w:rPr>
    </w:lvl>
    <w:lvl w:ilvl="3" w:tplc="07CA2654" w:tentative="1">
      <w:start w:val="1"/>
      <w:numFmt w:val="bullet"/>
      <w:lvlText w:val="o"/>
      <w:lvlJc w:val="left"/>
      <w:pPr>
        <w:tabs>
          <w:tab w:val="num" w:pos="2880"/>
        </w:tabs>
        <w:ind w:left="2880" w:hanging="360"/>
      </w:pPr>
      <w:rPr>
        <w:rFonts w:ascii="Courier New" w:hAnsi="Courier New" w:hint="default"/>
      </w:rPr>
    </w:lvl>
    <w:lvl w:ilvl="4" w:tplc="B986DA58" w:tentative="1">
      <w:start w:val="1"/>
      <w:numFmt w:val="bullet"/>
      <w:lvlText w:val="o"/>
      <w:lvlJc w:val="left"/>
      <w:pPr>
        <w:tabs>
          <w:tab w:val="num" w:pos="3600"/>
        </w:tabs>
        <w:ind w:left="3600" w:hanging="360"/>
      </w:pPr>
      <w:rPr>
        <w:rFonts w:ascii="Courier New" w:hAnsi="Courier New" w:hint="default"/>
      </w:rPr>
    </w:lvl>
    <w:lvl w:ilvl="5" w:tplc="F1E461D6" w:tentative="1">
      <w:start w:val="1"/>
      <w:numFmt w:val="bullet"/>
      <w:lvlText w:val="o"/>
      <w:lvlJc w:val="left"/>
      <w:pPr>
        <w:tabs>
          <w:tab w:val="num" w:pos="4320"/>
        </w:tabs>
        <w:ind w:left="4320" w:hanging="360"/>
      </w:pPr>
      <w:rPr>
        <w:rFonts w:ascii="Courier New" w:hAnsi="Courier New" w:hint="default"/>
      </w:rPr>
    </w:lvl>
    <w:lvl w:ilvl="6" w:tplc="B3D0C3F4" w:tentative="1">
      <w:start w:val="1"/>
      <w:numFmt w:val="bullet"/>
      <w:lvlText w:val="o"/>
      <w:lvlJc w:val="left"/>
      <w:pPr>
        <w:tabs>
          <w:tab w:val="num" w:pos="5040"/>
        </w:tabs>
        <w:ind w:left="5040" w:hanging="360"/>
      </w:pPr>
      <w:rPr>
        <w:rFonts w:ascii="Courier New" w:hAnsi="Courier New" w:hint="default"/>
      </w:rPr>
    </w:lvl>
    <w:lvl w:ilvl="7" w:tplc="E0E431DA" w:tentative="1">
      <w:start w:val="1"/>
      <w:numFmt w:val="bullet"/>
      <w:lvlText w:val="o"/>
      <w:lvlJc w:val="left"/>
      <w:pPr>
        <w:tabs>
          <w:tab w:val="num" w:pos="5760"/>
        </w:tabs>
        <w:ind w:left="5760" w:hanging="360"/>
      </w:pPr>
      <w:rPr>
        <w:rFonts w:ascii="Courier New" w:hAnsi="Courier New" w:hint="default"/>
      </w:rPr>
    </w:lvl>
    <w:lvl w:ilvl="8" w:tplc="F2C8AB5A"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6EB851C2"/>
    <w:multiLevelType w:val="hybridMultilevel"/>
    <w:tmpl w:val="D856DC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4D033C"/>
    <w:multiLevelType w:val="multilevel"/>
    <w:tmpl w:val="31ACDC3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A410C2"/>
    <w:multiLevelType w:val="hybridMultilevel"/>
    <w:tmpl w:val="D2ACB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9D471A"/>
    <w:multiLevelType w:val="hybridMultilevel"/>
    <w:tmpl w:val="ECA28EDC"/>
    <w:lvl w:ilvl="0" w:tplc="B018371A">
      <w:start w:val="1"/>
      <w:numFmt w:val="bullet"/>
      <w:lvlText w:val="-"/>
      <w:lvlJc w:val="left"/>
      <w:pPr>
        <w:ind w:left="502"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0"/>
  </w:num>
  <w:num w:numId="5">
    <w:abstractNumId w:val="17"/>
  </w:num>
  <w:num w:numId="6">
    <w:abstractNumId w:val="4"/>
  </w:num>
  <w:num w:numId="7">
    <w:abstractNumId w:val="10"/>
  </w:num>
  <w:num w:numId="8">
    <w:abstractNumId w:val="6"/>
  </w:num>
  <w:num w:numId="9">
    <w:abstractNumId w:val="19"/>
  </w:num>
  <w:num w:numId="10">
    <w:abstractNumId w:val="18"/>
  </w:num>
  <w:num w:numId="11">
    <w:abstractNumId w:val="14"/>
  </w:num>
  <w:num w:numId="12">
    <w:abstractNumId w:val="2"/>
  </w:num>
  <w:num w:numId="13">
    <w:abstractNumId w:val="11"/>
  </w:num>
  <w:num w:numId="14">
    <w:abstractNumId w:val="3"/>
  </w:num>
  <w:num w:numId="15">
    <w:abstractNumId w:val="12"/>
  </w:num>
  <w:num w:numId="16">
    <w:abstractNumId w:val="5"/>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8"/>
  </w:num>
  <w:num w:numId="34">
    <w:abstractNumId w:val="17"/>
  </w:num>
  <w:num w:numId="35">
    <w:abstractNumId w:val="17"/>
  </w:num>
  <w:num w:numId="36">
    <w:abstractNumId w:val="17"/>
  </w:num>
  <w:num w:numId="37">
    <w:abstractNumId w:val="16"/>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3BE"/>
    <w:rsid w:val="000025AD"/>
    <w:rsid w:val="00002E69"/>
    <w:rsid w:val="0000324E"/>
    <w:rsid w:val="00003497"/>
    <w:rsid w:val="00003499"/>
    <w:rsid w:val="000039B7"/>
    <w:rsid w:val="00003FB4"/>
    <w:rsid w:val="00004D7C"/>
    <w:rsid w:val="0000574D"/>
    <w:rsid w:val="000062B0"/>
    <w:rsid w:val="0000639A"/>
    <w:rsid w:val="000067F3"/>
    <w:rsid w:val="00006AEC"/>
    <w:rsid w:val="00006DA0"/>
    <w:rsid w:val="0000718A"/>
    <w:rsid w:val="000076DC"/>
    <w:rsid w:val="00007936"/>
    <w:rsid w:val="000108FE"/>
    <w:rsid w:val="00010D48"/>
    <w:rsid w:val="00011B8C"/>
    <w:rsid w:val="00011C1E"/>
    <w:rsid w:val="0001261D"/>
    <w:rsid w:val="00012D3C"/>
    <w:rsid w:val="00013084"/>
    <w:rsid w:val="00013152"/>
    <w:rsid w:val="00013247"/>
    <w:rsid w:val="000132E2"/>
    <w:rsid w:val="00013784"/>
    <w:rsid w:val="00013844"/>
    <w:rsid w:val="00013BC0"/>
    <w:rsid w:val="00014869"/>
    <w:rsid w:val="00015139"/>
    <w:rsid w:val="00015284"/>
    <w:rsid w:val="0001575E"/>
    <w:rsid w:val="00015886"/>
    <w:rsid w:val="000162EF"/>
    <w:rsid w:val="00016B04"/>
    <w:rsid w:val="00016C5F"/>
    <w:rsid w:val="00016EA6"/>
    <w:rsid w:val="00016F45"/>
    <w:rsid w:val="000177CB"/>
    <w:rsid w:val="00017E64"/>
    <w:rsid w:val="000207C9"/>
    <w:rsid w:val="0002094B"/>
    <w:rsid w:val="00021645"/>
    <w:rsid w:val="000217F5"/>
    <w:rsid w:val="0002225F"/>
    <w:rsid w:val="00022415"/>
    <w:rsid w:val="000233EF"/>
    <w:rsid w:val="00023763"/>
    <w:rsid w:val="000238B8"/>
    <w:rsid w:val="00023BC3"/>
    <w:rsid w:val="00023EAE"/>
    <w:rsid w:val="00023F91"/>
    <w:rsid w:val="000241AE"/>
    <w:rsid w:val="000242BE"/>
    <w:rsid w:val="00024482"/>
    <w:rsid w:val="000247A9"/>
    <w:rsid w:val="00024C87"/>
    <w:rsid w:val="00025647"/>
    <w:rsid w:val="000257B1"/>
    <w:rsid w:val="00025F50"/>
    <w:rsid w:val="000260B3"/>
    <w:rsid w:val="0002683B"/>
    <w:rsid w:val="00026BE0"/>
    <w:rsid w:val="00026F17"/>
    <w:rsid w:val="000270C6"/>
    <w:rsid w:val="000274B8"/>
    <w:rsid w:val="00027753"/>
    <w:rsid w:val="00027949"/>
    <w:rsid w:val="0003013C"/>
    <w:rsid w:val="00030508"/>
    <w:rsid w:val="000310A5"/>
    <w:rsid w:val="000311B1"/>
    <w:rsid w:val="0003128D"/>
    <w:rsid w:val="000319F7"/>
    <w:rsid w:val="00031A9B"/>
    <w:rsid w:val="00031C12"/>
    <w:rsid w:val="000321C6"/>
    <w:rsid w:val="00032223"/>
    <w:rsid w:val="000322A4"/>
    <w:rsid w:val="00033863"/>
    <w:rsid w:val="000338CD"/>
    <w:rsid w:val="00033B6A"/>
    <w:rsid w:val="00033C09"/>
    <w:rsid w:val="00033CCA"/>
    <w:rsid w:val="00033ED3"/>
    <w:rsid w:val="00034096"/>
    <w:rsid w:val="000349D3"/>
    <w:rsid w:val="00035B78"/>
    <w:rsid w:val="00035B8C"/>
    <w:rsid w:val="00035D6C"/>
    <w:rsid w:val="00035DB7"/>
    <w:rsid w:val="00035DC0"/>
    <w:rsid w:val="0003662E"/>
    <w:rsid w:val="0003671D"/>
    <w:rsid w:val="00036829"/>
    <w:rsid w:val="00036D23"/>
    <w:rsid w:val="00036FE6"/>
    <w:rsid w:val="0003730D"/>
    <w:rsid w:val="0003731E"/>
    <w:rsid w:val="00037EAE"/>
    <w:rsid w:val="00040895"/>
    <w:rsid w:val="00040A78"/>
    <w:rsid w:val="00040AE0"/>
    <w:rsid w:val="00040F5C"/>
    <w:rsid w:val="00041225"/>
    <w:rsid w:val="00041640"/>
    <w:rsid w:val="000418E6"/>
    <w:rsid w:val="000425D4"/>
    <w:rsid w:val="00042746"/>
    <w:rsid w:val="0004307C"/>
    <w:rsid w:val="0004317C"/>
    <w:rsid w:val="00043194"/>
    <w:rsid w:val="0004322C"/>
    <w:rsid w:val="000435EE"/>
    <w:rsid w:val="000435FD"/>
    <w:rsid w:val="00043C37"/>
    <w:rsid w:val="00044613"/>
    <w:rsid w:val="000447A7"/>
    <w:rsid w:val="00044803"/>
    <w:rsid w:val="00044D94"/>
    <w:rsid w:val="00044FDE"/>
    <w:rsid w:val="00045017"/>
    <w:rsid w:val="0004515D"/>
    <w:rsid w:val="00045A2B"/>
    <w:rsid w:val="0004698F"/>
    <w:rsid w:val="00046AFF"/>
    <w:rsid w:val="00046C72"/>
    <w:rsid w:val="00046F89"/>
    <w:rsid w:val="000474DB"/>
    <w:rsid w:val="00047672"/>
    <w:rsid w:val="0004791D"/>
    <w:rsid w:val="00050E0C"/>
    <w:rsid w:val="00051CB8"/>
    <w:rsid w:val="00051DEC"/>
    <w:rsid w:val="00052CC6"/>
    <w:rsid w:val="000530C4"/>
    <w:rsid w:val="00053505"/>
    <w:rsid w:val="00053990"/>
    <w:rsid w:val="000539D0"/>
    <w:rsid w:val="00053E9B"/>
    <w:rsid w:val="0005431E"/>
    <w:rsid w:val="00054621"/>
    <w:rsid w:val="000546D7"/>
    <w:rsid w:val="0005492F"/>
    <w:rsid w:val="00054965"/>
    <w:rsid w:val="0005538E"/>
    <w:rsid w:val="00055415"/>
    <w:rsid w:val="00055BF1"/>
    <w:rsid w:val="00055EBE"/>
    <w:rsid w:val="0005624D"/>
    <w:rsid w:val="00056ECF"/>
    <w:rsid w:val="000571C8"/>
    <w:rsid w:val="00057E4D"/>
    <w:rsid w:val="000604DF"/>
    <w:rsid w:val="00060629"/>
    <w:rsid w:val="00060730"/>
    <w:rsid w:val="00060E40"/>
    <w:rsid w:val="00061C7E"/>
    <w:rsid w:val="000622E3"/>
    <w:rsid w:val="00062B66"/>
    <w:rsid w:val="00063618"/>
    <w:rsid w:val="000636A6"/>
    <w:rsid w:val="00064CB1"/>
    <w:rsid w:val="00064CCD"/>
    <w:rsid w:val="00065314"/>
    <w:rsid w:val="000653B5"/>
    <w:rsid w:val="000660AB"/>
    <w:rsid w:val="0006620E"/>
    <w:rsid w:val="0006635A"/>
    <w:rsid w:val="00066360"/>
    <w:rsid w:val="000663E2"/>
    <w:rsid w:val="00066687"/>
    <w:rsid w:val="00066AA6"/>
    <w:rsid w:val="00066AF8"/>
    <w:rsid w:val="00067BC7"/>
    <w:rsid w:val="00067BF5"/>
    <w:rsid w:val="000701BE"/>
    <w:rsid w:val="00070398"/>
    <w:rsid w:val="00070A2D"/>
    <w:rsid w:val="00070E3F"/>
    <w:rsid w:val="00070F1C"/>
    <w:rsid w:val="00071248"/>
    <w:rsid w:val="000715A5"/>
    <w:rsid w:val="0007177C"/>
    <w:rsid w:val="000720B9"/>
    <w:rsid w:val="00072720"/>
    <w:rsid w:val="0007287A"/>
    <w:rsid w:val="0007288F"/>
    <w:rsid w:val="0007290A"/>
    <w:rsid w:val="00072FE8"/>
    <w:rsid w:val="000730EE"/>
    <w:rsid w:val="00073338"/>
    <w:rsid w:val="00073390"/>
    <w:rsid w:val="00073550"/>
    <w:rsid w:val="000735BC"/>
    <w:rsid w:val="000737F7"/>
    <w:rsid w:val="0007397A"/>
    <w:rsid w:val="00073FBD"/>
    <w:rsid w:val="0007499C"/>
    <w:rsid w:val="00074C92"/>
    <w:rsid w:val="0007521C"/>
    <w:rsid w:val="00075330"/>
    <w:rsid w:val="00075952"/>
    <w:rsid w:val="00076534"/>
    <w:rsid w:val="0007672F"/>
    <w:rsid w:val="00076A53"/>
    <w:rsid w:val="00076B2C"/>
    <w:rsid w:val="00076B54"/>
    <w:rsid w:val="000770AD"/>
    <w:rsid w:val="00077298"/>
    <w:rsid w:val="000774F0"/>
    <w:rsid w:val="00077B60"/>
    <w:rsid w:val="0008076C"/>
    <w:rsid w:val="00080909"/>
    <w:rsid w:val="00080F0D"/>
    <w:rsid w:val="00080F31"/>
    <w:rsid w:val="000812CA"/>
    <w:rsid w:val="00081390"/>
    <w:rsid w:val="00081E63"/>
    <w:rsid w:val="00081ECF"/>
    <w:rsid w:val="0008258D"/>
    <w:rsid w:val="00082FF1"/>
    <w:rsid w:val="00083E88"/>
    <w:rsid w:val="00083E99"/>
    <w:rsid w:val="000842B9"/>
    <w:rsid w:val="000843EA"/>
    <w:rsid w:val="00084981"/>
    <w:rsid w:val="00084C00"/>
    <w:rsid w:val="00084FA8"/>
    <w:rsid w:val="00085385"/>
    <w:rsid w:val="000856C5"/>
    <w:rsid w:val="00085C31"/>
    <w:rsid w:val="00085EE6"/>
    <w:rsid w:val="000863D6"/>
    <w:rsid w:val="000865CF"/>
    <w:rsid w:val="0008723F"/>
    <w:rsid w:val="000879CA"/>
    <w:rsid w:val="00087CE1"/>
    <w:rsid w:val="000901D6"/>
    <w:rsid w:val="000902D9"/>
    <w:rsid w:val="000904A0"/>
    <w:rsid w:val="00090836"/>
    <w:rsid w:val="00090C7E"/>
    <w:rsid w:val="00090FA6"/>
    <w:rsid w:val="0009131F"/>
    <w:rsid w:val="00091379"/>
    <w:rsid w:val="000918D8"/>
    <w:rsid w:val="000919B3"/>
    <w:rsid w:val="00091A74"/>
    <w:rsid w:val="00091E61"/>
    <w:rsid w:val="000924C0"/>
    <w:rsid w:val="00092600"/>
    <w:rsid w:val="0009262B"/>
    <w:rsid w:val="00092F30"/>
    <w:rsid w:val="00093310"/>
    <w:rsid w:val="0009445C"/>
    <w:rsid w:val="00094DF3"/>
    <w:rsid w:val="00095200"/>
    <w:rsid w:val="0009553B"/>
    <w:rsid w:val="00095CD1"/>
    <w:rsid w:val="00095FE5"/>
    <w:rsid w:val="000960FD"/>
    <w:rsid w:val="00096284"/>
    <w:rsid w:val="0009689C"/>
    <w:rsid w:val="0009701F"/>
    <w:rsid w:val="00097032"/>
    <w:rsid w:val="00097561"/>
    <w:rsid w:val="0009757B"/>
    <w:rsid w:val="00097A01"/>
    <w:rsid w:val="00097BC8"/>
    <w:rsid w:val="00097E92"/>
    <w:rsid w:val="000A0309"/>
    <w:rsid w:val="000A0860"/>
    <w:rsid w:val="000A0D57"/>
    <w:rsid w:val="000A0F50"/>
    <w:rsid w:val="000A1AAB"/>
    <w:rsid w:val="000A1BC0"/>
    <w:rsid w:val="000A1F94"/>
    <w:rsid w:val="000A2703"/>
    <w:rsid w:val="000A2BCF"/>
    <w:rsid w:val="000A349D"/>
    <w:rsid w:val="000A3BDB"/>
    <w:rsid w:val="000A41CB"/>
    <w:rsid w:val="000A4E6A"/>
    <w:rsid w:val="000A55A9"/>
    <w:rsid w:val="000A57E8"/>
    <w:rsid w:val="000A5E89"/>
    <w:rsid w:val="000A5F7B"/>
    <w:rsid w:val="000A5F94"/>
    <w:rsid w:val="000A6039"/>
    <w:rsid w:val="000A65A6"/>
    <w:rsid w:val="000A66AA"/>
    <w:rsid w:val="000A71C4"/>
    <w:rsid w:val="000A7453"/>
    <w:rsid w:val="000A794D"/>
    <w:rsid w:val="000A7B2E"/>
    <w:rsid w:val="000A7C61"/>
    <w:rsid w:val="000A7D08"/>
    <w:rsid w:val="000B0121"/>
    <w:rsid w:val="000B0670"/>
    <w:rsid w:val="000B0AC5"/>
    <w:rsid w:val="000B0E75"/>
    <w:rsid w:val="000B2DCB"/>
    <w:rsid w:val="000B3A48"/>
    <w:rsid w:val="000B4FA9"/>
    <w:rsid w:val="000B50B8"/>
    <w:rsid w:val="000B53D9"/>
    <w:rsid w:val="000B540A"/>
    <w:rsid w:val="000B5436"/>
    <w:rsid w:val="000B5489"/>
    <w:rsid w:val="000B5CE0"/>
    <w:rsid w:val="000B6379"/>
    <w:rsid w:val="000B63ED"/>
    <w:rsid w:val="000B65FA"/>
    <w:rsid w:val="000B6874"/>
    <w:rsid w:val="000B6CAC"/>
    <w:rsid w:val="000B7612"/>
    <w:rsid w:val="000B7781"/>
    <w:rsid w:val="000B78AE"/>
    <w:rsid w:val="000B7B3F"/>
    <w:rsid w:val="000B7EBF"/>
    <w:rsid w:val="000B7F1C"/>
    <w:rsid w:val="000C027D"/>
    <w:rsid w:val="000C0EB9"/>
    <w:rsid w:val="000C0F47"/>
    <w:rsid w:val="000C11F3"/>
    <w:rsid w:val="000C12E2"/>
    <w:rsid w:val="000C1B4C"/>
    <w:rsid w:val="000C2157"/>
    <w:rsid w:val="000C25E9"/>
    <w:rsid w:val="000C2B74"/>
    <w:rsid w:val="000C3DF9"/>
    <w:rsid w:val="000C3E95"/>
    <w:rsid w:val="000C42CB"/>
    <w:rsid w:val="000C6183"/>
    <w:rsid w:val="000C61EA"/>
    <w:rsid w:val="000C64C0"/>
    <w:rsid w:val="000C6713"/>
    <w:rsid w:val="000C67AB"/>
    <w:rsid w:val="000C6A3C"/>
    <w:rsid w:val="000D0464"/>
    <w:rsid w:val="000D04F2"/>
    <w:rsid w:val="000D10D9"/>
    <w:rsid w:val="000D15C6"/>
    <w:rsid w:val="000D16F0"/>
    <w:rsid w:val="000D1BE7"/>
    <w:rsid w:val="000D1BFC"/>
    <w:rsid w:val="000D1D5D"/>
    <w:rsid w:val="000D2016"/>
    <w:rsid w:val="000D223E"/>
    <w:rsid w:val="000D281A"/>
    <w:rsid w:val="000D2848"/>
    <w:rsid w:val="000D326A"/>
    <w:rsid w:val="000D3F9D"/>
    <w:rsid w:val="000D414D"/>
    <w:rsid w:val="000D440B"/>
    <w:rsid w:val="000D4FB4"/>
    <w:rsid w:val="000D5180"/>
    <w:rsid w:val="000D51ED"/>
    <w:rsid w:val="000D51FB"/>
    <w:rsid w:val="000D5623"/>
    <w:rsid w:val="000D56ED"/>
    <w:rsid w:val="000D5A5B"/>
    <w:rsid w:val="000D66EF"/>
    <w:rsid w:val="000D69BB"/>
    <w:rsid w:val="000D6B9D"/>
    <w:rsid w:val="000D73F3"/>
    <w:rsid w:val="000D74DA"/>
    <w:rsid w:val="000D7EAF"/>
    <w:rsid w:val="000D7FBD"/>
    <w:rsid w:val="000E0225"/>
    <w:rsid w:val="000E0640"/>
    <w:rsid w:val="000E1035"/>
    <w:rsid w:val="000E1108"/>
    <w:rsid w:val="000E135D"/>
    <w:rsid w:val="000E1381"/>
    <w:rsid w:val="000E149E"/>
    <w:rsid w:val="000E1637"/>
    <w:rsid w:val="000E1B71"/>
    <w:rsid w:val="000E2216"/>
    <w:rsid w:val="000E22C2"/>
    <w:rsid w:val="000E29DB"/>
    <w:rsid w:val="000E2CA0"/>
    <w:rsid w:val="000E3670"/>
    <w:rsid w:val="000E3A98"/>
    <w:rsid w:val="000E4166"/>
    <w:rsid w:val="000E451D"/>
    <w:rsid w:val="000E4C8E"/>
    <w:rsid w:val="000E4EBE"/>
    <w:rsid w:val="000E5097"/>
    <w:rsid w:val="000E5DFB"/>
    <w:rsid w:val="000E62CA"/>
    <w:rsid w:val="000E6D00"/>
    <w:rsid w:val="000E7717"/>
    <w:rsid w:val="000E7EC1"/>
    <w:rsid w:val="000F00BA"/>
    <w:rsid w:val="000F024E"/>
    <w:rsid w:val="000F0443"/>
    <w:rsid w:val="000F0898"/>
    <w:rsid w:val="000F0DC7"/>
    <w:rsid w:val="000F0F62"/>
    <w:rsid w:val="000F1519"/>
    <w:rsid w:val="000F1BAB"/>
    <w:rsid w:val="000F1E17"/>
    <w:rsid w:val="000F25C3"/>
    <w:rsid w:val="000F316A"/>
    <w:rsid w:val="000F324A"/>
    <w:rsid w:val="000F3C74"/>
    <w:rsid w:val="000F4504"/>
    <w:rsid w:val="000F4BB8"/>
    <w:rsid w:val="000F4FA9"/>
    <w:rsid w:val="000F50D2"/>
    <w:rsid w:val="000F53FB"/>
    <w:rsid w:val="000F55F3"/>
    <w:rsid w:val="000F6147"/>
    <w:rsid w:val="000F616B"/>
    <w:rsid w:val="000F65F7"/>
    <w:rsid w:val="000F6777"/>
    <w:rsid w:val="000F6D45"/>
    <w:rsid w:val="000F7127"/>
    <w:rsid w:val="000F73CA"/>
    <w:rsid w:val="000F7435"/>
    <w:rsid w:val="000F788C"/>
    <w:rsid w:val="000F7AFC"/>
    <w:rsid w:val="000F7B54"/>
    <w:rsid w:val="000F7B67"/>
    <w:rsid w:val="0010095D"/>
    <w:rsid w:val="00100F8A"/>
    <w:rsid w:val="00101298"/>
    <w:rsid w:val="001013BF"/>
    <w:rsid w:val="0010234E"/>
    <w:rsid w:val="00102584"/>
    <w:rsid w:val="0010288C"/>
    <w:rsid w:val="00102899"/>
    <w:rsid w:val="00103134"/>
    <w:rsid w:val="0010321E"/>
    <w:rsid w:val="00103614"/>
    <w:rsid w:val="001037A2"/>
    <w:rsid w:val="0010452E"/>
    <w:rsid w:val="00104707"/>
    <w:rsid w:val="001047B7"/>
    <w:rsid w:val="00104BF2"/>
    <w:rsid w:val="00105096"/>
    <w:rsid w:val="00105165"/>
    <w:rsid w:val="00105AE2"/>
    <w:rsid w:val="00105B49"/>
    <w:rsid w:val="00105C35"/>
    <w:rsid w:val="001060C6"/>
    <w:rsid w:val="0010619B"/>
    <w:rsid w:val="00106477"/>
    <w:rsid w:val="00106719"/>
    <w:rsid w:val="00106B80"/>
    <w:rsid w:val="00107240"/>
    <w:rsid w:val="00107D9C"/>
    <w:rsid w:val="00110168"/>
    <w:rsid w:val="0011032E"/>
    <w:rsid w:val="0011059C"/>
    <w:rsid w:val="00110B91"/>
    <w:rsid w:val="00110D06"/>
    <w:rsid w:val="00111122"/>
    <w:rsid w:val="0011132E"/>
    <w:rsid w:val="00111D95"/>
    <w:rsid w:val="00111E97"/>
    <w:rsid w:val="0011256D"/>
    <w:rsid w:val="001125E3"/>
    <w:rsid w:val="00112BE2"/>
    <w:rsid w:val="00113375"/>
    <w:rsid w:val="0011348B"/>
    <w:rsid w:val="0011365E"/>
    <w:rsid w:val="001136EE"/>
    <w:rsid w:val="00113B36"/>
    <w:rsid w:val="00113B6C"/>
    <w:rsid w:val="00113DBE"/>
    <w:rsid w:val="00113F31"/>
    <w:rsid w:val="00114A47"/>
    <w:rsid w:val="00114C84"/>
    <w:rsid w:val="00114D87"/>
    <w:rsid w:val="0011503E"/>
    <w:rsid w:val="001153A0"/>
    <w:rsid w:val="00115644"/>
    <w:rsid w:val="001158AB"/>
    <w:rsid w:val="001158F2"/>
    <w:rsid w:val="00115926"/>
    <w:rsid w:val="00115982"/>
    <w:rsid w:val="0011598E"/>
    <w:rsid w:val="001160FA"/>
    <w:rsid w:val="0011695F"/>
    <w:rsid w:val="00116C53"/>
    <w:rsid w:val="00116E0C"/>
    <w:rsid w:val="00117622"/>
    <w:rsid w:val="0011790D"/>
    <w:rsid w:val="00117AA8"/>
    <w:rsid w:val="00117D26"/>
    <w:rsid w:val="00117DAB"/>
    <w:rsid w:val="00120213"/>
    <w:rsid w:val="0012027E"/>
    <w:rsid w:val="001208B6"/>
    <w:rsid w:val="00120D79"/>
    <w:rsid w:val="0012107F"/>
    <w:rsid w:val="00121548"/>
    <w:rsid w:val="00121799"/>
    <w:rsid w:val="001218AA"/>
    <w:rsid w:val="001222FC"/>
    <w:rsid w:val="0012278A"/>
    <w:rsid w:val="001237DE"/>
    <w:rsid w:val="0012382A"/>
    <w:rsid w:val="00123902"/>
    <w:rsid w:val="0012434D"/>
    <w:rsid w:val="001247CA"/>
    <w:rsid w:val="00124A51"/>
    <w:rsid w:val="00124CBD"/>
    <w:rsid w:val="001255DE"/>
    <w:rsid w:val="00125CD0"/>
    <w:rsid w:val="00125CDB"/>
    <w:rsid w:val="001263AE"/>
    <w:rsid w:val="00126471"/>
    <w:rsid w:val="00126621"/>
    <w:rsid w:val="00126674"/>
    <w:rsid w:val="001268E1"/>
    <w:rsid w:val="00126B1D"/>
    <w:rsid w:val="00126CF2"/>
    <w:rsid w:val="00126CF8"/>
    <w:rsid w:val="00126D79"/>
    <w:rsid w:val="0012734A"/>
    <w:rsid w:val="00127C07"/>
    <w:rsid w:val="001301E9"/>
    <w:rsid w:val="00130554"/>
    <w:rsid w:val="001310FA"/>
    <w:rsid w:val="00131362"/>
    <w:rsid w:val="001316CA"/>
    <w:rsid w:val="00131C0C"/>
    <w:rsid w:val="00131D82"/>
    <w:rsid w:val="001323EF"/>
    <w:rsid w:val="00132B22"/>
    <w:rsid w:val="00132D7A"/>
    <w:rsid w:val="00132FC5"/>
    <w:rsid w:val="00133302"/>
    <w:rsid w:val="001333D2"/>
    <w:rsid w:val="00133A0F"/>
    <w:rsid w:val="00133D30"/>
    <w:rsid w:val="00133D36"/>
    <w:rsid w:val="00134408"/>
    <w:rsid w:val="00134BFB"/>
    <w:rsid w:val="00134DFE"/>
    <w:rsid w:val="00135251"/>
    <w:rsid w:val="00135E9B"/>
    <w:rsid w:val="00135EA7"/>
    <w:rsid w:val="00136318"/>
    <w:rsid w:val="0013658F"/>
    <w:rsid w:val="001365D1"/>
    <w:rsid w:val="00136A03"/>
    <w:rsid w:val="00136AC9"/>
    <w:rsid w:val="00137327"/>
    <w:rsid w:val="00137645"/>
    <w:rsid w:val="0013799A"/>
    <w:rsid w:val="00137C71"/>
    <w:rsid w:val="00137CE7"/>
    <w:rsid w:val="0014015A"/>
    <w:rsid w:val="00140E99"/>
    <w:rsid w:val="001419D7"/>
    <w:rsid w:val="00141EC9"/>
    <w:rsid w:val="0014236E"/>
    <w:rsid w:val="00142434"/>
    <w:rsid w:val="00142F20"/>
    <w:rsid w:val="0014319E"/>
    <w:rsid w:val="0014377F"/>
    <w:rsid w:val="0014378A"/>
    <w:rsid w:val="001439A5"/>
    <w:rsid w:val="00143C81"/>
    <w:rsid w:val="00143F67"/>
    <w:rsid w:val="00144237"/>
    <w:rsid w:val="0014437A"/>
    <w:rsid w:val="00145540"/>
    <w:rsid w:val="001456B0"/>
    <w:rsid w:val="001457B2"/>
    <w:rsid w:val="00145822"/>
    <w:rsid w:val="00145FD2"/>
    <w:rsid w:val="001464C8"/>
    <w:rsid w:val="00146A19"/>
    <w:rsid w:val="00146A21"/>
    <w:rsid w:val="00146B3B"/>
    <w:rsid w:val="00146E2D"/>
    <w:rsid w:val="00147772"/>
    <w:rsid w:val="001477E6"/>
    <w:rsid w:val="001477F6"/>
    <w:rsid w:val="00147B34"/>
    <w:rsid w:val="00147FCF"/>
    <w:rsid w:val="00150B38"/>
    <w:rsid w:val="00150C08"/>
    <w:rsid w:val="00150C59"/>
    <w:rsid w:val="00150F71"/>
    <w:rsid w:val="001512C2"/>
    <w:rsid w:val="00151D11"/>
    <w:rsid w:val="00152395"/>
    <w:rsid w:val="00152D80"/>
    <w:rsid w:val="001530F2"/>
    <w:rsid w:val="00153D56"/>
    <w:rsid w:val="00153E63"/>
    <w:rsid w:val="00154004"/>
    <w:rsid w:val="001544B1"/>
    <w:rsid w:val="00154917"/>
    <w:rsid w:val="00154D21"/>
    <w:rsid w:val="0015500E"/>
    <w:rsid w:val="00155301"/>
    <w:rsid w:val="001557C4"/>
    <w:rsid w:val="00155D10"/>
    <w:rsid w:val="00155F30"/>
    <w:rsid w:val="001564CF"/>
    <w:rsid w:val="00156577"/>
    <w:rsid w:val="001567CF"/>
    <w:rsid w:val="00156F3A"/>
    <w:rsid w:val="00156F8F"/>
    <w:rsid w:val="00157130"/>
    <w:rsid w:val="001576B1"/>
    <w:rsid w:val="001578B7"/>
    <w:rsid w:val="0016047B"/>
    <w:rsid w:val="0016097A"/>
    <w:rsid w:val="00160A4C"/>
    <w:rsid w:val="00161D3C"/>
    <w:rsid w:val="00161EB7"/>
    <w:rsid w:val="00162310"/>
    <w:rsid w:val="00162334"/>
    <w:rsid w:val="00162905"/>
    <w:rsid w:val="00162913"/>
    <w:rsid w:val="001633A1"/>
    <w:rsid w:val="001634F8"/>
    <w:rsid w:val="001637D6"/>
    <w:rsid w:val="00163EFF"/>
    <w:rsid w:val="00163F66"/>
    <w:rsid w:val="001642D7"/>
    <w:rsid w:val="0016431D"/>
    <w:rsid w:val="00164B22"/>
    <w:rsid w:val="00165001"/>
    <w:rsid w:val="001652F5"/>
    <w:rsid w:val="00165BAB"/>
    <w:rsid w:val="00166117"/>
    <w:rsid w:val="001661FB"/>
    <w:rsid w:val="001662C6"/>
    <w:rsid w:val="001666D9"/>
    <w:rsid w:val="001671A0"/>
    <w:rsid w:val="0016755D"/>
    <w:rsid w:val="0016767F"/>
    <w:rsid w:val="00167CE3"/>
    <w:rsid w:val="00167F3C"/>
    <w:rsid w:val="0017028B"/>
    <w:rsid w:val="00170533"/>
    <w:rsid w:val="00170562"/>
    <w:rsid w:val="00170D0F"/>
    <w:rsid w:val="00170E72"/>
    <w:rsid w:val="00171222"/>
    <w:rsid w:val="001714E0"/>
    <w:rsid w:val="00171813"/>
    <w:rsid w:val="001725B7"/>
    <w:rsid w:val="00173565"/>
    <w:rsid w:val="00173B07"/>
    <w:rsid w:val="00173DE1"/>
    <w:rsid w:val="00174062"/>
    <w:rsid w:val="00174399"/>
    <w:rsid w:val="001749F8"/>
    <w:rsid w:val="00174BD6"/>
    <w:rsid w:val="001751FA"/>
    <w:rsid w:val="0017530E"/>
    <w:rsid w:val="0017575F"/>
    <w:rsid w:val="001759DC"/>
    <w:rsid w:val="00175C5F"/>
    <w:rsid w:val="00175D08"/>
    <w:rsid w:val="00175EEC"/>
    <w:rsid w:val="00176066"/>
    <w:rsid w:val="0017608F"/>
    <w:rsid w:val="00176E62"/>
    <w:rsid w:val="001773DD"/>
    <w:rsid w:val="00180BF8"/>
    <w:rsid w:val="00181020"/>
    <w:rsid w:val="00181223"/>
    <w:rsid w:val="0018144D"/>
    <w:rsid w:val="00181D5D"/>
    <w:rsid w:val="00181D9C"/>
    <w:rsid w:val="00181F81"/>
    <w:rsid w:val="00182123"/>
    <w:rsid w:val="001823C2"/>
    <w:rsid w:val="001826E1"/>
    <w:rsid w:val="001849A5"/>
    <w:rsid w:val="00184A78"/>
    <w:rsid w:val="00184B0E"/>
    <w:rsid w:val="00184BC1"/>
    <w:rsid w:val="0018554B"/>
    <w:rsid w:val="0018568A"/>
    <w:rsid w:val="00185982"/>
    <w:rsid w:val="0018633A"/>
    <w:rsid w:val="001872E8"/>
    <w:rsid w:val="0018752F"/>
    <w:rsid w:val="00187A5E"/>
    <w:rsid w:val="00187E37"/>
    <w:rsid w:val="00190490"/>
    <w:rsid w:val="001905CD"/>
    <w:rsid w:val="00190720"/>
    <w:rsid w:val="00190B17"/>
    <w:rsid w:val="00190F53"/>
    <w:rsid w:val="00191105"/>
    <w:rsid w:val="001917F6"/>
    <w:rsid w:val="001919FA"/>
    <w:rsid w:val="00191C53"/>
    <w:rsid w:val="00192683"/>
    <w:rsid w:val="00192FBC"/>
    <w:rsid w:val="001934EC"/>
    <w:rsid w:val="0019351F"/>
    <w:rsid w:val="00193838"/>
    <w:rsid w:val="00193D31"/>
    <w:rsid w:val="00194232"/>
    <w:rsid w:val="00194AD8"/>
    <w:rsid w:val="00194E52"/>
    <w:rsid w:val="00195222"/>
    <w:rsid w:val="001956D7"/>
    <w:rsid w:val="00196738"/>
    <w:rsid w:val="001968B4"/>
    <w:rsid w:val="001975D8"/>
    <w:rsid w:val="0019768C"/>
    <w:rsid w:val="00197762"/>
    <w:rsid w:val="00197D50"/>
    <w:rsid w:val="001A0446"/>
    <w:rsid w:val="001A0C4A"/>
    <w:rsid w:val="001A1079"/>
    <w:rsid w:val="001A11D1"/>
    <w:rsid w:val="001A178E"/>
    <w:rsid w:val="001A185B"/>
    <w:rsid w:val="001A1A2F"/>
    <w:rsid w:val="001A2069"/>
    <w:rsid w:val="001A233D"/>
    <w:rsid w:val="001A2B36"/>
    <w:rsid w:val="001A30B0"/>
    <w:rsid w:val="001A33A2"/>
    <w:rsid w:val="001A3544"/>
    <w:rsid w:val="001A3880"/>
    <w:rsid w:val="001A3E62"/>
    <w:rsid w:val="001A41B6"/>
    <w:rsid w:val="001A43FA"/>
    <w:rsid w:val="001A47C5"/>
    <w:rsid w:val="001A4B96"/>
    <w:rsid w:val="001A523D"/>
    <w:rsid w:val="001A59FB"/>
    <w:rsid w:val="001A5C0E"/>
    <w:rsid w:val="001A5E9E"/>
    <w:rsid w:val="001A62AC"/>
    <w:rsid w:val="001A6354"/>
    <w:rsid w:val="001A6366"/>
    <w:rsid w:val="001A658F"/>
    <w:rsid w:val="001A6BAD"/>
    <w:rsid w:val="001A7AE8"/>
    <w:rsid w:val="001A7F9A"/>
    <w:rsid w:val="001B018B"/>
    <w:rsid w:val="001B0B73"/>
    <w:rsid w:val="001B155A"/>
    <w:rsid w:val="001B1A96"/>
    <w:rsid w:val="001B1ABF"/>
    <w:rsid w:val="001B204E"/>
    <w:rsid w:val="001B2372"/>
    <w:rsid w:val="001B287F"/>
    <w:rsid w:val="001B3443"/>
    <w:rsid w:val="001B3D45"/>
    <w:rsid w:val="001B41D6"/>
    <w:rsid w:val="001B47C6"/>
    <w:rsid w:val="001B4D20"/>
    <w:rsid w:val="001B50FC"/>
    <w:rsid w:val="001B588F"/>
    <w:rsid w:val="001B651A"/>
    <w:rsid w:val="001B67BD"/>
    <w:rsid w:val="001B6B33"/>
    <w:rsid w:val="001B6BAE"/>
    <w:rsid w:val="001B6C16"/>
    <w:rsid w:val="001B6DF9"/>
    <w:rsid w:val="001B6E06"/>
    <w:rsid w:val="001B72FC"/>
    <w:rsid w:val="001B742D"/>
    <w:rsid w:val="001B75C5"/>
    <w:rsid w:val="001B763D"/>
    <w:rsid w:val="001C0EE8"/>
    <w:rsid w:val="001C0EE9"/>
    <w:rsid w:val="001C15C9"/>
    <w:rsid w:val="001C1908"/>
    <w:rsid w:val="001C192F"/>
    <w:rsid w:val="001C1DC3"/>
    <w:rsid w:val="001C2854"/>
    <w:rsid w:val="001C28BD"/>
    <w:rsid w:val="001C2975"/>
    <w:rsid w:val="001C2A1E"/>
    <w:rsid w:val="001C2A9B"/>
    <w:rsid w:val="001C2F89"/>
    <w:rsid w:val="001C307F"/>
    <w:rsid w:val="001C38F6"/>
    <w:rsid w:val="001C3A8B"/>
    <w:rsid w:val="001C4299"/>
    <w:rsid w:val="001C4874"/>
    <w:rsid w:val="001C4A43"/>
    <w:rsid w:val="001C556F"/>
    <w:rsid w:val="001C5F94"/>
    <w:rsid w:val="001C6615"/>
    <w:rsid w:val="001C682B"/>
    <w:rsid w:val="001C6AD2"/>
    <w:rsid w:val="001C6BC3"/>
    <w:rsid w:val="001C6E66"/>
    <w:rsid w:val="001C72A8"/>
    <w:rsid w:val="001C7376"/>
    <w:rsid w:val="001C7A46"/>
    <w:rsid w:val="001D01B5"/>
    <w:rsid w:val="001D043B"/>
    <w:rsid w:val="001D0C12"/>
    <w:rsid w:val="001D1100"/>
    <w:rsid w:val="001D1391"/>
    <w:rsid w:val="001D1554"/>
    <w:rsid w:val="001D1558"/>
    <w:rsid w:val="001D1E59"/>
    <w:rsid w:val="001D23E8"/>
    <w:rsid w:val="001D25D7"/>
    <w:rsid w:val="001D3191"/>
    <w:rsid w:val="001D39BB"/>
    <w:rsid w:val="001D49E6"/>
    <w:rsid w:val="001D5032"/>
    <w:rsid w:val="001D50B2"/>
    <w:rsid w:val="001D5C53"/>
    <w:rsid w:val="001D7407"/>
    <w:rsid w:val="001D7645"/>
    <w:rsid w:val="001D7E1C"/>
    <w:rsid w:val="001E0307"/>
    <w:rsid w:val="001E0903"/>
    <w:rsid w:val="001E0C1E"/>
    <w:rsid w:val="001E0F1B"/>
    <w:rsid w:val="001E1706"/>
    <w:rsid w:val="001E1A7D"/>
    <w:rsid w:val="001E1E86"/>
    <w:rsid w:val="001E238E"/>
    <w:rsid w:val="001E2483"/>
    <w:rsid w:val="001E2747"/>
    <w:rsid w:val="001E2B1E"/>
    <w:rsid w:val="001E2C0F"/>
    <w:rsid w:val="001E2CFF"/>
    <w:rsid w:val="001E2DCD"/>
    <w:rsid w:val="001E2F24"/>
    <w:rsid w:val="001E30D4"/>
    <w:rsid w:val="001E34DF"/>
    <w:rsid w:val="001E402B"/>
    <w:rsid w:val="001E42EF"/>
    <w:rsid w:val="001E4860"/>
    <w:rsid w:val="001E52EB"/>
    <w:rsid w:val="001E54DA"/>
    <w:rsid w:val="001E5B88"/>
    <w:rsid w:val="001E5F96"/>
    <w:rsid w:val="001E61D2"/>
    <w:rsid w:val="001E63B0"/>
    <w:rsid w:val="001E6F44"/>
    <w:rsid w:val="001E740C"/>
    <w:rsid w:val="001E7496"/>
    <w:rsid w:val="001E7560"/>
    <w:rsid w:val="001E761F"/>
    <w:rsid w:val="001E7BF3"/>
    <w:rsid w:val="001E7E85"/>
    <w:rsid w:val="001F0609"/>
    <w:rsid w:val="001F0D7F"/>
    <w:rsid w:val="001F1235"/>
    <w:rsid w:val="001F15C1"/>
    <w:rsid w:val="001F1CB3"/>
    <w:rsid w:val="001F1D83"/>
    <w:rsid w:val="001F1F0C"/>
    <w:rsid w:val="001F1FB9"/>
    <w:rsid w:val="001F2688"/>
    <w:rsid w:val="001F2712"/>
    <w:rsid w:val="001F31C4"/>
    <w:rsid w:val="001F354A"/>
    <w:rsid w:val="001F38B5"/>
    <w:rsid w:val="001F3E15"/>
    <w:rsid w:val="001F4054"/>
    <w:rsid w:val="001F4081"/>
    <w:rsid w:val="001F42B7"/>
    <w:rsid w:val="001F485F"/>
    <w:rsid w:val="001F4A30"/>
    <w:rsid w:val="001F52B7"/>
    <w:rsid w:val="001F56C1"/>
    <w:rsid w:val="001F7361"/>
    <w:rsid w:val="001F78F7"/>
    <w:rsid w:val="001F7AA7"/>
    <w:rsid w:val="00200551"/>
    <w:rsid w:val="002011AB"/>
    <w:rsid w:val="002011B0"/>
    <w:rsid w:val="0020174B"/>
    <w:rsid w:val="002017C3"/>
    <w:rsid w:val="00201C58"/>
    <w:rsid w:val="00201DD4"/>
    <w:rsid w:val="00202CD8"/>
    <w:rsid w:val="00202FA8"/>
    <w:rsid w:val="00203181"/>
    <w:rsid w:val="0020332A"/>
    <w:rsid w:val="00203338"/>
    <w:rsid w:val="002034D5"/>
    <w:rsid w:val="002035C6"/>
    <w:rsid w:val="0020377F"/>
    <w:rsid w:val="00203783"/>
    <w:rsid w:val="0020385F"/>
    <w:rsid w:val="00203DAE"/>
    <w:rsid w:val="00203EC3"/>
    <w:rsid w:val="0020425B"/>
    <w:rsid w:val="002045A1"/>
    <w:rsid w:val="002045FC"/>
    <w:rsid w:val="002046C2"/>
    <w:rsid w:val="00204754"/>
    <w:rsid w:val="00204B05"/>
    <w:rsid w:val="00204F55"/>
    <w:rsid w:val="002060FF"/>
    <w:rsid w:val="002063B4"/>
    <w:rsid w:val="002068A0"/>
    <w:rsid w:val="00206BFC"/>
    <w:rsid w:val="00206C5B"/>
    <w:rsid w:val="00206E55"/>
    <w:rsid w:val="00206E8A"/>
    <w:rsid w:val="00207021"/>
    <w:rsid w:val="0020732F"/>
    <w:rsid w:val="0020790F"/>
    <w:rsid w:val="00207D00"/>
    <w:rsid w:val="002105C1"/>
    <w:rsid w:val="00210B1F"/>
    <w:rsid w:val="00211A30"/>
    <w:rsid w:val="00211A7F"/>
    <w:rsid w:val="00211CF8"/>
    <w:rsid w:val="00211EE6"/>
    <w:rsid w:val="00212FFF"/>
    <w:rsid w:val="002137F5"/>
    <w:rsid w:val="00213EF5"/>
    <w:rsid w:val="00214286"/>
    <w:rsid w:val="00214655"/>
    <w:rsid w:val="002147A5"/>
    <w:rsid w:val="00215311"/>
    <w:rsid w:val="00215D6C"/>
    <w:rsid w:val="00215F30"/>
    <w:rsid w:val="002160E9"/>
    <w:rsid w:val="00216BF5"/>
    <w:rsid w:val="00216C9C"/>
    <w:rsid w:val="00216D57"/>
    <w:rsid w:val="00217123"/>
    <w:rsid w:val="002171AA"/>
    <w:rsid w:val="00217F82"/>
    <w:rsid w:val="0022000C"/>
    <w:rsid w:val="002203D2"/>
    <w:rsid w:val="00220DB5"/>
    <w:rsid w:val="00221565"/>
    <w:rsid w:val="00221742"/>
    <w:rsid w:val="00221CDC"/>
    <w:rsid w:val="00221E6D"/>
    <w:rsid w:val="00221F23"/>
    <w:rsid w:val="00222589"/>
    <w:rsid w:val="0022282D"/>
    <w:rsid w:val="002228BE"/>
    <w:rsid w:val="00222EC5"/>
    <w:rsid w:val="00223381"/>
    <w:rsid w:val="00223B49"/>
    <w:rsid w:val="00223D5A"/>
    <w:rsid w:val="00224055"/>
    <w:rsid w:val="0022418E"/>
    <w:rsid w:val="0022419F"/>
    <w:rsid w:val="00224270"/>
    <w:rsid w:val="00224DD4"/>
    <w:rsid w:val="002251EA"/>
    <w:rsid w:val="002257F9"/>
    <w:rsid w:val="00225E00"/>
    <w:rsid w:val="00225E3A"/>
    <w:rsid w:val="0022606E"/>
    <w:rsid w:val="0022632D"/>
    <w:rsid w:val="00226B38"/>
    <w:rsid w:val="00226D3B"/>
    <w:rsid w:val="00226DDF"/>
    <w:rsid w:val="00226E65"/>
    <w:rsid w:val="00227147"/>
    <w:rsid w:val="002278A0"/>
    <w:rsid w:val="00230204"/>
    <w:rsid w:val="002309CC"/>
    <w:rsid w:val="00230D55"/>
    <w:rsid w:val="002318D3"/>
    <w:rsid w:val="0023209F"/>
    <w:rsid w:val="002322A7"/>
    <w:rsid w:val="0023243A"/>
    <w:rsid w:val="00232CAD"/>
    <w:rsid w:val="00232E97"/>
    <w:rsid w:val="002332F5"/>
    <w:rsid w:val="0023350A"/>
    <w:rsid w:val="00233744"/>
    <w:rsid w:val="00233C01"/>
    <w:rsid w:val="0023413C"/>
    <w:rsid w:val="002346F0"/>
    <w:rsid w:val="002350C0"/>
    <w:rsid w:val="0023525D"/>
    <w:rsid w:val="0023571B"/>
    <w:rsid w:val="00235B38"/>
    <w:rsid w:val="00235F7E"/>
    <w:rsid w:val="0023629D"/>
    <w:rsid w:val="0023631D"/>
    <w:rsid w:val="00236512"/>
    <w:rsid w:val="00236F7A"/>
    <w:rsid w:val="00237255"/>
    <w:rsid w:val="00237F1C"/>
    <w:rsid w:val="00240869"/>
    <w:rsid w:val="00240999"/>
    <w:rsid w:val="00240C09"/>
    <w:rsid w:val="00241620"/>
    <w:rsid w:val="00241840"/>
    <w:rsid w:val="00241E23"/>
    <w:rsid w:val="00241EE3"/>
    <w:rsid w:val="00242158"/>
    <w:rsid w:val="002422A6"/>
    <w:rsid w:val="002424AF"/>
    <w:rsid w:val="00242C6C"/>
    <w:rsid w:val="00242F4A"/>
    <w:rsid w:val="002435E8"/>
    <w:rsid w:val="00243837"/>
    <w:rsid w:val="002439DC"/>
    <w:rsid w:val="002441D2"/>
    <w:rsid w:val="002448DE"/>
    <w:rsid w:val="00244BF2"/>
    <w:rsid w:val="00244DC8"/>
    <w:rsid w:val="002450BD"/>
    <w:rsid w:val="00245180"/>
    <w:rsid w:val="002457E1"/>
    <w:rsid w:val="002458BA"/>
    <w:rsid w:val="00245CE9"/>
    <w:rsid w:val="0024636C"/>
    <w:rsid w:val="00246F27"/>
    <w:rsid w:val="00247054"/>
    <w:rsid w:val="00247925"/>
    <w:rsid w:val="00247E49"/>
    <w:rsid w:val="00247F60"/>
    <w:rsid w:val="00250B3C"/>
    <w:rsid w:val="00250F5E"/>
    <w:rsid w:val="00251006"/>
    <w:rsid w:val="0025150E"/>
    <w:rsid w:val="0025169B"/>
    <w:rsid w:val="00251872"/>
    <w:rsid w:val="002519D8"/>
    <w:rsid w:val="00251D44"/>
    <w:rsid w:val="002524B6"/>
    <w:rsid w:val="002524D5"/>
    <w:rsid w:val="00252B2A"/>
    <w:rsid w:val="002533B1"/>
    <w:rsid w:val="00253801"/>
    <w:rsid w:val="00253B1D"/>
    <w:rsid w:val="002541D2"/>
    <w:rsid w:val="00254DCF"/>
    <w:rsid w:val="00254FCA"/>
    <w:rsid w:val="00255170"/>
    <w:rsid w:val="00255223"/>
    <w:rsid w:val="0025534B"/>
    <w:rsid w:val="00255BB7"/>
    <w:rsid w:val="00255F2D"/>
    <w:rsid w:val="002569DE"/>
    <w:rsid w:val="00257541"/>
    <w:rsid w:val="002578B8"/>
    <w:rsid w:val="002579E0"/>
    <w:rsid w:val="00257A39"/>
    <w:rsid w:val="00257AC4"/>
    <w:rsid w:val="00257BE8"/>
    <w:rsid w:val="00257DA7"/>
    <w:rsid w:val="0026002B"/>
    <w:rsid w:val="00260A9D"/>
    <w:rsid w:val="00260BC2"/>
    <w:rsid w:val="00260D34"/>
    <w:rsid w:val="0026132B"/>
    <w:rsid w:val="002613F2"/>
    <w:rsid w:val="00261566"/>
    <w:rsid w:val="0026184C"/>
    <w:rsid w:val="00261C90"/>
    <w:rsid w:val="00261EEF"/>
    <w:rsid w:val="00261EFE"/>
    <w:rsid w:val="0026246E"/>
    <w:rsid w:val="00262A1A"/>
    <w:rsid w:val="00262A87"/>
    <w:rsid w:val="002630EE"/>
    <w:rsid w:val="00263498"/>
    <w:rsid w:val="0026383A"/>
    <w:rsid w:val="00264327"/>
    <w:rsid w:val="00264BDD"/>
    <w:rsid w:val="00264D26"/>
    <w:rsid w:val="0026540D"/>
    <w:rsid w:val="00265D78"/>
    <w:rsid w:val="00265DA8"/>
    <w:rsid w:val="00265DCB"/>
    <w:rsid w:val="00266C14"/>
    <w:rsid w:val="00266F7B"/>
    <w:rsid w:val="0026737B"/>
    <w:rsid w:val="002675DB"/>
    <w:rsid w:val="00267642"/>
    <w:rsid w:val="002676F9"/>
    <w:rsid w:val="00267761"/>
    <w:rsid w:val="00267AEA"/>
    <w:rsid w:val="00267C6E"/>
    <w:rsid w:val="00267CDF"/>
    <w:rsid w:val="002700E6"/>
    <w:rsid w:val="00270319"/>
    <w:rsid w:val="002703B8"/>
    <w:rsid w:val="00270842"/>
    <w:rsid w:val="00270A25"/>
    <w:rsid w:val="0027294B"/>
    <w:rsid w:val="00272F02"/>
    <w:rsid w:val="002732DB"/>
    <w:rsid w:val="00273C89"/>
    <w:rsid w:val="00273EB4"/>
    <w:rsid w:val="00274300"/>
    <w:rsid w:val="00274636"/>
    <w:rsid w:val="00274682"/>
    <w:rsid w:val="00274815"/>
    <w:rsid w:val="00274A53"/>
    <w:rsid w:val="002756DE"/>
    <w:rsid w:val="002756F2"/>
    <w:rsid w:val="00275C5A"/>
    <w:rsid w:val="002761BA"/>
    <w:rsid w:val="0027679C"/>
    <w:rsid w:val="0027680B"/>
    <w:rsid w:val="002775FE"/>
    <w:rsid w:val="0027794F"/>
    <w:rsid w:val="00280B51"/>
    <w:rsid w:val="00281014"/>
    <w:rsid w:val="002816A1"/>
    <w:rsid w:val="00282826"/>
    <w:rsid w:val="00283868"/>
    <w:rsid w:val="00283B76"/>
    <w:rsid w:val="0028481F"/>
    <w:rsid w:val="00284B5C"/>
    <w:rsid w:val="00284C8F"/>
    <w:rsid w:val="00284EAE"/>
    <w:rsid w:val="002855DA"/>
    <w:rsid w:val="00285C8A"/>
    <w:rsid w:val="00286641"/>
    <w:rsid w:val="0028665D"/>
    <w:rsid w:val="002867DF"/>
    <w:rsid w:val="00286912"/>
    <w:rsid w:val="002872DA"/>
    <w:rsid w:val="0028741D"/>
    <w:rsid w:val="0028782D"/>
    <w:rsid w:val="0029120E"/>
    <w:rsid w:val="002912E1"/>
    <w:rsid w:val="00291690"/>
    <w:rsid w:val="002920E2"/>
    <w:rsid w:val="00292A01"/>
    <w:rsid w:val="00292D60"/>
    <w:rsid w:val="00292F7C"/>
    <w:rsid w:val="002932EC"/>
    <w:rsid w:val="00293400"/>
    <w:rsid w:val="002934A6"/>
    <w:rsid w:val="0029363E"/>
    <w:rsid w:val="002936AE"/>
    <w:rsid w:val="0029387A"/>
    <w:rsid w:val="002939BF"/>
    <w:rsid w:val="00293AD7"/>
    <w:rsid w:val="00293FE0"/>
    <w:rsid w:val="00294A97"/>
    <w:rsid w:val="00294BF0"/>
    <w:rsid w:val="00294FDB"/>
    <w:rsid w:val="0029520B"/>
    <w:rsid w:val="00295248"/>
    <w:rsid w:val="002956F6"/>
    <w:rsid w:val="00295C41"/>
    <w:rsid w:val="00295D62"/>
    <w:rsid w:val="002960C1"/>
    <w:rsid w:val="00296BCB"/>
    <w:rsid w:val="0029700C"/>
    <w:rsid w:val="002979B5"/>
    <w:rsid w:val="00297E38"/>
    <w:rsid w:val="00297FAE"/>
    <w:rsid w:val="002A0013"/>
    <w:rsid w:val="002A0302"/>
    <w:rsid w:val="002A082B"/>
    <w:rsid w:val="002A0933"/>
    <w:rsid w:val="002A11DF"/>
    <w:rsid w:val="002A120A"/>
    <w:rsid w:val="002A14AB"/>
    <w:rsid w:val="002A1882"/>
    <w:rsid w:val="002A2ADE"/>
    <w:rsid w:val="002A2F50"/>
    <w:rsid w:val="002A2FEB"/>
    <w:rsid w:val="002A3958"/>
    <w:rsid w:val="002A496C"/>
    <w:rsid w:val="002A4B66"/>
    <w:rsid w:val="002A4C72"/>
    <w:rsid w:val="002A4DFA"/>
    <w:rsid w:val="002A51C2"/>
    <w:rsid w:val="002A5F7C"/>
    <w:rsid w:val="002A6CA3"/>
    <w:rsid w:val="002A745B"/>
    <w:rsid w:val="002A78C4"/>
    <w:rsid w:val="002B00FD"/>
    <w:rsid w:val="002B034D"/>
    <w:rsid w:val="002B05A1"/>
    <w:rsid w:val="002B08E1"/>
    <w:rsid w:val="002B09A4"/>
    <w:rsid w:val="002B108A"/>
    <w:rsid w:val="002B1478"/>
    <w:rsid w:val="002B1A38"/>
    <w:rsid w:val="002B1BD9"/>
    <w:rsid w:val="002B1C1F"/>
    <w:rsid w:val="002B29CF"/>
    <w:rsid w:val="002B2BFC"/>
    <w:rsid w:val="002B3281"/>
    <w:rsid w:val="002B38FD"/>
    <w:rsid w:val="002B40AE"/>
    <w:rsid w:val="002B432F"/>
    <w:rsid w:val="002B4724"/>
    <w:rsid w:val="002B4784"/>
    <w:rsid w:val="002B4B2C"/>
    <w:rsid w:val="002B5CE8"/>
    <w:rsid w:val="002B5E32"/>
    <w:rsid w:val="002B5ECD"/>
    <w:rsid w:val="002B62B3"/>
    <w:rsid w:val="002B6754"/>
    <w:rsid w:val="002B6774"/>
    <w:rsid w:val="002B690A"/>
    <w:rsid w:val="002B6CCE"/>
    <w:rsid w:val="002B712C"/>
    <w:rsid w:val="002C0953"/>
    <w:rsid w:val="002C0DEE"/>
    <w:rsid w:val="002C1AE5"/>
    <w:rsid w:val="002C2290"/>
    <w:rsid w:val="002C2510"/>
    <w:rsid w:val="002C2775"/>
    <w:rsid w:val="002C27C1"/>
    <w:rsid w:val="002C349D"/>
    <w:rsid w:val="002C3C5F"/>
    <w:rsid w:val="002C3D05"/>
    <w:rsid w:val="002C42EF"/>
    <w:rsid w:val="002C47E7"/>
    <w:rsid w:val="002C4DD3"/>
    <w:rsid w:val="002C4F0C"/>
    <w:rsid w:val="002C4F65"/>
    <w:rsid w:val="002C5099"/>
    <w:rsid w:val="002C5889"/>
    <w:rsid w:val="002C5E2F"/>
    <w:rsid w:val="002C6CCB"/>
    <w:rsid w:val="002C71CE"/>
    <w:rsid w:val="002C738E"/>
    <w:rsid w:val="002C78A0"/>
    <w:rsid w:val="002C78EF"/>
    <w:rsid w:val="002C7E92"/>
    <w:rsid w:val="002C7F87"/>
    <w:rsid w:val="002D0269"/>
    <w:rsid w:val="002D0322"/>
    <w:rsid w:val="002D08F8"/>
    <w:rsid w:val="002D1C8E"/>
    <w:rsid w:val="002D2F71"/>
    <w:rsid w:val="002D3050"/>
    <w:rsid w:val="002D44C6"/>
    <w:rsid w:val="002D467A"/>
    <w:rsid w:val="002D4B11"/>
    <w:rsid w:val="002D577C"/>
    <w:rsid w:val="002D58DE"/>
    <w:rsid w:val="002D58E0"/>
    <w:rsid w:val="002D64C1"/>
    <w:rsid w:val="002D6D7E"/>
    <w:rsid w:val="002D6D87"/>
    <w:rsid w:val="002D6F94"/>
    <w:rsid w:val="002D717A"/>
    <w:rsid w:val="002D72DC"/>
    <w:rsid w:val="002E0331"/>
    <w:rsid w:val="002E1071"/>
    <w:rsid w:val="002E10D5"/>
    <w:rsid w:val="002E152F"/>
    <w:rsid w:val="002E15B9"/>
    <w:rsid w:val="002E1930"/>
    <w:rsid w:val="002E1EE9"/>
    <w:rsid w:val="002E2158"/>
    <w:rsid w:val="002E241D"/>
    <w:rsid w:val="002E2444"/>
    <w:rsid w:val="002E3E09"/>
    <w:rsid w:val="002E40A8"/>
    <w:rsid w:val="002E415E"/>
    <w:rsid w:val="002E4753"/>
    <w:rsid w:val="002E4D63"/>
    <w:rsid w:val="002E4D9A"/>
    <w:rsid w:val="002E4F02"/>
    <w:rsid w:val="002E5608"/>
    <w:rsid w:val="002E578F"/>
    <w:rsid w:val="002E5EF5"/>
    <w:rsid w:val="002E6A44"/>
    <w:rsid w:val="002E7722"/>
    <w:rsid w:val="002E7EA8"/>
    <w:rsid w:val="002F006F"/>
    <w:rsid w:val="002F01BD"/>
    <w:rsid w:val="002F07BA"/>
    <w:rsid w:val="002F0DA9"/>
    <w:rsid w:val="002F1014"/>
    <w:rsid w:val="002F12A5"/>
    <w:rsid w:val="002F179A"/>
    <w:rsid w:val="002F17E6"/>
    <w:rsid w:val="002F1861"/>
    <w:rsid w:val="002F252C"/>
    <w:rsid w:val="002F25F9"/>
    <w:rsid w:val="002F29B8"/>
    <w:rsid w:val="002F331D"/>
    <w:rsid w:val="002F342F"/>
    <w:rsid w:val="002F3784"/>
    <w:rsid w:val="002F417B"/>
    <w:rsid w:val="002F4305"/>
    <w:rsid w:val="002F4361"/>
    <w:rsid w:val="002F444E"/>
    <w:rsid w:val="002F4A8E"/>
    <w:rsid w:val="002F4D0B"/>
    <w:rsid w:val="002F4E19"/>
    <w:rsid w:val="002F51EB"/>
    <w:rsid w:val="002F631E"/>
    <w:rsid w:val="002F643C"/>
    <w:rsid w:val="002F6B91"/>
    <w:rsid w:val="002F71C0"/>
    <w:rsid w:val="002F74F1"/>
    <w:rsid w:val="002F7AF0"/>
    <w:rsid w:val="002F7E82"/>
    <w:rsid w:val="00300920"/>
    <w:rsid w:val="00301017"/>
    <w:rsid w:val="00301240"/>
    <w:rsid w:val="00301493"/>
    <w:rsid w:val="0030155F"/>
    <w:rsid w:val="00301AD6"/>
    <w:rsid w:val="003026EB"/>
    <w:rsid w:val="00302B8C"/>
    <w:rsid w:val="003034C1"/>
    <w:rsid w:val="00303DF3"/>
    <w:rsid w:val="00305089"/>
    <w:rsid w:val="0030522A"/>
    <w:rsid w:val="0030587B"/>
    <w:rsid w:val="00306809"/>
    <w:rsid w:val="003069F0"/>
    <w:rsid w:val="00306AC2"/>
    <w:rsid w:val="00306D98"/>
    <w:rsid w:val="00306E8E"/>
    <w:rsid w:val="00306FC6"/>
    <w:rsid w:val="0030786C"/>
    <w:rsid w:val="0031031A"/>
    <w:rsid w:val="003103BD"/>
    <w:rsid w:val="0031087E"/>
    <w:rsid w:val="00310981"/>
    <w:rsid w:val="00310AE8"/>
    <w:rsid w:val="0031127C"/>
    <w:rsid w:val="00311E7A"/>
    <w:rsid w:val="003124D9"/>
    <w:rsid w:val="00312594"/>
    <w:rsid w:val="00312A95"/>
    <w:rsid w:val="003130C8"/>
    <w:rsid w:val="00313992"/>
    <w:rsid w:val="00313CC9"/>
    <w:rsid w:val="00313F38"/>
    <w:rsid w:val="00314645"/>
    <w:rsid w:val="00314C59"/>
    <w:rsid w:val="00315498"/>
    <w:rsid w:val="003154BF"/>
    <w:rsid w:val="00315502"/>
    <w:rsid w:val="00315766"/>
    <w:rsid w:val="00315A18"/>
    <w:rsid w:val="00316474"/>
    <w:rsid w:val="0031743B"/>
    <w:rsid w:val="00317C26"/>
    <w:rsid w:val="00317D12"/>
    <w:rsid w:val="0032091A"/>
    <w:rsid w:val="00320DB4"/>
    <w:rsid w:val="003210C7"/>
    <w:rsid w:val="00321251"/>
    <w:rsid w:val="0032198D"/>
    <w:rsid w:val="00321D8D"/>
    <w:rsid w:val="00322107"/>
    <w:rsid w:val="00322355"/>
    <w:rsid w:val="003224AC"/>
    <w:rsid w:val="00322586"/>
    <w:rsid w:val="0032269B"/>
    <w:rsid w:val="00322846"/>
    <w:rsid w:val="00322B66"/>
    <w:rsid w:val="00322C91"/>
    <w:rsid w:val="003231E7"/>
    <w:rsid w:val="003236E0"/>
    <w:rsid w:val="003244C2"/>
    <w:rsid w:val="00324820"/>
    <w:rsid w:val="00324BBA"/>
    <w:rsid w:val="00324E04"/>
    <w:rsid w:val="003259A9"/>
    <w:rsid w:val="00325E75"/>
    <w:rsid w:val="003264DE"/>
    <w:rsid w:val="00326A34"/>
    <w:rsid w:val="00326DA7"/>
    <w:rsid w:val="00326DEC"/>
    <w:rsid w:val="00326FB0"/>
    <w:rsid w:val="003270E4"/>
    <w:rsid w:val="00327EA0"/>
    <w:rsid w:val="00330286"/>
    <w:rsid w:val="00330B28"/>
    <w:rsid w:val="00330DAA"/>
    <w:rsid w:val="00330F5C"/>
    <w:rsid w:val="0033222F"/>
    <w:rsid w:val="00332511"/>
    <w:rsid w:val="003334FD"/>
    <w:rsid w:val="0033367B"/>
    <w:rsid w:val="00333D54"/>
    <w:rsid w:val="0033487B"/>
    <w:rsid w:val="00334C87"/>
    <w:rsid w:val="0033535B"/>
    <w:rsid w:val="00336272"/>
    <w:rsid w:val="003362C6"/>
    <w:rsid w:val="003362D4"/>
    <w:rsid w:val="00336690"/>
    <w:rsid w:val="003366C9"/>
    <w:rsid w:val="00336F11"/>
    <w:rsid w:val="003371B0"/>
    <w:rsid w:val="003377E0"/>
    <w:rsid w:val="00340035"/>
    <w:rsid w:val="00340557"/>
    <w:rsid w:val="00340BDF"/>
    <w:rsid w:val="00340D2A"/>
    <w:rsid w:val="00340DF1"/>
    <w:rsid w:val="003411AA"/>
    <w:rsid w:val="00341294"/>
    <w:rsid w:val="003413FA"/>
    <w:rsid w:val="00341544"/>
    <w:rsid w:val="00341A26"/>
    <w:rsid w:val="00341F6C"/>
    <w:rsid w:val="003421EA"/>
    <w:rsid w:val="003428D8"/>
    <w:rsid w:val="00342DDA"/>
    <w:rsid w:val="00343013"/>
    <w:rsid w:val="00343144"/>
    <w:rsid w:val="00343748"/>
    <w:rsid w:val="003437B7"/>
    <w:rsid w:val="00343B31"/>
    <w:rsid w:val="00344FC0"/>
    <w:rsid w:val="003468A9"/>
    <w:rsid w:val="00346AAC"/>
    <w:rsid w:val="00346EDD"/>
    <w:rsid w:val="00350393"/>
    <w:rsid w:val="0035076B"/>
    <w:rsid w:val="0035079F"/>
    <w:rsid w:val="0035085D"/>
    <w:rsid w:val="003509E7"/>
    <w:rsid w:val="003517F9"/>
    <w:rsid w:val="00351BA9"/>
    <w:rsid w:val="00352039"/>
    <w:rsid w:val="0035227E"/>
    <w:rsid w:val="003526A3"/>
    <w:rsid w:val="003532F9"/>
    <w:rsid w:val="00353390"/>
    <w:rsid w:val="003533B7"/>
    <w:rsid w:val="00353EA5"/>
    <w:rsid w:val="00353F80"/>
    <w:rsid w:val="003547B5"/>
    <w:rsid w:val="00354831"/>
    <w:rsid w:val="00354843"/>
    <w:rsid w:val="00354DB5"/>
    <w:rsid w:val="00354F64"/>
    <w:rsid w:val="00355454"/>
    <w:rsid w:val="003559E1"/>
    <w:rsid w:val="00355A11"/>
    <w:rsid w:val="00355CD2"/>
    <w:rsid w:val="00355F32"/>
    <w:rsid w:val="0035602C"/>
    <w:rsid w:val="003560E3"/>
    <w:rsid w:val="0035620E"/>
    <w:rsid w:val="00357368"/>
    <w:rsid w:val="00357572"/>
    <w:rsid w:val="00357D5D"/>
    <w:rsid w:val="00357E53"/>
    <w:rsid w:val="00360345"/>
    <w:rsid w:val="00360499"/>
    <w:rsid w:val="0036049E"/>
    <w:rsid w:val="003609EB"/>
    <w:rsid w:val="00360FB0"/>
    <w:rsid w:val="00361A05"/>
    <w:rsid w:val="00361AFB"/>
    <w:rsid w:val="00362201"/>
    <w:rsid w:val="003624C4"/>
    <w:rsid w:val="00362683"/>
    <w:rsid w:val="00362E51"/>
    <w:rsid w:val="00363B00"/>
    <w:rsid w:val="00364952"/>
    <w:rsid w:val="00365125"/>
    <w:rsid w:val="00365232"/>
    <w:rsid w:val="0036544B"/>
    <w:rsid w:val="003654AC"/>
    <w:rsid w:val="00365631"/>
    <w:rsid w:val="00365810"/>
    <w:rsid w:val="003658D3"/>
    <w:rsid w:val="00365FF3"/>
    <w:rsid w:val="00366207"/>
    <w:rsid w:val="0036672C"/>
    <w:rsid w:val="00367E1F"/>
    <w:rsid w:val="00370F1F"/>
    <w:rsid w:val="003710CF"/>
    <w:rsid w:val="0037126D"/>
    <w:rsid w:val="00372541"/>
    <w:rsid w:val="00372615"/>
    <w:rsid w:val="00372F55"/>
    <w:rsid w:val="0037358A"/>
    <w:rsid w:val="0037385E"/>
    <w:rsid w:val="003738E6"/>
    <w:rsid w:val="003745E7"/>
    <w:rsid w:val="003747C1"/>
    <w:rsid w:val="00375099"/>
    <w:rsid w:val="003750F6"/>
    <w:rsid w:val="003754DD"/>
    <w:rsid w:val="003756B4"/>
    <w:rsid w:val="0037599C"/>
    <w:rsid w:val="00375B3C"/>
    <w:rsid w:val="00375C24"/>
    <w:rsid w:val="003760FC"/>
    <w:rsid w:val="00376898"/>
    <w:rsid w:val="0037692E"/>
    <w:rsid w:val="00377612"/>
    <w:rsid w:val="00377A7C"/>
    <w:rsid w:val="003809F0"/>
    <w:rsid w:val="00380D66"/>
    <w:rsid w:val="0038153F"/>
    <w:rsid w:val="00381E88"/>
    <w:rsid w:val="00381F09"/>
    <w:rsid w:val="0038294F"/>
    <w:rsid w:val="00383004"/>
    <w:rsid w:val="0038365C"/>
    <w:rsid w:val="0038369B"/>
    <w:rsid w:val="00383B78"/>
    <w:rsid w:val="00383E6A"/>
    <w:rsid w:val="0038429D"/>
    <w:rsid w:val="003842FB"/>
    <w:rsid w:val="003843E4"/>
    <w:rsid w:val="003845C9"/>
    <w:rsid w:val="00384B12"/>
    <w:rsid w:val="00384EA4"/>
    <w:rsid w:val="00384F6A"/>
    <w:rsid w:val="0038536C"/>
    <w:rsid w:val="00385A9D"/>
    <w:rsid w:val="00385AC5"/>
    <w:rsid w:val="0038620F"/>
    <w:rsid w:val="00386339"/>
    <w:rsid w:val="00386407"/>
    <w:rsid w:val="00386704"/>
    <w:rsid w:val="003868B5"/>
    <w:rsid w:val="00386916"/>
    <w:rsid w:val="003869B4"/>
    <w:rsid w:val="00386C31"/>
    <w:rsid w:val="00386C72"/>
    <w:rsid w:val="00386FCB"/>
    <w:rsid w:val="003876F4"/>
    <w:rsid w:val="00387D86"/>
    <w:rsid w:val="00390275"/>
    <w:rsid w:val="003902B1"/>
    <w:rsid w:val="00390477"/>
    <w:rsid w:val="00390DFC"/>
    <w:rsid w:val="00390E27"/>
    <w:rsid w:val="00391130"/>
    <w:rsid w:val="0039179C"/>
    <w:rsid w:val="0039294B"/>
    <w:rsid w:val="00392EB8"/>
    <w:rsid w:val="00392F98"/>
    <w:rsid w:val="00393529"/>
    <w:rsid w:val="0039360D"/>
    <w:rsid w:val="0039370A"/>
    <w:rsid w:val="00393AF8"/>
    <w:rsid w:val="00393B1A"/>
    <w:rsid w:val="00394352"/>
    <w:rsid w:val="0039501B"/>
    <w:rsid w:val="00395AFE"/>
    <w:rsid w:val="0039639D"/>
    <w:rsid w:val="00396896"/>
    <w:rsid w:val="00396C62"/>
    <w:rsid w:val="00396EA6"/>
    <w:rsid w:val="00396FD0"/>
    <w:rsid w:val="0039718C"/>
    <w:rsid w:val="003A1A7A"/>
    <w:rsid w:val="003A1F5B"/>
    <w:rsid w:val="003A2392"/>
    <w:rsid w:val="003A2831"/>
    <w:rsid w:val="003A2D25"/>
    <w:rsid w:val="003A33AA"/>
    <w:rsid w:val="003A34D7"/>
    <w:rsid w:val="003A3518"/>
    <w:rsid w:val="003A3CB6"/>
    <w:rsid w:val="003A3ED1"/>
    <w:rsid w:val="003A44DB"/>
    <w:rsid w:val="003A467A"/>
    <w:rsid w:val="003A51AD"/>
    <w:rsid w:val="003A59E7"/>
    <w:rsid w:val="003A5D4E"/>
    <w:rsid w:val="003A5DE6"/>
    <w:rsid w:val="003A63C2"/>
    <w:rsid w:val="003A643A"/>
    <w:rsid w:val="003B0237"/>
    <w:rsid w:val="003B04C2"/>
    <w:rsid w:val="003B11B1"/>
    <w:rsid w:val="003B14A8"/>
    <w:rsid w:val="003B1538"/>
    <w:rsid w:val="003B1820"/>
    <w:rsid w:val="003B18F8"/>
    <w:rsid w:val="003B197E"/>
    <w:rsid w:val="003B22C1"/>
    <w:rsid w:val="003B242C"/>
    <w:rsid w:val="003B29D1"/>
    <w:rsid w:val="003B3040"/>
    <w:rsid w:val="003B3459"/>
    <w:rsid w:val="003B3971"/>
    <w:rsid w:val="003B3C45"/>
    <w:rsid w:val="003B3EE6"/>
    <w:rsid w:val="003B4567"/>
    <w:rsid w:val="003B50CF"/>
    <w:rsid w:val="003B5230"/>
    <w:rsid w:val="003B554C"/>
    <w:rsid w:val="003B55D1"/>
    <w:rsid w:val="003B55F4"/>
    <w:rsid w:val="003B5AF7"/>
    <w:rsid w:val="003B5B61"/>
    <w:rsid w:val="003B5CE3"/>
    <w:rsid w:val="003B603D"/>
    <w:rsid w:val="003B64A0"/>
    <w:rsid w:val="003B6577"/>
    <w:rsid w:val="003B693C"/>
    <w:rsid w:val="003B7372"/>
    <w:rsid w:val="003B73A5"/>
    <w:rsid w:val="003B79CA"/>
    <w:rsid w:val="003B7BD6"/>
    <w:rsid w:val="003B7DAA"/>
    <w:rsid w:val="003C0196"/>
    <w:rsid w:val="003C08E2"/>
    <w:rsid w:val="003C1148"/>
    <w:rsid w:val="003C1521"/>
    <w:rsid w:val="003C1654"/>
    <w:rsid w:val="003C1831"/>
    <w:rsid w:val="003C1A07"/>
    <w:rsid w:val="003C2804"/>
    <w:rsid w:val="003C2FCF"/>
    <w:rsid w:val="003C319D"/>
    <w:rsid w:val="003C32B1"/>
    <w:rsid w:val="003C3570"/>
    <w:rsid w:val="003C4518"/>
    <w:rsid w:val="003C4B5B"/>
    <w:rsid w:val="003C5219"/>
    <w:rsid w:val="003C544B"/>
    <w:rsid w:val="003C5542"/>
    <w:rsid w:val="003C5853"/>
    <w:rsid w:val="003C5DD3"/>
    <w:rsid w:val="003C61DC"/>
    <w:rsid w:val="003C6311"/>
    <w:rsid w:val="003C6491"/>
    <w:rsid w:val="003C6B7F"/>
    <w:rsid w:val="003C6C42"/>
    <w:rsid w:val="003C6DDF"/>
    <w:rsid w:val="003C7D19"/>
    <w:rsid w:val="003C7D2F"/>
    <w:rsid w:val="003D00E4"/>
    <w:rsid w:val="003D09D9"/>
    <w:rsid w:val="003D1828"/>
    <w:rsid w:val="003D1DE4"/>
    <w:rsid w:val="003D1E9A"/>
    <w:rsid w:val="003D21EF"/>
    <w:rsid w:val="003D2315"/>
    <w:rsid w:val="003D2356"/>
    <w:rsid w:val="003D2422"/>
    <w:rsid w:val="003D26E2"/>
    <w:rsid w:val="003D2901"/>
    <w:rsid w:val="003D2A50"/>
    <w:rsid w:val="003D2AB3"/>
    <w:rsid w:val="003D2D53"/>
    <w:rsid w:val="003D39A1"/>
    <w:rsid w:val="003D3A9A"/>
    <w:rsid w:val="003D3FBF"/>
    <w:rsid w:val="003D41E2"/>
    <w:rsid w:val="003D4984"/>
    <w:rsid w:val="003D4A30"/>
    <w:rsid w:val="003D4DA3"/>
    <w:rsid w:val="003D558F"/>
    <w:rsid w:val="003D5722"/>
    <w:rsid w:val="003D5FA0"/>
    <w:rsid w:val="003D60E5"/>
    <w:rsid w:val="003D6500"/>
    <w:rsid w:val="003D6E84"/>
    <w:rsid w:val="003D7452"/>
    <w:rsid w:val="003D79BB"/>
    <w:rsid w:val="003D7C98"/>
    <w:rsid w:val="003D7D9D"/>
    <w:rsid w:val="003E0543"/>
    <w:rsid w:val="003E09D1"/>
    <w:rsid w:val="003E09EB"/>
    <w:rsid w:val="003E0C4C"/>
    <w:rsid w:val="003E0D95"/>
    <w:rsid w:val="003E0E64"/>
    <w:rsid w:val="003E16AE"/>
    <w:rsid w:val="003E1ECC"/>
    <w:rsid w:val="003E2156"/>
    <w:rsid w:val="003E2625"/>
    <w:rsid w:val="003E2775"/>
    <w:rsid w:val="003E3535"/>
    <w:rsid w:val="003E386D"/>
    <w:rsid w:val="003E3B12"/>
    <w:rsid w:val="003E4347"/>
    <w:rsid w:val="003E4348"/>
    <w:rsid w:val="003E454C"/>
    <w:rsid w:val="003E4DA6"/>
    <w:rsid w:val="003E4F6A"/>
    <w:rsid w:val="003E5C17"/>
    <w:rsid w:val="003E6983"/>
    <w:rsid w:val="003E6B88"/>
    <w:rsid w:val="003E71CC"/>
    <w:rsid w:val="003E749E"/>
    <w:rsid w:val="003E7619"/>
    <w:rsid w:val="003F0606"/>
    <w:rsid w:val="003F0863"/>
    <w:rsid w:val="003F0D7F"/>
    <w:rsid w:val="003F0F24"/>
    <w:rsid w:val="003F0FE4"/>
    <w:rsid w:val="003F128B"/>
    <w:rsid w:val="003F1604"/>
    <w:rsid w:val="003F2081"/>
    <w:rsid w:val="003F24AD"/>
    <w:rsid w:val="003F2588"/>
    <w:rsid w:val="003F28BE"/>
    <w:rsid w:val="003F2F2C"/>
    <w:rsid w:val="003F3415"/>
    <w:rsid w:val="003F39EA"/>
    <w:rsid w:val="003F4156"/>
    <w:rsid w:val="003F45E7"/>
    <w:rsid w:val="003F47EC"/>
    <w:rsid w:val="003F4D08"/>
    <w:rsid w:val="003F54FD"/>
    <w:rsid w:val="003F5ADF"/>
    <w:rsid w:val="003F5C27"/>
    <w:rsid w:val="003F5DFF"/>
    <w:rsid w:val="003F5F92"/>
    <w:rsid w:val="003F6064"/>
    <w:rsid w:val="003F6BA1"/>
    <w:rsid w:val="003F721B"/>
    <w:rsid w:val="003F7355"/>
    <w:rsid w:val="004000C7"/>
    <w:rsid w:val="004005DF"/>
    <w:rsid w:val="00400B29"/>
    <w:rsid w:val="00400EDC"/>
    <w:rsid w:val="004014C6"/>
    <w:rsid w:val="00401E2F"/>
    <w:rsid w:val="00401E4D"/>
    <w:rsid w:val="00404591"/>
    <w:rsid w:val="0040504B"/>
    <w:rsid w:val="004059F4"/>
    <w:rsid w:val="00405CE9"/>
    <w:rsid w:val="00406297"/>
    <w:rsid w:val="004063AC"/>
    <w:rsid w:val="004063E9"/>
    <w:rsid w:val="00407B23"/>
    <w:rsid w:val="00407FE5"/>
    <w:rsid w:val="0041016C"/>
    <w:rsid w:val="004101B0"/>
    <w:rsid w:val="00410326"/>
    <w:rsid w:val="004103D3"/>
    <w:rsid w:val="00410708"/>
    <w:rsid w:val="00410BBD"/>
    <w:rsid w:val="00410EC7"/>
    <w:rsid w:val="00410FF3"/>
    <w:rsid w:val="0041157D"/>
    <w:rsid w:val="0041188D"/>
    <w:rsid w:val="004118A7"/>
    <w:rsid w:val="00411B39"/>
    <w:rsid w:val="0041257D"/>
    <w:rsid w:val="00412667"/>
    <w:rsid w:val="004127A7"/>
    <w:rsid w:val="004137DF"/>
    <w:rsid w:val="00413A1E"/>
    <w:rsid w:val="00413B5D"/>
    <w:rsid w:val="00413D8F"/>
    <w:rsid w:val="00413E77"/>
    <w:rsid w:val="004140CF"/>
    <w:rsid w:val="00414476"/>
    <w:rsid w:val="00414C2E"/>
    <w:rsid w:val="00414DD8"/>
    <w:rsid w:val="004151CF"/>
    <w:rsid w:val="0041537B"/>
    <w:rsid w:val="00415C38"/>
    <w:rsid w:val="00415FB3"/>
    <w:rsid w:val="0041633C"/>
    <w:rsid w:val="00416364"/>
    <w:rsid w:val="004164AE"/>
    <w:rsid w:val="00416523"/>
    <w:rsid w:val="00416F1D"/>
    <w:rsid w:val="00417174"/>
    <w:rsid w:val="0042047F"/>
    <w:rsid w:val="00420AA6"/>
    <w:rsid w:val="00420B9F"/>
    <w:rsid w:val="00421047"/>
    <w:rsid w:val="0042192C"/>
    <w:rsid w:val="004220BE"/>
    <w:rsid w:val="00422260"/>
    <w:rsid w:val="004225E3"/>
    <w:rsid w:val="00422962"/>
    <w:rsid w:val="00422C32"/>
    <w:rsid w:val="00423066"/>
    <w:rsid w:val="00423BD3"/>
    <w:rsid w:val="00423F16"/>
    <w:rsid w:val="0042413F"/>
    <w:rsid w:val="00424DA6"/>
    <w:rsid w:val="00425018"/>
    <w:rsid w:val="00425163"/>
    <w:rsid w:val="00425D0B"/>
    <w:rsid w:val="00425ED1"/>
    <w:rsid w:val="00426446"/>
    <w:rsid w:val="004265F7"/>
    <w:rsid w:val="00426A14"/>
    <w:rsid w:val="0042779E"/>
    <w:rsid w:val="00427E54"/>
    <w:rsid w:val="00430CA5"/>
    <w:rsid w:val="00430DEB"/>
    <w:rsid w:val="004310D9"/>
    <w:rsid w:val="004310F5"/>
    <w:rsid w:val="00431457"/>
    <w:rsid w:val="00431822"/>
    <w:rsid w:val="004319D2"/>
    <w:rsid w:val="004319F8"/>
    <w:rsid w:val="00431B22"/>
    <w:rsid w:val="00431E55"/>
    <w:rsid w:val="004321F6"/>
    <w:rsid w:val="004326CC"/>
    <w:rsid w:val="00432DBB"/>
    <w:rsid w:val="00433044"/>
    <w:rsid w:val="00434088"/>
    <w:rsid w:val="00434571"/>
    <w:rsid w:val="00434E72"/>
    <w:rsid w:val="00435220"/>
    <w:rsid w:val="00435288"/>
    <w:rsid w:val="0043548F"/>
    <w:rsid w:val="00435B7B"/>
    <w:rsid w:val="00436046"/>
    <w:rsid w:val="004362BB"/>
    <w:rsid w:val="00437062"/>
    <w:rsid w:val="00437179"/>
    <w:rsid w:val="004375B9"/>
    <w:rsid w:val="004376F5"/>
    <w:rsid w:val="00437711"/>
    <w:rsid w:val="00437FB1"/>
    <w:rsid w:val="004400AE"/>
    <w:rsid w:val="00440202"/>
    <w:rsid w:val="004406B7"/>
    <w:rsid w:val="00440954"/>
    <w:rsid w:val="00441002"/>
    <w:rsid w:val="00441306"/>
    <w:rsid w:val="00441E57"/>
    <w:rsid w:val="00441F65"/>
    <w:rsid w:val="00442258"/>
    <w:rsid w:val="004428D0"/>
    <w:rsid w:val="00443D5A"/>
    <w:rsid w:val="00444185"/>
    <w:rsid w:val="004443A7"/>
    <w:rsid w:val="0044442C"/>
    <w:rsid w:val="00444C04"/>
    <w:rsid w:val="00445941"/>
    <w:rsid w:val="00445A89"/>
    <w:rsid w:val="0044619D"/>
    <w:rsid w:val="004464EB"/>
    <w:rsid w:val="00446652"/>
    <w:rsid w:val="0044699E"/>
    <w:rsid w:val="004469DB"/>
    <w:rsid w:val="00446ADB"/>
    <w:rsid w:val="00446F6F"/>
    <w:rsid w:val="00447010"/>
    <w:rsid w:val="00447151"/>
    <w:rsid w:val="004475A9"/>
    <w:rsid w:val="00447D26"/>
    <w:rsid w:val="00447DFC"/>
    <w:rsid w:val="004509A1"/>
    <w:rsid w:val="004511F2"/>
    <w:rsid w:val="00451418"/>
    <w:rsid w:val="00451B40"/>
    <w:rsid w:val="00451EC8"/>
    <w:rsid w:val="00451ECF"/>
    <w:rsid w:val="0045226E"/>
    <w:rsid w:val="004523CE"/>
    <w:rsid w:val="00452B36"/>
    <w:rsid w:val="00452E89"/>
    <w:rsid w:val="00454133"/>
    <w:rsid w:val="0045460F"/>
    <w:rsid w:val="004547BF"/>
    <w:rsid w:val="00454B5C"/>
    <w:rsid w:val="00454CD6"/>
    <w:rsid w:val="00454ED5"/>
    <w:rsid w:val="00455307"/>
    <w:rsid w:val="00455718"/>
    <w:rsid w:val="00455D45"/>
    <w:rsid w:val="0045642E"/>
    <w:rsid w:val="004575A0"/>
    <w:rsid w:val="00457F8B"/>
    <w:rsid w:val="0046000D"/>
    <w:rsid w:val="0046073B"/>
    <w:rsid w:val="00460C94"/>
    <w:rsid w:val="00460CA5"/>
    <w:rsid w:val="004617B4"/>
    <w:rsid w:val="0046193F"/>
    <w:rsid w:val="00461A24"/>
    <w:rsid w:val="00461B5E"/>
    <w:rsid w:val="00462340"/>
    <w:rsid w:val="004633AD"/>
    <w:rsid w:val="004633FB"/>
    <w:rsid w:val="00463768"/>
    <w:rsid w:val="0046392B"/>
    <w:rsid w:val="00464146"/>
    <w:rsid w:val="00464595"/>
    <w:rsid w:val="00464643"/>
    <w:rsid w:val="00464684"/>
    <w:rsid w:val="00464B78"/>
    <w:rsid w:val="00464E9C"/>
    <w:rsid w:val="0046557E"/>
    <w:rsid w:val="00465812"/>
    <w:rsid w:val="004658B5"/>
    <w:rsid w:val="00465EFC"/>
    <w:rsid w:val="00465F45"/>
    <w:rsid w:val="00466FA7"/>
    <w:rsid w:val="00467AF6"/>
    <w:rsid w:val="0047009E"/>
    <w:rsid w:val="004702C2"/>
    <w:rsid w:val="00470A70"/>
    <w:rsid w:val="00471E76"/>
    <w:rsid w:val="00471EA5"/>
    <w:rsid w:val="004722EF"/>
    <w:rsid w:val="00472A79"/>
    <w:rsid w:val="004735AE"/>
    <w:rsid w:val="00473706"/>
    <w:rsid w:val="00473F19"/>
    <w:rsid w:val="00473F3E"/>
    <w:rsid w:val="0047485B"/>
    <w:rsid w:val="00474AAD"/>
    <w:rsid w:val="004758C0"/>
    <w:rsid w:val="00475C4E"/>
    <w:rsid w:val="00475CC7"/>
    <w:rsid w:val="00475E22"/>
    <w:rsid w:val="00476B9F"/>
    <w:rsid w:val="00476D83"/>
    <w:rsid w:val="00476E49"/>
    <w:rsid w:val="004770CC"/>
    <w:rsid w:val="00477BF8"/>
    <w:rsid w:val="0048013A"/>
    <w:rsid w:val="0048088E"/>
    <w:rsid w:val="00480F2B"/>
    <w:rsid w:val="00480F8B"/>
    <w:rsid w:val="00481965"/>
    <w:rsid w:val="00481EA9"/>
    <w:rsid w:val="00481FA4"/>
    <w:rsid w:val="00482641"/>
    <w:rsid w:val="00482720"/>
    <w:rsid w:val="004827E3"/>
    <w:rsid w:val="0048283F"/>
    <w:rsid w:val="00483231"/>
    <w:rsid w:val="00483388"/>
    <w:rsid w:val="00483592"/>
    <w:rsid w:val="004835E7"/>
    <w:rsid w:val="004835FC"/>
    <w:rsid w:val="004839AC"/>
    <w:rsid w:val="004839DC"/>
    <w:rsid w:val="004841B1"/>
    <w:rsid w:val="00484E5A"/>
    <w:rsid w:val="004857C3"/>
    <w:rsid w:val="00485DD7"/>
    <w:rsid w:val="00485F65"/>
    <w:rsid w:val="00486118"/>
    <w:rsid w:val="004863EA"/>
    <w:rsid w:val="004867E2"/>
    <w:rsid w:val="0048735E"/>
    <w:rsid w:val="00487F25"/>
    <w:rsid w:val="0049010A"/>
    <w:rsid w:val="004901E4"/>
    <w:rsid w:val="00490363"/>
    <w:rsid w:val="004903AA"/>
    <w:rsid w:val="00490AD9"/>
    <w:rsid w:val="00490B17"/>
    <w:rsid w:val="0049144C"/>
    <w:rsid w:val="00491B3A"/>
    <w:rsid w:val="004925CC"/>
    <w:rsid w:val="004926FC"/>
    <w:rsid w:val="00492A59"/>
    <w:rsid w:val="00492CFD"/>
    <w:rsid w:val="00492D47"/>
    <w:rsid w:val="00494207"/>
    <w:rsid w:val="0049448B"/>
    <w:rsid w:val="00494BCD"/>
    <w:rsid w:val="00494DD5"/>
    <w:rsid w:val="00494EE3"/>
    <w:rsid w:val="004953A1"/>
    <w:rsid w:val="0049595E"/>
    <w:rsid w:val="004962D2"/>
    <w:rsid w:val="0049693C"/>
    <w:rsid w:val="00496A1F"/>
    <w:rsid w:val="00496FB5"/>
    <w:rsid w:val="004976CB"/>
    <w:rsid w:val="00497A07"/>
    <w:rsid w:val="00497D4E"/>
    <w:rsid w:val="004A0439"/>
    <w:rsid w:val="004A0982"/>
    <w:rsid w:val="004A0DA1"/>
    <w:rsid w:val="004A1336"/>
    <w:rsid w:val="004A13D6"/>
    <w:rsid w:val="004A1D1A"/>
    <w:rsid w:val="004A2952"/>
    <w:rsid w:val="004A31A5"/>
    <w:rsid w:val="004A3E49"/>
    <w:rsid w:val="004A44FA"/>
    <w:rsid w:val="004A4C49"/>
    <w:rsid w:val="004A4C79"/>
    <w:rsid w:val="004A52E9"/>
    <w:rsid w:val="004A596F"/>
    <w:rsid w:val="004A5E48"/>
    <w:rsid w:val="004A6040"/>
    <w:rsid w:val="004A61CF"/>
    <w:rsid w:val="004A63D9"/>
    <w:rsid w:val="004A6597"/>
    <w:rsid w:val="004A67FC"/>
    <w:rsid w:val="004A680D"/>
    <w:rsid w:val="004A6812"/>
    <w:rsid w:val="004A6B8B"/>
    <w:rsid w:val="004A7848"/>
    <w:rsid w:val="004A784C"/>
    <w:rsid w:val="004A7C7C"/>
    <w:rsid w:val="004B04C3"/>
    <w:rsid w:val="004B0CB5"/>
    <w:rsid w:val="004B0E61"/>
    <w:rsid w:val="004B1314"/>
    <w:rsid w:val="004B138D"/>
    <w:rsid w:val="004B1CB4"/>
    <w:rsid w:val="004B22EC"/>
    <w:rsid w:val="004B26D5"/>
    <w:rsid w:val="004B2BB1"/>
    <w:rsid w:val="004B2F18"/>
    <w:rsid w:val="004B3067"/>
    <w:rsid w:val="004B347B"/>
    <w:rsid w:val="004B3DDB"/>
    <w:rsid w:val="004B44FD"/>
    <w:rsid w:val="004B4548"/>
    <w:rsid w:val="004B47F8"/>
    <w:rsid w:val="004B4879"/>
    <w:rsid w:val="004B509F"/>
    <w:rsid w:val="004B55A7"/>
    <w:rsid w:val="004B5CFC"/>
    <w:rsid w:val="004B5D4F"/>
    <w:rsid w:val="004B5DCC"/>
    <w:rsid w:val="004B6329"/>
    <w:rsid w:val="004B6D89"/>
    <w:rsid w:val="004B6EB5"/>
    <w:rsid w:val="004B6F79"/>
    <w:rsid w:val="004B6F8E"/>
    <w:rsid w:val="004B6FDF"/>
    <w:rsid w:val="004B70A8"/>
    <w:rsid w:val="004B74CD"/>
    <w:rsid w:val="004B7627"/>
    <w:rsid w:val="004B76DD"/>
    <w:rsid w:val="004B774D"/>
    <w:rsid w:val="004B79FB"/>
    <w:rsid w:val="004B7C7D"/>
    <w:rsid w:val="004C013F"/>
    <w:rsid w:val="004C02DD"/>
    <w:rsid w:val="004C039C"/>
    <w:rsid w:val="004C09AE"/>
    <w:rsid w:val="004C0F81"/>
    <w:rsid w:val="004C17E7"/>
    <w:rsid w:val="004C198D"/>
    <w:rsid w:val="004C2AE8"/>
    <w:rsid w:val="004C2EB7"/>
    <w:rsid w:val="004C341B"/>
    <w:rsid w:val="004C3AB7"/>
    <w:rsid w:val="004C3CCE"/>
    <w:rsid w:val="004C43FB"/>
    <w:rsid w:val="004C4764"/>
    <w:rsid w:val="004C4849"/>
    <w:rsid w:val="004C4AED"/>
    <w:rsid w:val="004C5930"/>
    <w:rsid w:val="004C5B27"/>
    <w:rsid w:val="004C5E27"/>
    <w:rsid w:val="004C5F90"/>
    <w:rsid w:val="004C61FC"/>
    <w:rsid w:val="004C6DC6"/>
    <w:rsid w:val="004C6E01"/>
    <w:rsid w:val="004C72B6"/>
    <w:rsid w:val="004C7B4A"/>
    <w:rsid w:val="004D00CD"/>
    <w:rsid w:val="004D07B7"/>
    <w:rsid w:val="004D0821"/>
    <w:rsid w:val="004D0875"/>
    <w:rsid w:val="004D1133"/>
    <w:rsid w:val="004D187C"/>
    <w:rsid w:val="004D1DE3"/>
    <w:rsid w:val="004D29AF"/>
    <w:rsid w:val="004D2C2D"/>
    <w:rsid w:val="004D335A"/>
    <w:rsid w:val="004D3A6C"/>
    <w:rsid w:val="004D4494"/>
    <w:rsid w:val="004D45EE"/>
    <w:rsid w:val="004D4DBF"/>
    <w:rsid w:val="004D5CAE"/>
    <w:rsid w:val="004D69B5"/>
    <w:rsid w:val="004D6DDD"/>
    <w:rsid w:val="004D6ECB"/>
    <w:rsid w:val="004D6FB2"/>
    <w:rsid w:val="004D7227"/>
    <w:rsid w:val="004D7838"/>
    <w:rsid w:val="004D7947"/>
    <w:rsid w:val="004E0D80"/>
    <w:rsid w:val="004E0E7F"/>
    <w:rsid w:val="004E0E88"/>
    <w:rsid w:val="004E0EB8"/>
    <w:rsid w:val="004E18E9"/>
    <w:rsid w:val="004E2A3C"/>
    <w:rsid w:val="004E2ADC"/>
    <w:rsid w:val="004E2BC2"/>
    <w:rsid w:val="004E3C74"/>
    <w:rsid w:val="004E409C"/>
    <w:rsid w:val="004E43B2"/>
    <w:rsid w:val="004E4A25"/>
    <w:rsid w:val="004E5DD2"/>
    <w:rsid w:val="004E5FF2"/>
    <w:rsid w:val="004E6979"/>
    <w:rsid w:val="004E6D27"/>
    <w:rsid w:val="004E6EE7"/>
    <w:rsid w:val="004E7B53"/>
    <w:rsid w:val="004E7BA9"/>
    <w:rsid w:val="004E7CE5"/>
    <w:rsid w:val="004F01F7"/>
    <w:rsid w:val="004F05A2"/>
    <w:rsid w:val="004F062D"/>
    <w:rsid w:val="004F0F7D"/>
    <w:rsid w:val="004F1A7F"/>
    <w:rsid w:val="004F1CAB"/>
    <w:rsid w:val="004F1D02"/>
    <w:rsid w:val="004F2132"/>
    <w:rsid w:val="004F2482"/>
    <w:rsid w:val="004F2679"/>
    <w:rsid w:val="004F2AA0"/>
    <w:rsid w:val="004F2D81"/>
    <w:rsid w:val="004F2DE5"/>
    <w:rsid w:val="004F2F21"/>
    <w:rsid w:val="004F3260"/>
    <w:rsid w:val="004F3A38"/>
    <w:rsid w:val="004F3DE5"/>
    <w:rsid w:val="004F42E3"/>
    <w:rsid w:val="004F47F4"/>
    <w:rsid w:val="004F49BC"/>
    <w:rsid w:val="004F571D"/>
    <w:rsid w:val="004F59BD"/>
    <w:rsid w:val="004F5C20"/>
    <w:rsid w:val="004F5E69"/>
    <w:rsid w:val="004F5FEE"/>
    <w:rsid w:val="004F622A"/>
    <w:rsid w:val="004F63BB"/>
    <w:rsid w:val="004F65C3"/>
    <w:rsid w:val="004F6913"/>
    <w:rsid w:val="004F6CCD"/>
    <w:rsid w:val="004F74AE"/>
    <w:rsid w:val="004F7649"/>
    <w:rsid w:val="004F7865"/>
    <w:rsid w:val="004F7DF6"/>
    <w:rsid w:val="004F7E8B"/>
    <w:rsid w:val="004F7F13"/>
    <w:rsid w:val="005001A3"/>
    <w:rsid w:val="00500320"/>
    <w:rsid w:val="00500540"/>
    <w:rsid w:val="005008F4"/>
    <w:rsid w:val="00500A46"/>
    <w:rsid w:val="00500EE0"/>
    <w:rsid w:val="0050174E"/>
    <w:rsid w:val="005017CD"/>
    <w:rsid w:val="00501854"/>
    <w:rsid w:val="0050219B"/>
    <w:rsid w:val="00502207"/>
    <w:rsid w:val="005023A9"/>
    <w:rsid w:val="00502BD3"/>
    <w:rsid w:val="00502E58"/>
    <w:rsid w:val="005032B3"/>
    <w:rsid w:val="00503608"/>
    <w:rsid w:val="00503F17"/>
    <w:rsid w:val="00503F73"/>
    <w:rsid w:val="00504052"/>
    <w:rsid w:val="0050495A"/>
    <w:rsid w:val="0050501A"/>
    <w:rsid w:val="00505117"/>
    <w:rsid w:val="00506225"/>
    <w:rsid w:val="00506712"/>
    <w:rsid w:val="005067D7"/>
    <w:rsid w:val="00506928"/>
    <w:rsid w:val="00506A1B"/>
    <w:rsid w:val="00507279"/>
    <w:rsid w:val="005075CA"/>
    <w:rsid w:val="005077EF"/>
    <w:rsid w:val="00507B08"/>
    <w:rsid w:val="00507D76"/>
    <w:rsid w:val="00507DBC"/>
    <w:rsid w:val="00510E31"/>
    <w:rsid w:val="00511AD5"/>
    <w:rsid w:val="00511C4A"/>
    <w:rsid w:val="00511CDA"/>
    <w:rsid w:val="00511DC7"/>
    <w:rsid w:val="00512222"/>
    <w:rsid w:val="0051264A"/>
    <w:rsid w:val="00512B56"/>
    <w:rsid w:val="00513513"/>
    <w:rsid w:val="00513725"/>
    <w:rsid w:val="0051424E"/>
    <w:rsid w:val="005142C5"/>
    <w:rsid w:val="005146BB"/>
    <w:rsid w:val="00514E04"/>
    <w:rsid w:val="0051501B"/>
    <w:rsid w:val="005152B5"/>
    <w:rsid w:val="00515FC3"/>
    <w:rsid w:val="00516338"/>
    <w:rsid w:val="00516A54"/>
    <w:rsid w:val="00516F35"/>
    <w:rsid w:val="00516F5A"/>
    <w:rsid w:val="00516FC4"/>
    <w:rsid w:val="005178C3"/>
    <w:rsid w:val="005200B2"/>
    <w:rsid w:val="005208AE"/>
    <w:rsid w:val="005208C1"/>
    <w:rsid w:val="00520D8F"/>
    <w:rsid w:val="00520E37"/>
    <w:rsid w:val="0052123C"/>
    <w:rsid w:val="00521319"/>
    <w:rsid w:val="00521F30"/>
    <w:rsid w:val="005223FF"/>
    <w:rsid w:val="00522BC8"/>
    <w:rsid w:val="00522F23"/>
    <w:rsid w:val="00523C28"/>
    <w:rsid w:val="00524536"/>
    <w:rsid w:val="00524899"/>
    <w:rsid w:val="005250D7"/>
    <w:rsid w:val="00525CFF"/>
    <w:rsid w:val="00525F1C"/>
    <w:rsid w:val="00526166"/>
    <w:rsid w:val="00526210"/>
    <w:rsid w:val="00526833"/>
    <w:rsid w:val="00526ED3"/>
    <w:rsid w:val="005270DD"/>
    <w:rsid w:val="005271F0"/>
    <w:rsid w:val="00527AAC"/>
    <w:rsid w:val="00527B16"/>
    <w:rsid w:val="00527EBA"/>
    <w:rsid w:val="00530E6B"/>
    <w:rsid w:val="00530E84"/>
    <w:rsid w:val="0053176B"/>
    <w:rsid w:val="0053178B"/>
    <w:rsid w:val="00531990"/>
    <w:rsid w:val="00531AEF"/>
    <w:rsid w:val="0053290F"/>
    <w:rsid w:val="00532E8F"/>
    <w:rsid w:val="00532F2E"/>
    <w:rsid w:val="00533330"/>
    <w:rsid w:val="005341F4"/>
    <w:rsid w:val="00534FCD"/>
    <w:rsid w:val="005355F0"/>
    <w:rsid w:val="00535AD3"/>
    <w:rsid w:val="0053633E"/>
    <w:rsid w:val="005366FA"/>
    <w:rsid w:val="00536F42"/>
    <w:rsid w:val="005370FD"/>
    <w:rsid w:val="00537182"/>
    <w:rsid w:val="005373D9"/>
    <w:rsid w:val="005376FA"/>
    <w:rsid w:val="005377EA"/>
    <w:rsid w:val="0054003B"/>
    <w:rsid w:val="00540909"/>
    <w:rsid w:val="00541217"/>
    <w:rsid w:val="00541455"/>
    <w:rsid w:val="00541635"/>
    <w:rsid w:val="00541BE5"/>
    <w:rsid w:val="00541C6C"/>
    <w:rsid w:val="00541EDD"/>
    <w:rsid w:val="005426E4"/>
    <w:rsid w:val="00542743"/>
    <w:rsid w:val="00542C2D"/>
    <w:rsid w:val="00543197"/>
    <w:rsid w:val="0054362F"/>
    <w:rsid w:val="00543DD2"/>
    <w:rsid w:val="00543FA6"/>
    <w:rsid w:val="005440BA"/>
    <w:rsid w:val="00544830"/>
    <w:rsid w:val="005449CD"/>
    <w:rsid w:val="005450EB"/>
    <w:rsid w:val="00545162"/>
    <w:rsid w:val="005456D7"/>
    <w:rsid w:val="00546468"/>
    <w:rsid w:val="00547064"/>
    <w:rsid w:val="0054773B"/>
    <w:rsid w:val="005478BD"/>
    <w:rsid w:val="005479E3"/>
    <w:rsid w:val="00550205"/>
    <w:rsid w:val="005502F5"/>
    <w:rsid w:val="00550638"/>
    <w:rsid w:val="00550FF4"/>
    <w:rsid w:val="005510B2"/>
    <w:rsid w:val="005515E6"/>
    <w:rsid w:val="00551985"/>
    <w:rsid w:val="005520DA"/>
    <w:rsid w:val="005526DE"/>
    <w:rsid w:val="005527A7"/>
    <w:rsid w:val="00552BD3"/>
    <w:rsid w:val="00552D8E"/>
    <w:rsid w:val="005532A0"/>
    <w:rsid w:val="0055445C"/>
    <w:rsid w:val="00555109"/>
    <w:rsid w:val="00555124"/>
    <w:rsid w:val="005554C4"/>
    <w:rsid w:val="00555926"/>
    <w:rsid w:val="00555AF0"/>
    <w:rsid w:val="00555DC4"/>
    <w:rsid w:val="00555FB9"/>
    <w:rsid w:val="00556B35"/>
    <w:rsid w:val="00556EDC"/>
    <w:rsid w:val="0055708C"/>
    <w:rsid w:val="00557190"/>
    <w:rsid w:val="0055741A"/>
    <w:rsid w:val="0055744F"/>
    <w:rsid w:val="00557730"/>
    <w:rsid w:val="00557AD5"/>
    <w:rsid w:val="00557D50"/>
    <w:rsid w:val="00557DBD"/>
    <w:rsid w:val="005602E1"/>
    <w:rsid w:val="005608D3"/>
    <w:rsid w:val="00560F2F"/>
    <w:rsid w:val="00560FFB"/>
    <w:rsid w:val="005611B7"/>
    <w:rsid w:val="005618D4"/>
    <w:rsid w:val="005620C3"/>
    <w:rsid w:val="00562B55"/>
    <w:rsid w:val="00562B89"/>
    <w:rsid w:val="005630AF"/>
    <w:rsid w:val="00564301"/>
    <w:rsid w:val="0056430D"/>
    <w:rsid w:val="00564331"/>
    <w:rsid w:val="005645E6"/>
    <w:rsid w:val="00564811"/>
    <w:rsid w:val="00564E85"/>
    <w:rsid w:val="00565A53"/>
    <w:rsid w:val="00565B2B"/>
    <w:rsid w:val="00565DF0"/>
    <w:rsid w:val="00566027"/>
    <w:rsid w:val="0056606B"/>
    <w:rsid w:val="005663FA"/>
    <w:rsid w:val="0056696F"/>
    <w:rsid w:val="0056699D"/>
    <w:rsid w:val="0056711C"/>
    <w:rsid w:val="0056737A"/>
    <w:rsid w:val="0056752E"/>
    <w:rsid w:val="005678C0"/>
    <w:rsid w:val="00567AFC"/>
    <w:rsid w:val="00567C20"/>
    <w:rsid w:val="00570B56"/>
    <w:rsid w:val="005711B7"/>
    <w:rsid w:val="0057187C"/>
    <w:rsid w:val="00571985"/>
    <w:rsid w:val="00572095"/>
    <w:rsid w:val="00572269"/>
    <w:rsid w:val="0057244A"/>
    <w:rsid w:val="00572F26"/>
    <w:rsid w:val="00572FBE"/>
    <w:rsid w:val="005731CA"/>
    <w:rsid w:val="005732E9"/>
    <w:rsid w:val="00573553"/>
    <w:rsid w:val="00573F41"/>
    <w:rsid w:val="00573FEB"/>
    <w:rsid w:val="00574E52"/>
    <w:rsid w:val="005750C5"/>
    <w:rsid w:val="005752DE"/>
    <w:rsid w:val="0057572B"/>
    <w:rsid w:val="00575827"/>
    <w:rsid w:val="00575D8D"/>
    <w:rsid w:val="00575E30"/>
    <w:rsid w:val="00575F66"/>
    <w:rsid w:val="00576972"/>
    <w:rsid w:val="005769E9"/>
    <w:rsid w:val="005770B2"/>
    <w:rsid w:val="00581277"/>
    <w:rsid w:val="00581FB0"/>
    <w:rsid w:val="00582206"/>
    <w:rsid w:val="0058225C"/>
    <w:rsid w:val="00583699"/>
    <w:rsid w:val="00583FDE"/>
    <w:rsid w:val="0058404E"/>
    <w:rsid w:val="00584399"/>
    <w:rsid w:val="00584C56"/>
    <w:rsid w:val="00584C70"/>
    <w:rsid w:val="00584EFE"/>
    <w:rsid w:val="00584FFB"/>
    <w:rsid w:val="005853D0"/>
    <w:rsid w:val="0058577C"/>
    <w:rsid w:val="00585CDD"/>
    <w:rsid w:val="00586319"/>
    <w:rsid w:val="005868B9"/>
    <w:rsid w:val="00586A44"/>
    <w:rsid w:val="00587058"/>
    <w:rsid w:val="0058727B"/>
    <w:rsid w:val="005875E6"/>
    <w:rsid w:val="005876BA"/>
    <w:rsid w:val="005903DC"/>
    <w:rsid w:val="00590F08"/>
    <w:rsid w:val="00591957"/>
    <w:rsid w:val="00591B65"/>
    <w:rsid w:val="005921CC"/>
    <w:rsid w:val="0059234B"/>
    <w:rsid w:val="00592534"/>
    <w:rsid w:val="0059262A"/>
    <w:rsid w:val="00592F1F"/>
    <w:rsid w:val="00593057"/>
    <w:rsid w:val="0059315D"/>
    <w:rsid w:val="0059318E"/>
    <w:rsid w:val="00593199"/>
    <w:rsid w:val="0059434E"/>
    <w:rsid w:val="00594370"/>
    <w:rsid w:val="0059486F"/>
    <w:rsid w:val="005950FD"/>
    <w:rsid w:val="0059570B"/>
    <w:rsid w:val="00595AED"/>
    <w:rsid w:val="00595BA3"/>
    <w:rsid w:val="00595FB1"/>
    <w:rsid w:val="005971D0"/>
    <w:rsid w:val="00597BF9"/>
    <w:rsid w:val="00597E99"/>
    <w:rsid w:val="005A0077"/>
    <w:rsid w:val="005A0EE3"/>
    <w:rsid w:val="005A17D6"/>
    <w:rsid w:val="005A193F"/>
    <w:rsid w:val="005A1C69"/>
    <w:rsid w:val="005A1D7B"/>
    <w:rsid w:val="005A309A"/>
    <w:rsid w:val="005A31AC"/>
    <w:rsid w:val="005A3460"/>
    <w:rsid w:val="005A373D"/>
    <w:rsid w:val="005A3B38"/>
    <w:rsid w:val="005A3F40"/>
    <w:rsid w:val="005A40F9"/>
    <w:rsid w:val="005A4C0A"/>
    <w:rsid w:val="005A514F"/>
    <w:rsid w:val="005A54AA"/>
    <w:rsid w:val="005A54FD"/>
    <w:rsid w:val="005A57E0"/>
    <w:rsid w:val="005A6129"/>
    <w:rsid w:val="005A668F"/>
    <w:rsid w:val="005A6AC6"/>
    <w:rsid w:val="005A6C29"/>
    <w:rsid w:val="005A6DFE"/>
    <w:rsid w:val="005A719D"/>
    <w:rsid w:val="005A7461"/>
    <w:rsid w:val="005A7684"/>
    <w:rsid w:val="005A7A06"/>
    <w:rsid w:val="005A7A8A"/>
    <w:rsid w:val="005B03A9"/>
    <w:rsid w:val="005B054C"/>
    <w:rsid w:val="005B0552"/>
    <w:rsid w:val="005B0B58"/>
    <w:rsid w:val="005B127D"/>
    <w:rsid w:val="005B1D82"/>
    <w:rsid w:val="005B1E51"/>
    <w:rsid w:val="005B2037"/>
    <w:rsid w:val="005B213F"/>
    <w:rsid w:val="005B3015"/>
    <w:rsid w:val="005B30D7"/>
    <w:rsid w:val="005B4240"/>
    <w:rsid w:val="005B4E53"/>
    <w:rsid w:val="005B5857"/>
    <w:rsid w:val="005B59AE"/>
    <w:rsid w:val="005B73E5"/>
    <w:rsid w:val="005B7E61"/>
    <w:rsid w:val="005B7F80"/>
    <w:rsid w:val="005C0146"/>
    <w:rsid w:val="005C0759"/>
    <w:rsid w:val="005C0AF3"/>
    <w:rsid w:val="005C0FB0"/>
    <w:rsid w:val="005C10B3"/>
    <w:rsid w:val="005C14E5"/>
    <w:rsid w:val="005C1B83"/>
    <w:rsid w:val="005C1B94"/>
    <w:rsid w:val="005C23E3"/>
    <w:rsid w:val="005C24DF"/>
    <w:rsid w:val="005C25FF"/>
    <w:rsid w:val="005C2700"/>
    <w:rsid w:val="005C2A8B"/>
    <w:rsid w:val="005C2D55"/>
    <w:rsid w:val="005C3053"/>
    <w:rsid w:val="005C33E9"/>
    <w:rsid w:val="005C346B"/>
    <w:rsid w:val="005C3790"/>
    <w:rsid w:val="005C38FD"/>
    <w:rsid w:val="005C3BEB"/>
    <w:rsid w:val="005C3D31"/>
    <w:rsid w:val="005C3EAD"/>
    <w:rsid w:val="005C3F5D"/>
    <w:rsid w:val="005C4063"/>
    <w:rsid w:val="005C42EA"/>
    <w:rsid w:val="005C4C44"/>
    <w:rsid w:val="005C4EF4"/>
    <w:rsid w:val="005C51BC"/>
    <w:rsid w:val="005C54AF"/>
    <w:rsid w:val="005C5CA8"/>
    <w:rsid w:val="005C6EB4"/>
    <w:rsid w:val="005C7FB3"/>
    <w:rsid w:val="005D044D"/>
    <w:rsid w:val="005D06CC"/>
    <w:rsid w:val="005D0934"/>
    <w:rsid w:val="005D0ABD"/>
    <w:rsid w:val="005D0C24"/>
    <w:rsid w:val="005D0EF0"/>
    <w:rsid w:val="005D18AD"/>
    <w:rsid w:val="005D1DD0"/>
    <w:rsid w:val="005D26B4"/>
    <w:rsid w:val="005D279A"/>
    <w:rsid w:val="005D27C3"/>
    <w:rsid w:val="005D2DF4"/>
    <w:rsid w:val="005D4190"/>
    <w:rsid w:val="005D476D"/>
    <w:rsid w:val="005D5070"/>
    <w:rsid w:val="005D555F"/>
    <w:rsid w:val="005D583D"/>
    <w:rsid w:val="005D5B5C"/>
    <w:rsid w:val="005D6001"/>
    <w:rsid w:val="005D6688"/>
    <w:rsid w:val="005D6AA0"/>
    <w:rsid w:val="005D6D17"/>
    <w:rsid w:val="005D6FE2"/>
    <w:rsid w:val="005D79DD"/>
    <w:rsid w:val="005D7F05"/>
    <w:rsid w:val="005D7F3B"/>
    <w:rsid w:val="005E0A90"/>
    <w:rsid w:val="005E12A2"/>
    <w:rsid w:val="005E14E1"/>
    <w:rsid w:val="005E1A3F"/>
    <w:rsid w:val="005E1EB8"/>
    <w:rsid w:val="005E1EDF"/>
    <w:rsid w:val="005E2477"/>
    <w:rsid w:val="005E2B92"/>
    <w:rsid w:val="005E2D88"/>
    <w:rsid w:val="005E3453"/>
    <w:rsid w:val="005E37A7"/>
    <w:rsid w:val="005E3B25"/>
    <w:rsid w:val="005E3C5E"/>
    <w:rsid w:val="005E422C"/>
    <w:rsid w:val="005E46FD"/>
    <w:rsid w:val="005E4959"/>
    <w:rsid w:val="005E4B80"/>
    <w:rsid w:val="005E5494"/>
    <w:rsid w:val="005E54FF"/>
    <w:rsid w:val="005E5EC0"/>
    <w:rsid w:val="005E5FFA"/>
    <w:rsid w:val="005E66AF"/>
    <w:rsid w:val="005E68A6"/>
    <w:rsid w:val="005E6CBC"/>
    <w:rsid w:val="005E72FF"/>
    <w:rsid w:val="005E73C0"/>
    <w:rsid w:val="005E760A"/>
    <w:rsid w:val="005E7DD5"/>
    <w:rsid w:val="005E7F38"/>
    <w:rsid w:val="005F01C1"/>
    <w:rsid w:val="005F06C6"/>
    <w:rsid w:val="005F0993"/>
    <w:rsid w:val="005F0A85"/>
    <w:rsid w:val="005F153B"/>
    <w:rsid w:val="005F1D77"/>
    <w:rsid w:val="005F2706"/>
    <w:rsid w:val="005F352F"/>
    <w:rsid w:val="005F44EC"/>
    <w:rsid w:val="005F4557"/>
    <w:rsid w:val="005F4AC0"/>
    <w:rsid w:val="005F50D9"/>
    <w:rsid w:val="005F515A"/>
    <w:rsid w:val="005F5868"/>
    <w:rsid w:val="005F5DA8"/>
    <w:rsid w:val="005F5F1B"/>
    <w:rsid w:val="005F615C"/>
    <w:rsid w:val="005F62D9"/>
    <w:rsid w:val="005F659C"/>
    <w:rsid w:val="005F6A8F"/>
    <w:rsid w:val="005F6BB7"/>
    <w:rsid w:val="005F738E"/>
    <w:rsid w:val="005F74E2"/>
    <w:rsid w:val="005F7588"/>
    <w:rsid w:val="005F7629"/>
    <w:rsid w:val="005F7DE8"/>
    <w:rsid w:val="006001B5"/>
    <w:rsid w:val="00600935"/>
    <w:rsid w:val="00600BF4"/>
    <w:rsid w:val="00600F53"/>
    <w:rsid w:val="00600FD5"/>
    <w:rsid w:val="006013F0"/>
    <w:rsid w:val="00601429"/>
    <w:rsid w:val="006014E0"/>
    <w:rsid w:val="00601796"/>
    <w:rsid w:val="00601D39"/>
    <w:rsid w:val="006025C4"/>
    <w:rsid w:val="00603395"/>
    <w:rsid w:val="00603498"/>
    <w:rsid w:val="00603DB9"/>
    <w:rsid w:val="00603DEB"/>
    <w:rsid w:val="00604476"/>
    <w:rsid w:val="00604870"/>
    <w:rsid w:val="006048AB"/>
    <w:rsid w:val="006048DD"/>
    <w:rsid w:val="00604D9F"/>
    <w:rsid w:val="006053C2"/>
    <w:rsid w:val="00605A2F"/>
    <w:rsid w:val="00605AE7"/>
    <w:rsid w:val="00605F6E"/>
    <w:rsid w:val="00606271"/>
    <w:rsid w:val="0060660A"/>
    <w:rsid w:val="00606BD5"/>
    <w:rsid w:val="00606FBA"/>
    <w:rsid w:val="00607669"/>
    <w:rsid w:val="006076F4"/>
    <w:rsid w:val="00607AFD"/>
    <w:rsid w:val="0061019E"/>
    <w:rsid w:val="006106EC"/>
    <w:rsid w:val="00610FB7"/>
    <w:rsid w:val="006112E0"/>
    <w:rsid w:val="00611762"/>
    <w:rsid w:val="00611BDC"/>
    <w:rsid w:val="00611EF9"/>
    <w:rsid w:val="006122E2"/>
    <w:rsid w:val="0061266A"/>
    <w:rsid w:val="00612D67"/>
    <w:rsid w:val="00612F97"/>
    <w:rsid w:val="00613090"/>
    <w:rsid w:val="00613353"/>
    <w:rsid w:val="006133FC"/>
    <w:rsid w:val="0061345D"/>
    <w:rsid w:val="00613917"/>
    <w:rsid w:val="00613AAF"/>
    <w:rsid w:val="006145A7"/>
    <w:rsid w:val="006147C2"/>
    <w:rsid w:val="00614F84"/>
    <w:rsid w:val="00615082"/>
    <w:rsid w:val="00615495"/>
    <w:rsid w:val="0061549B"/>
    <w:rsid w:val="00615B8B"/>
    <w:rsid w:val="00616802"/>
    <w:rsid w:val="00616A6E"/>
    <w:rsid w:val="0061776D"/>
    <w:rsid w:val="006177B1"/>
    <w:rsid w:val="00617E12"/>
    <w:rsid w:val="00620C25"/>
    <w:rsid w:val="00620D16"/>
    <w:rsid w:val="006211C3"/>
    <w:rsid w:val="00621271"/>
    <w:rsid w:val="00621477"/>
    <w:rsid w:val="00621ADA"/>
    <w:rsid w:val="00621C8B"/>
    <w:rsid w:val="006220B9"/>
    <w:rsid w:val="00622382"/>
    <w:rsid w:val="00622890"/>
    <w:rsid w:val="00622C70"/>
    <w:rsid w:val="006233E7"/>
    <w:rsid w:val="00623F7B"/>
    <w:rsid w:val="006241D4"/>
    <w:rsid w:val="00624963"/>
    <w:rsid w:val="00624AF6"/>
    <w:rsid w:val="00625B7B"/>
    <w:rsid w:val="0062617C"/>
    <w:rsid w:val="00626341"/>
    <w:rsid w:val="00626536"/>
    <w:rsid w:val="006268D5"/>
    <w:rsid w:val="006268EB"/>
    <w:rsid w:val="00626B12"/>
    <w:rsid w:val="00626B5B"/>
    <w:rsid w:val="00626BC9"/>
    <w:rsid w:val="006278C0"/>
    <w:rsid w:val="0063036B"/>
    <w:rsid w:val="00630678"/>
    <w:rsid w:val="00630860"/>
    <w:rsid w:val="0063158F"/>
    <w:rsid w:val="00631ACD"/>
    <w:rsid w:val="00631C30"/>
    <w:rsid w:val="00631CB6"/>
    <w:rsid w:val="00631D6B"/>
    <w:rsid w:val="00632028"/>
    <w:rsid w:val="00632183"/>
    <w:rsid w:val="006323C0"/>
    <w:rsid w:val="0063286A"/>
    <w:rsid w:val="00632D75"/>
    <w:rsid w:val="006330A1"/>
    <w:rsid w:val="0063479F"/>
    <w:rsid w:val="0063516C"/>
    <w:rsid w:val="0063528E"/>
    <w:rsid w:val="00635341"/>
    <w:rsid w:val="006353F0"/>
    <w:rsid w:val="006357B5"/>
    <w:rsid w:val="00635A83"/>
    <w:rsid w:val="006364A1"/>
    <w:rsid w:val="006365B2"/>
    <w:rsid w:val="0063678E"/>
    <w:rsid w:val="00636837"/>
    <w:rsid w:val="00636EFF"/>
    <w:rsid w:val="006373B5"/>
    <w:rsid w:val="00637A72"/>
    <w:rsid w:val="00637BFD"/>
    <w:rsid w:val="006400E3"/>
    <w:rsid w:val="0064059C"/>
    <w:rsid w:val="00640AB0"/>
    <w:rsid w:val="00640E0E"/>
    <w:rsid w:val="00640E41"/>
    <w:rsid w:val="006410C0"/>
    <w:rsid w:val="00641B06"/>
    <w:rsid w:val="00641C4E"/>
    <w:rsid w:val="00641FB3"/>
    <w:rsid w:val="0064232F"/>
    <w:rsid w:val="0064234D"/>
    <w:rsid w:val="0064278F"/>
    <w:rsid w:val="00642DB9"/>
    <w:rsid w:val="00643003"/>
    <w:rsid w:val="006433FD"/>
    <w:rsid w:val="006442B3"/>
    <w:rsid w:val="0064434C"/>
    <w:rsid w:val="00644651"/>
    <w:rsid w:val="006448F4"/>
    <w:rsid w:val="006451F7"/>
    <w:rsid w:val="00645B87"/>
    <w:rsid w:val="0064714D"/>
    <w:rsid w:val="006471CC"/>
    <w:rsid w:val="0064742C"/>
    <w:rsid w:val="006476B5"/>
    <w:rsid w:val="00647A29"/>
    <w:rsid w:val="00647B6C"/>
    <w:rsid w:val="00647CBE"/>
    <w:rsid w:val="0065000F"/>
    <w:rsid w:val="006504CB"/>
    <w:rsid w:val="0065079F"/>
    <w:rsid w:val="00651C53"/>
    <w:rsid w:val="0065291A"/>
    <w:rsid w:val="00652A28"/>
    <w:rsid w:val="00652C80"/>
    <w:rsid w:val="00653159"/>
    <w:rsid w:val="00653181"/>
    <w:rsid w:val="0065333A"/>
    <w:rsid w:val="006534C0"/>
    <w:rsid w:val="00653568"/>
    <w:rsid w:val="0065369E"/>
    <w:rsid w:val="0065379F"/>
    <w:rsid w:val="006538D8"/>
    <w:rsid w:val="00653949"/>
    <w:rsid w:val="00653EF0"/>
    <w:rsid w:val="00653F2D"/>
    <w:rsid w:val="006541F1"/>
    <w:rsid w:val="00654771"/>
    <w:rsid w:val="00654C10"/>
    <w:rsid w:val="00654F8F"/>
    <w:rsid w:val="0065570B"/>
    <w:rsid w:val="006558D1"/>
    <w:rsid w:val="00655CAE"/>
    <w:rsid w:val="00656188"/>
    <w:rsid w:val="0065624C"/>
    <w:rsid w:val="00656A6C"/>
    <w:rsid w:val="00656D4B"/>
    <w:rsid w:val="0065715A"/>
    <w:rsid w:val="00657198"/>
    <w:rsid w:val="0065739F"/>
    <w:rsid w:val="00657C3D"/>
    <w:rsid w:val="00660430"/>
    <w:rsid w:val="00660D6F"/>
    <w:rsid w:val="006610F1"/>
    <w:rsid w:val="00661A75"/>
    <w:rsid w:val="00661C6B"/>
    <w:rsid w:val="00661F9C"/>
    <w:rsid w:val="006623F9"/>
    <w:rsid w:val="00662441"/>
    <w:rsid w:val="00663021"/>
    <w:rsid w:val="006632D8"/>
    <w:rsid w:val="0066361B"/>
    <w:rsid w:val="00663ACC"/>
    <w:rsid w:val="00663F3E"/>
    <w:rsid w:val="00664021"/>
    <w:rsid w:val="00664031"/>
    <w:rsid w:val="006644B6"/>
    <w:rsid w:val="00664AEA"/>
    <w:rsid w:val="00664F71"/>
    <w:rsid w:val="00665727"/>
    <w:rsid w:val="0066598F"/>
    <w:rsid w:val="006660BA"/>
    <w:rsid w:val="00666232"/>
    <w:rsid w:val="00666C09"/>
    <w:rsid w:val="006671AD"/>
    <w:rsid w:val="00667591"/>
    <w:rsid w:val="00667698"/>
    <w:rsid w:val="00670BC8"/>
    <w:rsid w:val="00670C0D"/>
    <w:rsid w:val="00670E4E"/>
    <w:rsid w:val="00671004"/>
    <w:rsid w:val="00671457"/>
    <w:rsid w:val="00671913"/>
    <w:rsid w:val="00671F98"/>
    <w:rsid w:val="00672646"/>
    <w:rsid w:val="00672C87"/>
    <w:rsid w:val="00672FAA"/>
    <w:rsid w:val="006735DF"/>
    <w:rsid w:val="006742B0"/>
    <w:rsid w:val="0067431B"/>
    <w:rsid w:val="00674534"/>
    <w:rsid w:val="00674E42"/>
    <w:rsid w:val="00674EB1"/>
    <w:rsid w:val="00675610"/>
    <w:rsid w:val="00675E39"/>
    <w:rsid w:val="006765DA"/>
    <w:rsid w:val="0067673A"/>
    <w:rsid w:val="006769FA"/>
    <w:rsid w:val="00676B15"/>
    <w:rsid w:val="00676D42"/>
    <w:rsid w:val="00680545"/>
    <w:rsid w:val="00680DD3"/>
    <w:rsid w:val="006813F8"/>
    <w:rsid w:val="006814E2"/>
    <w:rsid w:val="00681E91"/>
    <w:rsid w:val="00682112"/>
    <w:rsid w:val="006821B4"/>
    <w:rsid w:val="006824DC"/>
    <w:rsid w:val="0068268F"/>
    <w:rsid w:val="00682BA6"/>
    <w:rsid w:val="00682DB1"/>
    <w:rsid w:val="00682DFE"/>
    <w:rsid w:val="0068306E"/>
    <w:rsid w:val="006836A2"/>
    <w:rsid w:val="00683A83"/>
    <w:rsid w:val="006849C0"/>
    <w:rsid w:val="006850FD"/>
    <w:rsid w:val="0068556A"/>
    <w:rsid w:val="00685A79"/>
    <w:rsid w:val="006863C4"/>
    <w:rsid w:val="00686957"/>
    <w:rsid w:val="00686993"/>
    <w:rsid w:val="00686BBC"/>
    <w:rsid w:val="006872BA"/>
    <w:rsid w:val="006878C1"/>
    <w:rsid w:val="0068799A"/>
    <w:rsid w:val="00687A1A"/>
    <w:rsid w:val="00687BF1"/>
    <w:rsid w:val="00687C04"/>
    <w:rsid w:val="00690183"/>
    <w:rsid w:val="00690325"/>
    <w:rsid w:val="00690602"/>
    <w:rsid w:val="00690795"/>
    <w:rsid w:val="00690FE5"/>
    <w:rsid w:val="006910C4"/>
    <w:rsid w:val="006912D9"/>
    <w:rsid w:val="00691387"/>
    <w:rsid w:val="00691648"/>
    <w:rsid w:val="006917D7"/>
    <w:rsid w:val="006919FC"/>
    <w:rsid w:val="00691E5A"/>
    <w:rsid w:val="006921B5"/>
    <w:rsid w:val="006928C5"/>
    <w:rsid w:val="00692977"/>
    <w:rsid w:val="00694092"/>
    <w:rsid w:val="0069434C"/>
    <w:rsid w:val="00694E16"/>
    <w:rsid w:val="00694F44"/>
    <w:rsid w:val="006951A8"/>
    <w:rsid w:val="0069597C"/>
    <w:rsid w:val="00696125"/>
    <w:rsid w:val="0069687E"/>
    <w:rsid w:val="00696F51"/>
    <w:rsid w:val="0069721A"/>
    <w:rsid w:val="00697414"/>
    <w:rsid w:val="00697762"/>
    <w:rsid w:val="006978D3"/>
    <w:rsid w:val="006979A5"/>
    <w:rsid w:val="006A0003"/>
    <w:rsid w:val="006A05C0"/>
    <w:rsid w:val="006A0A08"/>
    <w:rsid w:val="006A0C18"/>
    <w:rsid w:val="006A0E45"/>
    <w:rsid w:val="006A0F0A"/>
    <w:rsid w:val="006A1796"/>
    <w:rsid w:val="006A1985"/>
    <w:rsid w:val="006A1D63"/>
    <w:rsid w:val="006A229C"/>
    <w:rsid w:val="006A2520"/>
    <w:rsid w:val="006A2629"/>
    <w:rsid w:val="006A2829"/>
    <w:rsid w:val="006A2EEA"/>
    <w:rsid w:val="006A2EF2"/>
    <w:rsid w:val="006A325A"/>
    <w:rsid w:val="006A38C6"/>
    <w:rsid w:val="006A395C"/>
    <w:rsid w:val="006A3AC6"/>
    <w:rsid w:val="006A3B8C"/>
    <w:rsid w:val="006A489C"/>
    <w:rsid w:val="006A4A2A"/>
    <w:rsid w:val="006A5201"/>
    <w:rsid w:val="006A552B"/>
    <w:rsid w:val="006A5672"/>
    <w:rsid w:val="006A63B5"/>
    <w:rsid w:val="006A65A0"/>
    <w:rsid w:val="006A6947"/>
    <w:rsid w:val="006A6B99"/>
    <w:rsid w:val="006A744C"/>
    <w:rsid w:val="006A7E5F"/>
    <w:rsid w:val="006B0E39"/>
    <w:rsid w:val="006B1938"/>
    <w:rsid w:val="006B1B24"/>
    <w:rsid w:val="006B1DD5"/>
    <w:rsid w:val="006B261B"/>
    <w:rsid w:val="006B2C90"/>
    <w:rsid w:val="006B35E6"/>
    <w:rsid w:val="006B3C97"/>
    <w:rsid w:val="006B465A"/>
    <w:rsid w:val="006B47FC"/>
    <w:rsid w:val="006B4992"/>
    <w:rsid w:val="006B4BB2"/>
    <w:rsid w:val="006B4EEE"/>
    <w:rsid w:val="006B50CD"/>
    <w:rsid w:val="006B5351"/>
    <w:rsid w:val="006B6240"/>
    <w:rsid w:val="006B6A44"/>
    <w:rsid w:val="006B6DD0"/>
    <w:rsid w:val="006B7180"/>
    <w:rsid w:val="006B76F1"/>
    <w:rsid w:val="006B7A0A"/>
    <w:rsid w:val="006B7A22"/>
    <w:rsid w:val="006C0399"/>
    <w:rsid w:val="006C0CC4"/>
    <w:rsid w:val="006C0F22"/>
    <w:rsid w:val="006C1736"/>
    <w:rsid w:val="006C19E5"/>
    <w:rsid w:val="006C1CAF"/>
    <w:rsid w:val="006C1E98"/>
    <w:rsid w:val="006C2019"/>
    <w:rsid w:val="006C218A"/>
    <w:rsid w:val="006C2A8E"/>
    <w:rsid w:val="006C2B5D"/>
    <w:rsid w:val="006C3255"/>
    <w:rsid w:val="006C3F26"/>
    <w:rsid w:val="006C4B3B"/>
    <w:rsid w:val="006C584B"/>
    <w:rsid w:val="006C6416"/>
    <w:rsid w:val="006C69E3"/>
    <w:rsid w:val="006C6F84"/>
    <w:rsid w:val="006C75B8"/>
    <w:rsid w:val="006C7AA7"/>
    <w:rsid w:val="006D037A"/>
    <w:rsid w:val="006D0D17"/>
    <w:rsid w:val="006D1098"/>
    <w:rsid w:val="006D161A"/>
    <w:rsid w:val="006D18B8"/>
    <w:rsid w:val="006D2299"/>
    <w:rsid w:val="006D2BA5"/>
    <w:rsid w:val="006D2BE5"/>
    <w:rsid w:val="006D384F"/>
    <w:rsid w:val="006D3C7D"/>
    <w:rsid w:val="006D3D2E"/>
    <w:rsid w:val="006D437E"/>
    <w:rsid w:val="006D4659"/>
    <w:rsid w:val="006D466A"/>
    <w:rsid w:val="006D4928"/>
    <w:rsid w:val="006D49C2"/>
    <w:rsid w:val="006D4A70"/>
    <w:rsid w:val="006D4F9F"/>
    <w:rsid w:val="006D501D"/>
    <w:rsid w:val="006D52F7"/>
    <w:rsid w:val="006D5D5F"/>
    <w:rsid w:val="006D646E"/>
    <w:rsid w:val="006D65F5"/>
    <w:rsid w:val="006D68FB"/>
    <w:rsid w:val="006D6D90"/>
    <w:rsid w:val="006D7007"/>
    <w:rsid w:val="006D73A8"/>
    <w:rsid w:val="006D7B4E"/>
    <w:rsid w:val="006D7C85"/>
    <w:rsid w:val="006E03C5"/>
    <w:rsid w:val="006E0E19"/>
    <w:rsid w:val="006E13D4"/>
    <w:rsid w:val="006E1EFA"/>
    <w:rsid w:val="006E211F"/>
    <w:rsid w:val="006E218A"/>
    <w:rsid w:val="006E2868"/>
    <w:rsid w:val="006E2C2C"/>
    <w:rsid w:val="006E32C6"/>
    <w:rsid w:val="006E3AA3"/>
    <w:rsid w:val="006E3F5E"/>
    <w:rsid w:val="006E3FF6"/>
    <w:rsid w:val="006E47B0"/>
    <w:rsid w:val="006E4967"/>
    <w:rsid w:val="006E4A9D"/>
    <w:rsid w:val="006E5676"/>
    <w:rsid w:val="006E7FC9"/>
    <w:rsid w:val="006F0039"/>
    <w:rsid w:val="006F1D0E"/>
    <w:rsid w:val="006F1E30"/>
    <w:rsid w:val="006F1F70"/>
    <w:rsid w:val="006F2025"/>
    <w:rsid w:val="006F2581"/>
    <w:rsid w:val="006F29D9"/>
    <w:rsid w:val="006F2B9D"/>
    <w:rsid w:val="006F306C"/>
    <w:rsid w:val="006F329E"/>
    <w:rsid w:val="006F3783"/>
    <w:rsid w:val="006F434B"/>
    <w:rsid w:val="006F46ED"/>
    <w:rsid w:val="006F4D5C"/>
    <w:rsid w:val="006F4F35"/>
    <w:rsid w:val="006F5021"/>
    <w:rsid w:val="006F55BD"/>
    <w:rsid w:val="006F5DA2"/>
    <w:rsid w:val="006F63A5"/>
    <w:rsid w:val="006F65C5"/>
    <w:rsid w:val="006F6A21"/>
    <w:rsid w:val="006F76E3"/>
    <w:rsid w:val="00700037"/>
    <w:rsid w:val="00700926"/>
    <w:rsid w:val="00700DF8"/>
    <w:rsid w:val="00700EAD"/>
    <w:rsid w:val="0070116C"/>
    <w:rsid w:val="0070142B"/>
    <w:rsid w:val="00702200"/>
    <w:rsid w:val="0070276E"/>
    <w:rsid w:val="007027D6"/>
    <w:rsid w:val="00702CC6"/>
    <w:rsid w:val="00702D69"/>
    <w:rsid w:val="00702F8F"/>
    <w:rsid w:val="00703738"/>
    <w:rsid w:val="00703E8B"/>
    <w:rsid w:val="00704A6B"/>
    <w:rsid w:val="007052B2"/>
    <w:rsid w:val="007052B6"/>
    <w:rsid w:val="00705614"/>
    <w:rsid w:val="007058D2"/>
    <w:rsid w:val="00705B07"/>
    <w:rsid w:val="00706113"/>
    <w:rsid w:val="007063F2"/>
    <w:rsid w:val="0070730F"/>
    <w:rsid w:val="007079FC"/>
    <w:rsid w:val="00707ED7"/>
    <w:rsid w:val="00711276"/>
    <w:rsid w:val="007117C0"/>
    <w:rsid w:val="00711890"/>
    <w:rsid w:val="00711A36"/>
    <w:rsid w:val="00711D6E"/>
    <w:rsid w:val="007129A9"/>
    <w:rsid w:val="007129BA"/>
    <w:rsid w:val="00713354"/>
    <w:rsid w:val="00713375"/>
    <w:rsid w:val="00713B87"/>
    <w:rsid w:val="00714345"/>
    <w:rsid w:val="0071482E"/>
    <w:rsid w:val="0071483A"/>
    <w:rsid w:val="00714C26"/>
    <w:rsid w:val="0071529C"/>
    <w:rsid w:val="007154C6"/>
    <w:rsid w:val="00715718"/>
    <w:rsid w:val="00716D14"/>
    <w:rsid w:val="00716F0E"/>
    <w:rsid w:val="007170DA"/>
    <w:rsid w:val="0071723E"/>
    <w:rsid w:val="007172AD"/>
    <w:rsid w:val="00720801"/>
    <w:rsid w:val="007208B6"/>
    <w:rsid w:val="00720DEF"/>
    <w:rsid w:val="007219A3"/>
    <w:rsid w:val="00721B4E"/>
    <w:rsid w:val="0072251D"/>
    <w:rsid w:val="007226EC"/>
    <w:rsid w:val="00722B1B"/>
    <w:rsid w:val="00723004"/>
    <w:rsid w:val="0072318A"/>
    <w:rsid w:val="00723510"/>
    <w:rsid w:val="00723B89"/>
    <w:rsid w:val="00723EAD"/>
    <w:rsid w:val="0072402B"/>
    <w:rsid w:val="0072416F"/>
    <w:rsid w:val="00724394"/>
    <w:rsid w:val="00724644"/>
    <w:rsid w:val="00725471"/>
    <w:rsid w:val="007255D0"/>
    <w:rsid w:val="007260A0"/>
    <w:rsid w:val="00726882"/>
    <w:rsid w:val="00727348"/>
    <w:rsid w:val="00727763"/>
    <w:rsid w:val="00727C94"/>
    <w:rsid w:val="00727D4D"/>
    <w:rsid w:val="00727FC1"/>
    <w:rsid w:val="0073016A"/>
    <w:rsid w:val="007301C3"/>
    <w:rsid w:val="007302FA"/>
    <w:rsid w:val="007309A7"/>
    <w:rsid w:val="00730AF0"/>
    <w:rsid w:val="00730CB6"/>
    <w:rsid w:val="00730E33"/>
    <w:rsid w:val="00730F7C"/>
    <w:rsid w:val="00730FF7"/>
    <w:rsid w:val="00731B0A"/>
    <w:rsid w:val="00731EAE"/>
    <w:rsid w:val="00732636"/>
    <w:rsid w:val="00732D8F"/>
    <w:rsid w:val="00732E33"/>
    <w:rsid w:val="0073306B"/>
    <w:rsid w:val="00733073"/>
    <w:rsid w:val="007338C0"/>
    <w:rsid w:val="007340F6"/>
    <w:rsid w:val="0073427A"/>
    <w:rsid w:val="007342A7"/>
    <w:rsid w:val="0073473B"/>
    <w:rsid w:val="00734CC9"/>
    <w:rsid w:val="00734D9C"/>
    <w:rsid w:val="00734DDC"/>
    <w:rsid w:val="00735033"/>
    <w:rsid w:val="00735087"/>
    <w:rsid w:val="00735328"/>
    <w:rsid w:val="00735752"/>
    <w:rsid w:val="00735777"/>
    <w:rsid w:val="00735FCC"/>
    <w:rsid w:val="007362AA"/>
    <w:rsid w:val="0073685B"/>
    <w:rsid w:val="0073716F"/>
    <w:rsid w:val="00740971"/>
    <w:rsid w:val="00740D99"/>
    <w:rsid w:val="007413D4"/>
    <w:rsid w:val="0074171F"/>
    <w:rsid w:val="00741D51"/>
    <w:rsid w:val="00742244"/>
    <w:rsid w:val="007423FA"/>
    <w:rsid w:val="0074255F"/>
    <w:rsid w:val="00742840"/>
    <w:rsid w:val="007433F8"/>
    <w:rsid w:val="007434BD"/>
    <w:rsid w:val="00743F78"/>
    <w:rsid w:val="00744680"/>
    <w:rsid w:val="007449BF"/>
    <w:rsid w:val="00745166"/>
    <w:rsid w:val="00745363"/>
    <w:rsid w:val="007459F6"/>
    <w:rsid w:val="00745A51"/>
    <w:rsid w:val="00745D41"/>
    <w:rsid w:val="00746175"/>
    <w:rsid w:val="00746211"/>
    <w:rsid w:val="00746539"/>
    <w:rsid w:val="0074677C"/>
    <w:rsid w:val="00746BC0"/>
    <w:rsid w:val="00747527"/>
    <w:rsid w:val="00750408"/>
    <w:rsid w:val="0075048F"/>
    <w:rsid w:val="0075062A"/>
    <w:rsid w:val="00750E09"/>
    <w:rsid w:val="00750E8D"/>
    <w:rsid w:val="007510B4"/>
    <w:rsid w:val="0075146A"/>
    <w:rsid w:val="00752142"/>
    <w:rsid w:val="00752336"/>
    <w:rsid w:val="007523F9"/>
    <w:rsid w:val="00753077"/>
    <w:rsid w:val="0075357E"/>
    <w:rsid w:val="00753F71"/>
    <w:rsid w:val="00754E86"/>
    <w:rsid w:val="0075563A"/>
    <w:rsid w:val="007557D5"/>
    <w:rsid w:val="00755CCF"/>
    <w:rsid w:val="00755E90"/>
    <w:rsid w:val="00756138"/>
    <w:rsid w:val="00756348"/>
    <w:rsid w:val="0075654A"/>
    <w:rsid w:val="0075657E"/>
    <w:rsid w:val="007573E8"/>
    <w:rsid w:val="00757720"/>
    <w:rsid w:val="00757B37"/>
    <w:rsid w:val="00760363"/>
    <w:rsid w:val="00760C4E"/>
    <w:rsid w:val="00760F97"/>
    <w:rsid w:val="00760F9E"/>
    <w:rsid w:val="00761E38"/>
    <w:rsid w:val="007620E4"/>
    <w:rsid w:val="00762229"/>
    <w:rsid w:val="00762657"/>
    <w:rsid w:val="007627BE"/>
    <w:rsid w:val="00762DBA"/>
    <w:rsid w:val="0076338E"/>
    <w:rsid w:val="00764192"/>
    <w:rsid w:val="00764CA6"/>
    <w:rsid w:val="00764F03"/>
    <w:rsid w:val="00764FED"/>
    <w:rsid w:val="007651CC"/>
    <w:rsid w:val="00765205"/>
    <w:rsid w:val="00765B1A"/>
    <w:rsid w:val="00766150"/>
    <w:rsid w:val="0076668C"/>
    <w:rsid w:val="007667D8"/>
    <w:rsid w:val="00766DC6"/>
    <w:rsid w:val="007675CA"/>
    <w:rsid w:val="00767AF6"/>
    <w:rsid w:val="00767C19"/>
    <w:rsid w:val="007705BF"/>
    <w:rsid w:val="00770617"/>
    <w:rsid w:val="0077074E"/>
    <w:rsid w:val="00770D06"/>
    <w:rsid w:val="00771235"/>
    <w:rsid w:val="00771B82"/>
    <w:rsid w:val="00773D37"/>
    <w:rsid w:val="00773E15"/>
    <w:rsid w:val="007749DA"/>
    <w:rsid w:val="00775FD5"/>
    <w:rsid w:val="007762C8"/>
    <w:rsid w:val="0077695F"/>
    <w:rsid w:val="00777335"/>
    <w:rsid w:val="007776D3"/>
    <w:rsid w:val="00777774"/>
    <w:rsid w:val="00777801"/>
    <w:rsid w:val="00777A14"/>
    <w:rsid w:val="0078003B"/>
    <w:rsid w:val="00780177"/>
    <w:rsid w:val="00780683"/>
    <w:rsid w:val="00780CDF"/>
    <w:rsid w:val="00781247"/>
    <w:rsid w:val="00781390"/>
    <w:rsid w:val="007815FE"/>
    <w:rsid w:val="0078240F"/>
    <w:rsid w:val="007826D7"/>
    <w:rsid w:val="007830B7"/>
    <w:rsid w:val="00783A45"/>
    <w:rsid w:val="00784347"/>
    <w:rsid w:val="00784376"/>
    <w:rsid w:val="007843F2"/>
    <w:rsid w:val="00784776"/>
    <w:rsid w:val="007848A0"/>
    <w:rsid w:val="007849B9"/>
    <w:rsid w:val="00784FED"/>
    <w:rsid w:val="0078576A"/>
    <w:rsid w:val="007859A8"/>
    <w:rsid w:val="00785A9F"/>
    <w:rsid w:val="00785DD0"/>
    <w:rsid w:val="0078727B"/>
    <w:rsid w:val="00787673"/>
    <w:rsid w:val="007876D0"/>
    <w:rsid w:val="00787818"/>
    <w:rsid w:val="00790435"/>
    <w:rsid w:val="00790D9C"/>
    <w:rsid w:val="007911CF"/>
    <w:rsid w:val="0079123A"/>
    <w:rsid w:val="00791367"/>
    <w:rsid w:val="00791862"/>
    <w:rsid w:val="0079187B"/>
    <w:rsid w:val="007925DF"/>
    <w:rsid w:val="00792D70"/>
    <w:rsid w:val="007932C4"/>
    <w:rsid w:val="0079358C"/>
    <w:rsid w:val="007935E4"/>
    <w:rsid w:val="00793736"/>
    <w:rsid w:val="007939B7"/>
    <w:rsid w:val="007941D9"/>
    <w:rsid w:val="00794AFC"/>
    <w:rsid w:val="00794C7C"/>
    <w:rsid w:val="00794E70"/>
    <w:rsid w:val="00794EB4"/>
    <w:rsid w:val="00795143"/>
    <w:rsid w:val="0079536E"/>
    <w:rsid w:val="007963B7"/>
    <w:rsid w:val="00796772"/>
    <w:rsid w:val="00796AD8"/>
    <w:rsid w:val="007A032D"/>
    <w:rsid w:val="007A08AA"/>
    <w:rsid w:val="007A0A12"/>
    <w:rsid w:val="007A11A0"/>
    <w:rsid w:val="007A132D"/>
    <w:rsid w:val="007A1345"/>
    <w:rsid w:val="007A14E8"/>
    <w:rsid w:val="007A1C21"/>
    <w:rsid w:val="007A1EE4"/>
    <w:rsid w:val="007A29C6"/>
    <w:rsid w:val="007A2DDB"/>
    <w:rsid w:val="007A30A7"/>
    <w:rsid w:val="007A3143"/>
    <w:rsid w:val="007A367B"/>
    <w:rsid w:val="007A3BC3"/>
    <w:rsid w:val="007A4CC2"/>
    <w:rsid w:val="007A536A"/>
    <w:rsid w:val="007A544F"/>
    <w:rsid w:val="007A57D8"/>
    <w:rsid w:val="007A70BA"/>
    <w:rsid w:val="007A7341"/>
    <w:rsid w:val="007A7D5B"/>
    <w:rsid w:val="007B06A1"/>
    <w:rsid w:val="007B0832"/>
    <w:rsid w:val="007B0C3A"/>
    <w:rsid w:val="007B0CBD"/>
    <w:rsid w:val="007B0D68"/>
    <w:rsid w:val="007B0EEB"/>
    <w:rsid w:val="007B10B8"/>
    <w:rsid w:val="007B14DF"/>
    <w:rsid w:val="007B17A3"/>
    <w:rsid w:val="007B187D"/>
    <w:rsid w:val="007B1AAA"/>
    <w:rsid w:val="007B2150"/>
    <w:rsid w:val="007B251D"/>
    <w:rsid w:val="007B2682"/>
    <w:rsid w:val="007B28D2"/>
    <w:rsid w:val="007B2BB4"/>
    <w:rsid w:val="007B35A1"/>
    <w:rsid w:val="007B3796"/>
    <w:rsid w:val="007B3D1B"/>
    <w:rsid w:val="007B4309"/>
    <w:rsid w:val="007B462E"/>
    <w:rsid w:val="007B4E35"/>
    <w:rsid w:val="007B4F58"/>
    <w:rsid w:val="007B528D"/>
    <w:rsid w:val="007B53EB"/>
    <w:rsid w:val="007B57F4"/>
    <w:rsid w:val="007B590F"/>
    <w:rsid w:val="007B5E81"/>
    <w:rsid w:val="007B5F02"/>
    <w:rsid w:val="007B5FD9"/>
    <w:rsid w:val="007B63CA"/>
    <w:rsid w:val="007B6DB3"/>
    <w:rsid w:val="007B70E4"/>
    <w:rsid w:val="007B763A"/>
    <w:rsid w:val="007B77D1"/>
    <w:rsid w:val="007B796F"/>
    <w:rsid w:val="007C07C7"/>
    <w:rsid w:val="007C07E1"/>
    <w:rsid w:val="007C0B1F"/>
    <w:rsid w:val="007C1CD9"/>
    <w:rsid w:val="007C1F17"/>
    <w:rsid w:val="007C20EB"/>
    <w:rsid w:val="007C24E6"/>
    <w:rsid w:val="007C24E8"/>
    <w:rsid w:val="007C2A55"/>
    <w:rsid w:val="007C2BFC"/>
    <w:rsid w:val="007C30E3"/>
    <w:rsid w:val="007C32EF"/>
    <w:rsid w:val="007C361D"/>
    <w:rsid w:val="007C4911"/>
    <w:rsid w:val="007C4B84"/>
    <w:rsid w:val="007C51E4"/>
    <w:rsid w:val="007C55A6"/>
    <w:rsid w:val="007C67DB"/>
    <w:rsid w:val="007C6AFA"/>
    <w:rsid w:val="007C70FF"/>
    <w:rsid w:val="007C7C25"/>
    <w:rsid w:val="007C7D51"/>
    <w:rsid w:val="007D004F"/>
    <w:rsid w:val="007D0137"/>
    <w:rsid w:val="007D0B38"/>
    <w:rsid w:val="007D0E40"/>
    <w:rsid w:val="007D15E9"/>
    <w:rsid w:val="007D27E8"/>
    <w:rsid w:val="007D3AAB"/>
    <w:rsid w:val="007D4361"/>
    <w:rsid w:val="007D45B7"/>
    <w:rsid w:val="007D4F55"/>
    <w:rsid w:val="007D5440"/>
    <w:rsid w:val="007D54EE"/>
    <w:rsid w:val="007D58F1"/>
    <w:rsid w:val="007D69EB"/>
    <w:rsid w:val="007D6B20"/>
    <w:rsid w:val="007D7001"/>
    <w:rsid w:val="007E1164"/>
    <w:rsid w:val="007E128F"/>
    <w:rsid w:val="007E15F3"/>
    <w:rsid w:val="007E216D"/>
    <w:rsid w:val="007E25D4"/>
    <w:rsid w:val="007E25F5"/>
    <w:rsid w:val="007E27B6"/>
    <w:rsid w:val="007E33CD"/>
    <w:rsid w:val="007E36CE"/>
    <w:rsid w:val="007E3F77"/>
    <w:rsid w:val="007E3F89"/>
    <w:rsid w:val="007E44CC"/>
    <w:rsid w:val="007E4A15"/>
    <w:rsid w:val="007E4C5E"/>
    <w:rsid w:val="007E4DB1"/>
    <w:rsid w:val="007E4F80"/>
    <w:rsid w:val="007E517E"/>
    <w:rsid w:val="007E5C64"/>
    <w:rsid w:val="007E5D5E"/>
    <w:rsid w:val="007E5E35"/>
    <w:rsid w:val="007E606C"/>
    <w:rsid w:val="007E61A9"/>
    <w:rsid w:val="007E6306"/>
    <w:rsid w:val="007E6776"/>
    <w:rsid w:val="007E73D4"/>
    <w:rsid w:val="007E74B5"/>
    <w:rsid w:val="007F0972"/>
    <w:rsid w:val="007F0B29"/>
    <w:rsid w:val="007F1017"/>
    <w:rsid w:val="007F1755"/>
    <w:rsid w:val="007F2A42"/>
    <w:rsid w:val="007F2C0B"/>
    <w:rsid w:val="007F2F62"/>
    <w:rsid w:val="007F2FE5"/>
    <w:rsid w:val="007F3070"/>
    <w:rsid w:val="007F30B5"/>
    <w:rsid w:val="007F348A"/>
    <w:rsid w:val="007F359B"/>
    <w:rsid w:val="007F3E09"/>
    <w:rsid w:val="007F450F"/>
    <w:rsid w:val="007F486D"/>
    <w:rsid w:val="007F48AB"/>
    <w:rsid w:val="007F496E"/>
    <w:rsid w:val="007F4A3F"/>
    <w:rsid w:val="007F4A61"/>
    <w:rsid w:val="007F5159"/>
    <w:rsid w:val="007F5255"/>
    <w:rsid w:val="007F56CC"/>
    <w:rsid w:val="007F5FA6"/>
    <w:rsid w:val="007F5FCB"/>
    <w:rsid w:val="007F61C2"/>
    <w:rsid w:val="007F622B"/>
    <w:rsid w:val="007F6814"/>
    <w:rsid w:val="007F6ABF"/>
    <w:rsid w:val="007F6B1F"/>
    <w:rsid w:val="007F6E0D"/>
    <w:rsid w:val="007F7576"/>
    <w:rsid w:val="008002B3"/>
    <w:rsid w:val="00800357"/>
    <w:rsid w:val="008003AF"/>
    <w:rsid w:val="008003DA"/>
    <w:rsid w:val="00800889"/>
    <w:rsid w:val="008008CC"/>
    <w:rsid w:val="0080118A"/>
    <w:rsid w:val="008012FF"/>
    <w:rsid w:val="008019F6"/>
    <w:rsid w:val="00801FD9"/>
    <w:rsid w:val="008026E0"/>
    <w:rsid w:val="00802DCF"/>
    <w:rsid w:val="008030F5"/>
    <w:rsid w:val="0080335C"/>
    <w:rsid w:val="00803A55"/>
    <w:rsid w:val="00804318"/>
    <w:rsid w:val="00805142"/>
    <w:rsid w:val="00805BC8"/>
    <w:rsid w:val="00805FCE"/>
    <w:rsid w:val="00806DFC"/>
    <w:rsid w:val="00807235"/>
    <w:rsid w:val="00807A8B"/>
    <w:rsid w:val="008105BB"/>
    <w:rsid w:val="0081061E"/>
    <w:rsid w:val="00810CF5"/>
    <w:rsid w:val="00811047"/>
    <w:rsid w:val="0081114E"/>
    <w:rsid w:val="00811383"/>
    <w:rsid w:val="00811665"/>
    <w:rsid w:val="0081196A"/>
    <w:rsid w:val="00812149"/>
    <w:rsid w:val="00812204"/>
    <w:rsid w:val="00812438"/>
    <w:rsid w:val="00812C2D"/>
    <w:rsid w:val="00812CAC"/>
    <w:rsid w:val="00812CFD"/>
    <w:rsid w:val="00813AF8"/>
    <w:rsid w:val="00813FEC"/>
    <w:rsid w:val="00814052"/>
    <w:rsid w:val="0081407B"/>
    <w:rsid w:val="00814315"/>
    <w:rsid w:val="00814980"/>
    <w:rsid w:val="00815C4B"/>
    <w:rsid w:val="00816361"/>
    <w:rsid w:val="00816474"/>
    <w:rsid w:val="008166EF"/>
    <w:rsid w:val="00816823"/>
    <w:rsid w:val="00816C1A"/>
    <w:rsid w:val="00816FD6"/>
    <w:rsid w:val="00816FEF"/>
    <w:rsid w:val="0081741A"/>
    <w:rsid w:val="008176DA"/>
    <w:rsid w:val="00817FAA"/>
    <w:rsid w:val="00817FB3"/>
    <w:rsid w:val="008206C4"/>
    <w:rsid w:val="00820A8C"/>
    <w:rsid w:val="00821384"/>
    <w:rsid w:val="008215FB"/>
    <w:rsid w:val="00821AA4"/>
    <w:rsid w:val="00821BBC"/>
    <w:rsid w:val="00822231"/>
    <w:rsid w:val="008225CC"/>
    <w:rsid w:val="00822A0B"/>
    <w:rsid w:val="00822A20"/>
    <w:rsid w:val="00822EA2"/>
    <w:rsid w:val="00823174"/>
    <w:rsid w:val="00823256"/>
    <w:rsid w:val="008234AE"/>
    <w:rsid w:val="00823580"/>
    <w:rsid w:val="00823B34"/>
    <w:rsid w:val="00823B53"/>
    <w:rsid w:val="00823FBD"/>
    <w:rsid w:val="0082430F"/>
    <w:rsid w:val="0082496F"/>
    <w:rsid w:val="00825751"/>
    <w:rsid w:val="00825821"/>
    <w:rsid w:val="00825A31"/>
    <w:rsid w:val="00825EFF"/>
    <w:rsid w:val="00826117"/>
    <w:rsid w:val="008261D5"/>
    <w:rsid w:val="008264EB"/>
    <w:rsid w:val="00826ECA"/>
    <w:rsid w:val="00826FD1"/>
    <w:rsid w:val="00830A94"/>
    <w:rsid w:val="00830C33"/>
    <w:rsid w:val="00830D29"/>
    <w:rsid w:val="00831A0C"/>
    <w:rsid w:val="00831DDC"/>
    <w:rsid w:val="00831FC6"/>
    <w:rsid w:val="008329E4"/>
    <w:rsid w:val="008329E8"/>
    <w:rsid w:val="00832A1C"/>
    <w:rsid w:val="00832A1F"/>
    <w:rsid w:val="00832F2E"/>
    <w:rsid w:val="008332DC"/>
    <w:rsid w:val="00833438"/>
    <w:rsid w:val="00833617"/>
    <w:rsid w:val="00833671"/>
    <w:rsid w:val="00833B05"/>
    <w:rsid w:val="00833BDB"/>
    <w:rsid w:val="00833D9B"/>
    <w:rsid w:val="00834875"/>
    <w:rsid w:val="00834899"/>
    <w:rsid w:val="00834A48"/>
    <w:rsid w:val="0083537A"/>
    <w:rsid w:val="00835924"/>
    <w:rsid w:val="00835B55"/>
    <w:rsid w:val="00835C81"/>
    <w:rsid w:val="00835E45"/>
    <w:rsid w:val="008362B4"/>
    <w:rsid w:val="008378B8"/>
    <w:rsid w:val="00837EDE"/>
    <w:rsid w:val="0084093E"/>
    <w:rsid w:val="00840A89"/>
    <w:rsid w:val="00840CA2"/>
    <w:rsid w:val="00841BB4"/>
    <w:rsid w:val="00842208"/>
    <w:rsid w:val="008422F0"/>
    <w:rsid w:val="0084258C"/>
    <w:rsid w:val="00842AE7"/>
    <w:rsid w:val="00842E12"/>
    <w:rsid w:val="00842EEF"/>
    <w:rsid w:val="00842F94"/>
    <w:rsid w:val="00843161"/>
    <w:rsid w:val="00843647"/>
    <w:rsid w:val="0084374F"/>
    <w:rsid w:val="00843F59"/>
    <w:rsid w:val="00844915"/>
    <w:rsid w:val="00844A22"/>
    <w:rsid w:val="008454AE"/>
    <w:rsid w:val="00845B52"/>
    <w:rsid w:val="00845BE3"/>
    <w:rsid w:val="00846F3B"/>
    <w:rsid w:val="0084705B"/>
    <w:rsid w:val="008474DE"/>
    <w:rsid w:val="00847703"/>
    <w:rsid w:val="008477BB"/>
    <w:rsid w:val="00847BF5"/>
    <w:rsid w:val="00847C2A"/>
    <w:rsid w:val="00847CF3"/>
    <w:rsid w:val="00847DF5"/>
    <w:rsid w:val="008507CE"/>
    <w:rsid w:val="00850970"/>
    <w:rsid w:val="008509E2"/>
    <w:rsid w:val="00850AE6"/>
    <w:rsid w:val="00850C20"/>
    <w:rsid w:val="00850C45"/>
    <w:rsid w:val="00852D7C"/>
    <w:rsid w:val="0085309D"/>
    <w:rsid w:val="008534C0"/>
    <w:rsid w:val="00853664"/>
    <w:rsid w:val="00853678"/>
    <w:rsid w:val="0085384B"/>
    <w:rsid w:val="00853A2C"/>
    <w:rsid w:val="00853B7D"/>
    <w:rsid w:val="00853D15"/>
    <w:rsid w:val="008543B1"/>
    <w:rsid w:val="00854D01"/>
    <w:rsid w:val="00855653"/>
    <w:rsid w:val="00855C52"/>
    <w:rsid w:val="00855CB0"/>
    <w:rsid w:val="0085622D"/>
    <w:rsid w:val="00856897"/>
    <w:rsid w:val="00856941"/>
    <w:rsid w:val="00856E9A"/>
    <w:rsid w:val="008576CA"/>
    <w:rsid w:val="00857FF1"/>
    <w:rsid w:val="008602FD"/>
    <w:rsid w:val="00860433"/>
    <w:rsid w:val="0086075D"/>
    <w:rsid w:val="00860B7B"/>
    <w:rsid w:val="00861126"/>
    <w:rsid w:val="00861228"/>
    <w:rsid w:val="0086166A"/>
    <w:rsid w:val="00861726"/>
    <w:rsid w:val="008623A7"/>
    <w:rsid w:val="00862502"/>
    <w:rsid w:val="008625C6"/>
    <w:rsid w:val="00862755"/>
    <w:rsid w:val="00862AFE"/>
    <w:rsid w:val="00862CC1"/>
    <w:rsid w:val="008635F0"/>
    <w:rsid w:val="00863995"/>
    <w:rsid w:val="00863B9A"/>
    <w:rsid w:val="0086417B"/>
    <w:rsid w:val="00864808"/>
    <w:rsid w:val="008650BA"/>
    <w:rsid w:val="00865FCF"/>
    <w:rsid w:val="008660D4"/>
    <w:rsid w:val="00866874"/>
    <w:rsid w:val="00866A6F"/>
    <w:rsid w:val="00866D76"/>
    <w:rsid w:val="008674C6"/>
    <w:rsid w:val="00867852"/>
    <w:rsid w:val="00867920"/>
    <w:rsid w:val="0087016F"/>
    <w:rsid w:val="00870521"/>
    <w:rsid w:val="00870A34"/>
    <w:rsid w:val="00870A3D"/>
    <w:rsid w:val="00871156"/>
    <w:rsid w:val="0087129B"/>
    <w:rsid w:val="00871889"/>
    <w:rsid w:val="00871B67"/>
    <w:rsid w:val="00871F65"/>
    <w:rsid w:val="00871FA9"/>
    <w:rsid w:val="008728E9"/>
    <w:rsid w:val="00872AE2"/>
    <w:rsid w:val="00872D3F"/>
    <w:rsid w:val="00873021"/>
    <w:rsid w:val="00873641"/>
    <w:rsid w:val="008739BB"/>
    <w:rsid w:val="00873A42"/>
    <w:rsid w:val="00874295"/>
    <w:rsid w:val="0087504B"/>
    <w:rsid w:val="008751F9"/>
    <w:rsid w:val="00875AF7"/>
    <w:rsid w:val="00875D62"/>
    <w:rsid w:val="008766D3"/>
    <w:rsid w:val="008767DF"/>
    <w:rsid w:val="00876811"/>
    <w:rsid w:val="00876859"/>
    <w:rsid w:val="00876C0A"/>
    <w:rsid w:val="00876D43"/>
    <w:rsid w:val="00876EE9"/>
    <w:rsid w:val="00877707"/>
    <w:rsid w:val="00877774"/>
    <w:rsid w:val="008777EE"/>
    <w:rsid w:val="00880159"/>
    <w:rsid w:val="008802B9"/>
    <w:rsid w:val="0088113B"/>
    <w:rsid w:val="0088178F"/>
    <w:rsid w:val="00881919"/>
    <w:rsid w:val="00881D34"/>
    <w:rsid w:val="00882874"/>
    <w:rsid w:val="00882E3C"/>
    <w:rsid w:val="00883728"/>
    <w:rsid w:val="00883787"/>
    <w:rsid w:val="008838D4"/>
    <w:rsid w:val="008839A5"/>
    <w:rsid w:val="00883DA7"/>
    <w:rsid w:val="00884529"/>
    <w:rsid w:val="00884575"/>
    <w:rsid w:val="00885070"/>
    <w:rsid w:val="008855E4"/>
    <w:rsid w:val="00885926"/>
    <w:rsid w:val="00886131"/>
    <w:rsid w:val="00886568"/>
    <w:rsid w:val="008869B3"/>
    <w:rsid w:val="00886CD2"/>
    <w:rsid w:val="00887748"/>
    <w:rsid w:val="008877DE"/>
    <w:rsid w:val="00890255"/>
    <w:rsid w:val="0089079A"/>
    <w:rsid w:val="00890A5A"/>
    <w:rsid w:val="008918AA"/>
    <w:rsid w:val="00891959"/>
    <w:rsid w:val="00891D05"/>
    <w:rsid w:val="00891D89"/>
    <w:rsid w:val="00891E6F"/>
    <w:rsid w:val="008924F4"/>
    <w:rsid w:val="00892604"/>
    <w:rsid w:val="0089271E"/>
    <w:rsid w:val="0089275D"/>
    <w:rsid w:val="00892A36"/>
    <w:rsid w:val="00892F04"/>
    <w:rsid w:val="0089302A"/>
    <w:rsid w:val="00893239"/>
    <w:rsid w:val="00893B58"/>
    <w:rsid w:val="00894489"/>
    <w:rsid w:val="0089499D"/>
    <w:rsid w:val="008951CE"/>
    <w:rsid w:val="00895492"/>
    <w:rsid w:val="00895ED7"/>
    <w:rsid w:val="00896245"/>
    <w:rsid w:val="008963A5"/>
    <w:rsid w:val="008969E4"/>
    <w:rsid w:val="00896D5D"/>
    <w:rsid w:val="00897FB2"/>
    <w:rsid w:val="008A02BC"/>
    <w:rsid w:val="008A06AE"/>
    <w:rsid w:val="008A1ABD"/>
    <w:rsid w:val="008A1C20"/>
    <w:rsid w:val="008A232C"/>
    <w:rsid w:val="008A3363"/>
    <w:rsid w:val="008A3371"/>
    <w:rsid w:val="008A375F"/>
    <w:rsid w:val="008A3883"/>
    <w:rsid w:val="008A38CB"/>
    <w:rsid w:val="008A38E3"/>
    <w:rsid w:val="008A3C3E"/>
    <w:rsid w:val="008A3C53"/>
    <w:rsid w:val="008A3E07"/>
    <w:rsid w:val="008A4172"/>
    <w:rsid w:val="008A4651"/>
    <w:rsid w:val="008A4654"/>
    <w:rsid w:val="008A496B"/>
    <w:rsid w:val="008A4BCE"/>
    <w:rsid w:val="008A5052"/>
    <w:rsid w:val="008A55B7"/>
    <w:rsid w:val="008A579B"/>
    <w:rsid w:val="008A5C00"/>
    <w:rsid w:val="008A5FF5"/>
    <w:rsid w:val="008A6D1E"/>
    <w:rsid w:val="008A6E9D"/>
    <w:rsid w:val="008A6EDE"/>
    <w:rsid w:val="008A6F31"/>
    <w:rsid w:val="008A79DE"/>
    <w:rsid w:val="008A7C63"/>
    <w:rsid w:val="008B0A67"/>
    <w:rsid w:val="008B1588"/>
    <w:rsid w:val="008B1656"/>
    <w:rsid w:val="008B1757"/>
    <w:rsid w:val="008B25C9"/>
    <w:rsid w:val="008B2A90"/>
    <w:rsid w:val="008B326B"/>
    <w:rsid w:val="008B3FCC"/>
    <w:rsid w:val="008B41E0"/>
    <w:rsid w:val="008B4AC4"/>
    <w:rsid w:val="008B5079"/>
    <w:rsid w:val="008B589F"/>
    <w:rsid w:val="008B5F6A"/>
    <w:rsid w:val="008B602F"/>
    <w:rsid w:val="008B63E3"/>
    <w:rsid w:val="008B675A"/>
    <w:rsid w:val="008B6C08"/>
    <w:rsid w:val="008B6D0F"/>
    <w:rsid w:val="008B6F3F"/>
    <w:rsid w:val="008B72F8"/>
    <w:rsid w:val="008B7992"/>
    <w:rsid w:val="008B7CE5"/>
    <w:rsid w:val="008B7D7E"/>
    <w:rsid w:val="008C0204"/>
    <w:rsid w:val="008C0907"/>
    <w:rsid w:val="008C12EE"/>
    <w:rsid w:val="008C14D1"/>
    <w:rsid w:val="008C1D0A"/>
    <w:rsid w:val="008C201D"/>
    <w:rsid w:val="008C24FC"/>
    <w:rsid w:val="008C266B"/>
    <w:rsid w:val="008C2822"/>
    <w:rsid w:val="008C2CDE"/>
    <w:rsid w:val="008C3424"/>
    <w:rsid w:val="008C3F25"/>
    <w:rsid w:val="008C5610"/>
    <w:rsid w:val="008C5739"/>
    <w:rsid w:val="008C5D23"/>
    <w:rsid w:val="008C6687"/>
    <w:rsid w:val="008C6F1F"/>
    <w:rsid w:val="008C720B"/>
    <w:rsid w:val="008C74C5"/>
    <w:rsid w:val="008C7ECB"/>
    <w:rsid w:val="008D0690"/>
    <w:rsid w:val="008D0746"/>
    <w:rsid w:val="008D12B7"/>
    <w:rsid w:val="008D165F"/>
    <w:rsid w:val="008D1D25"/>
    <w:rsid w:val="008D223D"/>
    <w:rsid w:val="008D225A"/>
    <w:rsid w:val="008D2737"/>
    <w:rsid w:val="008D2943"/>
    <w:rsid w:val="008D2B1D"/>
    <w:rsid w:val="008D3B86"/>
    <w:rsid w:val="008D4244"/>
    <w:rsid w:val="008D46DF"/>
    <w:rsid w:val="008D4755"/>
    <w:rsid w:val="008D4A11"/>
    <w:rsid w:val="008D4C3D"/>
    <w:rsid w:val="008D4CD8"/>
    <w:rsid w:val="008D4EE5"/>
    <w:rsid w:val="008D65FA"/>
    <w:rsid w:val="008D660B"/>
    <w:rsid w:val="008D69C6"/>
    <w:rsid w:val="008D6A69"/>
    <w:rsid w:val="008D6B1F"/>
    <w:rsid w:val="008D743C"/>
    <w:rsid w:val="008E0615"/>
    <w:rsid w:val="008E0644"/>
    <w:rsid w:val="008E0BB9"/>
    <w:rsid w:val="008E0D3C"/>
    <w:rsid w:val="008E0FBF"/>
    <w:rsid w:val="008E1AA6"/>
    <w:rsid w:val="008E1B9E"/>
    <w:rsid w:val="008E1D21"/>
    <w:rsid w:val="008E1F7F"/>
    <w:rsid w:val="008E3118"/>
    <w:rsid w:val="008E36AD"/>
    <w:rsid w:val="008E3A3C"/>
    <w:rsid w:val="008E3E0C"/>
    <w:rsid w:val="008E3F8C"/>
    <w:rsid w:val="008E481A"/>
    <w:rsid w:val="008E4896"/>
    <w:rsid w:val="008E4C17"/>
    <w:rsid w:val="008E55AB"/>
    <w:rsid w:val="008E58B9"/>
    <w:rsid w:val="008E5D28"/>
    <w:rsid w:val="008E5E9B"/>
    <w:rsid w:val="008E666E"/>
    <w:rsid w:val="008E674E"/>
    <w:rsid w:val="008E6C6F"/>
    <w:rsid w:val="008E7061"/>
    <w:rsid w:val="008E764D"/>
    <w:rsid w:val="008E7EAD"/>
    <w:rsid w:val="008F017C"/>
    <w:rsid w:val="008F10E9"/>
    <w:rsid w:val="008F114F"/>
    <w:rsid w:val="008F120A"/>
    <w:rsid w:val="008F163D"/>
    <w:rsid w:val="008F1A05"/>
    <w:rsid w:val="008F1A55"/>
    <w:rsid w:val="008F1CA0"/>
    <w:rsid w:val="008F1EBE"/>
    <w:rsid w:val="008F27E0"/>
    <w:rsid w:val="008F27F7"/>
    <w:rsid w:val="008F2A29"/>
    <w:rsid w:val="008F2B98"/>
    <w:rsid w:val="008F3344"/>
    <w:rsid w:val="008F3A96"/>
    <w:rsid w:val="008F3D08"/>
    <w:rsid w:val="008F3F67"/>
    <w:rsid w:val="008F45AF"/>
    <w:rsid w:val="008F48EB"/>
    <w:rsid w:val="008F4F0B"/>
    <w:rsid w:val="008F554C"/>
    <w:rsid w:val="008F5557"/>
    <w:rsid w:val="008F5836"/>
    <w:rsid w:val="008F5C35"/>
    <w:rsid w:val="008F679B"/>
    <w:rsid w:val="008F70E1"/>
    <w:rsid w:val="008F745D"/>
    <w:rsid w:val="009001EF"/>
    <w:rsid w:val="009005A4"/>
    <w:rsid w:val="00900644"/>
    <w:rsid w:val="00900A1D"/>
    <w:rsid w:val="00900CD0"/>
    <w:rsid w:val="009013B3"/>
    <w:rsid w:val="00901863"/>
    <w:rsid w:val="00901ACA"/>
    <w:rsid w:val="009023F3"/>
    <w:rsid w:val="009028A0"/>
    <w:rsid w:val="00902D1D"/>
    <w:rsid w:val="00903287"/>
    <w:rsid w:val="009042D2"/>
    <w:rsid w:val="0090436B"/>
    <w:rsid w:val="009046C4"/>
    <w:rsid w:val="0090485D"/>
    <w:rsid w:val="00904E98"/>
    <w:rsid w:val="00905C0D"/>
    <w:rsid w:val="009062A5"/>
    <w:rsid w:val="009062E2"/>
    <w:rsid w:val="009074A6"/>
    <w:rsid w:val="00907983"/>
    <w:rsid w:val="009100F6"/>
    <w:rsid w:val="00910C26"/>
    <w:rsid w:val="00910C87"/>
    <w:rsid w:val="00910EE7"/>
    <w:rsid w:val="00910FA7"/>
    <w:rsid w:val="00911272"/>
    <w:rsid w:val="00911858"/>
    <w:rsid w:val="009121E1"/>
    <w:rsid w:val="009123D8"/>
    <w:rsid w:val="00912621"/>
    <w:rsid w:val="00912937"/>
    <w:rsid w:val="00912B80"/>
    <w:rsid w:val="009132E4"/>
    <w:rsid w:val="00913487"/>
    <w:rsid w:val="009135D6"/>
    <w:rsid w:val="009137D9"/>
    <w:rsid w:val="00913BB1"/>
    <w:rsid w:val="00913DFA"/>
    <w:rsid w:val="00913FCA"/>
    <w:rsid w:val="009142EB"/>
    <w:rsid w:val="00914893"/>
    <w:rsid w:val="00914C77"/>
    <w:rsid w:val="00915022"/>
    <w:rsid w:val="00915092"/>
    <w:rsid w:val="00915362"/>
    <w:rsid w:val="009164EE"/>
    <w:rsid w:val="00916E8F"/>
    <w:rsid w:val="00917415"/>
    <w:rsid w:val="009176DB"/>
    <w:rsid w:val="009206E3"/>
    <w:rsid w:val="0092086F"/>
    <w:rsid w:val="00920EB0"/>
    <w:rsid w:val="00920F1B"/>
    <w:rsid w:val="00920F8D"/>
    <w:rsid w:val="0092105B"/>
    <w:rsid w:val="00921148"/>
    <w:rsid w:val="009214B3"/>
    <w:rsid w:val="00921ACB"/>
    <w:rsid w:val="00921CC1"/>
    <w:rsid w:val="00921E01"/>
    <w:rsid w:val="00922688"/>
    <w:rsid w:val="0092299D"/>
    <w:rsid w:val="00922B49"/>
    <w:rsid w:val="0092369B"/>
    <w:rsid w:val="0092385A"/>
    <w:rsid w:val="00924324"/>
    <w:rsid w:val="0092493F"/>
    <w:rsid w:val="009249B5"/>
    <w:rsid w:val="00924F2A"/>
    <w:rsid w:val="0092546F"/>
    <w:rsid w:val="00925B87"/>
    <w:rsid w:val="009260D6"/>
    <w:rsid w:val="009268FC"/>
    <w:rsid w:val="00926B91"/>
    <w:rsid w:val="009272D7"/>
    <w:rsid w:val="00927326"/>
    <w:rsid w:val="00927562"/>
    <w:rsid w:val="009279A2"/>
    <w:rsid w:val="00927CFE"/>
    <w:rsid w:val="00927FA8"/>
    <w:rsid w:val="00930D1E"/>
    <w:rsid w:val="00930D25"/>
    <w:rsid w:val="00931C0C"/>
    <w:rsid w:val="00931EA9"/>
    <w:rsid w:val="00932F54"/>
    <w:rsid w:val="0093351F"/>
    <w:rsid w:val="00934256"/>
    <w:rsid w:val="009346FE"/>
    <w:rsid w:val="00934988"/>
    <w:rsid w:val="00934AB9"/>
    <w:rsid w:val="00935C87"/>
    <w:rsid w:val="009360DD"/>
    <w:rsid w:val="0093615D"/>
    <w:rsid w:val="00936E63"/>
    <w:rsid w:val="00937089"/>
    <w:rsid w:val="00937946"/>
    <w:rsid w:val="00941BE7"/>
    <w:rsid w:val="00942831"/>
    <w:rsid w:val="00942A3D"/>
    <w:rsid w:val="0094345F"/>
    <w:rsid w:val="009442E5"/>
    <w:rsid w:val="00944F8A"/>
    <w:rsid w:val="0094517A"/>
    <w:rsid w:val="00945944"/>
    <w:rsid w:val="00945E52"/>
    <w:rsid w:val="00946199"/>
    <w:rsid w:val="00947E54"/>
    <w:rsid w:val="00947EA9"/>
    <w:rsid w:val="00947F40"/>
    <w:rsid w:val="0095011E"/>
    <w:rsid w:val="00950250"/>
    <w:rsid w:val="00950499"/>
    <w:rsid w:val="009510A2"/>
    <w:rsid w:val="00951469"/>
    <w:rsid w:val="00952B51"/>
    <w:rsid w:val="00953257"/>
    <w:rsid w:val="00953AA2"/>
    <w:rsid w:val="0095474C"/>
    <w:rsid w:val="00954A6D"/>
    <w:rsid w:val="00954DCD"/>
    <w:rsid w:val="00954EBD"/>
    <w:rsid w:val="00955A0C"/>
    <w:rsid w:val="00955B0A"/>
    <w:rsid w:val="00955E33"/>
    <w:rsid w:val="00955F06"/>
    <w:rsid w:val="009562E9"/>
    <w:rsid w:val="00956997"/>
    <w:rsid w:val="00956ED7"/>
    <w:rsid w:val="0096012F"/>
    <w:rsid w:val="0096133B"/>
    <w:rsid w:val="0096217C"/>
    <w:rsid w:val="0096244E"/>
    <w:rsid w:val="00962A06"/>
    <w:rsid w:val="00962C75"/>
    <w:rsid w:val="00962C98"/>
    <w:rsid w:val="00962CB9"/>
    <w:rsid w:val="00962D31"/>
    <w:rsid w:val="00962EE6"/>
    <w:rsid w:val="0096302F"/>
    <w:rsid w:val="009635CD"/>
    <w:rsid w:val="00963759"/>
    <w:rsid w:val="00963B02"/>
    <w:rsid w:val="00963CF6"/>
    <w:rsid w:val="00963E09"/>
    <w:rsid w:val="0096408D"/>
    <w:rsid w:val="00964312"/>
    <w:rsid w:val="00965B0B"/>
    <w:rsid w:val="00965B8A"/>
    <w:rsid w:val="00965FCC"/>
    <w:rsid w:val="00966350"/>
    <w:rsid w:val="009668F9"/>
    <w:rsid w:val="00967424"/>
    <w:rsid w:val="009674DB"/>
    <w:rsid w:val="00967F2B"/>
    <w:rsid w:val="009705CE"/>
    <w:rsid w:val="0097071F"/>
    <w:rsid w:val="009709E5"/>
    <w:rsid w:val="00971032"/>
    <w:rsid w:val="009710C5"/>
    <w:rsid w:val="00971459"/>
    <w:rsid w:val="00971660"/>
    <w:rsid w:val="009717AC"/>
    <w:rsid w:val="00971C6D"/>
    <w:rsid w:val="009723CB"/>
    <w:rsid w:val="00973007"/>
    <w:rsid w:val="00973EE2"/>
    <w:rsid w:val="00974845"/>
    <w:rsid w:val="00974C3F"/>
    <w:rsid w:val="009751C1"/>
    <w:rsid w:val="00975426"/>
    <w:rsid w:val="0097543F"/>
    <w:rsid w:val="0097590C"/>
    <w:rsid w:val="00975B32"/>
    <w:rsid w:val="00975D44"/>
    <w:rsid w:val="009760C1"/>
    <w:rsid w:val="009761EF"/>
    <w:rsid w:val="00976804"/>
    <w:rsid w:val="00976EFA"/>
    <w:rsid w:val="009771D9"/>
    <w:rsid w:val="009771E1"/>
    <w:rsid w:val="0097729B"/>
    <w:rsid w:val="00980215"/>
    <w:rsid w:val="00980F88"/>
    <w:rsid w:val="009811D0"/>
    <w:rsid w:val="009811F1"/>
    <w:rsid w:val="00981EAD"/>
    <w:rsid w:val="0098235B"/>
    <w:rsid w:val="009824B2"/>
    <w:rsid w:val="00982A8B"/>
    <w:rsid w:val="009834D7"/>
    <w:rsid w:val="00983E57"/>
    <w:rsid w:val="00984908"/>
    <w:rsid w:val="0098502A"/>
    <w:rsid w:val="00985075"/>
    <w:rsid w:val="00985165"/>
    <w:rsid w:val="0098528E"/>
    <w:rsid w:val="00985860"/>
    <w:rsid w:val="00985DE2"/>
    <w:rsid w:val="00985E91"/>
    <w:rsid w:val="009863D5"/>
    <w:rsid w:val="009866E1"/>
    <w:rsid w:val="0098675D"/>
    <w:rsid w:val="00987766"/>
    <w:rsid w:val="009877C0"/>
    <w:rsid w:val="00987827"/>
    <w:rsid w:val="00990168"/>
    <w:rsid w:val="009902DF"/>
    <w:rsid w:val="009909FD"/>
    <w:rsid w:val="00990DFB"/>
    <w:rsid w:val="009911B1"/>
    <w:rsid w:val="00991637"/>
    <w:rsid w:val="00991A49"/>
    <w:rsid w:val="0099244B"/>
    <w:rsid w:val="00992513"/>
    <w:rsid w:val="0099252D"/>
    <w:rsid w:val="00992586"/>
    <w:rsid w:val="0099259B"/>
    <w:rsid w:val="009926E0"/>
    <w:rsid w:val="009935D4"/>
    <w:rsid w:val="00993897"/>
    <w:rsid w:val="009943DB"/>
    <w:rsid w:val="0099451E"/>
    <w:rsid w:val="00994958"/>
    <w:rsid w:val="00994B60"/>
    <w:rsid w:val="00994DAE"/>
    <w:rsid w:val="00994FBE"/>
    <w:rsid w:val="00995483"/>
    <w:rsid w:val="00995920"/>
    <w:rsid w:val="00995931"/>
    <w:rsid w:val="00995C57"/>
    <w:rsid w:val="00996B1A"/>
    <w:rsid w:val="00996B81"/>
    <w:rsid w:val="0099707C"/>
    <w:rsid w:val="0099744E"/>
    <w:rsid w:val="009A0138"/>
    <w:rsid w:val="009A0308"/>
    <w:rsid w:val="009A06A2"/>
    <w:rsid w:val="009A0841"/>
    <w:rsid w:val="009A0FE4"/>
    <w:rsid w:val="009A10F9"/>
    <w:rsid w:val="009A12E1"/>
    <w:rsid w:val="009A15C5"/>
    <w:rsid w:val="009A1A5D"/>
    <w:rsid w:val="009A2002"/>
    <w:rsid w:val="009A273E"/>
    <w:rsid w:val="009A2A33"/>
    <w:rsid w:val="009A2D24"/>
    <w:rsid w:val="009A2DCC"/>
    <w:rsid w:val="009A3479"/>
    <w:rsid w:val="009A3628"/>
    <w:rsid w:val="009A3737"/>
    <w:rsid w:val="009A38D9"/>
    <w:rsid w:val="009A3D41"/>
    <w:rsid w:val="009A4E0E"/>
    <w:rsid w:val="009A5A71"/>
    <w:rsid w:val="009A5A9A"/>
    <w:rsid w:val="009A5ABC"/>
    <w:rsid w:val="009A5E08"/>
    <w:rsid w:val="009A608B"/>
    <w:rsid w:val="009A60CC"/>
    <w:rsid w:val="009A6449"/>
    <w:rsid w:val="009A67A5"/>
    <w:rsid w:val="009A7627"/>
    <w:rsid w:val="009A7F10"/>
    <w:rsid w:val="009B00C3"/>
    <w:rsid w:val="009B04D9"/>
    <w:rsid w:val="009B11B1"/>
    <w:rsid w:val="009B1327"/>
    <w:rsid w:val="009B19F4"/>
    <w:rsid w:val="009B1A29"/>
    <w:rsid w:val="009B3219"/>
    <w:rsid w:val="009B33C7"/>
    <w:rsid w:val="009B3412"/>
    <w:rsid w:val="009B3765"/>
    <w:rsid w:val="009B39C8"/>
    <w:rsid w:val="009B3B13"/>
    <w:rsid w:val="009B3E26"/>
    <w:rsid w:val="009B402C"/>
    <w:rsid w:val="009B45CA"/>
    <w:rsid w:val="009B4CEE"/>
    <w:rsid w:val="009B4DF8"/>
    <w:rsid w:val="009B54F0"/>
    <w:rsid w:val="009B55BC"/>
    <w:rsid w:val="009B5FE2"/>
    <w:rsid w:val="009B693B"/>
    <w:rsid w:val="009B6C2E"/>
    <w:rsid w:val="009B7FD9"/>
    <w:rsid w:val="009C04B8"/>
    <w:rsid w:val="009C0B9A"/>
    <w:rsid w:val="009C0DAE"/>
    <w:rsid w:val="009C1556"/>
    <w:rsid w:val="009C15E1"/>
    <w:rsid w:val="009C173D"/>
    <w:rsid w:val="009C1A05"/>
    <w:rsid w:val="009C1C18"/>
    <w:rsid w:val="009C2297"/>
    <w:rsid w:val="009C2D60"/>
    <w:rsid w:val="009C3706"/>
    <w:rsid w:val="009C3A3A"/>
    <w:rsid w:val="009C3A9E"/>
    <w:rsid w:val="009C3E4F"/>
    <w:rsid w:val="009C3F00"/>
    <w:rsid w:val="009C5328"/>
    <w:rsid w:val="009C53CA"/>
    <w:rsid w:val="009C58D5"/>
    <w:rsid w:val="009C5D50"/>
    <w:rsid w:val="009C5E92"/>
    <w:rsid w:val="009C6B68"/>
    <w:rsid w:val="009C6BEE"/>
    <w:rsid w:val="009C6CEA"/>
    <w:rsid w:val="009C6D1C"/>
    <w:rsid w:val="009C6D97"/>
    <w:rsid w:val="009C734B"/>
    <w:rsid w:val="009C78A2"/>
    <w:rsid w:val="009C7B85"/>
    <w:rsid w:val="009D0254"/>
    <w:rsid w:val="009D026B"/>
    <w:rsid w:val="009D064E"/>
    <w:rsid w:val="009D0930"/>
    <w:rsid w:val="009D0FDC"/>
    <w:rsid w:val="009D1567"/>
    <w:rsid w:val="009D1A64"/>
    <w:rsid w:val="009D272E"/>
    <w:rsid w:val="009D31E1"/>
    <w:rsid w:val="009D345A"/>
    <w:rsid w:val="009D3EDE"/>
    <w:rsid w:val="009D3F84"/>
    <w:rsid w:val="009D3FAF"/>
    <w:rsid w:val="009D425E"/>
    <w:rsid w:val="009D484E"/>
    <w:rsid w:val="009D51B7"/>
    <w:rsid w:val="009D56B8"/>
    <w:rsid w:val="009D56F3"/>
    <w:rsid w:val="009D59AD"/>
    <w:rsid w:val="009D5A0E"/>
    <w:rsid w:val="009D5B91"/>
    <w:rsid w:val="009D614C"/>
    <w:rsid w:val="009D642A"/>
    <w:rsid w:val="009D647C"/>
    <w:rsid w:val="009D68E2"/>
    <w:rsid w:val="009D6C52"/>
    <w:rsid w:val="009D71DF"/>
    <w:rsid w:val="009D792E"/>
    <w:rsid w:val="009E0146"/>
    <w:rsid w:val="009E06FD"/>
    <w:rsid w:val="009E086A"/>
    <w:rsid w:val="009E0DFE"/>
    <w:rsid w:val="009E107B"/>
    <w:rsid w:val="009E14DB"/>
    <w:rsid w:val="009E18F8"/>
    <w:rsid w:val="009E194F"/>
    <w:rsid w:val="009E1EE9"/>
    <w:rsid w:val="009E2D4C"/>
    <w:rsid w:val="009E2F7E"/>
    <w:rsid w:val="009E2FE5"/>
    <w:rsid w:val="009E31BD"/>
    <w:rsid w:val="009E31F6"/>
    <w:rsid w:val="009E4289"/>
    <w:rsid w:val="009E498D"/>
    <w:rsid w:val="009E4B91"/>
    <w:rsid w:val="009E4C07"/>
    <w:rsid w:val="009E4C19"/>
    <w:rsid w:val="009E501F"/>
    <w:rsid w:val="009E5552"/>
    <w:rsid w:val="009E5605"/>
    <w:rsid w:val="009E59CF"/>
    <w:rsid w:val="009E631B"/>
    <w:rsid w:val="009E6699"/>
    <w:rsid w:val="009E6EB2"/>
    <w:rsid w:val="009E780C"/>
    <w:rsid w:val="009F04F5"/>
    <w:rsid w:val="009F100C"/>
    <w:rsid w:val="009F1109"/>
    <w:rsid w:val="009F1589"/>
    <w:rsid w:val="009F20E6"/>
    <w:rsid w:val="009F2771"/>
    <w:rsid w:val="009F27A0"/>
    <w:rsid w:val="009F2DB5"/>
    <w:rsid w:val="009F2F68"/>
    <w:rsid w:val="009F3184"/>
    <w:rsid w:val="009F3221"/>
    <w:rsid w:val="009F323B"/>
    <w:rsid w:val="009F340D"/>
    <w:rsid w:val="009F37C3"/>
    <w:rsid w:val="009F4897"/>
    <w:rsid w:val="009F56E4"/>
    <w:rsid w:val="009F5D51"/>
    <w:rsid w:val="009F675C"/>
    <w:rsid w:val="009F6D81"/>
    <w:rsid w:val="009F6DEA"/>
    <w:rsid w:val="009F79F1"/>
    <w:rsid w:val="009F7C91"/>
    <w:rsid w:val="009F7CB8"/>
    <w:rsid w:val="00A002C0"/>
    <w:rsid w:val="00A00411"/>
    <w:rsid w:val="00A00531"/>
    <w:rsid w:val="00A00973"/>
    <w:rsid w:val="00A01184"/>
    <w:rsid w:val="00A011D7"/>
    <w:rsid w:val="00A0176B"/>
    <w:rsid w:val="00A01FAE"/>
    <w:rsid w:val="00A02128"/>
    <w:rsid w:val="00A027CE"/>
    <w:rsid w:val="00A0321D"/>
    <w:rsid w:val="00A0357B"/>
    <w:rsid w:val="00A037C2"/>
    <w:rsid w:val="00A03BC5"/>
    <w:rsid w:val="00A03D43"/>
    <w:rsid w:val="00A042F2"/>
    <w:rsid w:val="00A0431F"/>
    <w:rsid w:val="00A04380"/>
    <w:rsid w:val="00A043F5"/>
    <w:rsid w:val="00A04AA7"/>
    <w:rsid w:val="00A04B28"/>
    <w:rsid w:val="00A05472"/>
    <w:rsid w:val="00A055E6"/>
    <w:rsid w:val="00A05C32"/>
    <w:rsid w:val="00A0653F"/>
    <w:rsid w:val="00A069B6"/>
    <w:rsid w:val="00A06BF9"/>
    <w:rsid w:val="00A06DD4"/>
    <w:rsid w:val="00A071AB"/>
    <w:rsid w:val="00A07641"/>
    <w:rsid w:val="00A07AFE"/>
    <w:rsid w:val="00A07B3D"/>
    <w:rsid w:val="00A1001A"/>
    <w:rsid w:val="00A103C4"/>
    <w:rsid w:val="00A103F2"/>
    <w:rsid w:val="00A10471"/>
    <w:rsid w:val="00A1048A"/>
    <w:rsid w:val="00A10C73"/>
    <w:rsid w:val="00A10CAC"/>
    <w:rsid w:val="00A11065"/>
    <w:rsid w:val="00A11406"/>
    <w:rsid w:val="00A11CD0"/>
    <w:rsid w:val="00A12291"/>
    <w:rsid w:val="00A12CC5"/>
    <w:rsid w:val="00A13335"/>
    <w:rsid w:val="00A13948"/>
    <w:rsid w:val="00A13DBE"/>
    <w:rsid w:val="00A1555B"/>
    <w:rsid w:val="00A1556C"/>
    <w:rsid w:val="00A155C5"/>
    <w:rsid w:val="00A155D2"/>
    <w:rsid w:val="00A1561C"/>
    <w:rsid w:val="00A162CB"/>
    <w:rsid w:val="00A164D9"/>
    <w:rsid w:val="00A16AD8"/>
    <w:rsid w:val="00A16D9F"/>
    <w:rsid w:val="00A178BC"/>
    <w:rsid w:val="00A204E3"/>
    <w:rsid w:val="00A20783"/>
    <w:rsid w:val="00A212C1"/>
    <w:rsid w:val="00A215F6"/>
    <w:rsid w:val="00A21686"/>
    <w:rsid w:val="00A216E3"/>
    <w:rsid w:val="00A21C95"/>
    <w:rsid w:val="00A21CF3"/>
    <w:rsid w:val="00A21D64"/>
    <w:rsid w:val="00A21F16"/>
    <w:rsid w:val="00A22EE4"/>
    <w:rsid w:val="00A23311"/>
    <w:rsid w:val="00A23C37"/>
    <w:rsid w:val="00A240E0"/>
    <w:rsid w:val="00A2424D"/>
    <w:rsid w:val="00A24533"/>
    <w:rsid w:val="00A24813"/>
    <w:rsid w:val="00A24DE5"/>
    <w:rsid w:val="00A25000"/>
    <w:rsid w:val="00A25325"/>
    <w:rsid w:val="00A25BD8"/>
    <w:rsid w:val="00A27AEC"/>
    <w:rsid w:val="00A3005B"/>
    <w:rsid w:val="00A3054E"/>
    <w:rsid w:val="00A306B0"/>
    <w:rsid w:val="00A30BE3"/>
    <w:rsid w:val="00A320DB"/>
    <w:rsid w:val="00A35598"/>
    <w:rsid w:val="00A355A5"/>
    <w:rsid w:val="00A35D16"/>
    <w:rsid w:val="00A3644D"/>
    <w:rsid w:val="00A36D62"/>
    <w:rsid w:val="00A36DA2"/>
    <w:rsid w:val="00A36E78"/>
    <w:rsid w:val="00A37686"/>
    <w:rsid w:val="00A37BCD"/>
    <w:rsid w:val="00A40683"/>
    <w:rsid w:val="00A40C15"/>
    <w:rsid w:val="00A4158B"/>
    <w:rsid w:val="00A41689"/>
    <w:rsid w:val="00A41762"/>
    <w:rsid w:val="00A418D9"/>
    <w:rsid w:val="00A41C3F"/>
    <w:rsid w:val="00A42592"/>
    <w:rsid w:val="00A42631"/>
    <w:rsid w:val="00A42C72"/>
    <w:rsid w:val="00A43C59"/>
    <w:rsid w:val="00A4421C"/>
    <w:rsid w:val="00A44587"/>
    <w:rsid w:val="00A449CC"/>
    <w:rsid w:val="00A44F71"/>
    <w:rsid w:val="00A4635D"/>
    <w:rsid w:val="00A47367"/>
    <w:rsid w:val="00A476B2"/>
    <w:rsid w:val="00A478B8"/>
    <w:rsid w:val="00A47F13"/>
    <w:rsid w:val="00A50ECD"/>
    <w:rsid w:val="00A510E0"/>
    <w:rsid w:val="00A51644"/>
    <w:rsid w:val="00A517B8"/>
    <w:rsid w:val="00A518F3"/>
    <w:rsid w:val="00A52004"/>
    <w:rsid w:val="00A521D3"/>
    <w:rsid w:val="00A523E8"/>
    <w:rsid w:val="00A52729"/>
    <w:rsid w:val="00A52ED6"/>
    <w:rsid w:val="00A532E2"/>
    <w:rsid w:val="00A5344D"/>
    <w:rsid w:val="00A53675"/>
    <w:rsid w:val="00A53805"/>
    <w:rsid w:val="00A53A12"/>
    <w:rsid w:val="00A53BD7"/>
    <w:rsid w:val="00A53CCB"/>
    <w:rsid w:val="00A54AD9"/>
    <w:rsid w:val="00A54B2F"/>
    <w:rsid w:val="00A54E40"/>
    <w:rsid w:val="00A552D3"/>
    <w:rsid w:val="00A552ED"/>
    <w:rsid w:val="00A5649A"/>
    <w:rsid w:val="00A564D7"/>
    <w:rsid w:val="00A56B6A"/>
    <w:rsid w:val="00A578DC"/>
    <w:rsid w:val="00A606FD"/>
    <w:rsid w:val="00A60944"/>
    <w:rsid w:val="00A6116B"/>
    <w:rsid w:val="00A61E73"/>
    <w:rsid w:val="00A62289"/>
    <w:rsid w:val="00A625B3"/>
    <w:rsid w:val="00A626AA"/>
    <w:rsid w:val="00A6310F"/>
    <w:rsid w:val="00A640E2"/>
    <w:rsid w:val="00A6427F"/>
    <w:rsid w:val="00A64D65"/>
    <w:rsid w:val="00A655EA"/>
    <w:rsid w:val="00A658ED"/>
    <w:rsid w:val="00A6591F"/>
    <w:rsid w:val="00A65AE3"/>
    <w:rsid w:val="00A668AA"/>
    <w:rsid w:val="00A66937"/>
    <w:rsid w:val="00A66EB1"/>
    <w:rsid w:val="00A670EA"/>
    <w:rsid w:val="00A6715B"/>
    <w:rsid w:val="00A6725B"/>
    <w:rsid w:val="00A67B1A"/>
    <w:rsid w:val="00A67B37"/>
    <w:rsid w:val="00A67D6B"/>
    <w:rsid w:val="00A70167"/>
    <w:rsid w:val="00A702AF"/>
    <w:rsid w:val="00A703CA"/>
    <w:rsid w:val="00A70429"/>
    <w:rsid w:val="00A7043B"/>
    <w:rsid w:val="00A70605"/>
    <w:rsid w:val="00A708AD"/>
    <w:rsid w:val="00A70E7D"/>
    <w:rsid w:val="00A713B2"/>
    <w:rsid w:val="00A714C9"/>
    <w:rsid w:val="00A71827"/>
    <w:rsid w:val="00A71886"/>
    <w:rsid w:val="00A71E78"/>
    <w:rsid w:val="00A72009"/>
    <w:rsid w:val="00A7225E"/>
    <w:rsid w:val="00A725B0"/>
    <w:rsid w:val="00A73134"/>
    <w:rsid w:val="00A73253"/>
    <w:rsid w:val="00A7403F"/>
    <w:rsid w:val="00A74DF5"/>
    <w:rsid w:val="00A75506"/>
    <w:rsid w:val="00A759E6"/>
    <w:rsid w:val="00A76001"/>
    <w:rsid w:val="00A76BAB"/>
    <w:rsid w:val="00A76C6C"/>
    <w:rsid w:val="00A76E1F"/>
    <w:rsid w:val="00A77568"/>
    <w:rsid w:val="00A77590"/>
    <w:rsid w:val="00A777B2"/>
    <w:rsid w:val="00A777BB"/>
    <w:rsid w:val="00A7793A"/>
    <w:rsid w:val="00A77F32"/>
    <w:rsid w:val="00A80714"/>
    <w:rsid w:val="00A80C81"/>
    <w:rsid w:val="00A81E8A"/>
    <w:rsid w:val="00A82026"/>
    <w:rsid w:val="00A824AB"/>
    <w:rsid w:val="00A825D4"/>
    <w:rsid w:val="00A828E3"/>
    <w:rsid w:val="00A828F6"/>
    <w:rsid w:val="00A82B73"/>
    <w:rsid w:val="00A83050"/>
    <w:rsid w:val="00A83CE7"/>
    <w:rsid w:val="00A84473"/>
    <w:rsid w:val="00A858BB"/>
    <w:rsid w:val="00A85C9B"/>
    <w:rsid w:val="00A86196"/>
    <w:rsid w:val="00A8684C"/>
    <w:rsid w:val="00A869C7"/>
    <w:rsid w:val="00A86A75"/>
    <w:rsid w:val="00A86C4F"/>
    <w:rsid w:val="00A86C65"/>
    <w:rsid w:val="00A86E8B"/>
    <w:rsid w:val="00A870CA"/>
    <w:rsid w:val="00A87115"/>
    <w:rsid w:val="00A87164"/>
    <w:rsid w:val="00A878DA"/>
    <w:rsid w:val="00A9182F"/>
    <w:rsid w:val="00A91B76"/>
    <w:rsid w:val="00A91C16"/>
    <w:rsid w:val="00A91C9C"/>
    <w:rsid w:val="00A92D8B"/>
    <w:rsid w:val="00A93072"/>
    <w:rsid w:val="00A938BD"/>
    <w:rsid w:val="00A93953"/>
    <w:rsid w:val="00A93F1D"/>
    <w:rsid w:val="00A93FA1"/>
    <w:rsid w:val="00A93FCC"/>
    <w:rsid w:val="00A94AC9"/>
    <w:rsid w:val="00A94DEA"/>
    <w:rsid w:val="00A94DEB"/>
    <w:rsid w:val="00A959D8"/>
    <w:rsid w:val="00A95C42"/>
    <w:rsid w:val="00A9612A"/>
    <w:rsid w:val="00A96179"/>
    <w:rsid w:val="00A96209"/>
    <w:rsid w:val="00A97339"/>
    <w:rsid w:val="00A9776A"/>
    <w:rsid w:val="00A977E7"/>
    <w:rsid w:val="00A97E11"/>
    <w:rsid w:val="00AA05E6"/>
    <w:rsid w:val="00AA0BA8"/>
    <w:rsid w:val="00AA10A8"/>
    <w:rsid w:val="00AA113D"/>
    <w:rsid w:val="00AA14F4"/>
    <w:rsid w:val="00AA1F64"/>
    <w:rsid w:val="00AA2007"/>
    <w:rsid w:val="00AA2171"/>
    <w:rsid w:val="00AA2C67"/>
    <w:rsid w:val="00AA3964"/>
    <w:rsid w:val="00AA40F8"/>
    <w:rsid w:val="00AA502A"/>
    <w:rsid w:val="00AA5DC1"/>
    <w:rsid w:val="00AA656F"/>
    <w:rsid w:val="00AA6901"/>
    <w:rsid w:val="00AA6BD5"/>
    <w:rsid w:val="00AA6BD8"/>
    <w:rsid w:val="00AA6C7D"/>
    <w:rsid w:val="00AA6CFC"/>
    <w:rsid w:val="00AA6DBC"/>
    <w:rsid w:val="00AA7B28"/>
    <w:rsid w:val="00AA7B87"/>
    <w:rsid w:val="00AA7FC5"/>
    <w:rsid w:val="00AA7FD6"/>
    <w:rsid w:val="00AB0092"/>
    <w:rsid w:val="00AB03EE"/>
    <w:rsid w:val="00AB042A"/>
    <w:rsid w:val="00AB0486"/>
    <w:rsid w:val="00AB0AF0"/>
    <w:rsid w:val="00AB0E8C"/>
    <w:rsid w:val="00AB1167"/>
    <w:rsid w:val="00AB19EF"/>
    <w:rsid w:val="00AB1CC2"/>
    <w:rsid w:val="00AB1F6E"/>
    <w:rsid w:val="00AB2B7E"/>
    <w:rsid w:val="00AB2D34"/>
    <w:rsid w:val="00AB2F49"/>
    <w:rsid w:val="00AB3045"/>
    <w:rsid w:val="00AB3224"/>
    <w:rsid w:val="00AB3430"/>
    <w:rsid w:val="00AB37B9"/>
    <w:rsid w:val="00AB3A81"/>
    <w:rsid w:val="00AB40E9"/>
    <w:rsid w:val="00AB41D0"/>
    <w:rsid w:val="00AB4401"/>
    <w:rsid w:val="00AB46DB"/>
    <w:rsid w:val="00AB4AD1"/>
    <w:rsid w:val="00AB4C32"/>
    <w:rsid w:val="00AB5019"/>
    <w:rsid w:val="00AB511F"/>
    <w:rsid w:val="00AB570F"/>
    <w:rsid w:val="00AB57D5"/>
    <w:rsid w:val="00AB5E07"/>
    <w:rsid w:val="00AB6177"/>
    <w:rsid w:val="00AB6BAE"/>
    <w:rsid w:val="00AB7CFA"/>
    <w:rsid w:val="00AB7F75"/>
    <w:rsid w:val="00AC0414"/>
    <w:rsid w:val="00AC05B8"/>
    <w:rsid w:val="00AC0800"/>
    <w:rsid w:val="00AC17C0"/>
    <w:rsid w:val="00AC20F8"/>
    <w:rsid w:val="00AC2A62"/>
    <w:rsid w:val="00AC2FE4"/>
    <w:rsid w:val="00AC3215"/>
    <w:rsid w:val="00AC347B"/>
    <w:rsid w:val="00AC3E8A"/>
    <w:rsid w:val="00AC423B"/>
    <w:rsid w:val="00AC4D82"/>
    <w:rsid w:val="00AC52A2"/>
    <w:rsid w:val="00AC5740"/>
    <w:rsid w:val="00AC5B48"/>
    <w:rsid w:val="00AC5B63"/>
    <w:rsid w:val="00AC68A2"/>
    <w:rsid w:val="00AD0258"/>
    <w:rsid w:val="00AD0D00"/>
    <w:rsid w:val="00AD1450"/>
    <w:rsid w:val="00AD19CB"/>
    <w:rsid w:val="00AD1A5C"/>
    <w:rsid w:val="00AD1DC2"/>
    <w:rsid w:val="00AD3660"/>
    <w:rsid w:val="00AD37DB"/>
    <w:rsid w:val="00AD3E75"/>
    <w:rsid w:val="00AD3F71"/>
    <w:rsid w:val="00AD41F5"/>
    <w:rsid w:val="00AD4D39"/>
    <w:rsid w:val="00AD576F"/>
    <w:rsid w:val="00AD57C6"/>
    <w:rsid w:val="00AD613B"/>
    <w:rsid w:val="00AD6155"/>
    <w:rsid w:val="00AD6502"/>
    <w:rsid w:val="00AD683C"/>
    <w:rsid w:val="00AD6C22"/>
    <w:rsid w:val="00AD6C7E"/>
    <w:rsid w:val="00AD710D"/>
    <w:rsid w:val="00AD74B5"/>
    <w:rsid w:val="00AD755E"/>
    <w:rsid w:val="00AD7779"/>
    <w:rsid w:val="00AD7EAC"/>
    <w:rsid w:val="00AE0695"/>
    <w:rsid w:val="00AE081E"/>
    <w:rsid w:val="00AE0F9A"/>
    <w:rsid w:val="00AE13D4"/>
    <w:rsid w:val="00AE15C3"/>
    <w:rsid w:val="00AE1BFB"/>
    <w:rsid w:val="00AE1EB0"/>
    <w:rsid w:val="00AE2718"/>
    <w:rsid w:val="00AE278D"/>
    <w:rsid w:val="00AE3136"/>
    <w:rsid w:val="00AE37F3"/>
    <w:rsid w:val="00AE3AFD"/>
    <w:rsid w:val="00AE3E7E"/>
    <w:rsid w:val="00AE436A"/>
    <w:rsid w:val="00AE4947"/>
    <w:rsid w:val="00AE56E2"/>
    <w:rsid w:val="00AE5C1A"/>
    <w:rsid w:val="00AE60F8"/>
    <w:rsid w:val="00AE63DB"/>
    <w:rsid w:val="00AE680A"/>
    <w:rsid w:val="00AE68AC"/>
    <w:rsid w:val="00AE6988"/>
    <w:rsid w:val="00AE6BBF"/>
    <w:rsid w:val="00AE74C3"/>
    <w:rsid w:val="00AE7E06"/>
    <w:rsid w:val="00AF02BF"/>
    <w:rsid w:val="00AF03AC"/>
    <w:rsid w:val="00AF0422"/>
    <w:rsid w:val="00AF0908"/>
    <w:rsid w:val="00AF0A9C"/>
    <w:rsid w:val="00AF1315"/>
    <w:rsid w:val="00AF19BF"/>
    <w:rsid w:val="00AF1E94"/>
    <w:rsid w:val="00AF2038"/>
    <w:rsid w:val="00AF2441"/>
    <w:rsid w:val="00AF2AF3"/>
    <w:rsid w:val="00AF2BEE"/>
    <w:rsid w:val="00AF2DC3"/>
    <w:rsid w:val="00AF37A8"/>
    <w:rsid w:val="00AF388C"/>
    <w:rsid w:val="00AF38D9"/>
    <w:rsid w:val="00AF44B5"/>
    <w:rsid w:val="00AF471B"/>
    <w:rsid w:val="00AF5A58"/>
    <w:rsid w:val="00AF5E45"/>
    <w:rsid w:val="00AF6606"/>
    <w:rsid w:val="00AF6BBF"/>
    <w:rsid w:val="00AF77A0"/>
    <w:rsid w:val="00B00D79"/>
    <w:rsid w:val="00B015F1"/>
    <w:rsid w:val="00B017BD"/>
    <w:rsid w:val="00B021A9"/>
    <w:rsid w:val="00B02DA9"/>
    <w:rsid w:val="00B033E5"/>
    <w:rsid w:val="00B03A63"/>
    <w:rsid w:val="00B03EC1"/>
    <w:rsid w:val="00B049D4"/>
    <w:rsid w:val="00B058B6"/>
    <w:rsid w:val="00B05918"/>
    <w:rsid w:val="00B05961"/>
    <w:rsid w:val="00B0619D"/>
    <w:rsid w:val="00B0633B"/>
    <w:rsid w:val="00B063DC"/>
    <w:rsid w:val="00B06820"/>
    <w:rsid w:val="00B06986"/>
    <w:rsid w:val="00B06DDB"/>
    <w:rsid w:val="00B073EC"/>
    <w:rsid w:val="00B07586"/>
    <w:rsid w:val="00B07BB1"/>
    <w:rsid w:val="00B10666"/>
    <w:rsid w:val="00B1143F"/>
    <w:rsid w:val="00B11DF7"/>
    <w:rsid w:val="00B11ED8"/>
    <w:rsid w:val="00B12304"/>
    <w:rsid w:val="00B1235B"/>
    <w:rsid w:val="00B1276E"/>
    <w:rsid w:val="00B127A4"/>
    <w:rsid w:val="00B12AE6"/>
    <w:rsid w:val="00B12BDB"/>
    <w:rsid w:val="00B12C35"/>
    <w:rsid w:val="00B1401A"/>
    <w:rsid w:val="00B142F5"/>
    <w:rsid w:val="00B148DD"/>
    <w:rsid w:val="00B155A1"/>
    <w:rsid w:val="00B15774"/>
    <w:rsid w:val="00B15E79"/>
    <w:rsid w:val="00B16831"/>
    <w:rsid w:val="00B16AC6"/>
    <w:rsid w:val="00B16B05"/>
    <w:rsid w:val="00B16C9F"/>
    <w:rsid w:val="00B1749E"/>
    <w:rsid w:val="00B201A4"/>
    <w:rsid w:val="00B201D1"/>
    <w:rsid w:val="00B2067F"/>
    <w:rsid w:val="00B206EF"/>
    <w:rsid w:val="00B20ABD"/>
    <w:rsid w:val="00B213A6"/>
    <w:rsid w:val="00B21C9C"/>
    <w:rsid w:val="00B220C3"/>
    <w:rsid w:val="00B22A06"/>
    <w:rsid w:val="00B22E96"/>
    <w:rsid w:val="00B232A4"/>
    <w:rsid w:val="00B235B0"/>
    <w:rsid w:val="00B24045"/>
    <w:rsid w:val="00B24321"/>
    <w:rsid w:val="00B24DF6"/>
    <w:rsid w:val="00B24E98"/>
    <w:rsid w:val="00B25A9C"/>
    <w:rsid w:val="00B25FF8"/>
    <w:rsid w:val="00B266E5"/>
    <w:rsid w:val="00B26749"/>
    <w:rsid w:val="00B2678A"/>
    <w:rsid w:val="00B268AB"/>
    <w:rsid w:val="00B26AB2"/>
    <w:rsid w:val="00B27CF3"/>
    <w:rsid w:val="00B30093"/>
    <w:rsid w:val="00B3089A"/>
    <w:rsid w:val="00B30C00"/>
    <w:rsid w:val="00B31BC6"/>
    <w:rsid w:val="00B32167"/>
    <w:rsid w:val="00B32DA4"/>
    <w:rsid w:val="00B3344A"/>
    <w:rsid w:val="00B3374C"/>
    <w:rsid w:val="00B3381F"/>
    <w:rsid w:val="00B3419A"/>
    <w:rsid w:val="00B344BD"/>
    <w:rsid w:val="00B347D7"/>
    <w:rsid w:val="00B34E17"/>
    <w:rsid w:val="00B34FE2"/>
    <w:rsid w:val="00B35147"/>
    <w:rsid w:val="00B35166"/>
    <w:rsid w:val="00B35348"/>
    <w:rsid w:val="00B357D8"/>
    <w:rsid w:val="00B35E74"/>
    <w:rsid w:val="00B360F4"/>
    <w:rsid w:val="00B3645A"/>
    <w:rsid w:val="00B366FE"/>
    <w:rsid w:val="00B369D5"/>
    <w:rsid w:val="00B36A00"/>
    <w:rsid w:val="00B36CB4"/>
    <w:rsid w:val="00B37101"/>
    <w:rsid w:val="00B3773C"/>
    <w:rsid w:val="00B37BFC"/>
    <w:rsid w:val="00B37E2B"/>
    <w:rsid w:val="00B37E6C"/>
    <w:rsid w:val="00B40358"/>
    <w:rsid w:val="00B407F4"/>
    <w:rsid w:val="00B40C9C"/>
    <w:rsid w:val="00B40ECF"/>
    <w:rsid w:val="00B41614"/>
    <w:rsid w:val="00B4166D"/>
    <w:rsid w:val="00B424FC"/>
    <w:rsid w:val="00B42851"/>
    <w:rsid w:val="00B42A8C"/>
    <w:rsid w:val="00B42F80"/>
    <w:rsid w:val="00B430BD"/>
    <w:rsid w:val="00B43125"/>
    <w:rsid w:val="00B435CB"/>
    <w:rsid w:val="00B43622"/>
    <w:rsid w:val="00B43A14"/>
    <w:rsid w:val="00B43D0C"/>
    <w:rsid w:val="00B43EE7"/>
    <w:rsid w:val="00B442F2"/>
    <w:rsid w:val="00B44388"/>
    <w:rsid w:val="00B446FE"/>
    <w:rsid w:val="00B44C74"/>
    <w:rsid w:val="00B44F5F"/>
    <w:rsid w:val="00B4536A"/>
    <w:rsid w:val="00B455BC"/>
    <w:rsid w:val="00B45889"/>
    <w:rsid w:val="00B460F7"/>
    <w:rsid w:val="00B476E9"/>
    <w:rsid w:val="00B47F55"/>
    <w:rsid w:val="00B505C8"/>
    <w:rsid w:val="00B50DB8"/>
    <w:rsid w:val="00B50E8E"/>
    <w:rsid w:val="00B50EA4"/>
    <w:rsid w:val="00B5132A"/>
    <w:rsid w:val="00B513EE"/>
    <w:rsid w:val="00B5147F"/>
    <w:rsid w:val="00B5168F"/>
    <w:rsid w:val="00B51E23"/>
    <w:rsid w:val="00B52DB1"/>
    <w:rsid w:val="00B52E3F"/>
    <w:rsid w:val="00B53654"/>
    <w:rsid w:val="00B537C0"/>
    <w:rsid w:val="00B53905"/>
    <w:rsid w:val="00B544B4"/>
    <w:rsid w:val="00B5483C"/>
    <w:rsid w:val="00B54B5B"/>
    <w:rsid w:val="00B54C3D"/>
    <w:rsid w:val="00B551BA"/>
    <w:rsid w:val="00B5562E"/>
    <w:rsid w:val="00B55D65"/>
    <w:rsid w:val="00B55E89"/>
    <w:rsid w:val="00B56511"/>
    <w:rsid w:val="00B56623"/>
    <w:rsid w:val="00B56929"/>
    <w:rsid w:val="00B56DDC"/>
    <w:rsid w:val="00B57000"/>
    <w:rsid w:val="00B575AF"/>
    <w:rsid w:val="00B579F6"/>
    <w:rsid w:val="00B57D7E"/>
    <w:rsid w:val="00B6006F"/>
    <w:rsid w:val="00B60939"/>
    <w:rsid w:val="00B60AFD"/>
    <w:rsid w:val="00B60E15"/>
    <w:rsid w:val="00B6156E"/>
    <w:rsid w:val="00B62296"/>
    <w:rsid w:val="00B624F8"/>
    <w:rsid w:val="00B62715"/>
    <w:rsid w:val="00B62C4A"/>
    <w:rsid w:val="00B62DF4"/>
    <w:rsid w:val="00B63072"/>
    <w:rsid w:val="00B630F7"/>
    <w:rsid w:val="00B63CD5"/>
    <w:rsid w:val="00B64284"/>
    <w:rsid w:val="00B650D6"/>
    <w:rsid w:val="00B65611"/>
    <w:rsid w:val="00B65C7B"/>
    <w:rsid w:val="00B6659A"/>
    <w:rsid w:val="00B66859"/>
    <w:rsid w:val="00B671BA"/>
    <w:rsid w:val="00B6721F"/>
    <w:rsid w:val="00B67AAE"/>
    <w:rsid w:val="00B67FC7"/>
    <w:rsid w:val="00B70188"/>
    <w:rsid w:val="00B7028D"/>
    <w:rsid w:val="00B70517"/>
    <w:rsid w:val="00B705F3"/>
    <w:rsid w:val="00B70E8E"/>
    <w:rsid w:val="00B7134F"/>
    <w:rsid w:val="00B71770"/>
    <w:rsid w:val="00B71A4C"/>
    <w:rsid w:val="00B72AF9"/>
    <w:rsid w:val="00B73C9B"/>
    <w:rsid w:val="00B73E20"/>
    <w:rsid w:val="00B74B32"/>
    <w:rsid w:val="00B75407"/>
    <w:rsid w:val="00B75ADC"/>
    <w:rsid w:val="00B75E3F"/>
    <w:rsid w:val="00B75E92"/>
    <w:rsid w:val="00B76C92"/>
    <w:rsid w:val="00B76CC4"/>
    <w:rsid w:val="00B76F8E"/>
    <w:rsid w:val="00B77095"/>
    <w:rsid w:val="00B77C80"/>
    <w:rsid w:val="00B77CD3"/>
    <w:rsid w:val="00B80020"/>
    <w:rsid w:val="00B807BF"/>
    <w:rsid w:val="00B81590"/>
    <w:rsid w:val="00B818A4"/>
    <w:rsid w:val="00B8203E"/>
    <w:rsid w:val="00B83169"/>
    <w:rsid w:val="00B83295"/>
    <w:rsid w:val="00B836F5"/>
    <w:rsid w:val="00B83ACD"/>
    <w:rsid w:val="00B83C5B"/>
    <w:rsid w:val="00B83EC4"/>
    <w:rsid w:val="00B84117"/>
    <w:rsid w:val="00B841FE"/>
    <w:rsid w:val="00B84511"/>
    <w:rsid w:val="00B85036"/>
    <w:rsid w:val="00B8505C"/>
    <w:rsid w:val="00B85883"/>
    <w:rsid w:val="00B858F0"/>
    <w:rsid w:val="00B85AA2"/>
    <w:rsid w:val="00B8649C"/>
    <w:rsid w:val="00B8695D"/>
    <w:rsid w:val="00B86CF5"/>
    <w:rsid w:val="00B871C3"/>
    <w:rsid w:val="00B87DFB"/>
    <w:rsid w:val="00B87F0A"/>
    <w:rsid w:val="00B905F3"/>
    <w:rsid w:val="00B90903"/>
    <w:rsid w:val="00B90D39"/>
    <w:rsid w:val="00B90DFF"/>
    <w:rsid w:val="00B91881"/>
    <w:rsid w:val="00B91CD5"/>
    <w:rsid w:val="00B921CD"/>
    <w:rsid w:val="00B9264D"/>
    <w:rsid w:val="00B92B39"/>
    <w:rsid w:val="00B92D0B"/>
    <w:rsid w:val="00B93359"/>
    <w:rsid w:val="00B94945"/>
    <w:rsid w:val="00B949EC"/>
    <w:rsid w:val="00B94DD6"/>
    <w:rsid w:val="00B94EAE"/>
    <w:rsid w:val="00B94FAB"/>
    <w:rsid w:val="00B95230"/>
    <w:rsid w:val="00B95C45"/>
    <w:rsid w:val="00B95F09"/>
    <w:rsid w:val="00B965B4"/>
    <w:rsid w:val="00B96C3C"/>
    <w:rsid w:val="00B971FC"/>
    <w:rsid w:val="00B978BB"/>
    <w:rsid w:val="00BA0105"/>
    <w:rsid w:val="00BA01B7"/>
    <w:rsid w:val="00BA0696"/>
    <w:rsid w:val="00BA1768"/>
    <w:rsid w:val="00BA19FC"/>
    <w:rsid w:val="00BA1C87"/>
    <w:rsid w:val="00BA1CEF"/>
    <w:rsid w:val="00BA232B"/>
    <w:rsid w:val="00BA2481"/>
    <w:rsid w:val="00BA2A0B"/>
    <w:rsid w:val="00BA322D"/>
    <w:rsid w:val="00BA3279"/>
    <w:rsid w:val="00BA3320"/>
    <w:rsid w:val="00BA3F96"/>
    <w:rsid w:val="00BA4EC9"/>
    <w:rsid w:val="00BA534F"/>
    <w:rsid w:val="00BA5E7E"/>
    <w:rsid w:val="00BA60F6"/>
    <w:rsid w:val="00BA63D1"/>
    <w:rsid w:val="00BA63FA"/>
    <w:rsid w:val="00BA689D"/>
    <w:rsid w:val="00BA6E5B"/>
    <w:rsid w:val="00BA6F64"/>
    <w:rsid w:val="00BA7C91"/>
    <w:rsid w:val="00BA7DD2"/>
    <w:rsid w:val="00BB00B3"/>
    <w:rsid w:val="00BB05F2"/>
    <w:rsid w:val="00BB06FE"/>
    <w:rsid w:val="00BB0BDD"/>
    <w:rsid w:val="00BB0E0A"/>
    <w:rsid w:val="00BB176C"/>
    <w:rsid w:val="00BB1A97"/>
    <w:rsid w:val="00BB2128"/>
    <w:rsid w:val="00BB291F"/>
    <w:rsid w:val="00BB2A73"/>
    <w:rsid w:val="00BB2DCD"/>
    <w:rsid w:val="00BB2EB8"/>
    <w:rsid w:val="00BB3A45"/>
    <w:rsid w:val="00BB412A"/>
    <w:rsid w:val="00BB416D"/>
    <w:rsid w:val="00BB47D8"/>
    <w:rsid w:val="00BB4932"/>
    <w:rsid w:val="00BB4957"/>
    <w:rsid w:val="00BB4ACC"/>
    <w:rsid w:val="00BB4DD2"/>
    <w:rsid w:val="00BB5C0A"/>
    <w:rsid w:val="00BB5D3F"/>
    <w:rsid w:val="00BB5F75"/>
    <w:rsid w:val="00BB61C5"/>
    <w:rsid w:val="00BB64FD"/>
    <w:rsid w:val="00BB68C7"/>
    <w:rsid w:val="00BB6C86"/>
    <w:rsid w:val="00BB703E"/>
    <w:rsid w:val="00BB71F2"/>
    <w:rsid w:val="00BB72E1"/>
    <w:rsid w:val="00BB732D"/>
    <w:rsid w:val="00BB7405"/>
    <w:rsid w:val="00BB7478"/>
    <w:rsid w:val="00BB7949"/>
    <w:rsid w:val="00BB7E52"/>
    <w:rsid w:val="00BC02F5"/>
    <w:rsid w:val="00BC09CA"/>
    <w:rsid w:val="00BC0B95"/>
    <w:rsid w:val="00BC105F"/>
    <w:rsid w:val="00BC1E71"/>
    <w:rsid w:val="00BC2839"/>
    <w:rsid w:val="00BC2A4E"/>
    <w:rsid w:val="00BC30A5"/>
    <w:rsid w:val="00BC320A"/>
    <w:rsid w:val="00BC3631"/>
    <w:rsid w:val="00BC3D9C"/>
    <w:rsid w:val="00BC3FEE"/>
    <w:rsid w:val="00BC4209"/>
    <w:rsid w:val="00BC4463"/>
    <w:rsid w:val="00BC4F55"/>
    <w:rsid w:val="00BC591F"/>
    <w:rsid w:val="00BC5933"/>
    <w:rsid w:val="00BC59C0"/>
    <w:rsid w:val="00BC5B4A"/>
    <w:rsid w:val="00BC5BB7"/>
    <w:rsid w:val="00BC5F68"/>
    <w:rsid w:val="00BC6B82"/>
    <w:rsid w:val="00BC72D4"/>
    <w:rsid w:val="00BC7D6D"/>
    <w:rsid w:val="00BD0792"/>
    <w:rsid w:val="00BD0DAE"/>
    <w:rsid w:val="00BD0E50"/>
    <w:rsid w:val="00BD12E5"/>
    <w:rsid w:val="00BD1409"/>
    <w:rsid w:val="00BD1446"/>
    <w:rsid w:val="00BD1AE9"/>
    <w:rsid w:val="00BD2108"/>
    <w:rsid w:val="00BD2218"/>
    <w:rsid w:val="00BD2408"/>
    <w:rsid w:val="00BD28AA"/>
    <w:rsid w:val="00BD2B61"/>
    <w:rsid w:val="00BD3F2E"/>
    <w:rsid w:val="00BD4350"/>
    <w:rsid w:val="00BD44ED"/>
    <w:rsid w:val="00BD4C12"/>
    <w:rsid w:val="00BD64DB"/>
    <w:rsid w:val="00BD68A3"/>
    <w:rsid w:val="00BD6938"/>
    <w:rsid w:val="00BD6CF3"/>
    <w:rsid w:val="00BD6EA1"/>
    <w:rsid w:val="00BD6F38"/>
    <w:rsid w:val="00BD7761"/>
    <w:rsid w:val="00BD7975"/>
    <w:rsid w:val="00BE02B5"/>
    <w:rsid w:val="00BE03EB"/>
    <w:rsid w:val="00BE0795"/>
    <w:rsid w:val="00BE0ECA"/>
    <w:rsid w:val="00BE199A"/>
    <w:rsid w:val="00BE2180"/>
    <w:rsid w:val="00BE21F2"/>
    <w:rsid w:val="00BE2221"/>
    <w:rsid w:val="00BE238F"/>
    <w:rsid w:val="00BE3F82"/>
    <w:rsid w:val="00BE3F9E"/>
    <w:rsid w:val="00BE4275"/>
    <w:rsid w:val="00BE4304"/>
    <w:rsid w:val="00BE43CA"/>
    <w:rsid w:val="00BE443F"/>
    <w:rsid w:val="00BE44BC"/>
    <w:rsid w:val="00BE5047"/>
    <w:rsid w:val="00BE514D"/>
    <w:rsid w:val="00BE5542"/>
    <w:rsid w:val="00BE57F8"/>
    <w:rsid w:val="00BE5896"/>
    <w:rsid w:val="00BE5FD4"/>
    <w:rsid w:val="00BE647F"/>
    <w:rsid w:val="00BE692F"/>
    <w:rsid w:val="00BE7553"/>
    <w:rsid w:val="00BE77C6"/>
    <w:rsid w:val="00BE7F91"/>
    <w:rsid w:val="00BF06AE"/>
    <w:rsid w:val="00BF0B14"/>
    <w:rsid w:val="00BF0F95"/>
    <w:rsid w:val="00BF1187"/>
    <w:rsid w:val="00BF181E"/>
    <w:rsid w:val="00BF1B95"/>
    <w:rsid w:val="00BF1E11"/>
    <w:rsid w:val="00BF1E35"/>
    <w:rsid w:val="00BF2030"/>
    <w:rsid w:val="00BF2433"/>
    <w:rsid w:val="00BF257B"/>
    <w:rsid w:val="00BF3457"/>
    <w:rsid w:val="00BF3759"/>
    <w:rsid w:val="00BF37C9"/>
    <w:rsid w:val="00BF4357"/>
    <w:rsid w:val="00BF458A"/>
    <w:rsid w:val="00BF471A"/>
    <w:rsid w:val="00BF4EB0"/>
    <w:rsid w:val="00BF54F3"/>
    <w:rsid w:val="00BF61C9"/>
    <w:rsid w:val="00BF66FF"/>
    <w:rsid w:val="00BF678F"/>
    <w:rsid w:val="00BF68D2"/>
    <w:rsid w:val="00BF6C94"/>
    <w:rsid w:val="00BF7234"/>
    <w:rsid w:val="00C002D0"/>
    <w:rsid w:val="00C00424"/>
    <w:rsid w:val="00C00771"/>
    <w:rsid w:val="00C008A8"/>
    <w:rsid w:val="00C015C4"/>
    <w:rsid w:val="00C0226A"/>
    <w:rsid w:val="00C02374"/>
    <w:rsid w:val="00C029A3"/>
    <w:rsid w:val="00C040AD"/>
    <w:rsid w:val="00C04136"/>
    <w:rsid w:val="00C04253"/>
    <w:rsid w:val="00C0445F"/>
    <w:rsid w:val="00C056B8"/>
    <w:rsid w:val="00C0590D"/>
    <w:rsid w:val="00C05DA2"/>
    <w:rsid w:val="00C06218"/>
    <w:rsid w:val="00C06361"/>
    <w:rsid w:val="00C06723"/>
    <w:rsid w:val="00C07EAD"/>
    <w:rsid w:val="00C1024C"/>
    <w:rsid w:val="00C112D0"/>
    <w:rsid w:val="00C114E8"/>
    <w:rsid w:val="00C1170C"/>
    <w:rsid w:val="00C1179F"/>
    <w:rsid w:val="00C11A9E"/>
    <w:rsid w:val="00C1225C"/>
    <w:rsid w:val="00C12C14"/>
    <w:rsid w:val="00C12F1D"/>
    <w:rsid w:val="00C13332"/>
    <w:rsid w:val="00C13B79"/>
    <w:rsid w:val="00C14289"/>
    <w:rsid w:val="00C142E7"/>
    <w:rsid w:val="00C14432"/>
    <w:rsid w:val="00C14CA2"/>
    <w:rsid w:val="00C1596D"/>
    <w:rsid w:val="00C15D20"/>
    <w:rsid w:val="00C15F04"/>
    <w:rsid w:val="00C166C3"/>
    <w:rsid w:val="00C16A3A"/>
    <w:rsid w:val="00C16FD6"/>
    <w:rsid w:val="00C1742E"/>
    <w:rsid w:val="00C17981"/>
    <w:rsid w:val="00C179B3"/>
    <w:rsid w:val="00C17E19"/>
    <w:rsid w:val="00C17E3F"/>
    <w:rsid w:val="00C200AA"/>
    <w:rsid w:val="00C20837"/>
    <w:rsid w:val="00C2116B"/>
    <w:rsid w:val="00C219F6"/>
    <w:rsid w:val="00C22236"/>
    <w:rsid w:val="00C2251D"/>
    <w:rsid w:val="00C22BC1"/>
    <w:rsid w:val="00C22F8D"/>
    <w:rsid w:val="00C236DC"/>
    <w:rsid w:val="00C237ED"/>
    <w:rsid w:val="00C23AA9"/>
    <w:rsid w:val="00C24276"/>
    <w:rsid w:val="00C24632"/>
    <w:rsid w:val="00C24C89"/>
    <w:rsid w:val="00C252CE"/>
    <w:rsid w:val="00C25418"/>
    <w:rsid w:val="00C25D9C"/>
    <w:rsid w:val="00C261AB"/>
    <w:rsid w:val="00C2651D"/>
    <w:rsid w:val="00C2692D"/>
    <w:rsid w:val="00C2778B"/>
    <w:rsid w:val="00C30D25"/>
    <w:rsid w:val="00C31649"/>
    <w:rsid w:val="00C323C9"/>
    <w:rsid w:val="00C326A2"/>
    <w:rsid w:val="00C33256"/>
    <w:rsid w:val="00C3408B"/>
    <w:rsid w:val="00C3434C"/>
    <w:rsid w:val="00C34394"/>
    <w:rsid w:val="00C345CE"/>
    <w:rsid w:val="00C3495A"/>
    <w:rsid w:val="00C3537E"/>
    <w:rsid w:val="00C35690"/>
    <w:rsid w:val="00C361C7"/>
    <w:rsid w:val="00C366BF"/>
    <w:rsid w:val="00C37955"/>
    <w:rsid w:val="00C37EB6"/>
    <w:rsid w:val="00C40385"/>
    <w:rsid w:val="00C415A1"/>
    <w:rsid w:val="00C41768"/>
    <w:rsid w:val="00C42388"/>
    <w:rsid w:val="00C42503"/>
    <w:rsid w:val="00C426A2"/>
    <w:rsid w:val="00C42DB5"/>
    <w:rsid w:val="00C43107"/>
    <w:rsid w:val="00C43895"/>
    <w:rsid w:val="00C445CB"/>
    <w:rsid w:val="00C45586"/>
    <w:rsid w:val="00C4570E"/>
    <w:rsid w:val="00C4588F"/>
    <w:rsid w:val="00C4591E"/>
    <w:rsid w:val="00C45E90"/>
    <w:rsid w:val="00C4613E"/>
    <w:rsid w:val="00C46753"/>
    <w:rsid w:val="00C46D50"/>
    <w:rsid w:val="00C46E7D"/>
    <w:rsid w:val="00C475AA"/>
    <w:rsid w:val="00C475D0"/>
    <w:rsid w:val="00C477D9"/>
    <w:rsid w:val="00C47990"/>
    <w:rsid w:val="00C47A01"/>
    <w:rsid w:val="00C47C0B"/>
    <w:rsid w:val="00C47DAB"/>
    <w:rsid w:val="00C500A8"/>
    <w:rsid w:val="00C50745"/>
    <w:rsid w:val="00C521E0"/>
    <w:rsid w:val="00C5254F"/>
    <w:rsid w:val="00C52F7D"/>
    <w:rsid w:val="00C53C98"/>
    <w:rsid w:val="00C540DE"/>
    <w:rsid w:val="00C54107"/>
    <w:rsid w:val="00C5438E"/>
    <w:rsid w:val="00C54F92"/>
    <w:rsid w:val="00C55488"/>
    <w:rsid w:val="00C556D4"/>
    <w:rsid w:val="00C55895"/>
    <w:rsid w:val="00C55D45"/>
    <w:rsid w:val="00C561BC"/>
    <w:rsid w:val="00C56FCF"/>
    <w:rsid w:val="00C57254"/>
    <w:rsid w:val="00C5730E"/>
    <w:rsid w:val="00C57451"/>
    <w:rsid w:val="00C574D5"/>
    <w:rsid w:val="00C57B6C"/>
    <w:rsid w:val="00C6041B"/>
    <w:rsid w:val="00C60F32"/>
    <w:rsid w:val="00C61347"/>
    <w:rsid w:val="00C61CFB"/>
    <w:rsid w:val="00C6251A"/>
    <w:rsid w:val="00C6269E"/>
    <w:rsid w:val="00C628A6"/>
    <w:rsid w:val="00C6344F"/>
    <w:rsid w:val="00C63AAA"/>
    <w:rsid w:val="00C63EAF"/>
    <w:rsid w:val="00C64160"/>
    <w:rsid w:val="00C64344"/>
    <w:rsid w:val="00C64532"/>
    <w:rsid w:val="00C6493E"/>
    <w:rsid w:val="00C64D33"/>
    <w:rsid w:val="00C65108"/>
    <w:rsid w:val="00C652E8"/>
    <w:rsid w:val="00C65576"/>
    <w:rsid w:val="00C66165"/>
    <w:rsid w:val="00C668BD"/>
    <w:rsid w:val="00C66BDF"/>
    <w:rsid w:val="00C67387"/>
    <w:rsid w:val="00C7045C"/>
    <w:rsid w:val="00C7060A"/>
    <w:rsid w:val="00C70A6D"/>
    <w:rsid w:val="00C7151A"/>
    <w:rsid w:val="00C717E3"/>
    <w:rsid w:val="00C71DBF"/>
    <w:rsid w:val="00C71F60"/>
    <w:rsid w:val="00C72241"/>
    <w:rsid w:val="00C72392"/>
    <w:rsid w:val="00C726DB"/>
    <w:rsid w:val="00C72E20"/>
    <w:rsid w:val="00C73128"/>
    <w:rsid w:val="00C735C4"/>
    <w:rsid w:val="00C73709"/>
    <w:rsid w:val="00C737AD"/>
    <w:rsid w:val="00C73A30"/>
    <w:rsid w:val="00C73E3A"/>
    <w:rsid w:val="00C74370"/>
    <w:rsid w:val="00C74871"/>
    <w:rsid w:val="00C750C8"/>
    <w:rsid w:val="00C755C0"/>
    <w:rsid w:val="00C7560F"/>
    <w:rsid w:val="00C75E1A"/>
    <w:rsid w:val="00C76498"/>
    <w:rsid w:val="00C765AC"/>
    <w:rsid w:val="00C76A47"/>
    <w:rsid w:val="00C76DE6"/>
    <w:rsid w:val="00C77392"/>
    <w:rsid w:val="00C77772"/>
    <w:rsid w:val="00C777B2"/>
    <w:rsid w:val="00C77AE8"/>
    <w:rsid w:val="00C77DA3"/>
    <w:rsid w:val="00C77ED1"/>
    <w:rsid w:val="00C802A2"/>
    <w:rsid w:val="00C8035C"/>
    <w:rsid w:val="00C80A0E"/>
    <w:rsid w:val="00C80CA7"/>
    <w:rsid w:val="00C81076"/>
    <w:rsid w:val="00C812AD"/>
    <w:rsid w:val="00C8134E"/>
    <w:rsid w:val="00C8187A"/>
    <w:rsid w:val="00C81F7F"/>
    <w:rsid w:val="00C8213F"/>
    <w:rsid w:val="00C8237C"/>
    <w:rsid w:val="00C828C7"/>
    <w:rsid w:val="00C8379F"/>
    <w:rsid w:val="00C847C6"/>
    <w:rsid w:val="00C84D80"/>
    <w:rsid w:val="00C85154"/>
    <w:rsid w:val="00C851D4"/>
    <w:rsid w:val="00C856E2"/>
    <w:rsid w:val="00C85FFD"/>
    <w:rsid w:val="00C8661F"/>
    <w:rsid w:val="00C86962"/>
    <w:rsid w:val="00C86E8F"/>
    <w:rsid w:val="00C87135"/>
    <w:rsid w:val="00C8797A"/>
    <w:rsid w:val="00C900B8"/>
    <w:rsid w:val="00C9060F"/>
    <w:rsid w:val="00C90C71"/>
    <w:rsid w:val="00C9192A"/>
    <w:rsid w:val="00C91997"/>
    <w:rsid w:val="00C91FD1"/>
    <w:rsid w:val="00C92469"/>
    <w:rsid w:val="00C92D3B"/>
    <w:rsid w:val="00C92F9D"/>
    <w:rsid w:val="00C931CF"/>
    <w:rsid w:val="00C93659"/>
    <w:rsid w:val="00C93768"/>
    <w:rsid w:val="00C938CF"/>
    <w:rsid w:val="00C93E34"/>
    <w:rsid w:val="00C94053"/>
    <w:rsid w:val="00C942E9"/>
    <w:rsid w:val="00C94C0E"/>
    <w:rsid w:val="00C94CFC"/>
    <w:rsid w:val="00C95AB1"/>
    <w:rsid w:val="00C95B11"/>
    <w:rsid w:val="00C9610A"/>
    <w:rsid w:val="00C96129"/>
    <w:rsid w:val="00C9619F"/>
    <w:rsid w:val="00C9624D"/>
    <w:rsid w:val="00C964BC"/>
    <w:rsid w:val="00C96676"/>
    <w:rsid w:val="00C969DA"/>
    <w:rsid w:val="00C96A6A"/>
    <w:rsid w:val="00C971C6"/>
    <w:rsid w:val="00C972D3"/>
    <w:rsid w:val="00C979BC"/>
    <w:rsid w:val="00CA01AB"/>
    <w:rsid w:val="00CA02C2"/>
    <w:rsid w:val="00CA0450"/>
    <w:rsid w:val="00CA0692"/>
    <w:rsid w:val="00CA08BE"/>
    <w:rsid w:val="00CA12FA"/>
    <w:rsid w:val="00CA1B61"/>
    <w:rsid w:val="00CA271B"/>
    <w:rsid w:val="00CA28E0"/>
    <w:rsid w:val="00CA2BDB"/>
    <w:rsid w:val="00CA2C77"/>
    <w:rsid w:val="00CA33B0"/>
    <w:rsid w:val="00CA352A"/>
    <w:rsid w:val="00CA3978"/>
    <w:rsid w:val="00CA3B13"/>
    <w:rsid w:val="00CA3C32"/>
    <w:rsid w:val="00CA3C63"/>
    <w:rsid w:val="00CA3D2A"/>
    <w:rsid w:val="00CA41E3"/>
    <w:rsid w:val="00CA4225"/>
    <w:rsid w:val="00CA444F"/>
    <w:rsid w:val="00CA44D3"/>
    <w:rsid w:val="00CA452C"/>
    <w:rsid w:val="00CA4BD3"/>
    <w:rsid w:val="00CA4F5E"/>
    <w:rsid w:val="00CA4FD4"/>
    <w:rsid w:val="00CA5245"/>
    <w:rsid w:val="00CA60B1"/>
    <w:rsid w:val="00CA6771"/>
    <w:rsid w:val="00CA69CB"/>
    <w:rsid w:val="00CA71F4"/>
    <w:rsid w:val="00CA757D"/>
    <w:rsid w:val="00CA7B09"/>
    <w:rsid w:val="00CB0270"/>
    <w:rsid w:val="00CB0835"/>
    <w:rsid w:val="00CB0C7E"/>
    <w:rsid w:val="00CB0E8E"/>
    <w:rsid w:val="00CB0F14"/>
    <w:rsid w:val="00CB0FBC"/>
    <w:rsid w:val="00CB12A5"/>
    <w:rsid w:val="00CB17B4"/>
    <w:rsid w:val="00CB1885"/>
    <w:rsid w:val="00CB1CAC"/>
    <w:rsid w:val="00CB2503"/>
    <w:rsid w:val="00CB258F"/>
    <w:rsid w:val="00CB292B"/>
    <w:rsid w:val="00CB2F2A"/>
    <w:rsid w:val="00CB31E8"/>
    <w:rsid w:val="00CB417D"/>
    <w:rsid w:val="00CB430C"/>
    <w:rsid w:val="00CB4D5C"/>
    <w:rsid w:val="00CB4E7A"/>
    <w:rsid w:val="00CB5562"/>
    <w:rsid w:val="00CB55B3"/>
    <w:rsid w:val="00CB58AA"/>
    <w:rsid w:val="00CB5B1A"/>
    <w:rsid w:val="00CB5C6D"/>
    <w:rsid w:val="00CB63BE"/>
    <w:rsid w:val="00CB65FB"/>
    <w:rsid w:val="00CB66BD"/>
    <w:rsid w:val="00CB677F"/>
    <w:rsid w:val="00CB69DE"/>
    <w:rsid w:val="00CB6B22"/>
    <w:rsid w:val="00CB6BC4"/>
    <w:rsid w:val="00CB6DAA"/>
    <w:rsid w:val="00CB6E7F"/>
    <w:rsid w:val="00CB715C"/>
    <w:rsid w:val="00CB7AAF"/>
    <w:rsid w:val="00CB7BEF"/>
    <w:rsid w:val="00CB7C50"/>
    <w:rsid w:val="00CB7F5F"/>
    <w:rsid w:val="00CC0051"/>
    <w:rsid w:val="00CC0359"/>
    <w:rsid w:val="00CC0926"/>
    <w:rsid w:val="00CC1192"/>
    <w:rsid w:val="00CC135C"/>
    <w:rsid w:val="00CC18E5"/>
    <w:rsid w:val="00CC1B39"/>
    <w:rsid w:val="00CC2146"/>
    <w:rsid w:val="00CC267A"/>
    <w:rsid w:val="00CC2C16"/>
    <w:rsid w:val="00CC3107"/>
    <w:rsid w:val="00CC35EA"/>
    <w:rsid w:val="00CC3848"/>
    <w:rsid w:val="00CC3E34"/>
    <w:rsid w:val="00CC40A4"/>
    <w:rsid w:val="00CC41E1"/>
    <w:rsid w:val="00CC4A41"/>
    <w:rsid w:val="00CC4A83"/>
    <w:rsid w:val="00CC4DEF"/>
    <w:rsid w:val="00CC5493"/>
    <w:rsid w:val="00CC5C97"/>
    <w:rsid w:val="00CC5D45"/>
    <w:rsid w:val="00CC67AD"/>
    <w:rsid w:val="00CC7358"/>
    <w:rsid w:val="00CC75E5"/>
    <w:rsid w:val="00CD076C"/>
    <w:rsid w:val="00CD08DB"/>
    <w:rsid w:val="00CD0FE5"/>
    <w:rsid w:val="00CD1153"/>
    <w:rsid w:val="00CD255E"/>
    <w:rsid w:val="00CD2DFA"/>
    <w:rsid w:val="00CD3EFE"/>
    <w:rsid w:val="00CD3F77"/>
    <w:rsid w:val="00CD4115"/>
    <w:rsid w:val="00CD4CA5"/>
    <w:rsid w:val="00CD53CA"/>
    <w:rsid w:val="00CD55A1"/>
    <w:rsid w:val="00CD5AC2"/>
    <w:rsid w:val="00CD6ADC"/>
    <w:rsid w:val="00CD7193"/>
    <w:rsid w:val="00CD71E5"/>
    <w:rsid w:val="00CE005D"/>
    <w:rsid w:val="00CE095F"/>
    <w:rsid w:val="00CE143D"/>
    <w:rsid w:val="00CE15EC"/>
    <w:rsid w:val="00CE1990"/>
    <w:rsid w:val="00CE1F09"/>
    <w:rsid w:val="00CE2488"/>
    <w:rsid w:val="00CE2A69"/>
    <w:rsid w:val="00CE2D5A"/>
    <w:rsid w:val="00CE2F58"/>
    <w:rsid w:val="00CE354C"/>
    <w:rsid w:val="00CE38C8"/>
    <w:rsid w:val="00CE3F56"/>
    <w:rsid w:val="00CE4B14"/>
    <w:rsid w:val="00CE502C"/>
    <w:rsid w:val="00CE5282"/>
    <w:rsid w:val="00CE537E"/>
    <w:rsid w:val="00CE5659"/>
    <w:rsid w:val="00CE566A"/>
    <w:rsid w:val="00CE5CFD"/>
    <w:rsid w:val="00CE6214"/>
    <w:rsid w:val="00CE6274"/>
    <w:rsid w:val="00CE6824"/>
    <w:rsid w:val="00CE70E3"/>
    <w:rsid w:val="00CE7331"/>
    <w:rsid w:val="00CE77B6"/>
    <w:rsid w:val="00CE7A09"/>
    <w:rsid w:val="00CE7B8F"/>
    <w:rsid w:val="00CF0553"/>
    <w:rsid w:val="00CF05C2"/>
    <w:rsid w:val="00CF0622"/>
    <w:rsid w:val="00CF08CF"/>
    <w:rsid w:val="00CF094B"/>
    <w:rsid w:val="00CF13E8"/>
    <w:rsid w:val="00CF1578"/>
    <w:rsid w:val="00CF1694"/>
    <w:rsid w:val="00CF16F7"/>
    <w:rsid w:val="00CF1AA7"/>
    <w:rsid w:val="00CF23B7"/>
    <w:rsid w:val="00CF27ED"/>
    <w:rsid w:val="00CF288C"/>
    <w:rsid w:val="00CF2B8D"/>
    <w:rsid w:val="00CF339A"/>
    <w:rsid w:val="00CF35E0"/>
    <w:rsid w:val="00CF3B01"/>
    <w:rsid w:val="00CF43A9"/>
    <w:rsid w:val="00CF456B"/>
    <w:rsid w:val="00CF4A75"/>
    <w:rsid w:val="00CF5070"/>
    <w:rsid w:val="00CF51CF"/>
    <w:rsid w:val="00CF5331"/>
    <w:rsid w:val="00CF5A22"/>
    <w:rsid w:val="00CF6290"/>
    <w:rsid w:val="00CF6BC5"/>
    <w:rsid w:val="00CF764F"/>
    <w:rsid w:val="00CF7DA2"/>
    <w:rsid w:val="00D004B0"/>
    <w:rsid w:val="00D0064A"/>
    <w:rsid w:val="00D01247"/>
    <w:rsid w:val="00D01282"/>
    <w:rsid w:val="00D016F5"/>
    <w:rsid w:val="00D01B3F"/>
    <w:rsid w:val="00D01CB5"/>
    <w:rsid w:val="00D01F31"/>
    <w:rsid w:val="00D0262E"/>
    <w:rsid w:val="00D02805"/>
    <w:rsid w:val="00D03122"/>
    <w:rsid w:val="00D03135"/>
    <w:rsid w:val="00D033B8"/>
    <w:rsid w:val="00D03FE6"/>
    <w:rsid w:val="00D0422F"/>
    <w:rsid w:val="00D0509A"/>
    <w:rsid w:val="00D05D5E"/>
    <w:rsid w:val="00D05E3D"/>
    <w:rsid w:val="00D06139"/>
    <w:rsid w:val="00D06505"/>
    <w:rsid w:val="00D066ED"/>
    <w:rsid w:val="00D06D25"/>
    <w:rsid w:val="00D103E8"/>
    <w:rsid w:val="00D10AC2"/>
    <w:rsid w:val="00D10FA2"/>
    <w:rsid w:val="00D110BD"/>
    <w:rsid w:val="00D11FED"/>
    <w:rsid w:val="00D123D9"/>
    <w:rsid w:val="00D1256F"/>
    <w:rsid w:val="00D128C2"/>
    <w:rsid w:val="00D12FC3"/>
    <w:rsid w:val="00D12FF7"/>
    <w:rsid w:val="00D13121"/>
    <w:rsid w:val="00D13675"/>
    <w:rsid w:val="00D137C1"/>
    <w:rsid w:val="00D13948"/>
    <w:rsid w:val="00D13CD4"/>
    <w:rsid w:val="00D13F43"/>
    <w:rsid w:val="00D141E1"/>
    <w:rsid w:val="00D1438B"/>
    <w:rsid w:val="00D1450C"/>
    <w:rsid w:val="00D15314"/>
    <w:rsid w:val="00D17140"/>
    <w:rsid w:val="00D172FA"/>
    <w:rsid w:val="00D17505"/>
    <w:rsid w:val="00D1797D"/>
    <w:rsid w:val="00D17D6C"/>
    <w:rsid w:val="00D17DF3"/>
    <w:rsid w:val="00D208CD"/>
    <w:rsid w:val="00D209B4"/>
    <w:rsid w:val="00D2155B"/>
    <w:rsid w:val="00D21DA3"/>
    <w:rsid w:val="00D222E1"/>
    <w:rsid w:val="00D22F26"/>
    <w:rsid w:val="00D23342"/>
    <w:rsid w:val="00D23D11"/>
    <w:rsid w:val="00D24035"/>
    <w:rsid w:val="00D244B6"/>
    <w:rsid w:val="00D245F6"/>
    <w:rsid w:val="00D255A2"/>
    <w:rsid w:val="00D26603"/>
    <w:rsid w:val="00D26AD8"/>
    <w:rsid w:val="00D26CAF"/>
    <w:rsid w:val="00D2740D"/>
    <w:rsid w:val="00D2754D"/>
    <w:rsid w:val="00D27B27"/>
    <w:rsid w:val="00D27F20"/>
    <w:rsid w:val="00D27F63"/>
    <w:rsid w:val="00D3001C"/>
    <w:rsid w:val="00D30344"/>
    <w:rsid w:val="00D305A6"/>
    <w:rsid w:val="00D30C10"/>
    <w:rsid w:val="00D30D2F"/>
    <w:rsid w:val="00D32101"/>
    <w:rsid w:val="00D3261D"/>
    <w:rsid w:val="00D33A11"/>
    <w:rsid w:val="00D33BE9"/>
    <w:rsid w:val="00D33DDD"/>
    <w:rsid w:val="00D33F93"/>
    <w:rsid w:val="00D34154"/>
    <w:rsid w:val="00D34763"/>
    <w:rsid w:val="00D34B52"/>
    <w:rsid w:val="00D34BBE"/>
    <w:rsid w:val="00D3579E"/>
    <w:rsid w:val="00D357FF"/>
    <w:rsid w:val="00D3725C"/>
    <w:rsid w:val="00D37933"/>
    <w:rsid w:val="00D37B2C"/>
    <w:rsid w:val="00D40638"/>
    <w:rsid w:val="00D408AE"/>
    <w:rsid w:val="00D40FE3"/>
    <w:rsid w:val="00D4136F"/>
    <w:rsid w:val="00D414A1"/>
    <w:rsid w:val="00D41522"/>
    <w:rsid w:val="00D4172E"/>
    <w:rsid w:val="00D41E02"/>
    <w:rsid w:val="00D4226E"/>
    <w:rsid w:val="00D424C7"/>
    <w:rsid w:val="00D425E0"/>
    <w:rsid w:val="00D42674"/>
    <w:rsid w:val="00D42767"/>
    <w:rsid w:val="00D42B64"/>
    <w:rsid w:val="00D42FC9"/>
    <w:rsid w:val="00D4327D"/>
    <w:rsid w:val="00D43768"/>
    <w:rsid w:val="00D43B2A"/>
    <w:rsid w:val="00D43D83"/>
    <w:rsid w:val="00D43ECA"/>
    <w:rsid w:val="00D43F12"/>
    <w:rsid w:val="00D445D9"/>
    <w:rsid w:val="00D4477D"/>
    <w:rsid w:val="00D44C53"/>
    <w:rsid w:val="00D44FDC"/>
    <w:rsid w:val="00D4535D"/>
    <w:rsid w:val="00D459AB"/>
    <w:rsid w:val="00D45E2D"/>
    <w:rsid w:val="00D4616B"/>
    <w:rsid w:val="00D46331"/>
    <w:rsid w:val="00D467DB"/>
    <w:rsid w:val="00D469F5"/>
    <w:rsid w:val="00D47462"/>
    <w:rsid w:val="00D47575"/>
    <w:rsid w:val="00D4757B"/>
    <w:rsid w:val="00D47C8C"/>
    <w:rsid w:val="00D50BEE"/>
    <w:rsid w:val="00D50D1A"/>
    <w:rsid w:val="00D511E1"/>
    <w:rsid w:val="00D5147B"/>
    <w:rsid w:val="00D5243B"/>
    <w:rsid w:val="00D52A3E"/>
    <w:rsid w:val="00D531BA"/>
    <w:rsid w:val="00D533EC"/>
    <w:rsid w:val="00D534A6"/>
    <w:rsid w:val="00D53CAF"/>
    <w:rsid w:val="00D5488D"/>
    <w:rsid w:val="00D54983"/>
    <w:rsid w:val="00D5504C"/>
    <w:rsid w:val="00D55109"/>
    <w:rsid w:val="00D55ECE"/>
    <w:rsid w:val="00D55F56"/>
    <w:rsid w:val="00D561ED"/>
    <w:rsid w:val="00D56A95"/>
    <w:rsid w:val="00D56D13"/>
    <w:rsid w:val="00D56D99"/>
    <w:rsid w:val="00D606B1"/>
    <w:rsid w:val="00D60AE3"/>
    <w:rsid w:val="00D60B7B"/>
    <w:rsid w:val="00D60E5E"/>
    <w:rsid w:val="00D6173D"/>
    <w:rsid w:val="00D61A32"/>
    <w:rsid w:val="00D63783"/>
    <w:rsid w:val="00D63AFD"/>
    <w:rsid w:val="00D63D32"/>
    <w:rsid w:val="00D646EC"/>
    <w:rsid w:val="00D64ECD"/>
    <w:rsid w:val="00D65577"/>
    <w:rsid w:val="00D65C12"/>
    <w:rsid w:val="00D662DC"/>
    <w:rsid w:val="00D66A32"/>
    <w:rsid w:val="00D66AEA"/>
    <w:rsid w:val="00D676E3"/>
    <w:rsid w:val="00D67C3C"/>
    <w:rsid w:val="00D67D16"/>
    <w:rsid w:val="00D67F42"/>
    <w:rsid w:val="00D70F16"/>
    <w:rsid w:val="00D7102F"/>
    <w:rsid w:val="00D7123C"/>
    <w:rsid w:val="00D71377"/>
    <w:rsid w:val="00D714C6"/>
    <w:rsid w:val="00D71A2D"/>
    <w:rsid w:val="00D72620"/>
    <w:rsid w:val="00D72F57"/>
    <w:rsid w:val="00D734A7"/>
    <w:rsid w:val="00D734C5"/>
    <w:rsid w:val="00D73729"/>
    <w:rsid w:val="00D73A49"/>
    <w:rsid w:val="00D73FBF"/>
    <w:rsid w:val="00D740AC"/>
    <w:rsid w:val="00D740D3"/>
    <w:rsid w:val="00D74429"/>
    <w:rsid w:val="00D74835"/>
    <w:rsid w:val="00D749FE"/>
    <w:rsid w:val="00D74A74"/>
    <w:rsid w:val="00D75703"/>
    <w:rsid w:val="00D75806"/>
    <w:rsid w:val="00D758D2"/>
    <w:rsid w:val="00D75FB2"/>
    <w:rsid w:val="00D75FF7"/>
    <w:rsid w:val="00D76A44"/>
    <w:rsid w:val="00D76DAC"/>
    <w:rsid w:val="00D76FE4"/>
    <w:rsid w:val="00D7710D"/>
    <w:rsid w:val="00D778F1"/>
    <w:rsid w:val="00D77999"/>
    <w:rsid w:val="00D77ECC"/>
    <w:rsid w:val="00D77F99"/>
    <w:rsid w:val="00D80EE0"/>
    <w:rsid w:val="00D80FFC"/>
    <w:rsid w:val="00D8155A"/>
    <w:rsid w:val="00D815EF"/>
    <w:rsid w:val="00D81F26"/>
    <w:rsid w:val="00D825CE"/>
    <w:rsid w:val="00D82892"/>
    <w:rsid w:val="00D82ADF"/>
    <w:rsid w:val="00D82C95"/>
    <w:rsid w:val="00D82E1F"/>
    <w:rsid w:val="00D8310E"/>
    <w:rsid w:val="00D8327E"/>
    <w:rsid w:val="00D833F8"/>
    <w:rsid w:val="00D83CCA"/>
    <w:rsid w:val="00D844D8"/>
    <w:rsid w:val="00D84ACD"/>
    <w:rsid w:val="00D84F5B"/>
    <w:rsid w:val="00D8510B"/>
    <w:rsid w:val="00D852E2"/>
    <w:rsid w:val="00D856F1"/>
    <w:rsid w:val="00D8580F"/>
    <w:rsid w:val="00D86231"/>
    <w:rsid w:val="00D86DA8"/>
    <w:rsid w:val="00D86ED6"/>
    <w:rsid w:val="00D8716F"/>
    <w:rsid w:val="00D9010A"/>
    <w:rsid w:val="00D90C2B"/>
    <w:rsid w:val="00D90C83"/>
    <w:rsid w:val="00D91165"/>
    <w:rsid w:val="00D914E6"/>
    <w:rsid w:val="00D91923"/>
    <w:rsid w:val="00D921DB"/>
    <w:rsid w:val="00D924FC"/>
    <w:rsid w:val="00D9286F"/>
    <w:rsid w:val="00D92EE8"/>
    <w:rsid w:val="00D93753"/>
    <w:rsid w:val="00D93811"/>
    <w:rsid w:val="00D93BAD"/>
    <w:rsid w:val="00D9410A"/>
    <w:rsid w:val="00D9448F"/>
    <w:rsid w:val="00D9449B"/>
    <w:rsid w:val="00D94A0E"/>
    <w:rsid w:val="00D95E01"/>
    <w:rsid w:val="00D96164"/>
    <w:rsid w:val="00D97211"/>
    <w:rsid w:val="00D97BD8"/>
    <w:rsid w:val="00D97CE7"/>
    <w:rsid w:val="00D97DCE"/>
    <w:rsid w:val="00DA01CB"/>
    <w:rsid w:val="00DA065E"/>
    <w:rsid w:val="00DA0CC9"/>
    <w:rsid w:val="00DA12B7"/>
    <w:rsid w:val="00DA1FAC"/>
    <w:rsid w:val="00DA3167"/>
    <w:rsid w:val="00DA3401"/>
    <w:rsid w:val="00DA3463"/>
    <w:rsid w:val="00DA45DB"/>
    <w:rsid w:val="00DA4DC3"/>
    <w:rsid w:val="00DA5710"/>
    <w:rsid w:val="00DA583E"/>
    <w:rsid w:val="00DA5B44"/>
    <w:rsid w:val="00DA5C03"/>
    <w:rsid w:val="00DA5FDB"/>
    <w:rsid w:val="00DA687C"/>
    <w:rsid w:val="00DA6ECF"/>
    <w:rsid w:val="00DA77A5"/>
    <w:rsid w:val="00DB02E4"/>
    <w:rsid w:val="00DB13E0"/>
    <w:rsid w:val="00DB1CE7"/>
    <w:rsid w:val="00DB1E49"/>
    <w:rsid w:val="00DB1FBC"/>
    <w:rsid w:val="00DB29D7"/>
    <w:rsid w:val="00DB35D4"/>
    <w:rsid w:val="00DB3BAE"/>
    <w:rsid w:val="00DB3DBF"/>
    <w:rsid w:val="00DB3DC8"/>
    <w:rsid w:val="00DB3FA2"/>
    <w:rsid w:val="00DB44F9"/>
    <w:rsid w:val="00DB4548"/>
    <w:rsid w:val="00DB484F"/>
    <w:rsid w:val="00DB5007"/>
    <w:rsid w:val="00DB5566"/>
    <w:rsid w:val="00DB57F6"/>
    <w:rsid w:val="00DB61C6"/>
    <w:rsid w:val="00DB6E5D"/>
    <w:rsid w:val="00DB76F8"/>
    <w:rsid w:val="00DB7A51"/>
    <w:rsid w:val="00DB7C36"/>
    <w:rsid w:val="00DB7D95"/>
    <w:rsid w:val="00DC04A7"/>
    <w:rsid w:val="00DC04F6"/>
    <w:rsid w:val="00DC0690"/>
    <w:rsid w:val="00DC09D2"/>
    <w:rsid w:val="00DC121A"/>
    <w:rsid w:val="00DC1515"/>
    <w:rsid w:val="00DC1D23"/>
    <w:rsid w:val="00DC1D65"/>
    <w:rsid w:val="00DC1FD2"/>
    <w:rsid w:val="00DC28EB"/>
    <w:rsid w:val="00DC2BC2"/>
    <w:rsid w:val="00DC2BC3"/>
    <w:rsid w:val="00DC361F"/>
    <w:rsid w:val="00DC3C57"/>
    <w:rsid w:val="00DC3FF8"/>
    <w:rsid w:val="00DC4BF3"/>
    <w:rsid w:val="00DC4CB2"/>
    <w:rsid w:val="00DC4DE6"/>
    <w:rsid w:val="00DC5443"/>
    <w:rsid w:val="00DC5501"/>
    <w:rsid w:val="00DC5CEE"/>
    <w:rsid w:val="00DC677F"/>
    <w:rsid w:val="00DC6AE3"/>
    <w:rsid w:val="00DC6B46"/>
    <w:rsid w:val="00DC7154"/>
    <w:rsid w:val="00DC7462"/>
    <w:rsid w:val="00DC7A93"/>
    <w:rsid w:val="00DC7B64"/>
    <w:rsid w:val="00DC7C0D"/>
    <w:rsid w:val="00DC7E8A"/>
    <w:rsid w:val="00DC7F3B"/>
    <w:rsid w:val="00DC7FC6"/>
    <w:rsid w:val="00DD061E"/>
    <w:rsid w:val="00DD094D"/>
    <w:rsid w:val="00DD0D16"/>
    <w:rsid w:val="00DD0DCF"/>
    <w:rsid w:val="00DD0F78"/>
    <w:rsid w:val="00DD1210"/>
    <w:rsid w:val="00DD154D"/>
    <w:rsid w:val="00DD1588"/>
    <w:rsid w:val="00DD18B4"/>
    <w:rsid w:val="00DD191E"/>
    <w:rsid w:val="00DD1926"/>
    <w:rsid w:val="00DD1E18"/>
    <w:rsid w:val="00DD273C"/>
    <w:rsid w:val="00DD2E3B"/>
    <w:rsid w:val="00DD39A1"/>
    <w:rsid w:val="00DD3ACC"/>
    <w:rsid w:val="00DD3F28"/>
    <w:rsid w:val="00DD4537"/>
    <w:rsid w:val="00DD4AA7"/>
    <w:rsid w:val="00DD4DC2"/>
    <w:rsid w:val="00DD4DD2"/>
    <w:rsid w:val="00DD4E15"/>
    <w:rsid w:val="00DD5587"/>
    <w:rsid w:val="00DD5650"/>
    <w:rsid w:val="00DD5C27"/>
    <w:rsid w:val="00DD66F7"/>
    <w:rsid w:val="00DD6E87"/>
    <w:rsid w:val="00DD78B2"/>
    <w:rsid w:val="00DD7D1F"/>
    <w:rsid w:val="00DE0079"/>
    <w:rsid w:val="00DE0F90"/>
    <w:rsid w:val="00DE1879"/>
    <w:rsid w:val="00DE198A"/>
    <w:rsid w:val="00DE224F"/>
    <w:rsid w:val="00DE2304"/>
    <w:rsid w:val="00DE2EA2"/>
    <w:rsid w:val="00DE3102"/>
    <w:rsid w:val="00DE3138"/>
    <w:rsid w:val="00DE3419"/>
    <w:rsid w:val="00DE36C2"/>
    <w:rsid w:val="00DE37F8"/>
    <w:rsid w:val="00DE3C8B"/>
    <w:rsid w:val="00DE3CD4"/>
    <w:rsid w:val="00DE3E5E"/>
    <w:rsid w:val="00DE418A"/>
    <w:rsid w:val="00DE487A"/>
    <w:rsid w:val="00DE4890"/>
    <w:rsid w:val="00DE4FCB"/>
    <w:rsid w:val="00DE5D07"/>
    <w:rsid w:val="00DE65FC"/>
    <w:rsid w:val="00DE724C"/>
    <w:rsid w:val="00DE72A7"/>
    <w:rsid w:val="00DE73FF"/>
    <w:rsid w:val="00DE7832"/>
    <w:rsid w:val="00DF02F5"/>
    <w:rsid w:val="00DF03BC"/>
    <w:rsid w:val="00DF06D0"/>
    <w:rsid w:val="00DF18FC"/>
    <w:rsid w:val="00DF2094"/>
    <w:rsid w:val="00DF2256"/>
    <w:rsid w:val="00DF238A"/>
    <w:rsid w:val="00DF2A63"/>
    <w:rsid w:val="00DF2BBC"/>
    <w:rsid w:val="00DF2E6C"/>
    <w:rsid w:val="00DF3EEC"/>
    <w:rsid w:val="00DF4048"/>
    <w:rsid w:val="00DF4700"/>
    <w:rsid w:val="00DF4953"/>
    <w:rsid w:val="00DF54DE"/>
    <w:rsid w:val="00DF5CBC"/>
    <w:rsid w:val="00DF5D2B"/>
    <w:rsid w:val="00DF6438"/>
    <w:rsid w:val="00DF6AE8"/>
    <w:rsid w:val="00E0013A"/>
    <w:rsid w:val="00E0078B"/>
    <w:rsid w:val="00E00E8E"/>
    <w:rsid w:val="00E014D5"/>
    <w:rsid w:val="00E01523"/>
    <w:rsid w:val="00E015D8"/>
    <w:rsid w:val="00E018B4"/>
    <w:rsid w:val="00E024E7"/>
    <w:rsid w:val="00E03367"/>
    <w:rsid w:val="00E033AC"/>
    <w:rsid w:val="00E039E2"/>
    <w:rsid w:val="00E05630"/>
    <w:rsid w:val="00E06965"/>
    <w:rsid w:val="00E06CF1"/>
    <w:rsid w:val="00E06DBB"/>
    <w:rsid w:val="00E07057"/>
    <w:rsid w:val="00E10149"/>
    <w:rsid w:val="00E109FE"/>
    <w:rsid w:val="00E10C73"/>
    <w:rsid w:val="00E10CE3"/>
    <w:rsid w:val="00E11340"/>
    <w:rsid w:val="00E11722"/>
    <w:rsid w:val="00E11963"/>
    <w:rsid w:val="00E11F38"/>
    <w:rsid w:val="00E12040"/>
    <w:rsid w:val="00E122A1"/>
    <w:rsid w:val="00E1278C"/>
    <w:rsid w:val="00E1295C"/>
    <w:rsid w:val="00E12A31"/>
    <w:rsid w:val="00E13064"/>
    <w:rsid w:val="00E132C1"/>
    <w:rsid w:val="00E134D4"/>
    <w:rsid w:val="00E13558"/>
    <w:rsid w:val="00E137C0"/>
    <w:rsid w:val="00E13926"/>
    <w:rsid w:val="00E13C7F"/>
    <w:rsid w:val="00E14169"/>
    <w:rsid w:val="00E142B8"/>
    <w:rsid w:val="00E142DC"/>
    <w:rsid w:val="00E1445B"/>
    <w:rsid w:val="00E144B1"/>
    <w:rsid w:val="00E144FD"/>
    <w:rsid w:val="00E145F6"/>
    <w:rsid w:val="00E14696"/>
    <w:rsid w:val="00E14728"/>
    <w:rsid w:val="00E14A62"/>
    <w:rsid w:val="00E16372"/>
    <w:rsid w:val="00E1642E"/>
    <w:rsid w:val="00E17636"/>
    <w:rsid w:val="00E20CAE"/>
    <w:rsid w:val="00E20E4D"/>
    <w:rsid w:val="00E20ED6"/>
    <w:rsid w:val="00E21358"/>
    <w:rsid w:val="00E2249B"/>
    <w:rsid w:val="00E22A0D"/>
    <w:rsid w:val="00E22B47"/>
    <w:rsid w:val="00E22C4C"/>
    <w:rsid w:val="00E22D87"/>
    <w:rsid w:val="00E23174"/>
    <w:rsid w:val="00E235D7"/>
    <w:rsid w:val="00E2432A"/>
    <w:rsid w:val="00E244F6"/>
    <w:rsid w:val="00E2460B"/>
    <w:rsid w:val="00E24C96"/>
    <w:rsid w:val="00E2504A"/>
    <w:rsid w:val="00E25BE5"/>
    <w:rsid w:val="00E266B2"/>
    <w:rsid w:val="00E267C2"/>
    <w:rsid w:val="00E26C9C"/>
    <w:rsid w:val="00E2771E"/>
    <w:rsid w:val="00E27CBD"/>
    <w:rsid w:val="00E305AC"/>
    <w:rsid w:val="00E30B5A"/>
    <w:rsid w:val="00E30ED8"/>
    <w:rsid w:val="00E30F63"/>
    <w:rsid w:val="00E311EF"/>
    <w:rsid w:val="00E31CC1"/>
    <w:rsid w:val="00E32180"/>
    <w:rsid w:val="00E3336F"/>
    <w:rsid w:val="00E33821"/>
    <w:rsid w:val="00E33B96"/>
    <w:rsid w:val="00E341F2"/>
    <w:rsid w:val="00E34301"/>
    <w:rsid w:val="00E34387"/>
    <w:rsid w:val="00E34948"/>
    <w:rsid w:val="00E34E31"/>
    <w:rsid w:val="00E34FCA"/>
    <w:rsid w:val="00E35120"/>
    <w:rsid w:val="00E3538A"/>
    <w:rsid w:val="00E354E6"/>
    <w:rsid w:val="00E35FA1"/>
    <w:rsid w:val="00E366E8"/>
    <w:rsid w:val="00E367AF"/>
    <w:rsid w:val="00E37158"/>
    <w:rsid w:val="00E37569"/>
    <w:rsid w:val="00E378A2"/>
    <w:rsid w:val="00E37AF8"/>
    <w:rsid w:val="00E37F2D"/>
    <w:rsid w:val="00E40177"/>
    <w:rsid w:val="00E401B2"/>
    <w:rsid w:val="00E4038C"/>
    <w:rsid w:val="00E407CE"/>
    <w:rsid w:val="00E4188D"/>
    <w:rsid w:val="00E418E1"/>
    <w:rsid w:val="00E4195F"/>
    <w:rsid w:val="00E41E30"/>
    <w:rsid w:val="00E41FC9"/>
    <w:rsid w:val="00E420E2"/>
    <w:rsid w:val="00E42116"/>
    <w:rsid w:val="00E4227F"/>
    <w:rsid w:val="00E4247E"/>
    <w:rsid w:val="00E42B0F"/>
    <w:rsid w:val="00E42BB2"/>
    <w:rsid w:val="00E42F73"/>
    <w:rsid w:val="00E4332D"/>
    <w:rsid w:val="00E43D36"/>
    <w:rsid w:val="00E43D70"/>
    <w:rsid w:val="00E43E22"/>
    <w:rsid w:val="00E43EF8"/>
    <w:rsid w:val="00E4400A"/>
    <w:rsid w:val="00E44D83"/>
    <w:rsid w:val="00E44D98"/>
    <w:rsid w:val="00E4573F"/>
    <w:rsid w:val="00E458D0"/>
    <w:rsid w:val="00E45B93"/>
    <w:rsid w:val="00E466F3"/>
    <w:rsid w:val="00E46C85"/>
    <w:rsid w:val="00E46EDA"/>
    <w:rsid w:val="00E471D8"/>
    <w:rsid w:val="00E472FC"/>
    <w:rsid w:val="00E4789A"/>
    <w:rsid w:val="00E47B2C"/>
    <w:rsid w:val="00E50191"/>
    <w:rsid w:val="00E508E4"/>
    <w:rsid w:val="00E50C42"/>
    <w:rsid w:val="00E5113C"/>
    <w:rsid w:val="00E51560"/>
    <w:rsid w:val="00E515A1"/>
    <w:rsid w:val="00E51FCE"/>
    <w:rsid w:val="00E5212E"/>
    <w:rsid w:val="00E52260"/>
    <w:rsid w:val="00E52A10"/>
    <w:rsid w:val="00E52C0E"/>
    <w:rsid w:val="00E52F42"/>
    <w:rsid w:val="00E5341B"/>
    <w:rsid w:val="00E53901"/>
    <w:rsid w:val="00E53983"/>
    <w:rsid w:val="00E53FC8"/>
    <w:rsid w:val="00E540B0"/>
    <w:rsid w:val="00E5413A"/>
    <w:rsid w:val="00E54347"/>
    <w:rsid w:val="00E55424"/>
    <w:rsid w:val="00E55915"/>
    <w:rsid w:val="00E55BB5"/>
    <w:rsid w:val="00E56347"/>
    <w:rsid w:val="00E56A9E"/>
    <w:rsid w:val="00E56BF3"/>
    <w:rsid w:val="00E57243"/>
    <w:rsid w:val="00E5736B"/>
    <w:rsid w:val="00E5737C"/>
    <w:rsid w:val="00E5739D"/>
    <w:rsid w:val="00E578DF"/>
    <w:rsid w:val="00E57E55"/>
    <w:rsid w:val="00E602AE"/>
    <w:rsid w:val="00E609E6"/>
    <w:rsid w:val="00E60D96"/>
    <w:rsid w:val="00E61F30"/>
    <w:rsid w:val="00E625CD"/>
    <w:rsid w:val="00E626EF"/>
    <w:rsid w:val="00E62EAD"/>
    <w:rsid w:val="00E63E1C"/>
    <w:rsid w:val="00E63FC0"/>
    <w:rsid w:val="00E645E9"/>
    <w:rsid w:val="00E64E45"/>
    <w:rsid w:val="00E65034"/>
    <w:rsid w:val="00E65E79"/>
    <w:rsid w:val="00E66506"/>
    <w:rsid w:val="00E669B4"/>
    <w:rsid w:val="00E66BA2"/>
    <w:rsid w:val="00E66F45"/>
    <w:rsid w:val="00E67158"/>
    <w:rsid w:val="00E67416"/>
    <w:rsid w:val="00E70002"/>
    <w:rsid w:val="00E70480"/>
    <w:rsid w:val="00E7134E"/>
    <w:rsid w:val="00E715D1"/>
    <w:rsid w:val="00E718B6"/>
    <w:rsid w:val="00E71A7F"/>
    <w:rsid w:val="00E723BA"/>
    <w:rsid w:val="00E72476"/>
    <w:rsid w:val="00E728CF"/>
    <w:rsid w:val="00E734F3"/>
    <w:rsid w:val="00E73581"/>
    <w:rsid w:val="00E737EE"/>
    <w:rsid w:val="00E73A3A"/>
    <w:rsid w:val="00E73AC5"/>
    <w:rsid w:val="00E7422D"/>
    <w:rsid w:val="00E746E4"/>
    <w:rsid w:val="00E74772"/>
    <w:rsid w:val="00E7495B"/>
    <w:rsid w:val="00E74992"/>
    <w:rsid w:val="00E74A89"/>
    <w:rsid w:val="00E76465"/>
    <w:rsid w:val="00E76493"/>
    <w:rsid w:val="00E764CC"/>
    <w:rsid w:val="00E7665D"/>
    <w:rsid w:val="00E76E5B"/>
    <w:rsid w:val="00E77242"/>
    <w:rsid w:val="00E77772"/>
    <w:rsid w:val="00E777FE"/>
    <w:rsid w:val="00E778B9"/>
    <w:rsid w:val="00E77918"/>
    <w:rsid w:val="00E77DF3"/>
    <w:rsid w:val="00E80166"/>
    <w:rsid w:val="00E80269"/>
    <w:rsid w:val="00E804A5"/>
    <w:rsid w:val="00E81C89"/>
    <w:rsid w:val="00E81CB5"/>
    <w:rsid w:val="00E81E1E"/>
    <w:rsid w:val="00E82ED3"/>
    <w:rsid w:val="00E831B0"/>
    <w:rsid w:val="00E831FE"/>
    <w:rsid w:val="00E833F7"/>
    <w:rsid w:val="00E83772"/>
    <w:rsid w:val="00E83913"/>
    <w:rsid w:val="00E83BDF"/>
    <w:rsid w:val="00E83D1C"/>
    <w:rsid w:val="00E844F4"/>
    <w:rsid w:val="00E85848"/>
    <w:rsid w:val="00E85C5D"/>
    <w:rsid w:val="00E85E46"/>
    <w:rsid w:val="00E86962"/>
    <w:rsid w:val="00E86C8A"/>
    <w:rsid w:val="00E86E0C"/>
    <w:rsid w:val="00E874B4"/>
    <w:rsid w:val="00E87583"/>
    <w:rsid w:val="00E87922"/>
    <w:rsid w:val="00E87A1D"/>
    <w:rsid w:val="00E87B70"/>
    <w:rsid w:val="00E87CE8"/>
    <w:rsid w:val="00E87F4C"/>
    <w:rsid w:val="00E90072"/>
    <w:rsid w:val="00E901C2"/>
    <w:rsid w:val="00E901DF"/>
    <w:rsid w:val="00E904D0"/>
    <w:rsid w:val="00E9094A"/>
    <w:rsid w:val="00E90EC5"/>
    <w:rsid w:val="00E91A59"/>
    <w:rsid w:val="00E91D35"/>
    <w:rsid w:val="00E92092"/>
    <w:rsid w:val="00E926A5"/>
    <w:rsid w:val="00E92A19"/>
    <w:rsid w:val="00E92A3D"/>
    <w:rsid w:val="00E92C99"/>
    <w:rsid w:val="00E93F0B"/>
    <w:rsid w:val="00E948B2"/>
    <w:rsid w:val="00E960B5"/>
    <w:rsid w:val="00E96CC5"/>
    <w:rsid w:val="00E970D7"/>
    <w:rsid w:val="00E972CB"/>
    <w:rsid w:val="00E97639"/>
    <w:rsid w:val="00E9767F"/>
    <w:rsid w:val="00E97A2F"/>
    <w:rsid w:val="00EA00C7"/>
    <w:rsid w:val="00EA05B5"/>
    <w:rsid w:val="00EA10A5"/>
    <w:rsid w:val="00EA17C3"/>
    <w:rsid w:val="00EA189C"/>
    <w:rsid w:val="00EA18FE"/>
    <w:rsid w:val="00EA1FA2"/>
    <w:rsid w:val="00EA20B3"/>
    <w:rsid w:val="00EA29C2"/>
    <w:rsid w:val="00EA2A3D"/>
    <w:rsid w:val="00EA2CAA"/>
    <w:rsid w:val="00EA2D8F"/>
    <w:rsid w:val="00EA2D9B"/>
    <w:rsid w:val="00EA3292"/>
    <w:rsid w:val="00EA3358"/>
    <w:rsid w:val="00EA3399"/>
    <w:rsid w:val="00EA35AC"/>
    <w:rsid w:val="00EA3864"/>
    <w:rsid w:val="00EA4B47"/>
    <w:rsid w:val="00EA5136"/>
    <w:rsid w:val="00EA5192"/>
    <w:rsid w:val="00EA5271"/>
    <w:rsid w:val="00EA5786"/>
    <w:rsid w:val="00EA5C12"/>
    <w:rsid w:val="00EA664F"/>
    <w:rsid w:val="00EA71F1"/>
    <w:rsid w:val="00EA7209"/>
    <w:rsid w:val="00EA728A"/>
    <w:rsid w:val="00EA79E6"/>
    <w:rsid w:val="00EA7DEE"/>
    <w:rsid w:val="00EA7F1C"/>
    <w:rsid w:val="00EB046C"/>
    <w:rsid w:val="00EB052C"/>
    <w:rsid w:val="00EB14D1"/>
    <w:rsid w:val="00EB15B6"/>
    <w:rsid w:val="00EB1D06"/>
    <w:rsid w:val="00EB2475"/>
    <w:rsid w:val="00EB2ADC"/>
    <w:rsid w:val="00EB2F1E"/>
    <w:rsid w:val="00EB30D4"/>
    <w:rsid w:val="00EB3611"/>
    <w:rsid w:val="00EB3A5F"/>
    <w:rsid w:val="00EB3C3F"/>
    <w:rsid w:val="00EB3D06"/>
    <w:rsid w:val="00EB3F4D"/>
    <w:rsid w:val="00EB41AF"/>
    <w:rsid w:val="00EB4916"/>
    <w:rsid w:val="00EB4975"/>
    <w:rsid w:val="00EB4A42"/>
    <w:rsid w:val="00EB4CE0"/>
    <w:rsid w:val="00EB5205"/>
    <w:rsid w:val="00EB5C18"/>
    <w:rsid w:val="00EB5F5A"/>
    <w:rsid w:val="00EB62D0"/>
    <w:rsid w:val="00EB6F46"/>
    <w:rsid w:val="00EB74E7"/>
    <w:rsid w:val="00EB74FD"/>
    <w:rsid w:val="00EB778C"/>
    <w:rsid w:val="00EB7FBE"/>
    <w:rsid w:val="00EB7FD3"/>
    <w:rsid w:val="00EC00C9"/>
    <w:rsid w:val="00EC0127"/>
    <w:rsid w:val="00EC0C1F"/>
    <w:rsid w:val="00EC0DD9"/>
    <w:rsid w:val="00EC2649"/>
    <w:rsid w:val="00EC31ED"/>
    <w:rsid w:val="00EC38DE"/>
    <w:rsid w:val="00EC3BCB"/>
    <w:rsid w:val="00EC3BF9"/>
    <w:rsid w:val="00EC447D"/>
    <w:rsid w:val="00EC4A37"/>
    <w:rsid w:val="00EC4C8B"/>
    <w:rsid w:val="00EC4E1A"/>
    <w:rsid w:val="00EC51FD"/>
    <w:rsid w:val="00EC5836"/>
    <w:rsid w:val="00EC5916"/>
    <w:rsid w:val="00EC5F41"/>
    <w:rsid w:val="00EC6595"/>
    <w:rsid w:val="00EC688C"/>
    <w:rsid w:val="00EC6A02"/>
    <w:rsid w:val="00EC793B"/>
    <w:rsid w:val="00ED0C6C"/>
    <w:rsid w:val="00ED0CD1"/>
    <w:rsid w:val="00ED1C41"/>
    <w:rsid w:val="00ED1FFB"/>
    <w:rsid w:val="00ED215D"/>
    <w:rsid w:val="00ED21FE"/>
    <w:rsid w:val="00ED237A"/>
    <w:rsid w:val="00ED2448"/>
    <w:rsid w:val="00ED2778"/>
    <w:rsid w:val="00ED2F5B"/>
    <w:rsid w:val="00ED37EE"/>
    <w:rsid w:val="00ED395C"/>
    <w:rsid w:val="00ED3A58"/>
    <w:rsid w:val="00ED3C8D"/>
    <w:rsid w:val="00ED43BE"/>
    <w:rsid w:val="00ED4F00"/>
    <w:rsid w:val="00ED515A"/>
    <w:rsid w:val="00ED57EA"/>
    <w:rsid w:val="00ED5BD4"/>
    <w:rsid w:val="00ED60B9"/>
    <w:rsid w:val="00ED657B"/>
    <w:rsid w:val="00ED69B3"/>
    <w:rsid w:val="00ED6C39"/>
    <w:rsid w:val="00ED7127"/>
    <w:rsid w:val="00ED7561"/>
    <w:rsid w:val="00ED7912"/>
    <w:rsid w:val="00EE07D3"/>
    <w:rsid w:val="00EE09B5"/>
    <w:rsid w:val="00EE0D67"/>
    <w:rsid w:val="00EE148C"/>
    <w:rsid w:val="00EE1704"/>
    <w:rsid w:val="00EE1996"/>
    <w:rsid w:val="00EE1C01"/>
    <w:rsid w:val="00EE22AF"/>
    <w:rsid w:val="00EE2BCE"/>
    <w:rsid w:val="00EE2EC2"/>
    <w:rsid w:val="00EE2FA9"/>
    <w:rsid w:val="00EE34AA"/>
    <w:rsid w:val="00EE400F"/>
    <w:rsid w:val="00EE45F9"/>
    <w:rsid w:val="00EE4DB0"/>
    <w:rsid w:val="00EE4F07"/>
    <w:rsid w:val="00EE50F4"/>
    <w:rsid w:val="00EE5E58"/>
    <w:rsid w:val="00EE6EB2"/>
    <w:rsid w:val="00EE7497"/>
    <w:rsid w:val="00EE7515"/>
    <w:rsid w:val="00EE7777"/>
    <w:rsid w:val="00EF0171"/>
    <w:rsid w:val="00EF0287"/>
    <w:rsid w:val="00EF07FA"/>
    <w:rsid w:val="00EF09B5"/>
    <w:rsid w:val="00EF0B77"/>
    <w:rsid w:val="00EF0F24"/>
    <w:rsid w:val="00EF1B25"/>
    <w:rsid w:val="00EF1DA0"/>
    <w:rsid w:val="00EF226A"/>
    <w:rsid w:val="00EF2AFB"/>
    <w:rsid w:val="00EF2C68"/>
    <w:rsid w:val="00EF2ED1"/>
    <w:rsid w:val="00EF32D5"/>
    <w:rsid w:val="00EF3938"/>
    <w:rsid w:val="00EF3AD3"/>
    <w:rsid w:val="00EF42CB"/>
    <w:rsid w:val="00EF4747"/>
    <w:rsid w:val="00EF4A18"/>
    <w:rsid w:val="00EF4A4D"/>
    <w:rsid w:val="00EF4BF8"/>
    <w:rsid w:val="00EF5CC8"/>
    <w:rsid w:val="00EF6527"/>
    <w:rsid w:val="00EF66BD"/>
    <w:rsid w:val="00EF7220"/>
    <w:rsid w:val="00EF7AD6"/>
    <w:rsid w:val="00EF7C3F"/>
    <w:rsid w:val="00EF7F6C"/>
    <w:rsid w:val="00F000AC"/>
    <w:rsid w:val="00F0012D"/>
    <w:rsid w:val="00F00218"/>
    <w:rsid w:val="00F017FF"/>
    <w:rsid w:val="00F01D9E"/>
    <w:rsid w:val="00F02253"/>
    <w:rsid w:val="00F027D5"/>
    <w:rsid w:val="00F02F26"/>
    <w:rsid w:val="00F03393"/>
    <w:rsid w:val="00F03C2E"/>
    <w:rsid w:val="00F04A66"/>
    <w:rsid w:val="00F04B4B"/>
    <w:rsid w:val="00F0516C"/>
    <w:rsid w:val="00F0558F"/>
    <w:rsid w:val="00F0593E"/>
    <w:rsid w:val="00F067A2"/>
    <w:rsid w:val="00F068A0"/>
    <w:rsid w:val="00F0724A"/>
    <w:rsid w:val="00F074B0"/>
    <w:rsid w:val="00F07B9E"/>
    <w:rsid w:val="00F07E75"/>
    <w:rsid w:val="00F07ED4"/>
    <w:rsid w:val="00F1064B"/>
    <w:rsid w:val="00F10EDB"/>
    <w:rsid w:val="00F1116F"/>
    <w:rsid w:val="00F11568"/>
    <w:rsid w:val="00F11650"/>
    <w:rsid w:val="00F11663"/>
    <w:rsid w:val="00F11CC3"/>
    <w:rsid w:val="00F125C2"/>
    <w:rsid w:val="00F1263A"/>
    <w:rsid w:val="00F12C2A"/>
    <w:rsid w:val="00F12F31"/>
    <w:rsid w:val="00F134E5"/>
    <w:rsid w:val="00F135EE"/>
    <w:rsid w:val="00F13D4A"/>
    <w:rsid w:val="00F1449A"/>
    <w:rsid w:val="00F14897"/>
    <w:rsid w:val="00F14DF3"/>
    <w:rsid w:val="00F15124"/>
    <w:rsid w:val="00F15618"/>
    <w:rsid w:val="00F15B77"/>
    <w:rsid w:val="00F16570"/>
    <w:rsid w:val="00F16C4C"/>
    <w:rsid w:val="00F16DAA"/>
    <w:rsid w:val="00F170A8"/>
    <w:rsid w:val="00F17C5E"/>
    <w:rsid w:val="00F202BA"/>
    <w:rsid w:val="00F20504"/>
    <w:rsid w:val="00F20D1C"/>
    <w:rsid w:val="00F20F5E"/>
    <w:rsid w:val="00F2155B"/>
    <w:rsid w:val="00F21A86"/>
    <w:rsid w:val="00F21D20"/>
    <w:rsid w:val="00F22B8E"/>
    <w:rsid w:val="00F22C53"/>
    <w:rsid w:val="00F22EB8"/>
    <w:rsid w:val="00F22FFD"/>
    <w:rsid w:val="00F23145"/>
    <w:rsid w:val="00F236EC"/>
    <w:rsid w:val="00F23B21"/>
    <w:rsid w:val="00F241E7"/>
    <w:rsid w:val="00F24569"/>
    <w:rsid w:val="00F24837"/>
    <w:rsid w:val="00F249EE"/>
    <w:rsid w:val="00F24ED2"/>
    <w:rsid w:val="00F25383"/>
    <w:rsid w:val="00F2575F"/>
    <w:rsid w:val="00F25913"/>
    <w:rsid w:val="00F25DF0"/>
    <w:rsid w:val="00F270AB"/>
    <w:rsid w:val="00F2729A"/>
    <w:rsid w:val="00F27565"/>
    <w:rsid w:val="00F277F0"/>
    <w:rsid w:val="00F2785A"/>
    <w:rsid w:val="00F2789D"/>
    <w:rsid w:val="00F27EF2"/>
    <w:rsid w:val="00F30456"/>
    <w:rsid w:val="00F30FA5"/>
    <w:rsid w:val="00F310D4"/>
    <w:rsid w:val="00F31268"/>
    <w:rsid w:val="00F31641"/>
    <w:rsid w:val="00F3165B"/>
    <w:rsid w:val="00F31D5A"/>
    <w:rsid w:val="00F321B6"/>
    <w:rsid w:val="00F3238D"/>
    <w:rsid w:val="00F32A88"/>
    <w:rsid w:val="00F338A9"/>
    <w:rsid w:val="00F33975"/>
    <w:rsid w:val="00F33A2E"/>
    <w:rsid w:val="00F33D42"/>
    <w:rsid w:val="00F33DE9"/>
    <w:rsid w:val="00F34329"/>
    <w:rsid w:val="00F345CB"/>
    <w:rsid w:val="00F347CB"/>
    <w:rsid w:val="00F34BDF"/>
    <w:rsid w:val="00F34E32"/>
    <w:rsid w:val="00F34F24"/>
    <w:rsid w:val="00F35103"/>
    <w:rsid w:val="00F35466"/>
    <w:rsid w:val="00F358B6"/>
    <w:rsid w:val="00F35D50"/>
    <w:rsid w:val="00F35E6D"/>
    <w:rsid w:val="00F3619A"/>
    <w:rsid w:val="00F36251"/>
    <w:rsid w:val="00F36520"/>
    <w:rsid w:val="00F36BBD"/>
    <w:rsid w:val="00F375B2"/>
    <w:rsid w:val="00F375F2"/>
    <w:rsid w:val="00F376BD"/>
    <w:rsid w:val="00F37A24"/>
    <w:rsid w:val="00F37BCB"/>
    <w:rsid w:val="00F40130"/>
    <w:rsid w:val="00F40192"/>
    <w:rsid w:val="00F402A0"/>
    <w:rsid w:val="00F40AAA"/>
    <w:rsid w:val="00F40BA7"/>
    <w:rsid w:val="00F40F9D"/>
    <w:rsid w:val="00F414A6"/>
    <w:rsid w:val="00F41590"/>
    <w:rsid w:val="00F41ACD"/>
    <w:rsid w:val="00F4221A"/>
    <w:rsid w:val="00F42536"/>
    <w:rsid w:val="00F434D1"/>
    <w:rsid w:val="00F43A3A"/>
    <w:rsid w:val="00F43FA6"/>
    <w:rsid w:val="00F43FAA"/>
    <w:rsid w:val="00F4403E"/>
    <w:rsid w:val="00F4448D"/>
    <w:rsid w:val="00F4554D"/>
    <w:rsid w:val="00F4573A"/>
    <w:rsid w:val="00F45DA5"/>
    <w:rsid w:val="00F45F4B"/>
    <w:rsid w:val="00F461B9"/>
    <w:rsid w:val="00F462D2"/>
    <w:rsid w:val="00F46CB6"/>
    <w:rsid w:val="00F4756D"/>
    <w:rsid w:val="00F47D04"/>
    <w:rsid w:val="00F47DE8"/>
    <w:rsid w:val="00F50068"/>
    <w:rsid w:val="00F50821"/>
    <w:rsid w:val="00F509B5"/>
    <w:rsid w:val="00F50C69"/>
    <w:rsid w:val="00F512D1"/>
    <w:rsid w:val="00F51A59"/>
    <w:rsid w:val="00F51AA2"/>
    <w:rsid w:val="00F51D0F"/>
    <w:rsid w:val="00F51FDF"/>
    <w:rsid w:val="00F52466"/>
    <w:rsid w:val="00F52AB6"/>
    <w:rsid w:val="00F52D49"/>
    <w:rsid w:val="00F5327D"/>
    <w:rsid w:val="00F53697"/>
    <w:rsid w:val="00F53AC2"/>
    <w:rsid w:val="00F53C98"/>
    <w:rsid w:val="00F53E8C"/>
    <w:rsid w:val="00F54017"/>
    <w:rsid w:val="00F542C1"/>
    <w:rsid w:val="00F543AA"/>
    <w:rsid w:val="00F54E1C"/>
    <w:rsid w:val="00F55572"/>
    <w:rsid w:val="00F55E73"/>
    <w:rsid w:val="00F55EDA"/>
    <w:rsid w:val="00F56424"/>
    <w:rsid w:val="00F56A8B"/>
    <w:rsid w:val="00F56C80"/>
    <w:rsid w:val="00F57A30"/>
    <w:rsid w:val="00F57BE5"/>
    <w:rsid w:val="00F60092"/>
    <w:rsid w:val="00F60219"/>
    <w:rsid w:val="00F606BB"/>
    <w:rsid w:val="00F609C6"/>
    <w:rsid w:val="00F60FC7"/>
    <w:rsid w:val="00F616BC"/>
    <w:rsid w:val="00F61C18"/>
    <w:rsid w:val="00F61CEA"/>
    <w:rsid w:val="00F61F05"/>
    <w:rsid w:val="00F62159"/>
    <w:rsid w:val="00F6216B"/>
    <w:rsid w:val="00F6221A"/>
    <w:rsid w:val="00F622C8"/>
    <w:rsid w:val="00F62A4E"/>
    <w:rsid w:val="00F62F27"/>
    <w:rsid w:val="00F63504"/>
    <w:rsid w:val="00F63A24"/>
    <w:rsid w:val="00F63B21"/>
    <w:rsid w:val="00F640EB"/>
    <w:rsid w:val="00F64F9B"/>
    <w:rsid w:val="00F65F4B"/>
    <w:rsid w:val="00F662A8"/>
    <w:rsid w:val="00F66456"/>
    <w:rsid w:val="00F66FD8"/>
    <w:rsid w:val="00F67446"/>
    <w:rsid w:val="00F67451"/>
    <w:rsid w:val="00F6752B"/>
    <w:rsid w:val="00F678F0"/>
    <w:rsid w:val="00F67A69"/>
    <w:rsid w:val="00F70606"/>
    <w:rsid w:val="00F70ACD"/>
    <w:rsid w:val="00F70BFF"/>
    <w:rsid w:val="00F70C9D"/>
    <w:rsid w:val="00F71433"/>
    <w:rsid w:val="00F721D4"/>
    <w:rsid w:val="00F72280"/>
    <w:rsid w:val="00F729B0"/>
    <w:rsid w:val="00F73C28"/>
    <w:rsid w:val="00F743A0"/>
    <w:rsid w:val="00F74CD9"/>
    <w:rsid w:val="00F751AE"/>
    <w:rsid w:val="00F75CA4"/>
    <w:rsid w:val="00F7680F"/>
    <w:rsid w:val="00F76824"/>
    <w:rsid w:val="00F76A7D"/>
    <w:rsid w:val="00F76B12"/>
    <w:rsid w:val="00F76C50"/>
    <w:rsid w:val="00F76D21"/>
    <w:rsid w:val="00F76E7F"/>
    <w:rsid w:val="00F776E6"/>
    <w:rsid w:val="00F776EC"/>
    <w:rsid w:val="00F77971"/>
    <w:rsid w:val="00F8008F"/>
    <w:rsid w:val="00F801B7"/>
    <w:rsid w:val="00F801C9"/>
    <w:rsid w:val="00F806E5"/>
    <w:rsid w:val="00F80A7B"/>
    <w:rsid w:val="00F80CB3"/>
    <w:rsid w:val="00F80E5D"/>
    <w:rsid w:val="00F80E93"/>
    <w:rsid w:val="00F819EB"/>
    <w:rsid w:val="00F81A3A"/>
    <w:rsid w:val="00F81E78"/>
    <w:rsid w:val="00F82306"/>
    <w:rsid w:val="00F82438"/>
    <w:rsid w:val="00F827D7"/>
    <w:rsid w:val="00F82A71"/>
    <w:rsid w:val="00F82E1C"/>
    <w:rsid w:val="00F832E0"/>
    <w:rsid w:val="00F83D76"/>
    <w:rsid w:val="00F851CE"/>
    <w:rsid w:val="00F85643"/>
    <w:rsid w:val="00F8575C"/>
    <w:rsid w:val="00F85E7A"/>
    <w:rsid w:val="00F85F2C"/>
    <w:rsid w:val="00F8714D"/>
    <w:rsid w:val="00F8728C"/>
    <w:rsid w:val="00F87DD8"/>
    <w:rsid w:val="00F904CF"/>
    <w:rsid w:val="00F9068C"/>
    <w:rsid w:val="00F90C55"/>
    <w:rsid w:val="00F911B9"/>
    <w:rsid w:val="00F91219"/>
    <w:rsid w:val="00F91510"/>
    <w:rsid w:val="00F91863"/>
    <w:rsid w:val="00F91CDF"/>
    <w:rsid w:val="00F92444"/>
    <w:rsid w:val="00F9279E"/>
    <w:rsid w:val="00F92AB8"/>
    <w:rsid w:val="00F9393E"/>
    <w:rsid w:val="00F93E08"/>
    <w:rsid w:val="00F94707"/>
    <w:rsid w:val="00F94FA0"/>
    <w:rsid w:val="00F9553C"/>
    <w:rsid w:val="00F9563C"/>
    <w:rsid w:val="00F95744"/>
    <w:rsid w:val="00F95910"/>
    <w:rsid w:val="00F968BF"/>
    <w:rsid w:val="00F96F30"/>
    <w:rsid w:val="00F96FD0"/>
    <w:rsid w:val="00F9744E"/>
    <w:rsid w:val="00F979D9"/>
    <w:rsid w:val="00F97A78"/>
    <w:rsid w:val="00FA00FA"/>
    <w:rsid w:val="00FA0B20"/>
    <w:rsid w:val="00FA24E7"/>
    <w:rsid w:val="00FA276A"/>
    <w:rsid w:val="00FA2A40"/>
    <w:rsid w:val="00FA2F1D"/>
    <w:rsid w:val="00FA37DE"/>
    <w:rsid w:val="00FA3F31"/>
    <w:rsid w:val="00FA4128"/>
    <w:rsid w:val="00FA4788"/>
    <w:rsid w:val="00FA47A6"/>
    <w:rsid w:val="00FA4CD9"/>
    <w:rsid w:val="00FA5291"/>
    <w:rsid w:val="00FA5337"/>
    <w:rsid w:val="00FA5592"/>
    <w:rsid w:val="00FA5706"/>
    <w:rsid w:val="00FA59DD"/>
    <w:rsid w:val="00FA5EE6"/>
    <w:rsid w:val="00FA6DEE"/>
    <w:rsid w:val="00FA6E5F"/>
    <w:rsid w:val="00FA6FD0"/>
    <w:rsid w:val="00FA7956"/>
    <w:rsid w:val="00FA79CE"/>
    <w:rsid w:val="00FB0620"/>
    <w:rsid w:val="00FB0C31"/>
    <w:rsid w:val="00FB0DEF"/>
    <w:rsid w:val="00FB2872"/>
    <w:rsid w:val="00FB2A6D"/>
    <w:rsid w:val="00FB2B1E"/>
    <w:rsid w:val="00FB2B21"/>
    <w:rsid w:val="00FB2B37"/>
    <w:rsid w:val="00FB2F27"/>
    <w:rsid w:val="00FB2FCB"/>
    <w:rsid w:val="00FB340B"/>
    <w:rsid w:val="00FB3C45"/>
    <w:rsid w:val="00FB4310"/>
    <w:rsid w:val="00FB4862"/>
    <w:rsid w:val="00FB4F28"/>
    <w:rsid w:val="00FB508E"/>
    <w:rsid w:val="00FB5146"/>
    <w:rsid w:val="00FB51DB"/>
    <w:rsid w:val="00FB5EE6"/>
    <w:rsid w:val="00FB6B43"/>
    <w:rsid w:val="00FB77C8"/>
    <w:rsid w:val="00FB788F"/>
    <w:rsid w:val="00FB7928"/>
    <w:rsid w:val="00FB7C55"/>
    <w:rsid w:val="00FC1038"/>
    <w:rsid w:val="00FC1049"/>
    <w:rsid w:val="00FC1074"/>
    <w:rsid w:val="00FC15C5"/>
    <w:rsid w:val="00FC1884"/>
    <w:rsid w:val="00FC2899"/>
    <w:rsid w:val="00FC2C34"/>
    <w:rsid w:val="00FC302F"/>
    <w:rsid w:val="00FC371D"/>
    <w:rsid w:val="00FC3C0F"/>
    <w:rsid w:val="00FC44BC"/>
    <w:rsid w:val="00FC44C8"/>
    <w:rsid w:val="00FC4782"/>
    <w:rsid w:val="00FC5343"/>
    <w:rsid w:val="00FC551A"/>
    <w:rsid w:val="00FC5F0B"/>
    <w:rsid w:val="00FC610D"/>
    <w:rsid w:val="00FC624E"/>
    <w:rsid w:val="00FC63A1"/>
    <w:rsid w:val="00FC6A29"/>
    <w:rsid w:val="00FC70C5"/>
    <w:rsid w:val="00FC7986"/>
    <w:rsid w:val="00FD0427"/>
    <w:rsid w:val="00FD06E7"/>
    <w:rsid w:val="00FD0877"/>
    <w:rsid w:val="00FD1457"/>
    <w:rsid w:val="00FD1B4F"/>
    <w:rsid w:val="00FD20E6"/>
    <w:rsid w:val="00FD2100"/>
    <w:rsid w:val="00FD21A7"/>
    <w:rsid w:val="00FD25F3"/>
    <w:rsid w:val="00FD3A30"/>
    <w:rsid w:val="00FD3ABE"/>
    <w:rsid w:val="00FD3E41"/>
    <w:rsid w:val="00FD436C"/>
    <w:rsid w:val="00FD446D"/>
    <w:rsid w:val="00FD4B60"/>
    <w:rsid w:val="00FD4F2C"/>
    <w:rsid w:val="00FD5378"/>
    <w:rsid w:val="00FD5D1F"/>
    <w:rsid w:val="00FD6394"/>
    <w:rsid w:val="00FD6579"/>
    <w:rsid w:val="00FD7B2F"/>
    <w:rsid w:val="00FE0E6C"/>
    <w:rsid w:val="00FE12FC"/>
    <w:rsid w:val="00FE144D"/>
    <w:rsid w:val="00FE17C9"/>
    <w:rsid w:val="00FE1932"/>
    <w:rsid w:val="00FE1CDC"/>
    <w:rsid w:val="00FE2789"/>
    <w:rsid w:val="00FE2C0E"/>
    <w:rsid w:val="00FE2C66"/>
    <w:rsid w:val="00FE50D6"/>
    <w:rsid w:val="00FE63A9"/>
    <w:rsid w:val="00FE6D6D"/>
    <w:rsid w:val="00FE70C3"/>
    <w:rsid w:val="00FE752C"/>
    <w:rsid w:val="00FE75E2"/>
    <w:rsid w:val="00FE7D1F"/>
    <w:rsid w:val="00FE7E57"/>
    <w:rsid w:val="00FE7F14"/>
    <w:rsid w:val="00FF03A1"/>
    <w:rsid w:val="00FF03EB"/>
    <w:rsid w:val="00FF092B"/>
    <w:rsid w:val="00FF0C18"/>
    <w:rsid w:val="00FF19B3"/>
    <w:rsid w:val="00FF1B46"/>
    <w:rsid w:val="00FF1FCB"/>
    <w:rsid w:val="00FF2357"/>
    <w:rsid w:val="00FF2646"/>
    <w:rsid w:val="00FF26FF"/>
    <w:rsid w:val="00FF2850"/>
    <w:rsid w:val="00FF2AD9"/>
    <w:rsid w:val="00FF359F"/>
    <w:rsid w:val="00FF37ED"/>
    <w:rsid w:val="00FF3C6F"/>
    <w:rsid w:val="00FF3DCF"/>
    <w:rsid w:val="00FF437B"/>
    <w:rsid w:val="00FF492C"/>
    <w:rsid w:val="00FF4A21"/>
    <w:rsid w:val="00FF4E11"/>
    <w:rsid w:val="00FF53AB"/>
    <w:rsid w:val="00FF5483"/>
    <w:rsid w:val="00FF5A91"/>
    <w:rsid w:val="00FF5AA3"/>
    <w:rsid w:val="00FF5AD8"/>
    <w:rsid w:val="00FF5CF6"/>
    <w:rsid w:val="00FF62FE"/>
    <w:rsid w:val="00FF6579"/>
    <w:rsid w:val="00FF6979"/>
    <w:rsid w:val="00FF71B2"/>
    <w:rsid w:val="00FF7483"/>
    <w:rsid w:val="00FF75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38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898"/>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PHE Caption,Bayer Caption,IB Caption,Medical Caption,- H17,table,Caption PRIMA,PX Caption,Table caption,Caption 3,! Q,B Caption,Caption2,Caption - H17"/>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PHE Caption Char,Bayer Caption Char,IB Caption Char,Medical Caption Char,- H17 Char,table Char,Caption PRIMA Char,PX Caption Char,Table caption Char,Caption 3 Char,! Q Char,B Caption Char,Caption2 Char,Caption - H17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Table Legend,Bullet1,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5"/>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BodyText1">
    <w:name w:val="Body Text1"/>
    <w:basedOn w:val="Normal"/>
    <w:link w:val="BodytextChar0"/>
    <w:qFormat/>
    <w:rsid w:val="006E3AA3"/>
    <w:pPr>
      <w:spacing w:after="120" w:line="300" w:lineRule="auto"/>
      <w:jc w:val="left"/>
    </w:pPr>
    <w:rPr>
      <w:rFonts w:ascii="Arial" w:hAnsi="Arial" w:cs="Times New Roman"/>
      <w:sz w:val="22"/>
      <w:lang w:val="en-US" w:eastAsia="en-GB"/>
    </w:rPr>
  </w:style>
  <w:style w:type="character" w:customStyle="1" w:styleId="BodytextChar0">
    <w:name w:val="Body text Char"/>
    <w:link w:val="BodyText1"/>
    <w:locked/>
    <w:rsid w:val="006E3AA3"/>
    <w:rPr>
      <w:rFonts w:ascii="Arial" w:hAnsi="Arial"/>
      <w:sz w:val="22"/>
      <w:szCs w:val="24"/>
      <w:lang w:val="en-US" w:eastAsia="en-GB"/>
    </w:rPr>
  </w:style>
  <w:style w:type="character" w:customStyle="1" w:styleId="V50InstructionsChar">
    <w:name w:val="V5.0 Instructions Char"/>
    <w:basedOn w:val="DefaultParagraphFont"/>
    <w:link w:val="V50Instructions"/>
    <w:locked/>
    <w:rsid w:val="00891959"/>
    <w:rPr>
      <w:color w:val="4BACC6" w:themeColor="accent5"/>
      <w:sz w:val="24"/>
    </w:rPr>
  </w:style>
  <w:style w:type="paragraph" w:customStyle="1" w:styleId="V50Instructions">
    <w:name w:val="V5.0 Instructions"/>
    <w:basedOn w:val="Normal"/>
    <w:link w:val="V50InstructionsChar"/>
    <w:qFormat/>
    <w:rsid w:val="00891959"/>
    <w:pPr>
      <w:spacing w:before="120" w:after="160"/>
      <w:jc w:val="left"/>
    </w:pPr>
    <w:rPr>
      <w:rFonts w:ascii="Times New Roman" w:hAnsi="Times New Roman" w:cs="Times New Roman"/>
      <w:color w:val="4BACC6" w:themeColor="accent5"/>
      <w:szCs w:val="20"/>
    </w:rPr>
  </w:style>
  <w:style w:type="paragraph" w:customStyle="1" w:styleId="Default">
    <w:name w:val="Default"/>
    <w:uiPriority w:val="99"/>
    <w:rsid w:val="00891959"/>
    <w:pPr>
      <w:autoSpaceDE w:val="0"/>
      <w:autoSpaceDN w:val="0"/>
      <w:adjustRightInd w:val="0"/>
    </w:pPr>
    <w:rPr>
      <w:rFonts w:ascii="Calibri" w:eastAsiaTheme="minorHAnsi" w:hAnsi="Calibri" w:cs="Calibri"/>
      <w:color w:val="000000"/>
      <w:sz w:val="24"/>
      <w:szCs w:val="24"/>
      <w:lang w:val="en-US" w:eastAsia="en-US"/>
    </w:rPr>
  </w:style>
  <w:style w:type="paragraph" w:customStyle="1" w:styleId="TableHeading0">
    <w:name w:val="Table Heading"/>
    <w:basedOn w:val="Normal"/>
    <w:uiPriority w:val="99"/>
    <w:qFormat/>
    <w:rsid w:val="00DA065E"/>
    <w:pPr>
      <w:keepNext/>
      <w:spacing w:after="60"/>
      <w:jc w:val="left"/>
    </w:pPr>
    <w:rPr>
      <w:rFonts w:ascii="Arial Narrow" w:eastAsiaTheme="minorHAnsi" w:hAnsi="Arial Narrow" w:cstheme="minorBidi"/>
      <w:b/>
      <w:sz w:val="20"/>
      <w:szCs w:val="22"/>
      <w:lang w:eastAsia="en-US"/>
    </w:rPr>
  </w:style>
  <w:style w:type="paragraph" w:styleId="FootnoteText">
    <w:name w:val="footnote text"/>
    <w:basedOn w:val="Normal"/>
    <w:link w:val="FootnoteTextChar"/>
    <w:unhideWhenUsed/>
    <w:rsid w:val="007260A0"/>
    <w:rPr>
      <w:sz w:val="20"/>
      <w:szCs w:val="20"/>
    </w:rPr>
  </w:style>
  <w:style w:type="character" w:customStyle="1" w:styleId="FootnoteTextChar">
    <w:name w:val="Footnote Text Char"/>
    <w:basedOn w:val="DefaultParagraphFont"/>
    <w:link w:val="FootnoteText"/>
    <w:rsid w:val="007260A0"/>
    <w:rPr>
      <w:rFonts w:ascii="Calibri" w:hAnsi="Calibri" w:cs="Arial"/>
    </w:rPr>
  </w:style>
  <w:style w:type="character" w:styleId="FootnoteReference">
    <w:name w:val="footnote reference"/>
    <w:basedOn w:val="DefaultParagraphFont"/>
    <w:semiHidden/>
    <w:unhideWhenUsed/>
    <w:rsid w:val="007260A0"/>
    <w:rPr>
      <w:vertAlign w:val="superscript"/>
    </w:rPr>
  </w:style>
  <w:style w:type="table" w:customStyle="1" w:styleId="MSDAustralia">
    <w:name w:val="MSD Australia"/>
    <w:basedOn w:val="TableGrid"/>
    <w:uiPriority w:val="99"/>
    <w:rsid w:val="0009701F"/>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shd w:val="clear" w:color="auto" w:fill="F2F2F2" w:themeFill="background1" w:themeFillShade="F2"/>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PBACcaption">
    <w:name w:val="PBAC caption"/>
    <w:basedOn w:val="Normal"/>
    <w:link w:val="PBACcaptionChar"/>
    <w:qFormat/>
    <w:rsid w:val="0012382A"/>
    <w:pPr>
      <w:jc w:val="left"/>
    </w:pPr>
    <w:rPr>
      <w:rFonts w:ascii="Sabon" w:eastAsiaTheme="minorHAnsi" w:hAnsi="Sabon"/>
      <w:b/>
      <w:sz w:val="22"/>
      <w:szCs w:val="22"/>
      <w:lang w:eastAsia="en-US"/>
    </w:rPr>
  </w:style>
  <w:style w:type="character" w:customStyle="1" w:styleId="PBACcaptionChar">
    <w:name w:val="PBAC caption Char"/>
    <w:basedOn w:val="DefaultParagraphFont"/>
    <w:link w:val="PBACcaption"/>
    <w:rsid w:val="0012382A"/>
    <w:rPr>
      <w:rFonts w:ascii="Sabon" w:eastAsiaTheme="minorHAnsi" w:hAnsi="Sabon" w:cs="Arial"/>
      <w:b/>
      <w:sz w:val="22"/>
      <w:szCs w:val="22"/>
      <w:lang w:eastAsia="en-US"/>
    </w:rPr>
  </w:style>
  <w:style w:type="paragraph" w:customStyle="1" w:styleId="PBACTableFootnote1">
    <w:name w:val="PBAC Table Footnote1"/>
    <w:next w:val="NoSpacing"/>
    <w:uiPriority w:val="1"/>
    <w:qFormat/>
    <w:rsid w:val="0012382A"/>
    <w:rPr>
      <w:rFonts w:ascii="Arial Narrow" w:eastAsiaTheme="minorHAnsi" w:hAnsi="Arial Narrow" w:cs="Arial"/>
      <w:sz w:val="16"/>
      <w:lang w:val="en-US" w:eastAsia="en-US"/>
    </w:rPr>
  </w:style>
  <w:style w:type="paragraph" w:customStyle="1" w:styleId="PbacTableHeading">
    <w:name w:val="Pbac Table Heading"/>
    <w:basedOn w:val="Normal"/>
    <w:uiPriority w:val="99"/>
    <w:qFormat/>
    <w:rsid w:val="00F911B9"/>
    <w:pPr>
      <w:spacing w:after="80"/>
      <w:jc w:val="left"/>
    </w:pPr>
    <w:rPr>
      <w:rFonts w:ascii="Arial Narrow" w:eastAsiaTheme="minorHAnsi" w:hAnsi="Arial Narrow" w:cstheme="minorBidi"/>
      <w:sz w:val="20"/>
      <w:szCs w:val="22"/>
      <w:lang w:eastAsia="en-US"/>
    </w:rPr>
  </w:style>
  <w:style w:type="table" w:customStyle="1" w:styleId="GVDtable">
    <w:name w:val="GVD table"/>
    <w:basedOn w:val="TableNormal"/>
    <w:uiPriority w:val="99"/>
    <w:rsid w:val="00F911B9"/>
    <w:pPr>
      <w:spacing w:before="60" w:after="60"/>
      <w:jc w:val="center"/>
    </w:pPr>
    <w:rPr>
      <w:rFonts w:ascii="Arial" w:eastAsiaTheme="minorHAnsi" w:hAnsi="Arial" w:cstheme="minorBidi"/>
      <w:color w:val="897E78"/>
      <w:szCs w:val="24"/>
      <w:lang w:val="en-GB" w:eastAsia="en-US"/>
    </w:rPr>
    <w:tblPr>
      <w:tblBorders>
        <w:insideH w:val="single" w:sz="18" w:space="0" w:color="FFFFFF" w:themeColor="background1"/>
        <w:insideV w:val="single" w:sz="18" w:space="0" w:color="FFFFFF" w:themeColor="background1"/>
      </w:tblBorders>
    </w:tblPr>
    <w:tcPr>
      <w:shd w:val="clear" w:color="auto" w:fill="F2F2F2"/>
    </w:tcPr>
    <w:tblStylePr w:type="firstRow">
      <w:rPr>
        <w:rFonts w:ascii="Arial" w:hAnsi="Arial"/>
        <w:b/>
        <w:color w:val="FFFFFF"/>
        <w:sz w:val="20"/>
      </w:rPr>
      <w:tblPr/>
      <w:tcPr>
        <w:shd w:val="clear" w:color="auto" w:fill="6B3077"/>
      </w:tcPr>
    </w:tblStylePr>
    <w:tblStylePr w:type="firstCol">
      <w:pPr>
        <w:jc w:val="left"/>
      </w:pPr>
    </w:tblStylePr>
  </w:style>
  <w:style w:type="numbering" w:customStyle="1" w:styleId="Lists">
    <w:name w:val="Lists"/>
    <w:uiPriority w:val="99"/>
    <w:rsid w:val="00016EA6"/>
    <w:pPr>
      <w:numPr>
        <w:numId w:val="7"/>
      </w:numPr>
    </w:pPr>
  </w:style>
  <w:style w:type="character" w:styleId="Emphasis">
    <w:name w:val="Emphasis"/>
    <w:basedOn w:val="DefaultParagraphFont"/>
    <w:uiPriority w:val="20"/>
    <w:qFormat/>
    <w:rsid w:val="001A3E62"/>
    <w:rPr>
      <w:b w:val="0"/>
      <w:i/>
      <w:iCs/>
    </w:rPr>
  </w:style>
  <w:style w:type="paragraph" w:customStyle="1" w:styleId="PBACnormal">
    <w:name w:val="PBAC normal"/>
    <w:basedOn w:val="Normal"/>
    <w:link w:val="PBACnormalChar"/>
    <w:qFormat/>
    <w:rsid w:val="003468A9"/>
    <w:pPr>
      <w:spacing w:after="160"/>
      <w:jc w:val="left"/>
    </w:pPr>
    <w:rPr>
      <w:rFonts w:ascii="Sabon" w:eastAsia="Calibri" w:hAnsi="Sabon"/>
      <w:sz w:val="22"/>
      <w:szCs w:val="20"/>
      <w:lang w:eastAsia="en-US"/>
    </w:rPr>
  </w:style>
  <w:style w:type="character" w:customStyle="1" w:styleId="PBACnormalChar">
    <w:name w:val="PBAC normal Char"/>
    <w:basedOn w:val="DefaultParagraphFont"/>
    <w:link w:val="PBACnormal"/>
    <w:rsid w:val="003468A9"/>
    <w:rPr>
      <w:rFonts w:ascii="Sabon" w:eastAsia="Calibri" w:hAnsi="Sabon" w:cs="Arial"/>
      <w:sz w:val="22"/>
      <w:lang w:eastAsia="en-US"/>
    </w:rPr>
  </w:style>
  <w:style w:type="paragraph" w:customStyle="1" w:styleId="C-TableFootnote">
    <w:name w:val="C-Table Footnote"/>
    <w:next w:val="Normal"/>
    <w:qFormat/>
    <w:rsid w:val="00AE15C3"/>
    <w:pPr>
      <w:tabs>
        <w:tab w:val="left" w:pos="144"/>
      </w:tabs>
      <w:ind w:left="144" w:hanging="144"/>
    </w:pPr>
    <w:rPr>
      <w:rFonts w:cs="Arial"/>
      <w:sz w:val="18"/>
      <w:lang w:val="en-US" w:eastAsia="en-US"/>
    </w:rPr>
  </w:style>
  <w:style w:type="paragraph" w:customStyle="1" w:styleId="PBACTableText">
    <w:name w:val="PBAC Table Text"/>
    <w:basedOn w:val="Normal"/>
    <w:link w:val="PBACTableTextChar"/>
    <w:qFormat/>
    <w:rsid w:val="004E409C"/>
    <w:pPr>
      <w:spacing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4E409C"/>
    <w:rPr>
      <w:rFonts w:ascii="Arial Narrow" w:hAnsi="Arial Narrow"/>
      <w:lang w:eastAsia="en-US"/>
    </w:rPr>
  </w:style>
  <w:style w:type="paragraph" w:customStyle="1" w:styleId="PBACHeading5notnumbered">
    <w:name w:val="PBAC Heading 5 not numbered"/>
    <w:basedOn w:val="Heading5"/>
    <w:link w:val="PBACHeading5notnumberedChar"/>
    <w:qFormat/>
    <w:rsid w:val="001917F6"/>
    <w:pPr>
      <w:keepNext/>
      <w:keepLines/>
      <w:spacing w:before="60"/>
      <w:jc w:val="left"/>
    </w:pPr>
    <w:rPr>
      <w:rFonts w:ascii="Sabon" w:eastAsiaTheme="majorEastAsia" w:hAnsi="Sabon" w:cstheme="majorBidi"/>
      <w:b w:val="0"/>
      <w:bCs w:val="0"/>
      <w:i/>
      <w:iCs w:val="0"/>
      <w:sz w:val="22"/>
      <w:szCs w:val="20"/>
      <w:lang w:eastAsia="en-US"/>
    </w:rPr>
  </w:style>
  <w:style w:type="character" w:customStyle="1" w:styleId="PBACHeading5notnumberedChar">
    <w:name w:val="PBAC Heading 5 not numbered Char"/>
    <w:basedOn w:val="DefaultParagraphFont"/>
    <w:link w:val="PBACHeading5notnumbered"/>
    <w:rsid w:val="001917F6"/>
    <w:rPr>
      <w:rFonts w:ascii="Sabon" w:eastAsiaTheme="majorEastAsia" w:hAnsi="Sabon" w:cstheme="majorBidi"/>
      <w:i/>
      <w:sz w:val="22"/>
      <w:lang w:eastAsia="en-US"/>
    </w:rPr>
  </w:style>
  <w:style w:type="character" w:customStyle="1" w:styleId="C-Hyperlink">
    <w:name w:val="C-Hyperlink"/>
    <w:qFormat/>
    <w:rsid w:val="00245180"/>
    <w:rPr>
      <w:color w:val="0000FF"/>
    </w:rPr>
  </w:style>
  <w:style w:type="paragraph" w:customStyle="1" w:styleId="C-BodyText">
    <w:name w:val="C-Body Text"/>
    <w:link w:val="C-BodyTextChar"/>
    <w:qFormat/>
    <w:rsid w:val="00245180"/>
    <w:pPr>
      <w:spacing w:before="120" w:after="120" w:line="280" w:lineRule="atLeast"/>
    </w:pPr>
    <w:rPr>
      <w:sz w:val="24"/>
      <w:lang w:val="en-US" w:eastAsia="en-US"/>
    </w:rPr>
  </w:style>
  <w:style w:type="character" w:customStyle="1" w:styleId="C-BodyTextChar">
    <w:name w:val="C-Body Text Char"/>
    <w:link w:val="C-BodyText"/>
    <w:rsid w:val="00245180"/>
    <w:rPr>
      <w:sz w:val="24"/>
      <w:lang w:val="en-US" w:eastAsia="en-US"/>
    </w:rPr>
  </w:style>
  <w:style w:type="character" w:customStyle="1" w:styleId="Heading1Char">
    <w:name w:val="Heading 1 Char"/>
    <w:basedOn w:val="DefaultParagraphFont"/>
    <w:link w:val="Heading1"/>
    <w:rsid w:val="00037EAE"/>
    <w:rPr>
      <w:rFonts w:ascii="Calibri" w:hAnsi="Calibri" w:cs="Arial"/>
      <w:b/>
      <w:caps/>
      <w:sz w:val="32"/>
      <w:szCs w:val="24"/>
    </w:rPr>
  </w:style>
  <w:style w:type="character" w:customStyle="1" w:styleId="Heading4Char">
    <w:name w:val="Heading 4 Char"/>
    <w:basedOn w:val="DefaultParagraphFont"/>
    <w:link w:val="Heading4"/>
    <w:rsid w:val="00037EAE"/>
    <w:rPr>
      <w:rFonts w:ascii="Calibri" w:hAnsi="Calibri" w:cs="Arial"/>
      <w:b/>
      <w:bCs/>
      <w:i/>
      <w:sz w:val="26"/>
      <w:szCs w:val="28"/>
    </w:rPr>
  </w:style>
  <w:style w:type="character" w:customStyle="1" w:styleId="UnresolvedMention1">
    <w:name w:val="Unresolved Mention1"/>
    <w:basedOn w:val="DefaultParagraphFont"/>
    <w:uiPriority w:val="99"/>
    <w:semiHidden/>
    <w:unhideWhenUsed/>
    <w:rsid w:val="00037EAE"/>
    <w:rPr>
      <w:color w:val="605E5C"/>
      <w:shd w:val="clear" w:color="auto" w:fill="E1DFDD"/>
    </w:rPr>
  </w:style>
  <w:style w:type="character" w:customStyle="1" w:styleId="Heading3Char">
    <w:name w:val="Heading 3 Char"/>
    <w:basedOn w:val="DefaultParagraphFont"/>
    <w:link w:val="Heading3"/>
    <w:rsid w:val="00037EAE"/>
    <w:rPr>
      <w:rFonts w:ascii="Calibri" w:hAnsi="Calibri" w:cs="Arial"/>
      <w:sz w:val="24"/>
      <w:szCs w:val="24"/>
      <w:u w:val="single"/>
    </w:rPr>
  </w:style>
  <w:style w:type="table" w:customStyle="1" w:styleId="PrecisionXtract">
    <w:name w:val="Precision Xtract"/>
    <w:basedOn w:val="TableNormal"/>
    <w:uiPriority w:val="99"/>
    <w:rsid w:val="00DA3401"/>
    <w:rPr>
      <w:rFonts w:ascii="Arial" w:eastAsiaTheme="minorHAnsi" w:hAnsi="Arial" w:cstheme="min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w:hAnsi="Arial"/>
        <w:b/>
        <w:sz w:val="20"/>
      </w:rPr>
      <w:tblPr/>
      <w:tcPr>
        <w:shd w:val="clear" w:color="auto" w:fill="000000" w:themeFill="text1"/>
        <w:vAlign w:val="center"/>
      </w:tcPr>
    </w:tblStylePr>
  </w:style>
  <w:style w:type="character" w:customStyle="1" w:styleId="Heading5Char">
    <w:name w:val="Heading 5 Char"/>
    <w:basedOn w:val="DefaultParagraphFont"/>
    <w:link w:val="Heading5"/>
    <w:rsid w:val="00BA6F64"/>
    <w:rPr>
      <w:rFonts w:ascii="Calibri" w:hAnsi="Calibri" w:cs="Arial"/>
      <w:b/>
      <w:bCs/>
      <w:iCs/>
      <w:sz w:val="26"/>
      <w:szCs w:val="26"/>
    </w:rPr>
  </w:style>
  <w:style w:type="character" w:customStyle="1" w:styleId="Heading6Char">
    <w:name w:val="Heading 6 Char"/>
    <w:basedOn w:val="DefaultParagraphFont"/>
    <w:link w:val="Heading6"/>
    <w:rsid w:val="00BA6F64"/>
    <w:rPr>
      <w:rFonts w:ascii="Calibri" w:hAnsi="Calibri" w:cs="Arial"/>
      <w:b/>
      <w:bCs/>
      <w:i/>
      <w:sz w:val="24"/>
      <w:szCs w:val="24"/>
    </w:rPr>
  </w:style>
  <w:style w:type="paragraph" w:customStyle="1" w:styleId="msonormal0">
    <w:name w:val="msonormal"/>
    <w:basedOn w:val="Normal"/>
    <w:uiPriority w:val="99"/>
    <w:rsid w:val="00BA6F64"/>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BA6F64"/>
    <w:rPr>
      <w:rFonts w:ascii="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7429176">
      <w:bodyDiv w:val="1"/>
      <w:marLeft w:val="0"/>
      <w:marRight w:val="0"/>
      <w:marTop w:val="0"/>
      <w:marBottom w:val="0"/>
      <w:divBdr>
        <w:top w:val="none" w:sz="0" w:space="0" w:color="auto"/>
        <w:left w:val="none" w:sz="0" w:space="0" w:color="auto"/>
        <w:bottom w:val="none" w:sz="0" w:space="0" w:color="auto"/>
        <w:right w:val="none" w:sz="0" w:space="0" w:color="auto"/>
      </w:divBdr>
    </w:div>
    <w:div w:id="2691213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9648560">
      <w:bodyDiv w:val="1"/>
      <w:marLeft w:val="0"/>
      <w:marRight w:val="0"/>
      <w:marTop w:val="0"/>
      <w:marBottom w:val="0"/>
      <w:divBdr>
        <w:top w:val="none" w:sz="0" w:space="0" w:color="auto"/>
        <w:left w:val="none" w:sz="0" w:space="0" w:color="auto"/>
        <w:bottom w:val="none" w:sz="0" w:space="0" w:color="auto"/>
        <w:right w:val="none" w:sz="0" w:space="0" w:color="auto"/>
      </w:divBdr>
    </w:div>
    <w:div w:id="398864578">
      <w:bodyDiv w:val="1"/>
      <w:marLeft w:val="0"/>
      <w:marRight w:val="0"/>
      <w:marTop w:val="0"/>
      <w:marBottom w:val="0"/>
      <w:divBdr>
        <w:top w:val="none" w:sz="0" w:space="0" w:color="auto"/>
        <w:left w:val="none" w:sz="0" w:space="0" w:color="auto"/>
        <w:bottom w:val="none" w:sz="0" w:space="0" w:color="auto"/>
        <w:right w:val="none" w:sz="0" w:space="0" w:color="auto"/>
      </w:divBdr>
    </w:div>
    <w:div w:id="529882475">
      <w:bodyDiv w:val="1"/>
      <w:marLeft w:val="0"/>
      <w:marRight w:val="0"/>
      <w:marTop w:val="0"/>
      <w:marBottom w:val="0"/>
      <w:divBdr>
        <w:top w:val="none" w:sz="0" w:space="0" w:color="auto"/>
        <w:left w:val="none" w:sz="0" w:space="0" w:color="auto"/>
        <w:bottom w:val="none" w:sz="0" w:space="0" w:color="auto"/>
        <w:right w:val="none" w:sz="0" w:space="0" w:color="auto"/>
      </w:divBdr>
      <w:divsChild>
        <w:div w:id="879559848">
          <w:marLeft w:val="1166"/>
          <w:marRight w:val="0"/>
          <w:marTop w:val="0"/>
          <w:marBottom w:val="0"/>
          <w:divBdr>
            <w:top w:val="none" w:sz="0" w:space="0" w:color="auto"/>
            <w:left w:val="none" w:sz="0" w:space="0" w:color="auto"/>
            <w:bottom w:val="none" w:sz="0" w:space="0" w:color="auto"/>
            <w:right w:val="none" w:sz="0" w:space="0" w:color="auto"/>
          </w:divBdr>
        </w:div>
        <w:div w:id="1589851058">
          <w:marLeft w:val="1886"/>
          <w:marRight w:val="0"/>
          <w:marTop w:val="0"/>
          <w:marBottom w:val="0"/>
          <w:divBdr>
            <w:top w:val="none" w:sz="0" w:space="0" w:color="auto"/>
            <w:left w:val="none" w:sz="0" w:space="0" w:color="auto"/>
            <w:bottom w:val="none" w:sz="0" w:space="0" w:color="auto"/>
            <w:right w:val="none" w:sz="0" w:space="0" w:color="auto"/>
          </w:divBdr>
        </w:div>
        <w:div w:id="1040739856">
          <w:marLeft w:val="1886"/>
          <w:marRight w:val="0"/>
          <w:marTop w:val="0"/>
          <w:marBottom w:val="0"/>
          <w:divBdr>
            <w:top w:val="none" w:sz="0" w:space="0" w:color="auto"/>
            <w:left w:val="none" w:sz="0" w:space="0" w:color="auto"/>
            <w:bottom w:val="none" w:sz="0" w:space="0" w:color="auto"/>
            <w:right w:val="none" w:sz="0" w:space="0" w:color="auto"/>
          </w:divBdr>
        </w:div>
        <w:div w:id="86775368">
          <w:marLeft w:val="1166"/>
          <w:marRight w:val="0"/>
          <w:marTop w:val="0"/>
          <w:marBottom w:val="0"/>
          <w:divBdr>
            <w:top w:val="none" w:sz="0" w:space="0" w:color="auto"/>
            <w:left w:val="none" w:sz="0" w:space="0" w:color="auto"/>
            <w:bottom w:val="none" w:sz="0" w:space="0" w:color="auto"/>
            <w:right w:val="none" w:sz="0" w:space="0" w:color="auto"/>
          </w:divBdr>
        </w:div>
        <w:div w:id="1659653158">
          <w:marLeft w:val="1166"/>
          <w:marRight w:val="0"/>
          <w:marTop w:val="0"/>
          <w:marBottom w:val="0"/>
          <w:divBdr>
            <w:top w:val="none" w:sz="0" w:space="0" w:color="auto"/>
            <w:left w:val="none" w:sz="0" w:space="0" w:color="auto"/>
            <w:bottom w:val="none" w:sz="0" w:space="0" w:color="auto"/>
            <w:right w:val="none" w:sz="0" w:space="0" w:color="auto"/>
          </w:divBdr>
        </w:div>
        <w:div w:id="1830172866">
          <w:marLeft w:val="1166"/>
          <w:marRight w:val="0"/>
          <w:marTop w:val="0"/>
          <w:marBottom w:val="0"/>
          <w:divBdr>
            <w:top w:val="none" w:sz="0" w:space="0" w:color="auto"/>
            <w:left w:val="none" w:sz="0" w:space="0" w:color="auto"/>
            <w:bottom w:val="none" w:sz="0" w:space="0" w:color="auto"/>
            <w:right w:val="none" w:sz="0" w:space="0" w:color="auto"/>
          </w:divBdr>
        </w:div>
        <w:div w:id="90468407">
          <w:marLeft w:val="1166"/>
          <w:marRight w:val="0"/>
          <w:marTop w:val="0"/>
          <w:marBottom w:val="0"/>
          <w:divBdr>
            <w:top w:val="none" w:sz="0" w:space="0" w:color="auto"/>
            <w:left w:val="none" w:sz="0" w:space="0" w:color="auto"/>
            <w:bottom w:val="none" w:sz="0" w:space="0" w:color="auto"/>
            <w:right w:val="none" w:sz="0" w:space="0" w:color="auto"/>
          </w:divBdr>
        </w:div>
        <w:div w:id="2134709180">
          <w:marLeft w:val="1166"/>
          <w:marRight w:val="0"/>
          <w:marTop w:val="0"/>
          <w:marBottom w:val="0"/>
          <w:divBdr>
            <w:top w:val="none" w:sz="0" w:space="0" w:color="auto"/>
            <w:left w:val="none" w:sz="0" w:space="0" w:color="auto"/>
            <w:bottom w:val="none" w:sz="0" w:space="0" w:color="auto"/>
            <w:right w:val="none" w:sz="0" w:space="0" w:color="auto"/>
          </w:divBdr>
        </w:div>
        <w:div w:id="17242383">
          <w:marLeft w:val="1166"/>
          <w:marRight w:val="0"/>
          <w:marTop w:val="0"/>
          <w:marBottom w:val="0"/>
          <w:divBdr>
            <w:top w:val="none" w:sz="0" w:space="0" w:color="auto"/>
            <w:left w:val="none" w:sz="0" w:space="0" w:color="auto"/>
            <w:bottom w:val="none" w:sz="0" w:space="0" w:color="auto"/>
            <w:right w:val="none" w:sz="0" w:space="0" w:color="auto"/>
          </w:divBdr>
        </w:div>
        <w:div w:id="1126657992">
          <w:marLeft w:val="1166"/>
          <w:marRight w:val="0"/>
          <w:marTop w:val="0"/>
          <w:marBottom w:val="0"/>
          <w:divBdr>
            <w:top w:val="none" w:sz="0" w:space="0" w:color="auto"/>
            <w:left w:val="none" w:sz="0" w:space="0" w:color="auto"/>
            <w:bottom w:val="none" w:sz="0" w:space="0" w:color="auto"/>
            <w:right w:val="none" w:sz="0" w:space="0" w:color="auto"/>
          </w:divBdr>
        </w:div>
        <w:div w:id="59182983">
          <w:marLeft w:val="1166"/>
          <w:marRight w:val="0"/>
          <w:marTop w:val="0"/>
          <w:marBottom w:val="0"/>
          <w:divBdr>
            <w:top w:val="none" w:sz="0" w:space="0" w:color="auto"/>
            <w:left w:val="none" w:sz="0" w:space="0" w:color="auto"/>
            <w:bottom w:val="none" w:sz="0" w:space="0" w:color="auto"/>
            <w:right w:val="none" w:sz="0" w:space="0" w:color="auto"/>
          </w:divBdr>
        </w:div>
        <w:div w:id="159732491">
          <w:marLeft w:val="1166"/>
          <w:marRight w:val="0"/>
          <w:marTop w:val="0"/>
          <w:marBottom w:val="0"/>
          <w:divBdr>
            <w:top w:val="none" w:sz="0" w:space="0" w:color="auto"/>
            <w:left w:val="none" w:sz="0" w:space="0" w:color="auto"/>
            <w:bottom w:val="none" w:sz="0" w:space="0" w:color="auto"/>
            <w:right w:val="none" w:sz="0" w:space="0" w:color="auto"/>
          </w:divBdr>
        </w:div>
        <w:div w:id="1726636021">
          <w:marLeft w:val="1166"/>
          <w:marRight w:val="0"/>
          <w:marTop w:val="0"/>
          <w:marBottom w:val="0"/>
          <w:divBdr>
            <w:top w:val="none" w:sz="0" w:space="0" w:color="auto"/>
            <w:left w:val="none" w:sz="0" w:space="0" w:color="auto"/>
            <w:bottom w:val="none" w:sz="0" w:space="0" w:color="auto"/>
            <w:right w:val="none" w:sz="0" w:space="0" w:color="auto"/>
          </w:divBdr>
        </w:div>
        <w:div w:id="1300450829">
          <w:marLeft w:val="1166"/>
          <w:marRight w:val="0"/>
          <w:marTop w:val="0"/>
          <w:marBottom w:val="0"/>
          <w:divBdr>
            <w:top w:val="none" w:sz="0" w:space="0" w:color="auto"/>
            <w:left w:val="none" w:sz="0" w:space="0" w:color="auto"/>
            <w:bottom w:val="none" w:sz="0" w:space="0" w:color="auto"/>
            <w:right w:val="none" w:sz="0" w:space="0" w:color="auto"/>
          </w:divBdr>
        </w:div>
        <w:div w:id="1038236386">
          <w:marLeft w:val="1166"/>
          <w:marRight w:val="0"/>
          <w:marTop w:val="0"/>
          <w:marBottom w:val="0"/>
          <w:divBdr>
            <w:top w:val="none" w:sz="0" w:space="0" w:color="auto"/>
            <w:left w:val="none" w:sz="0" w:space="0" w:color="auto"/>
            <w:bottom w:val="none" w:sz="0" w:space="0" w:color="auto"/>
            <w:right w:val="none" w:sz="0" w:space="0" w:color="auto"/>
          </w:divBdr>
        </w:div>
        <w:div w:id="658770935">
          <w:marLeft w:val="1166"/>
          <w:marRight w:val="0"/>
          <w:marTop w:val="0"/>
          <w:marBottom w:val="0"/>
          <w:divBdr>
            <w:top w:val="none" w:sz="0" w:space="0" w:color="auto"/>
            <w:left w:val="none" w:sz="0" w:space="0" w:color="auto"/>
            <w:bottom w:val="none" w:sz="0" w:space="0" w:color="auto"/>
            <w:right w:val="none" w:sz="0" w:space="0" w:color="auto"/>
          </w:divBdr>
        </w:div>
      </w:divsChild>
    </w:div>
    <w:div w:id="583761062">
      <w:bodyDiv w:val="1"/>
      <w:marLeft w:val="0"/>
      <w:marRight w:val="0"/>
      <w:marTop w:val="0"/>
      <w:marBottom w:val="0"/>
      <w:divBdr>
        <w:top w:val="none" w:sz="0" w:space="0" w:color="auto"/>
        <w:left w:val="none" w:sz="0" w:space="0" w:color="auto"/>
        <w:bottom w:val="none" w:sz="0" w:space="0" w:color="auto"/>
        <w:right w:val="none" w:sz="0" w:space="0" w:color="auto"/>
      </w:divBdr>
    </w:div>
    <w:div w:id="736512244">
      <w:bodyDiv w:val="1"/>
      <w:marLeft w:val="0"/>
      <w:marRight w:val="0"/>
      <w:marTop w:val="0"/>
      <w:marBottom w:val="0"/>
      <w:divBdr>
        <w:top w:val="none" w:sz="0" w:space="0" w:color="auto"/>
        <w:left w:val="none" w:sz="0" w:space="0" w:color="auto"/>
        <w:bottom w:val="none" w:sz="0" w:space="0" w:color="auto"/>
        <w:right w:val="none" w:sz="0" w:space="0" w:color="auto"/>
      </w:divBdr>
    </w:div>
    <w:div w:id="913206053">
      <w:bodyDiv w:val="1"/>
      <w:marLeft w:val="0"/>
      <w:marRight w:val="0"/>
      <w:marTop w:val="0"/>
      <w:marBottom w:val="0"/>
      <w:divBdr>
        <w:top w:val="none" w:sz="0" w:space="0" w:color="auto"/>
        <w:left w:val="none" w:sz="0" w:space="0" w:color="auto"/>
        <w:bottom w:val="none" w:sz="0" w:space="0" w:color="auto"/>
        <w:right w:val="none" w:sz="0" w:space="0" w:color="auto"/>
      </w:divBdr>
    </w:div>
    <w:div w:id="961958112">
      <w:bodyDiv w:val="1"/>
      <w:marLeft w:val="0"/>
      <w:marRight w:val="0"/>
      <w:marTop w:val="0"/>
      <w:marBottom w:val="0"/>
      <w:divBdr>
        <w:top w:val="none" w:sz="0" w:space="0" w:color="auto"/>
        <w:left w:val="none" w:sz="0" w:space="0" w:color="auto"/>
        <w:bottom w:val="none" w:sz="0" w:space="0" w:color="auto"/>
        <w:right w:val="none" w:sz="0" w:space="0" w:color="auto"/>
      </w:divBdr>
    </w:div>
    <w:div w:id="109139630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951">
      <w:bodyDiv w:val="1"/>
      <w:marLeft w:val="0"/>
      <w:marRight w:val="0"/>
      <w:marTop w:val="0"/>
      <w:marBottom w:val="0"/>
      <w:divBdr>
        <w:top w:val="none" w:sz="0" w:space="0" w:color="auto"/>
        <w:left w:val="none" w:sz="0" w:space="0" w:color="auto"/>
        <w:bottom w:val="none" w:sz="0" w:space="0" w:color="auto"/>
        <w:right w:val="none" w:sz="0" w:space="0" w:color="auto"/>
      </w:divBdr>
    </w:div>
    <w:div w:id="1311445204">
      <w:bodyDiv w:val="1"/>
      <w:marLeft w:val="0"/>
      <w:marRight w:val="0"/>
      <w:marTop w:val="0"/>
      <w:marBottom w:val="0"/>
      <w:divBdr>
        <w:top w:val="none" w:sz="0" w:space="0" w:color="auto"/>
        <w:left w:val="none" w:sz="0" w:space="0" w:color="auto"/>
        <w:bottom w:val="none" w:sz="0" w:space="0" w:color="auto"/>
        <w:right w:val="none" w:sz="0" w:space="0" w:color="auto"/>
      </w:divBdr>
    </w:div>
    <w:div w:id="148767104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0624824">
      <w:bodyDiv w:val="1"/>
      <w:marLeft w:val="0"/>
      <w:marRight w:val="0"/>
      <w:marTop w:val="0"/>
      <w:marBottom w:val="0"/>
      <w:divBdr>
        <w:top w:val="none" w:sz="0" w:space="0" w:color="auto"/>
        <w:left w:val="none" w:sz="0" w:space="0" w:color="auto"/>
        <w:bottom w:val="none" w:sz="0" w:space="0" w:color="auto"/>
        <w:right w:val="none" w:sz="0" w:space="0" w:color="auto"/>
      </w:divBdr>
    </w:div>
    <w:div w:id="20771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hdphoto" Target="media/hdphoto1.wdp"/><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jpeg"/><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hlw.go.jp/content/12404000/0006295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6850-4C29-441B-9DD9-F090381F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12951</Words>
  <Characters>67965</Characters>
  <Application>Microsoft Office Word</Application>
  <DocSecurity>0</DocSecurity>
  <Lines>566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2021-03-04T02:17:00Z</dcterms:created>
  <dcterms:modified xsi:type="dcterms:W3CDTF">2021-03-04T02:17:00Z</dcterms:modified>
</cp:coreProperties>
</file>