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803E84" w14:textId="77777777" w:rsidR="00574D1B" w:rsidRPr="00A74194" w:rsidRDefault="00574D1B" w:rsidP="00FC3C99">
      <w:pPr>
        <w:rPr>
          <w:rFonts w:asciiTheme="minorHAnsi" w:hAnsiTheme="minorHAnsi" w:cstheme="minorHAnsi"/>
          <w:b/>
          <w:bCs/>
          <w:sz w:val="36"/>
          <w:szCs w:val="36"/>
        </w:rPr>
      </w:pPr>
      <w:bookmarkStart w:id="0" w:name="_Toc22898842"/>
      <w:bookmarkStart w:id="1" w:name="_Toc380746195"/>
      <w:bookmarkStart w:id="2" w:name="_Toc380746321"/>
      <w:bookmarkStart w:id="3" w:name="_Toc380746602"/>
      <w:r w:rsidRPr="00A74194">
        <w:rPr>
          <w:rFonts w:asciiTheme="minorHAnsi" w:hAnsiTheme="minorHAnsi" w:cstheme="minorHAnsi"/>
          <w:b/>
          <w:bCs/>
          <w:sz w:val="36"/>
          <w:szCs w:val="36"/>
        </w:rPr>
        <w:t>7.05</w:t>
      </w:r>
      <w:r w:rsidR="00B159C2" w:rsidRPr="00A74194">
        <w:rPr>
          <w:rFonts w:asciiTheme="minorHAnsi" w:hAnsiTheme="minorHAnsi" w:cstheme="minorHAnsi"/>
          <w:b/>
          <w:bCs/>
          <w:sz w:val="36"/>
          <w:szCs w:val="36"/>
        </w:rPr>
        <w:tab/>
        <w:t xml:space="preserve">OBETICHOLIC ACID, </w:t>
      </w:r>
      <w:r w:rsidRPr="00A74194">
        <w:rPr>
          <w:rFonts w:asciiTheme="minorHAnsi" w:hAnsiTheme="minorHAnsi" w:cstheme="minorHAnsi"/>
          <w:b/>
          <w:bCs/>
          <w:sz w:val="36"/>
          <w:szCs w:val="36"/>
        </w:rPr>
        <w:tab/>
      </w:r>
    </w:p>
    <w:p w14:paraId="34EB1C08" w14:textId="77777777" w:rsidR="00574D1B" w:rsidRPr="00A74194" w:rsidRDefault="00B159C2" w:rsidP="00574D1B">
      <w:pPr>
        <w:ind w:firstLine="720"/>
        <w:rPr>
          <w:rFonts w:asciiTheme="minorHAnsi" w:hAnsiTheme="minorHAnsi" w:cstheme="minorHAnsi"/>
          <w:b/>
          <w:bCs/>
          <w:sz w:val="36"/>
          <w:szCs w:val="36"/>
        </w:rPr>
      </w:pPr>
      <w:r w:rsidRPr="00A74194">
        <w:rPr>
          <w:rFonts w:asciiTheme="minorHAnsi" w:hAnsiTheme="minorHAnsi" w:cstheme="minorHAnsi"/>
          <w:b/>
          <w:bCs/>
          <w:sz w:val="36"/>
          <w:szCs w:val="36"/>
        </w:rPr>
        <w:t>Tablet 5</w:t>
      </w:r>
      <w:r w:rsidR="00CC2AF6" w:rsidRPr="00A74194">
        <w:rPr>
          <w:rFonts w:asciiTheme="minorHAnsi" w:hAnsiTheme="minorHAnsi" w:cstheme="minorHAnsi"/>
          <w:b/>
          <w:bCs/>
          <w:sz w:val="36"/>
          <w:szCs w:val="36"/>
        </w:rPr>
        <w:t xml:space="preserve"> </w:t>
      </w:r>
      <w:r w:rsidRPr="00A74194">
        <w:rPr>
          <w:rFonts w:asciiTheme="minorHAnsi" w:hAnsiTheme="minorHAnsi" w:cstheme="minorHAnsi"/>
          <w:b/>
          <w:bCs/>
          <w:sz w:val="36"/>
          <w:szCs w:val="36"/>
        </w:rPr>
        <w:t>mg, 10</w:t>
      </w:r>
      <w:r w:rsidR="00CC2AF6" w:rsidRPr="00A74194">
        <w:rPr>
          <w:rFonts w:asciiTheme="minorHAnsi" w:hAnsiTheme="minorHAnsi" w:cstheme="minorHAnsi"/>
          <w:b/>
          <w:bCs/>
          <w:sz w:val="36"/>
          <w:szCs w:val="36"/>
        </w:rPr>
        <w:t xml:space="preserve"> </w:t>
      </w:r>
      <w:r w:rsidRPr="00A74194">
        <w:rPr>
          <w:rFonts w:asciiTheme="minorHAnsi" w:hAnsiTheme="minorHAnsi" w:cstheme="minorHAnsi"/>
          <w:b/>
          <w:bCs/>
          <w:sz w:val="36"/>
          <w:szCs w:val="36"/>
        </w:rPr>
        <w:t xml:space="preserve">mg, </w:t>
      </w:r>
    </w:p>
    <w:p w14:paraId="3A9F33BA" w14:textId="77777777" w:rsidR="00574D1B" w:rsidRPr="00A74194" w:rsidRDefault="00B159C2" w:rsidP="00574D1B">
      <w:pPr>
        <w:ind w:left="720"/>
        <w:rPr>
          <w:rFonts w:asciiTheme="minorHAnsi" w:hAnsiTheme="minorHAnsi" w:cstheme="minorHAnsi"/>
          <w:b/>
          <w:bCs/>
          <w:sz w:val="36"/>
          <w:szCs w:val="36"/>
        </w:rPr>
      </w:pPr>
      <w:r w:rsidRPr="00A74194">
        <w:rPr>
          <w:rFonts w:asciiTheme="minorHAnsi" w:hAnsiTheme="minorHAnsi" w:cstheme="minorHAnsi"/>
          <w:b/>
          <w:bCs/>
          <w:sz w:val="36"/>
          <w:szCs w:val="36"/>
        </w:rPr>
        <w:t>Ocaliva</w:t>
      </w:r>
      <w:r w:rsidRPr="00A74194">
        <w:rPr>
          <w:rFonts w:asciiTheme="minorHAnsi" w:hAnsiTheme="minorHAnsi" w:cstheme="minorHAnsi"/>
          <w:b/>
          <w:bCs/>
          <w:sz w:val="36"/>
          <w:szCs w:val="36"/>
          <w:vertAlign w:val="superscript"/>
        </w:rPr>
        <w:t>®</w:t>
      </w:r>
      <w:r w:rsidRPr="00A74194">
        <w:rPr>
          <w:rFonts w:asciiTheme="minorHAnsi" w:hAnsiTheme="minorHAnsi" w:cstheme="minorHAnsi"/>
          <w:b/>
          <w:bCs/>
          <w:sz w:val="36"/>
          <w:szCs w:val="36"/>
        </w:rPr>
        <w:t xml:space="preserve">, </w:t>
      </w:r>
    </w:p>
    <w:p w14:paraId="089031BA" w14:textId="77777777" w:rsidR="00B159C2" w:rsidRPr="00A74194" w:rsidRDefault="00B159C2" w:rsidP="00574D1B">
      <w:pPr>
        <w:ind w:left="720"/>
        <w:rPr>
          <w:rFonts w:asciiTheme="minorHAnsi" w:hAnsiTheme="minorHAnsi" w:cstheme="minorHAnsi"/>
          <w:b/>
          <w:bCs/>
          <w:sz w:val="36"/>
          <w:szCs w:val="36"/>
        </w:rPr>
      </w:pPr>
      <w:r w:rsidRPr="00A74194">
        <w:rPr>
          <w:rFonts w:asciiTheme="minorHAnsi" w:hAnsiTheme="minorHAnsi" w:cstheme="minorHAnsi"/>
          <w:b/>
          <w:bCs/>
          <w:sz w:val="36"/>
          <w:szCs w:val="36"/>
        </w:rPr>
        <w:t>Chiesi Australia</w:t>
      </w:r>
      <w:r w:rsidR="00DF4266" w:rsidRPr="00A74194">
        <w:rPr>
          <w:rFonts w:asciiTheme="minorHAnsi" w:hAnsiTheme="minorHAnsi" w:cstheme="minorHAnsi"/>
          <w:b/>
          <w:bCs/>
          <w:sz w:val="36"/>
          <w:szCs w:val="36"/>
        </w:rPr>
        <w:t xml:space="preserve"> Pty Ltd</w:t>
      </w:r>
      <w:r w:rsidRPr="00A74194">
        <w:rPr>
          <w:rFonts w:asciiTheme="minorHAnsi" w:hAnsiTheme="minorHAnsi" w:cstheme="minorHAnsi"/>
          <w:b/>
          <w:bCs/>
          <w:sz w:val="36"/>
          <w:szCs w:val="36"/>
        </w:rPr>
        <w:t>.</w:t>
      </w:r>
      <w:bookmarkEnd w:id="0"/>
    </w:p>
    <w:p w14:paraId="1ED0672B" w14:textId="77777777" w:rsidR="00566478" w:rsidRPr="00A74194" w:rsidRDefault="00566478" w:rsidP="00566478">
      <w:pPr>
        <w:jc w:val="center"/>
        <w:rPr>
          <w:rFonts w:asciiTheme="minorHAnsi" w:hAnsiTheme="minorHAnsi"/>
          <w:b/>
        </w:rPr>
      </w:pPr>
      <w:bookmarkStart w:id="4" w:name="_Toc22898843"/>
      <w:bookmarkStart w:id="5" w:name="_Toc22897637"/>
    </w:p>
    <w:p w14:paraId="3C1291BF" w14:textId="77777777" w:rsidR="00B159C2" w:rsidRPr="00E84633" w:rsidRDefault="00B159C2" w:rsidP="00E84633">
      <w:pPr>
        <w:pStyle w:val="2-SectionHeading"/>
        <w:numPr>
          <w:ilvl w:val="0"/>
          <w:numId w:val="7"/>
        </w:numPr>
      </w:pPr>
      <w:bookmarkStart w:id="6" w:name="_Toc22898844"/>
      <w:bookmarkStart w:id="7" w:name="_Toc50371930"/>
      <w:bookmarkEnd w:id="4"/>
      <w:bookmarkEnd w:id="5"/>
      <w:r w:rsidRPr="00E84633">
        <w:t>Purpose of resubmission</w:t>
      </w:r>
      <w:bookmarkEnd w:id="6"/>
      <w:bookmarkEnd w:id="7"/>
    </w:p>
    <w:p w14:paraId="2F6E1DE9" w14:textId="77777777" w:rsidR="00B159C2" w:rsidRPr="00A74194" w:rsidRDefault="00B159C2" w:rsidP="00164D71">
      <w:pPr>
        <w:pStyle w:val="3-BodyText"/>
        <w:numPr>
          <w:ilvl w:val="1"/>
          <w:numId w:val="7"/>
        </w:numPr>
      </w:pPr>
      <w:r w:rsidRPr="00A74194">
        <w:t xml:space="preserve">The resubmission requested an Authority Required listing for obeticholic acid (OCA) for the treatment of primary biliary cholangitis (PBC). </w:t>
      </w:r>
      <w:r w:rsidR="00181991" w:rsidRPr="00A74194">
        <w:t xml:space="preserve">OCA has previously been </w:t>
      </w:r>
      <w:r w:rsidRPr="00A74194">
        <w:t xml:space="preserve">considered, but not recommended, by the PBAC in November 2018 and March 2019. </w:t>
      </w:r>
    </w:p>
    <w:p w14:paraId="2E7E3F19" w14:textId="77777777" w:rsidR="00B159C2" w:rsidRPr="00A74194" w:rsidRDefault="00B159C2" w:rsidP="00164D71">
      <w:pPr>
        <w:pStyle w:val="3-BodyText"/>
        <w:numPr>
          <w:ilvl w:val="1"/>
          <w:numId w:val="7"/>
        </w:numPr>
      </w:pPr>
      <w:r w:rsidRPr="00A74194">
        <w:t>The requested basis for listing was cost-effectiveness of OCA in combination with ursodeoxycholic acid (OCA+UDCA) compared to UDCA plus placebo for UDCA inadequate responders.</w:t>
      </w:r>
      <w:r w:rsidR="00A23A22" w:rsidRPr="00A74194">
        <w:rPr>
          <w:color w:val="0066FF"/>
        </w:rPr>
        <w:t xml:space="preserve"> </w:t>
      </w:r>
    </w:p>
    <w:p w14:paraId="3C47788D" w14:textId="77777777" w:rsidR="00B159C2" w:rsidRPr="00A74194" w:rsidRDefault="00B159C2" w:rsidP="00C12A60">
      <w:pPr>
        <w:pStyle w:val="CaptionTable"/>
      </w:pPr>
      <w:r w:rsidRPr="00A74194">
        <w:lastRenderedPageBreak/>
        <w:t xml:space="preserve">Table 1: Key components of the clinical issue addressed by the </w:t>
      </w:r>
      <w:r w:rsidR="0019716A" w:rsidRPr="00A74194">
        <w:t>re</w:t>
      </w:r>
      <w:r w:rsidRPr="00A74194">
        <w:t>submission (as stated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B159C2" w:rsidRPr="00A74194" w14:paraId="7B7CEE15" w14:textId="77777777" w:rsidTr="007E12FF">
        <w:trPr>
          <w:cantSplit/>
          <w:tblHeader/>
        </w:trPr>
        <w:tc>
          <w:tcPr>
            <w:tcW w:w="924" w:type="pct"/>
            <w:shd w:val="clear" w:color="auto" w:fill="auto"/>
          </w:tcPr>
          <w:p w14:paraId="1CE8843A" w14:textId="77777777" w:rsidR="00B159C2" w:rsidRPr="00A74194" w:rsidRDefault="00B159C2" w:rsidP="007E12FF">
            <w:pPr>
              <w:pStyle w:val="In-tableHeading"/>
              <w:rPr>
                <w:szCs w:val="20"/>
                <w:lang w:val="en-AU"/>
              </w:rPr>
            </w:pPr>
            <w:r w:rsidRPr="00A74194">
              <w:rPr>
                <w:lang w:val="en-AU"/>
              </w:rPr>
              <w:t>Component</w:t>
            </w:r>
          </w:p>
        </w:tc>
        <w:tc>
          <w:tcPr>
            <w:tcW w:w="4076" w:type="pct"/>
            <w:shd w:val="clear" w:color="auto" w:fill="auto"/>
          </w:tcPr>
          <w:p w14:paraId="1F257818" w14:textId="77777777" w:rsidR="00B159C2" w:rsidRPr="00A74194" w:rsidRDefault="00B159C2" w:rsidP="007E12FF">
            <w:pPr>
              <w:pStyle w:val="In-tableHeading"/>
              <w:rPr>
                <w:lang w:val="en-AU"/>
              </w:rPr>
            </w:pPr>
            <w:r w:rsidRPr="00A74194">
              <w:rPr>
                <w:lang w:val="en-AU"/>
              </w:rPr>
              <w:t>Description</w:t>
            </w:r>
          </w:p>
        </w:tc>
      </w:tr>
      <w:tr w:rsidR="00B159C2" w:rsidRPr="00A74194" w14:paraId="125187A6" w14:textId="77777777" w:rsidTr="00AC03A9">
        <w:trPr>
          <w:cantSplit/>
        </w:trPr>
        <w:tc>
          <w:tcPr>
            <w:tcW w:w="924" w:type="pct"/>
            <w:shd w:val="clear" w:color="auto" w:fill="B8CCE4" w:themeFill="accent1" w:themeFillTint="66"/>
          </w:tcPr>
          <w:p w14:paraId="02C692C5" w14:textId="77777777" w:rsidR="00B159C2" w:rsidRPr="00A74194" w:rsidRDefault="00B159C2" w:rsidP="007E12FF">
            <w:pPr>
              <w:pStyle w:val="TableText0"/>
            </w:pPr>
            <w:r w:rsidRPr="00A74194">
              <w:t>Population</w:t>
            </w:r>
          </w:p>
        </w:tc>
        <w:tc>
          <w:tcPr>
            <w:tcW w:w="4076" w:type="pct"/>
            <w:shd w:val="clear" w:color="auto" w:fill="B8CCE4" w:themeFill="accent1" w:themeFillTint="66"/>
          </w:tcPr>
          <w:p w14:paraId="16F93BDA" w14:textId="77777777" w:rsidR="00B159C2" w:rsidRPr="00A74194" w:rsidRDefault="00B159C2" w:rsidP="007E12FF">
            <w:pPr>
              <w:pStyle w:val="TableText0"/>
            </w:pPr>
            <w:r w:rsidRPr="00A74194">
              <w:t>Patients diagnosed with PBC who are either</w:t>
            </w:r>
          </w:p>
          <w:p w14:paraId="7279DB15" w14:textId="77777777" w:rsidR="00B159C2" w:rsidRPr="00A74194" w:rsidRDefault="00B159C2" w:rsidP="00164D71">
            <w:pPr>
              <w:pStyle w:val="TableText0"/>
              <w:numPr>
                <w:ilvl w:val="0"/>
                <w:numId w:val="8"/>
              </w:numPr>
            </w:pPr>
            <w:r w:rsidRPr="00A74194">
              <w:t>UDCA-inadequate responders, defined as patients with an alkaline phosphatase (ALP) &gt; 1.67 x upper limit of normal (ULN) and/or total bilirubin &gt; 1 x ULN despite receiving UDCA treatment for ≥ 12 months (with a stable dose for 3 months); OR</w:t>
            </w:r>
          </w:p>
          <w:p w14:paraId="47D6B102" w14:textId="77777777" w:rsidR="00B159C2" w:rsidRPr="00A74194" w:rsidRDefault="00B159C2" w:rsidP="00164D71">
            <w:pPr>
              <w:pStyle w:val="TableText0"/>
              <w:numPr>
                <w:ilvl w:val="0"/>
                <w:numId w:val="8"/>
              </w:numPr>
              <w:rPr>
                <w:szCs w:val="20"/>
              </w:rPr>
            </w:pPr>
            <w:r w:rsidRPr="00A74194">
              <w:t xml:space="preserve">UDCA-intolerant, defined as patients who are intolerant to UDCA therapy due to severe side effects, most likely diarrhoea (3%) or very low-incident events including upper abdominal pain, decompensation of hepatic cirrhosis, calcification of gallstones, allergic reactions or urticaria </w:t>
            </w:r>
          </w:p>
        </w:tc>
      </w:tr>
      <w:tr w:rsidR="00B159C2" w:rsidRPr="00A74194" w14:paraId="1D5475F8" w14:textId="77777777" w:rsidTr="00AC03A9">
        <w:trPr>
          <w:cantSplit/>
        </w:trPr>
        <w:tc>
          <w:tcPr>
            <w:tcW w:w="924" w:type="pct"/>
            <w:shd w:val="clear" w:color="auto" w:fill="B8CCE4" w:themeFill="accent1" w:themeFillTint="66"/>
          </w:tcPr>
          <w:p w14:paraId="5CCDB0B0" w14:textId="77777777" w:rsidR="00B159C2" w:rsidRPr="00A74194" w:rsidRDefault="00B159C2" w:rsidP="007E12FF">
            <w:pPr>
              <w:pStyle w:val="TableText0"/>
            </w:pPr>
            <w:r w:rsidRPr="00A74194">
              <w:t>Intervention</w:t>
            </w:r>
          </w:p>
        </w:tc>
        <w:tc>
          <w:tcPr>
            <w:tcW w:w="4076" w:type="pct"/>
            <w:shd w:val="clear" w:color="auto" w:fill="B8CCE4" w:themeFill="accent1" w:themeFillTint="66"/>
          </w:tcPr>
          <w:p w14:paraId="5A00316B" w14:textId="77777777" w:rsidR="00B159C2" w:rsidRPr="00A74194" w:rsidRDefault="00B159C2" w:rsidP="00164D71">
            <w:pPr>
              <w:pStyle w:val="TableText0"/>
              <w:numPr>
                <w:ilvl w:val="0"/>
                <w:numId w:val="9"/>
              </w:numPr>
            </w:pPr>
            <w:r w:rsidRPr="00A74194">
              <w:t>For UDCA-inadequate responders: OCA 5-10 mg titration (as defined for the titration group in POISE; 5 mg for the first six months of treatment, followed by 10 mg for the subsequent months) + UDCA (13-15 mg per kilogram of body weight).</w:t>
            </w:r>
          </w:p>
          <w:p w14:paraId="5474BBC6" w14:textId="77777777" w:rsidR="00B159C2" w:rsidRPr="00A74194" w:rsidRDefault="00B159C2" w:rsidP="00164D71">
            <w:pPr>
              <w:pStyle w:val="TableText0"/>
              <w:numPr>
                <w:ilvl w:val="0"/>
                <w:numId w:val="9"/>
              </w:numPr>
            </w:pPr>
            <w:r w:rsidRPr="00A74194">
              <w:t>For UDCA-intolerant patients: OCA 5-10 mg titration monotherapy</w:t>
            </w:r>
          </w:p>
        </w:tc>
      </w:tr>
      <w:tr w:rsidR="00B159C2" w:rsidRPr="00A74194" w14:paraId="6A705C6E" w14:textId="77777777" w:rsidTr="00AC03A9">
        <w:trPr>
          <w:cantSplit/>
        </w:trPr>
        <w:tc>
          <w:tcPr>
            <w:tcW w:w="924" w:type="pct"/>
            <w:shd w:val="clear" w:color="auto" w:fill="B8CCE4" w:themeFill="accent1" w:themeFillTint="66"/>
          </w:tcPr>
          <w:p w14:paraId="4C3E792B" w14:textId="77777777" w:rsidR="00B159C2" w:rsidRPr="00A74194" w:rsidRDefault="00B159C2" w:rsidP="007E12FF">
            <w:pPr>
              <w:pStyle w:val="TableText0"/>
            </w:pPr>
            <w:r w:rsidRPr="00A74194">
              <w:t>Comparator</w:t>
            </w:r>
          </w:p>
        </w:tc>
        <w:tc>
          <w:tcPr>
            <w:tcW w:w="4076" w:type="pct"/>
            <w:shd w:val="clear" w:color="auto" w:fill="B8CCE4" w:themeFill="accent1" w:themeFillTint="66"/>
          </w:tcPr>
          <w:p w14:paraId="13BB4ACE" w14:textId="77777777" w:rsidR="00B159C2" w:rsidRPr="00A74194" w:rsidRDefault="00B159C2" w:rsidP="00164D71">
            <w:pPr>
              <w:pStyle w:val="Answer"/>
              <w:numPr>
                <w:ilvl w:val="0"/>
                <w:numId w:val="10"/>
              </w:numPr>
              <w:spacing w:line="240" w:lineRule="auto"/>
              <w:jc w:val="both"/>
              <w:rPr>
                <w:rFonts w:ascii="Arial Narrow" w:hAnsi="Arial Narrow"/>
                <w:sz w:val="20"/>
                <w:szCs w:val="20"/>
                <w:lang w:val="en-AU"/>
              </w:rPr>
            </w:pPr>
            <w:r w:rsidRPr="00A74194">
              <w:rPr>
                <w:rFonts w:ascii="Arial Narrow" w:hAnsi="Arial Narrow"/>
                <w:sz w:val="20"/>
                <w:szCs w:val="20"/>
                <w:lang w:val="en-AU"/>
              </w:rPr>
              <w:t xml:space="preserve">For UDCA-inadequate responders: </w:t>
            </w:r>
            <w:r w:rsidR="000B63FB" w:rsidRPr="00A74194">
              <w:rPr>
                <w:rFonts w:ascii="Arial Narrow" w:hAnsi="Arial Narrow"/>
                <w:sz w:val="20"/>
                <w:szCs w:val="20"/>
                <w:lang w:val="en-AU"/>
              </w:rPr>
              <w:t>UDCA monotherapy</w:t>
            </w:r>
            <w:r w:rsidRPr="00A74194">
              <w:rPr>
                <w:rFonts w:ascii="Arial Narrow" w:hAnsi="Arial Narrow"/>
                <w:sz w:val="20"/>
                <w:szCs w:val="20"/>
                <w:lang w:val="en-AU"/>
              </w:rPr>
              <w:t>.</w:t>
            </w:r>
          </w:p>
          <w:p w14:paraId="13316EB2" w14:textId="77777777" w:rsidR="00B159C2" w:rsidRPr="00A74194" w:rsidRDefault="00B159C2" w:rsidP="00164D71">
            <w:pPr>
              <w:pStyle w:val="Answer"/>
              <w:numPr>
                <w:ilvl w:val="0"/>
                <w:numId w:val="10"/>
              </w:numPr>
              <w:spacing w:line="240" w:lineRule="auto"/>
              <w:jc w:val="both"/>
              <w:rPr>
                <w:rFonts w:ascii="Arial Narrow" w:hAnsi="Arial Narrow"/>
                <w:sz w:val="20"/>
                <w:szCs w:val="20"/>
                <w:lang w:val="en-AU"/>
              </w:rPr>
            </w:pPr>
            <w:r w:rsidRPr="00A74194">
              <w:rPr>
                <w:rFonts w:ascii="Arial Narrow" w:hAnsi="Arial Narrow"/>
                <w:sz w:val="20"/>
                <w:szCs w:val="20"/>
                <w:lang w:val="en-AU"/>
              </w:rPr>
              <w:t>For UDCA-intolerant patients: placebo</w:t>
            </w:r>
          </w:p>
        </w:tc>
      </w:tr>
      <w:tr w:rsidR="00B159C2" w:rsidRPr="00A74194" w14:paraId="46ED624F" w14:textId="77777777" w:rsidTr="00AC03A9">
        <w:trPr>
          <w:cantSplit/>
        </w:trPr>
        <w:tc>
          <w:tcPr>
            <w:tcW w:w="924" w:type="pct"/>
            <w:shd w:val="clear" w:color="auto" w:fill="B8CCE4" w:themeFill="accent1" w:themeFillTint="66"/>
          </w:tcPr>
          <w:p w14:paraId="7396E9E2" w14:textId="77777777" w:rsidR="00B159C2" w:rsidRPr="00A74194" w:rsidRDefault="00B159C2" w:rsidP="007E12FF">
            <w:pPr>
              <w:pStyle w:val="TableText0"/>
            </w:pPr>
            <w:r w:rsidRPr="00A74194">
              <w:t>Outcomes</w:t>
            </w:r>
          </w:p>
        </w:tc>
        <w:tc>
          <w:tcPr>
            <w:tcW w:w="4076" w:type="pct"/>
            <w:shd w:val="clear" w:color="auto" w:fill="B8CCE4" w:themeFill="accent1" w:themeFillTint="66"/>
          </w:tcPr>
          <w:p w14:paraId="7F9781F4" w14:textId="77777777" w:rsidR="00B159C2" w:rsidRPr="00A74194" w:rsidRDefault="00B159C2" w:rsidP="007E12FF">
            <w:pPr>
              <w:pStyle w:val="TableText0"/>
            </w:pPr>
            <w:r w:rsidRPr="00A74194">
              <w:t xml:space="preserve">The primary composite endpoint was an ALP level of less than 1.67 times the upper limit of the normal range, with a reduction of at least 15% from baseline, and a total bilirubin level at or below the upper limit of the normal range at 12 months. </w:t>
            </w:r>
          </w:p>
          <w:p w14:paraId="72615B68" w14:textId="77777777" w:rsidR="00B159C2" w:rsidRPr="00A74194" w:rsidRDefault="00B159C2" w:rsidP="007E12FF">
            <w:pPr>
              <w:pStyle w:val="TableText0"/>
            </w:pPr>
          </w:p>
          <w:p w14:paraId="1BFCA908" w14:textId="77777777" w:rsidR="00B159C2" w:rsidRPr="00A74194" w:rsidRDefault="00B159C2" w:rsidP="007E12FF">
            <w:pPr>
              <w:pStyle w:val="TableText0"/>
              <w:rPr>
                <w:rFonts w:eastAsia="Times New Roman" w:cs="Arial"/>
                <w:bCs w:val="0"/>
                <w:snapToGrid w:val="0"/>
                <w:color w:val="0066FF"/>
                <w:szCs w:val="20"/>
              </w:rPr>
            </w:pPr>
            <w:r w:rsidRPr="00A74194">
              <w:t>Secondary efficacy end points included levels of ALP, GGT, alanine aminotransferase, aspartate aminotransferase, total and conjugated bilirubin, and albumin; prothrombin time; international normalized ratio; plasma bile acid levels.</w:t>
            </w:r>
          </w:p>
        </w:tc>
      </w:tr>
      <w:tr w:rsidR="00B159C2" w:rsidRPr="00A74194" w14:paraId="01674CFE" w14:textId="77777777" w:rsidTr="00AC03A9">
        <w:trPr>
          <w:cantSplit/>
        </w:trPr>
        <w:tc>
          <w:tcPr>
            <w:tcW w:w="924" w:type="pct"/>
            <w:shd w:val="clear" w:color="auto" w:fill="B8CCE4" w:themeFill="accent1" w:themeFillTint="66"/>
          </w:tcPr>
          <w:p w14:paraId="1BE158B4" w14:textId="77777777" w:rsidR="00B159C2" w:rsidRPr="00A74194" w:rsidRDefault="00B159C2" w:rsidP="007E12FF">
            <w:pPr>
              <w:pStyle w:val="TableText0"/>
            </w:pPr>
            <w:r w:rsidRPr="00A74194">
              <w:t>Clinical claim</w:t>
            </w:r>
          </w:p>
        </w:tc>
        <w:tc>
          <w:tcPr>
            <w:tcW w:w="4076" w:type="pct"/>
            <w:shd w:val="clear" w:color="auto" w:fill="B8CCE4" w:themeFill="accent1" w:themeFillTint="66"/>
          </w:tcPr>
          <w:p w14:paraId="2F14A95D" w14:textId="77777777" w:rsidR="00B159C2" w:rsidRPr="00A74194" w:rsidRDefault="00B159C2" w:rsidP="007E12FF">
            <w:pPr>
              <w:pStyle w:val="TableText0"/>
            </w:pPr>
            <w:r w:rsidRPr="00A74194">
              <w:t>For patients with an inadequate response to UDCA, OCA titration dosing (5-10mg) plus UDCA is superior to UDCA alone in reducing alkaline phosphatase and bilirubin levels and other important clinically relevant endpoints.</w:t>
            </w:r>
          </w:p>
          <w:p w14:paraId="46B22290" w14:textId="77777777" w:rsidR="00B159C2" w:rsidRPr="00A74194" w:rsidRDefault="00B159C2" w:rsidP="007E12FF">
            <w:pPr>
              <w:pStyle w:val="TableText0"/>
            </w:pPr>
          </w:p>
          <w:p w14:paraId="3AE4B69E" w14:textId="77777777" w:rsidR="00B159C2" w:rsidRPr="00A74194" w:rsidRDefault="00B159C2" w:rsidP="007E12FF">
            <w:pPr>
              <w:pStyle w:val="TableText0"/>
            </w:pPr>
            <w:r w:rsidRPr="00A74194">
              <w:t>For patients intolerant to UDCA, OCA titration dosing (5-10mg) is superior to placebo in reducing alkaline phosphatase and bilirubin levels and other important clinically relevant endpoints.</w:t>
            </w:r>
          </w:p>
          <w:p w14:paraId="733EB019" w14:textId="77777777" w:rsidR="0069348D" w:rsidRPr="00A74194" w:rsidRDefault="0069348D" w:rsidP="007E12FF">
            <w:pPr>
              <w:pStyle w:val="TableText0"/>
            </w:pPr>
          </w:p>
          <w:p w14:paraId="46F6B414" w14:textId="77777777" w:rsidR="00B159C2" w:rsidRPr="00A74194" w:rsidRDefault="00B159C2" w:rsidP="007E12FF">
            <w:pPr>
              <w:pStyle w:val="TableText0"/>
              <w:rPr>
                <w:rFonts w:eastAsia="Times New Roman" w:cs="Arial"/>
                <w:bCs w:val="0"/>
                <w:snapToGrid w:val="0"/>
                <w:color w:val="0066FF"/>
                <w:szCs w:val="20"/>
              </w:rPr>
            </w:pPr>
            <w:r w:rsidRPr="00A74194">
              <w:t>OCA titration dosing (5-10mg) is inferior in terms of safety compared with placebo/best supportive care when used as combination therapy with UDCA for patients with prior inadequate response to UDCA and as monotherapy for patients who are intolerant to UDCA.</w:t>
            </w:r>
          </w:p>
        </w:tc>
      </w:tr>
    </w:tbl>
    <w:p w14:paraId="73016B10" w14:textId="77777777" w:rsidR="008A0628" w:rsidRPr="00A74194" w:rsidRDefault="008A0628" w:rsidP="008A0628">
      <w:pPr>
        <w:pStyle w:val="TableFooter"/>
      </w:pPr>
      <w:r w:rsidRPr="00A74194">
        <w:t>ALP</w:t>
      </w:r>
      <w:r w:rsidR="001020A6" w:rsidRPr="00A74194">
        <w:t xml:space="preserve"> =</w:t>
      </w:r>
      <w:r w:rsidRPr="00A74194">
        <w:t xml:space="preserve"> alkaline phosphatase; </w:t>
      </w:r>
      <w:r w:rsidR="003B7208" w:rsidRPr="00A74194">
        <w:t>GGT</w:t>
      </w:r>
      <w:r w:rsidR="001020A6" w:rsidRPr="00A74194">
        <w:t xml:space="preserve"> =</w:t>
      </w:r>
      <w:r w:rsidR="00893A0E" w:rsidRPr="00A74194">
        <w:t xml:space="preserve"> gamma glutamyl transferase;</w:t>
      </w:r>
      <w:r w:rsidR="003B7208" w:rsidRPr="00A74194">
        <w:t xml:space="preserve"> </w:t>
      </w:r>
      <w:r w:rsidRPr="00A74194">
        <w:t>OCA</w:t>
      </w:r>
      <w:r w:rsidR="001020A6" w:rsidRPr="00A74194">
        <w:t xml:space="preserve"> =</w:t>
      </w:r>
      <w:r w:rsidRPr="00A74194">
        <w:t xml:space="preserve"> obeticholic acid; </w:t>
      </w:r>
      <w:r w:rsidR="003A7D8E" w:rsidRPr="00A74194">
        <w:t>PBC</w:t>
      </w:r>
      <w:r w:rsidR="001020A6" w:rsidRPr="00A74194">
        <w:t xml:space="preserve"> =</w:t>
      </w:r>
      <w:r w:rsidR="003A7D8E" w:rsidRPr="00A74194">
        <w:t xml:space="preserve"> primary biliary cholangitis; </w:t>
      </w:r>
      <w:r w:rsidRPr="00A74194">
        <w:t>UDCA</w:t>
      </w:r>
      <w:r w:rsidR="001020A6" w:rsidRPr="00A74194">
        <w:t xml:space="preserve"> =</w:t>
      </w:r>
      <w:r w:rsidRPr="00A74194">
        <w:t xml:space="preserve"> ursodeoxycholic acid; ULN</w:t>
      </w:r>
      <w:r w:rsidR="001020A6" w:rsidRPr="00A74194">
        <w:t xml:space="preserve"> =</w:t>
      </w:r>
      <w:r w:rsidRPr="00A74194">
        <w:t xml:space="preserve"> upper limit of normal. </w:t>
      </w:r>
    </w:p>
    <w:p w14:paraId="187526E6" w14:textId="77777777" w:rsidR="00B159C2" w:rsidRPr="00A74194" w:rsidRDefault="00B159C2" w:rsidP="00B159C2">
      <w:pPr>
        <w:pStyle w:val="TableFigureFooter"/>
      </w:pPr>
      <w:r w:rsidRPr="00A74194">
        <w:t>Source: Table 10, p6 of the resubmission.</w:t>
      </w:r>
    </w:p>
    <w:p w14:paraId="6161FBBA" w14:textId="77777777" w:rsidR="00AC03A9" w:rsidRPr="00A74194" w:rsidRDefault="00AC03A9" w:rsidP="00B159C2">
      <w:pPr>
        <w:pStyle w:val="TableFigureFooter"/>
        <w:rPr>
          <w:szCs w:val="20"/>
        </w:rPr>
      </w:pPr>
      <w:bookmarkStart w:id="8" w:name="_Hlk48566384"/>
      <w:r w:rsidRPr="00A74194">
        <w:rPr>
          <w:szCs w:val="20"/>
          <w:shd w:val="clear" w:color="auto" w:fill="B8CCE4" w:themeFill="accent1" w:themeFillTint="66"/>
        </w:rPr>
        <w:t>Blue shading indicates data previously seen by the PBAC</w:t>
      </w:r>
      <w:bookmarkEnd w:id="8"/>
      <w:r w:rsidRPr="00A74194">
        <w:rPr>
          <w:szCs w:val="20"/>
        </w:rPr>
        <w:t>.</w:t>
      </w:r>
    </w:p>
    <w:p w14:paraId="0702F4ED" w14:textId="77777777" w:rsidR="00B159C2" w:rsidRPr="00A74194" w:rsidRDefault="00B159C2" w:rsidP="00B159C2">
      <w:pPr>
        <w:pStyle w:val="2-SectionHeading"/>
        <w:numPr>
          <w:ilvl w:val="0"/>
          <w:numId w:val="1"/>
        </w:numPr>
      </w:pPr>
      <w:bookmarkStart w:id="9" w:name="_Toc22898845"/>
      <w:bookmarkStart w:id="10" w:name="_Toc50371931"/>
      <w:r w:rsidRPr="00A74194">
        <w:t>Background</w:t>
      </w:r>
      <w:bookmarkEnd w:id="9"/>
      <w:bookmarkEnd w:id="10"/>
    </w:p>
    <w:p w14:paraId="177AE039" w14:textId="77777777" w:rsidR="00B159C2" w:rsidRPr="00A74194" w:rsidRDefault="00B159C2" w:rsidP="00FC3C99">
      <w:pPr>
        <w:pStyle w:val="BodyText"/>
        <w:rPr>
          <w:b/>
          <w:bCs/>
          <w:i/>
          <w:iCs/>
          <w:sz w:val="28"/>
          <w:szCs w:val="28"/>
        </w:rPr>
      </w:pPr>
      <w:bookmarkStart w:id="11" w:name="_Toc22897638"/>
      <w:bookmarkStart w:id="12" w:name="_Toc22898846"/>
      <w:r w:rsidRPr="00A74194">
        <w:rPr>
          <w:b/>
          <w:bCs/>
          <w:i/>
          <w:iCs/>
          <w:sz w:val="28"/>
          <w:szCs w:val="28"/>
        </w:rPr>
        <w:t>Registration status</w:t>
      </w:r>
      <w:bookmarkEnd w:id="11"/>
      <w:bookmarkEnd w:id="12"/>
    </w:p>
    <w:p w14:paraId="5FF8A00E" w14:textId="77777777" w:rsidR="00B159C2" w:rsidRPr="00A74194" w:rsidRDefault="00B159C2" w:rsidP="00B159C2">
      <w:pPr>
        <w:pStyle w:val="3-BodyText"/>
      </w:pPr>
      <w:r w:rsidRPr="00A74194">
        <w:t xml:space="preserve">OCA was </w:t>
      </w:r>
      <w:r w:rsidR="00181991" w:rsidRPr="00A74194">
        <w:t xml:space="preserve">registered by the </w:t>
      </w:r>
      <w:r w:rsidR="00814D9C" w:rsidRPr="00A74194">
        <w:t>Therapeutic Goods Administration (</w:t>
      </w:r>
      <w:r w:rsidRPr="00A74194">
        <w:t>TGA</w:t>
      </w:r>
      <w:r w:rsidR="00814D9C" w:rsidRPr="00A74194">
        <w:t>)</w:t>
      </w:r>
      <w:r w:rsidRPr="00A74194">
        <w:t xml:space="preserve"> on 21 September 2018 for ‘the treatment of primary biliary cholangitis (also known as primary biliary cirrhosis) in combination with ursodeoxycholic acid (UDCA) in adults with an inadequate response to UDCA or as monotherapy in adults unable to tolerate UDCA’. </w:t>
      </w:r>
    </w:p>
    <w:p w14:paraId="60211F83" w14:textId="77777777" w:rsidR="00B159C2" w:rsidRPr="00A74194" w:rsidRDefault="00B159C2" w:rsidP="00FB4A96">
      <w:pPr>
        <w:pStyle w:val="BodyText"/>
        <w:keepNext/>
        <w:rPr>
          <w:b/>
          <w:bCs/>
          <w:i/>
          <w:iCs/>
          <w:sz w:val="28"/>
          <w:szCs w:val="28"/>
        </w:rPr>
      </w:pPr>
      <w:bookmarkStart w:id="13" w:name="_Toc22897639"/>
      <w:bookmarkStart w:id="14" w:name="_Toc22898847"/>
      <w:bookmarkStart w:id="15" w:name="_Hlk24117209"/>
      <w:r w:rsidRPr="00A74194">
        <w:rPr>
          <w:b/>
          <w:bCs/>
          <w:i/>
          <w:iCs/>
          <w:sz w:val="28"/>
          <w:szCs w:val="28"/>
        </w:rPr>
        <w:lastRenderedPageBreak/>
        <w:t>Previous PBAC consideration</w:t>
      </w:r>
      <w:bookmarkEnd w:id="13"/>
      <w:bookmarkEnd w:id="14"/>
    </w:p>
    <w:bookmarkEnd w:id="15"/>
    <w:p w14:paraId="71C2CA0A" w14:textId="77777777" w:rsidR="00B159C2" w:rsidRPr="00A74194" w:rsidRDefault="00B159C2" w:rsidP="00FB4A96">
      <w:pPr>
        <w:pStyle w:val="3-BodyText"/>
        <w:keepNext/>
      </w:pPr>
      <w:r w:rsidRPr="00A74194">
        <w:t>Table 2 summarises the outstanding matters of concern with respect to the March 2019 submission and how they have been addressed in the current resubmission.</w:t>
      </w:r>
      <w:bookmarkStart w:id="16" w:name="_Hlk24117389"/>
    </w:p>
    <w:bookmarkEnd w:id="16"/>
    <w:p w14:paraId="58CDDF96" w14:textId="77777777" w:rsidR="00B159C2" w:rsidRPr="00A74194" w:rsidRDefault="00B159C2" w:rsidP="00C12A60">
      <w:pPr>
        <w:pStyle w:val="CaptionTable"/>
      </w:pPr>
      <w:r w:rsidRPr="00A74194">
        <w:t>Table 2: Summary of key matters of concern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5779"/>
        <w:gridCol w:w="1825"/>
      </w:tblGrid>
      <w:tr w:rsidR="00B159C2" w:rsidRPr="00A74194" w14:paraId="6879DB8A" w14:textId="77777777" w:rsidTr="001A3A98">
        <w:trPr>
          <w:cantSplit/>
          <w:tblHeader/>
        </w:trPr>
        <w:tc>
          <w:tcPr>
            <w:tcW w:w="1413"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D07645E" w14:textId="77777777" w:rsidR="00B159C2" w:rsidRPr="00A74194" w:rsidRDefault="00B159C2" w:rsidP="00E87E75">
            <w:pPr>
              <w:pStyle w:val="In-tableHeading"/>
              <w:rPr>
                <w:lang w:val="en-AU"/>
              </w:rPr>
            </w:pPr>
            <w:bookmarkStart w:id="17" w:name="_Hlk48161533"/>
            <w:r w:rsidRPr="00A74194">
              <w:rPr>
                <w:lang w:val="en-AU"/>
              </w:rPr>
              <w:t>Component</w:t>
            </w:r>
          </w:p>
        </w:tc>
        <w:tc>
          <w:tcPr>
            <w:tcW w:w="577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FA2530C" w14:textId="77777777" w:rsidR="00B159C2" w:rsidRPr="00A74194" w:rsidRDefault="00B159C2" w:rsidP="00E87E75">
            <w:pPr>
              <w:pStyle w:val="In-tableHeading"/>
              <w:rPr>
                <w:lang w:val="en-AU"/>
              </w:rPr>
            </w:pPr>
            <w:r w:rsidRPr="00A74194">
              <w:rPr>
                <w:lang w:val="en-AU"/>
              </w:rPr>
              <w:t xml:space="preserve">Matter of concern as identified in </w:t>
            </w:r>
            <w:r w:rsidR="00D06D67" w:rsidRPr="00A74194">
              <w:rPr>
                <w:lang w:val="en-AU"/>
              </w:rPr>
              <w:t>OCA</w:t>
            </w:r>
            <w:r w:rsidRPr="00A74194">
              <w:rPr>
                <w:lang w:val="en-AU"/>
              </w:rPr>
              <w:t xml:space="preserve"> PSD, July 2019</w:t>
            </w:r>
          </w:p>
        </w:tc>
        <w:tc>
          <w:tcPr>
            <w:tcW w:w="1825"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158D897" w14:textId="77777777" w:rsidR="00B159C2" w:rsidRPr="00A74194" w:rsidRDefault="00B159C2" w:rsidP="00E87E75">
            <w:pPr>
              <w:pStyle w:val="In-tableHeading"/>
              <w:rPr>
                <w:lang w:val="en-AU"/>
              </w:rPr>
            </w:pPr>
            <w:r w:rsidRPr="00A74194">
              <w:rPr>
                <w:lang w:val="en-AU"/>
              </w:rPr>
              <w:t>How the resubmission addresses it</w:t>
            </w:r>
          </w:p>
        </w:tc>
      </w:tr>
      <w:tr w:rsidR="00B159C2" w:rsidRPr="00A74194" w14:paraId="7EBC5CF1" w14:textId="77777777" w:rsidTr="001A3A98">
        <w:trPr>
          <w:cantSplit/>
        </w:trPr>
        <w:tc>
          <w:tcPr>
            <w:tcW w:w="1413"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25E8304D" w14:textId="77777777" w:rsidR="00B159C2" w:rsidRPr="00A74194" w:rsidRDefault="00B159C2" w:rsidP="00E87E75">
            <w:pPr>
              <w:pStyle w:val="TableText0"/>
              <w:keepNext w:val="0"/>
            </w:pPr>
            <w:r w:rsidRPr="00A74194">
              <w:t xml:space="preserve">Restriction </w:t>
            </w:r>
          </w:p>
        </w:tc>
        <w:tc>
          <w:tcPr>
            <w:tcW w:w="5779" w:type="dxa"/>
            <w:tcBorders>
              <w:top w:val="single" w:sz="4" w:space="0" w:color="auto"/>
              <w:left w:val="single" w:sz="4" w:space="0" w:color="auto"/>
              <w:bottom w:val="single" w:sz="4" w:space="0" w:color="auto"/>
              <w:right w:val="single" w:sz="4" w:space="0" w:color="auto"/>
            </w:tcBorders>
            <w:tcMar>
              <w:left w:w="28" w:type="dxa"/>
              <w:right w:w="28" w:type="dxa"/>
            </w:tcMar>
          </w:tcPr>
          <w:p w14:paraId="5791B46A" w14:textId="77777777" w:rsidR="00B159C2" w:rsidRPr="00A74194" w:rsidRDefault="00B159C2" w:rsidP="00E87E75">
            <w:pPr>
              <w:pStyle w:val="TableText0"/>
              <w:keepNext w:val="0"/>
              <w:rPr>
                <w:iCs/>
                <w:szCs w:val="20"/>
              </w:rPr>
            </w:pPr>
            <w:r w:rsidRPr="00A74194">
              <w:rPr>
                <w:iCs/>
                <w:szCs w:val="20"/>
              </w:rPr>
              <w:t>The PBAC considered that the restriction should state that patients should not continue treatment if they experience decompensated cirrhosis (DCC) or hepatocellular cancer (HCC)</w:t>
            </w:r>
            <w:r w:rsidR="008A0628" w:rsidRPr="00A74194">
              <w:rPr>
                <w:iCs/>
                <w:szCs w:val="20"/>
              </w:rPr>
              <w:t xml:space="preserve"> </w:t>
            </w:r>
            <w:r w:rsidRPr="00A74194">
              <w:rPr>
                <w:iCs/>
                <w:szCs w:val="20"/>
              </w:rPr>
              <w:t>(paragraph 7.4)</w:t>
            </w:r>
            <w:r w:rsidR="008A0628" w:rsidRPr="00A74194">
              <w:rPr>
                <w:iCs/>
                <w:szCs w:val="20"/>
              </w:rPr>
              <w:t>.</w:t>
            </w:r>
          </w:p>
          <w:p w14:paraId="0BC33A6D" w14:textId="77777777" w:rsidR="00B159C2" w:rsidRPr="00A74194" w:rsidRDefault="00B159C2" w:rsidP="00E87E75">
            <w:pPr>
              <w:pStyle w:val="TableText0"/>
              <w:keepNext w:val="0"/>
              <w:rPr>
                <w:iCs/>
                <w:szCs w:val="20"/>
              </w:rPr>
            </w:pPr>
          </w:p>
          <w:p w14:paraId="5BA51AFF" w14:textId="77777777" w:rsidR="00B159C2" w:rsidRPr="00A74194" w:rsidRDefault="00B159C2" w:rsidP="00E87E75">
            <w:pPr>
              <w:pStyle w:val="TableText0"/>
              <w:keepNext w:val="0"/>
              <w:rPr>
                <w:iCs/>
                <w:szCs w:val="20"/>
              </w:rPr>
            </w:pPr>
            <w:r w:rsidRPr="00A74194">
              <w:rPr>
                <w:iCs/>
              </w:rPr>
              <w:t>The PBAC recommended that the restriction be an Authority Required (written) for initial treatment and Authority Required (telephone) for continuing treatment to reduce the risk of leakage and use in UCDA-tolerant patients (paragraph 7.4).</w:t>
            </w:r>
          </w:p>
        </w:tc>
        <w:tc>
          <w:tcPr>
            <w:tcW w:w="1825" w:type="dxa"/>
            <w:tcBorders>
              <w:top w:val="single" w:sz="4" w:space="0" w:color="auto"/>
              <w:left w:val="single" w:sz="4" w:space="0" w:color="auto"/>
              <w:bottom w:val="single" w:sz="4" w:space="0" w:color="auto"/>
              <w:right w:val="single" w:sz="4" w:space="0" w:color="auto"/>
            </w:tcBorders>
            <w:tcMar>
              <w:left w:w="28" w:type="dxa"/>
              <w:right w:w="28" w:type="dxa"/>
            </w:tcMar>
          </w:tcPr>
          <w:p w14:paraId="680999B4" w14:textId="77777777" w:rsidR="00B159C2" w:rsidRPr="00A74194" w:rsidRDefault="00B159C2" w:rsidP="00E87E75">
            <w:pPr>
              <w:pStyle w:val="TableText0"/>
              <w:keepNext w:val="0"/>
              <w:rPr>
                <w:iCs/>
              </w:rPr>
            </w:pPr>
            <w:r w:rsidRPr="00A74194">
              <w:rPr>
                <w:iCs/>
              </w:rPr>
              <w:t>Addressed.</w:t>
            </w:r>
          </w:p>
          <w:p w14:paraId="535A6BE6" w14:textId="77777777" w:rsidR="00B159C2" w:rsidRPr="00A74194" w:rsidRDefault="00B159C2" w:rsidP="00E87E75">
            <w:pPr>
              <w:pStyle w:val="TableText0"/>
              <w:keepNext w:val="0"/>
              <w:rPr>
                <w:iCs/>
              </w:rPr>
            </w:pPr>
          </w:p>
          <w:p w14:paraId="4EEA4AC5" w14:textId="77777777" w:rsidR="00B159C2" w:rsidRPr="00A74194" w:rsidRDefault="00B159C2" w:rsidP="00E87E75">
            <w:pPr>
              <w:pStyle w:val="TableText0"/>
              <w:keepNext w:val="0"/>
              <w:rPr>
                <w:iCs/>
              </w:rPr>
            </w:pPr>
          </w:p>
          <w:p w14:paraId="0D4336D8" w14:textId="77777777" w:rsidR="00B159C2" w:rsidRPr="00A74194" w:rsidRDefault="00B159C2" w:rsidP="00E87E75">
            <w:pPr>
              <w:pStyle w:val="TableText0"/>
              <w:keepNext w:val="0"/>
              <w:rPr>
                <w:iCs/>
              </w:rPr>
            </w:pPr>
          </w:p>
          <w:p w14:paraId="669BB6B0" w14:textId="77777777" w:rsidR="00B159C2" w:rsidRPr="00A74194" w:rsidRDefault="00181991" w:rsidP="00E87E75">
            <w:pPr>
              <w:pStyle w:val="TableText0"/>
              <w:keepNext w:val="0"/>
              <w:rPr>
                <w:iCs/>
              </w:rPr>
            </w:pPr>
            <w:r w:rsidRPr="00A74194">
              <w:rPr>
                <w:iCs/>
              </w:rPr>
              <w:t>Addressed.</w:t>
            </w:r>
          </w:p>
        </w:tc>
      </w:tr>
      <w:tr w:rsidR="00B159C2" w:rsidRPr="00A74194" w14:paraId="7DF6EDA6" w14:textId="77777777" w:rsidTr="001A3A98">
        <w:trPr>
          <w:cantSplit/>
        </w:trPr>
        <w:tc>
          <w:tcPr>
            <w:tcW w:w="0" w:type="auto"/>
            <w:gridSpan w:val="3"/>
            <w:tcBorders>
              <w:top w:val="single" w:sz="4" w:space="0" w:color="auto"/>
              <w:left w:val="single" w:sz="4" w:space="0" w:color="auto"/>
              <w:bottom w:val="single" w:sz="4" w:space="0" w:color="auto"/>
              <w:right w:val="single" w:sz="4" w:space="0" w:color="auto"/>
            </w:tcBorders>
            <w:tcMar>
              <w:left w:w="28" w:type="dxa"/>
              <w:right w:w="28" w:type="dxa"/>
            </w:tcMar>
            <w:hideMark/>
          </w:tcPr>
          <w:p w14:paraId="1B46960B" w14:textId="77777777" w:rsidR="00B159C2" w:rsidRPr="00A74194" w:rsidRDefault="00B159C2" w:rsidP="00E87E75">
            <w:pPr>
              <w:pStyle w:val="TableText0"/>
              <w:keepNext w:val="0"/>
              <w:rPr>
                <w:b/>
                <w:bCs w:val="0"/>
              </w:rPr>
            </w:pPr>
            <w:r w:rsidRPr="00A74194">
              <w:rPr>
                <w:b/>
                <w:bCs w:val="0"/>
              </w:rPr>
              <w:t>Clinical Evidence</w:t>
            </w:r>
          </w:p>
        </w:tc>
      </w:tr>
      <w:tr w:rsidR="00B159C2" w:rsidRPr="00A74194" w14:paraId="51B1C07C" w14:textId="77777777" w:rsidTr="001A3A98">
        <w:trPr>
          <w:cantSplit/>
        </w:trPr>
        <w:tc>
          <w:tcPr>
            <w:tcW w:w="1413"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0507E85A" w14:textId="77777777" w:rsidR="00B159C2" w:rsidRPr="00A74194" w:rsidRDefault="00B159C2" w:rsidP="00E87E75">
            <w:pPr>
              <w:pStyle w:val="TableText0"/>
              <w:keepNext w:val="0"/>
            </w:pPr>
            <w:r w:rsidRPr="00A74194">
              <w:t>Clinical claim regarding efficacy for UDCA inadequate responders</w:t>
            </w:r>
          </w:p>
        </w:tc>
        <w:tc>
          <w:tcPr>
            <w:tcW w:w="5779"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1B697FAB" w14:textId="77777777" w:rsidR="00B159C2" w:rsidRPr="00A74194" w:rsidRDefault="00B159C2" w:rsidP="00E87E75">
            <w:pPr>
              <w:pStyle w:val="TableText0"/>
              <w:keepNext w:val="0"/>
              <w:rPr>
                <w:rFonts w:cs="Times New Roman"/>
                <w:iCs/>
              </w:rPr>
            </w:pPr>
            <w:r w:rsidRPr="00A74194">
              <w:rPr>
                <w:rFonts w:cs="Times New Roman"/>
                <w:iCs/>
              </w:rPr>
              <w:t>The PBAC considered that the claim of superior effectiveness for OCA 5-10 mg titration + UDCA compared with UDCA monotherapy in patients who were UDCA-inadequate responders was again reasonable; however, the magnitude of the benefit remained uncertain (paragraph 6.21).</w:t>
            </w:r>
          </w:p>
        </w:tc>
        <w:tc>
          <w:tcPr>
            <w:tcW w:w="1825"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395374B9" w14:textId="77777777" w:rsidR="00B159C2" w:rsidRPr="00A74194" w:rsidRDefault="00B159C2" w:rsidP="00E87E75">
            <w:pPr>
              <w:pStyle w:val="TableText0"/>
              <w:keepNext w:val="0"/>
              <w:rPr>
                <w:rFonts w:eastAsia="Times New Roman" w:cs="Arial"/>
                <w:bCs w:val="0"/>
                <w:snapToGrid w:val="0"/>
                <w:szCs w:val="20"/>
              </w:rPr>
            </w:pPr>
            <w:r w:rsidRPr="00A74194">
              <w:t>Not addressed. No new evidence provided</w:t>
            </w:r>
            <w:r w:rsidR="00A01DD5" w:rsidRPr="00A74194">
              <w:t>.</w:t>
            </w:r>
            <w:r w:rsidR="00A23A22" w:rsidRPr="00A74194">
              <w:t xml:space="preserve"> </w:t>
            </w:r>
          </w:p>
        </w:tc>
      </w:tr>
      <w:tr w:rsidR="00B159C2" w:rsidRPr="00A74194" w14:paraId="1DBA93FE" w14:textId="77777777" w:rsidTr="001A3A98">
        <w:trPr>
          <w:cantSplit/>
        </w:trPr>
        <w:tc>
          <w:tcPr>
            <w:tcW w:w="1413"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2B3248BD" w14:textId="77777777" w:rsidR="00B159C2" w:rsidRPr="00A74194" w:rsidRDefault="00B159C2" w:rsidP="00E87E75">
            <w:pPr>
              <w:pStyle w:val="TableText0"/>
              <w:keepNext w:val="0"/>
            </w:pPr>
            <w:r w:rsidRPr="00A74194">
              <w:t>Clinical claim regarding efficacy for UDCA-intolerant patients</w:t>
            </w:r>
          </w:p>
        </w:tc>
        <w:tc>
          <w:tcPr>
            <w:tcW w:w="5779"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431D3F85" w14:textId="77777777" w:rsidR="00B159C2" w:rsidRPr="00A74194" w:rsidRDefault="00B159C2" w:rsidP="00E87E75">
            <w:pPr>
              <w:pStyle w:val="TableText0"/>
              <w:keepNext w:val="0"/>
              <w:rPr>
                <w:rFonts w:cs="Times New Roman"/>
                <w:iCs/>
              </w:rPr>
            </w:pPr>
            <w:r w:rsidRPr="00A74194">
              <w:rPr>
                <w:rFonts w:cs="Times New Roman"/>
                <w:iCs/>
              </w:rPr>
              <w:t>The PBAC considered that the claim of superior effectiveness for OCA 5-10 mg titration monotherapy compared with placebo in patients who were UDCA-intolerant was not adequately supported by the data (paragraph 6.23).</w:t>
            </w:r>
          </w:p>
        </w:tc>
        <w:tc>
          <w:tcPr>
            <w:tcW w:w="1825"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541AA862" w14:textId="77777777" w:rsidR="00B159C2" w:rsidRPr="00A74194" w:rsidRDefault="00B159C2" w:rsidP="001E359A">
            <w:pPr>
              <w:pStyle w:val="TableText0"/>
              <w:keepNext w:val="0"/>
            </w:pPr>
            <w:r w:rsidRPr="00A74194">
              <w:t xml:space="preserve">Not addressed. </w:t>
            </w:r>
            <w:r w:rsidR="00B7214C" w:rsidRPr="00A74194">
              <w:t>No new evidence provided</w:t>
            </w:r>
            <w:r w:rsidR="001E359A" w:rsidRPr="00A74194">
              <w:t>.</w:t>
            </w:r>
          </w:p>
        </w:tc>
      </w:tr>
      <w:tr w:rsidR="00B159C2" w:rsidRPr="00A74194" w14:paraId="485A3BE1" w14:textId="77777777" w:rsidTr="001A3A98">
        <w:trPr>
          <w:cantSplit/>
        </w:trPr>
        <w:tc>
          <w:tcPr>
            <w:tcW w:w="0" w:type="auto"/>
            <w:gridSpan w:val="3"/>
            <w:tcBorders>
              <w:top w:val="single" w:sz="4" w:space="0" w:color="auto"/>
              <w:left w:val="single" w:sz="4" w:space="0" w:color="auto"/>
              <w:bottom w:val="single" w:sz="4" w:space="0" w:color="auto"/>
              <w:right w:val="single" w:sz="4" w:space="0" w:color="auto"/>
            </w:tcBorders>
            <w:tcMar>
              <w:left w:w="28" w:type="dxa"/>
              <w:right w:w="28" w:type="dxa"/>
            </w:tcMar>
            <w:hideMark/>
          </w:tcPr>
          <w:p w14:paraId="19CC2954" w14:textId="77777777" w:rsidR="00B159C2" w:rsidRPr="00A74194" w:rsidRDefault="00B159C2" w:rsidP="00E87E75">
            <w:pPr>
              <w:pStyle w:val="TableText0"/>
              <w:keepNext w:val="0"/>
              <w:rPr>
                <w:rFonts w:eastAsia="Times New Roman" w:cs="Arial"/>
                <w:b/>
                <w:snapToGrid w:val="0"/>
                <w:szCs w:val="20"/>
              </w:rPr>
            </w:pPr>
            <w:r w:rsidRPr="00A74194">
              <w:rPr>
                <w:rFonts w:eastAsia="Times New Roman" w:cs="Arial"/>
                <w:b/>
                <w:snapToGrid w:val="0"/>
                <w:szCs w:val="20"/>
              </w:rPr>
              <w:t>Economic evidence</w:t>
            </w:r>
          </w:p>
        </w:tc>
      </w:tr>
      <w:tr w:rsidR="00A01DD5" w:rsidRPr="00A74194" w14:paraId="06B7199F" w14:textId="77777777" w:rsidTr="001A3A98">
        <w:trPr>
          <w:cantSplit/>
        </w:trPr>
        <w:tc>
          <w:tcPr>
            <w:tcW w:w="1413"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48B801B3" w14:textId="77777777" w:rsidR="00A01DD5" w:rsidRPr="00A74194" w:rsidRDefault="00A01DD5" w:rsidP="00186D5D">
            <w:pPr>
              <w:pStyle w:val="TableText0"/>
              <w:keepNext w:val="0"/>
            </w:pPr>
            <w:r w:rsidRPr="00A74194">
              <w:t>Price of OCA</w:t>
            </w:r>
          </w:p>
        </w:tc>
        <w:tc>
          <w:tcPr>
            <w:tcW w:w="5779"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56261D7F" w14:textId="77777777" w:rsidR="00A01DD5" w:rsidRPr="00A74194" w:rsidRDefault="00A01DD5" w:rsidP="00186D5D">
            <w:pPr>
              <w:pStyle w:val="TableText0"/>
              <w:keepNext w:val="0"/>
              <w:rPr>
                <w:iCs/>
              </w:rPr>
            </w:pPr>
            <w:r w:rsidRPr="00A74194">
              <w:rPr>
                <w:iCs/>
              </w:rPr>
              <w:t>The PBAC acknowledged that PBC is a rare disease and that this was reflected in the quantity of the clinical evidence, particularly concerning the population of patients who are intolerant to UDCA. As the uncertainty surrounding the incremental benefit of OCA was unlikely to be reduced by future high quality data, the PBAC considered that this could be mitigated through the requested price (paragraph 7.12).</w:t>
            </w:r>
          </w:p>
        </w:tc>
        <w:tc>
          <w:tcPr>
            <w:tcW w:w="1825"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0F467971" w14:textId="77777777" w:rsidR="00A01DD5" w:rsidRPr="00A74194" w:rsidRDefault="00A01DD5" w:rsidP="00186D5D">
            <w:pPr>
              <w:pStyle w:val="TableText0"/>
              <w:keepNext w:val="0"/>
            </w:pPr>
            <w:r w:rsidRPr="00A74194">
              <w:rPr>
                <w:rFonts w:eastAsia="Times New Roman" w:cs="Arial"/>
                <w:bCs w:val="0"/>
                <w:iCs/>
                <w:snapToGrid w:val="0"/>
                <w:szCs w:val="20"/>
              </w:rPr>
              <w:t xml:space="preserve">OCA effective AEMP </w:t>
            </w:r>
            <w:r w:rsidR="001E359A" w:rsidRPr="00A74194">
              <w:rPr>
                <w:rFonts w:eastAsia="Times New Roman" w:cs="Arial"/>
                <w:bCs w:val="0"/>
                <w:iCs/>
                <w:snapToGrid w:val="0"/>
                <w:szCs w:val="20"/>
              </w:rPr>
              <w:t xml:space="preserve">was </w:t>
            </w:r>
            <w:r w:rsidRPr="00A74194">
              <w:rPr>
                <w:rFonts w:eastAsia="Times New Roman" w:cs="Arial"/>
                <w:bCs w:val="0"/>
                <w:iCs/>
                <w:snapToGrid w:val="0"/>
                <w:szCs w:val="20"/>
              </w:rPr>
              <w:t xml:space="preserve">reduced by 7%. </w:t>
            </w:r>
            <w:r w:rsidR="00DC7729" w:rsidRPr="00A74194">
              <w:t xml:space="preserve">The pre-PBAC response offered an additional </w:t>
            </w:r>
            <w:r w:rsidR="00DC7729" w:rsidRPr="00E30C34">
              <w:t>13</w:t>
            </w:r>
            <w:r w:rsidR="00DC7729" w:rsidRPr="00A74194">
              <w:t>% price reduction to the July 2019 price (effective DPMQ = $</w:t>
            </w:r>
            <w:r w:rsidR="00027EBC">
              <w:rPr>
                <w:noProof/>
                <w:color w:val="000000"/>
                <w:highlight w:val="black"/>
              </w:rPr>
              <w:t>''''''''''''''''''''</w:t>
            </w:r>
            <w:r w:rsidR="00DC7729" w:rsidRPr="00A74194">
              <w:t>) resulting in an effective DPMQ of $</w:t>
            </w:r>
            <w:r w:rsidR="00027EBC">
              <w:rPr>
                <w:noProof/>
                <w:color w:val="000000"/>
                <w:highlight w:val="black"/>
              </w:rPr>
              <w:t>''''''''''''''''''''''</w:t>
            </w:r>
            <w:r w:rsidR="00DC7729" w:rsidRPr="00A74194">
              <w:t>.</w:t>
            </w:r>
          </w:p>
          <w:p w14:paraId="1DAD9189" w14:textId="77777777" w:rsidR="00A01DD5" w:rsidRPr="00A74194" w:rsidRDefault="00A01DD5" w:rsidP="00186D5D">
            <w:pPr>
              <w:pStyle w:val="TableText0"/>
              <w:keepNext w:val="0"/>
              <w:rPr>
                <w:rFonts w:eastAsia="Times New Roman" w:cs="Arial"/>
                <w:bCs w:val="0"/>
                <w:iCs/>
                <w:snapToGrid w:val="0"/>
                <w:szCs w:val="20"/>
              </w:rPr>
            </w:pPr>
          </w:p>
          <w:p w14:paraId="26B4F210" w14:textId="77777777" w:rsidR="00A01DD5" w:rsidRPr="00A74194" w:rsidRDefault="001E359A" w:rsidP="00F45962">
            <w:pPr>
              <w:pStyle w:val="TableText0"/>
              <w:keepNext w:val="0"/>
              <w:rPr>
                <w:rFonts w:eastAsia="Times New Roman" w:cs="Arial"/>
                <w:bCs w:val="0"/>
                <w:iCs/>
                <w:snapToGrid w:val="0"/>
                <w:szCs w:val="20"/>
              </w:rPr>
            </w:pPr>
            <w:r w:rsidRPr="00A74194">
              <w:rPr>
                <w:rFonts w:eastAsia="Times New Roman" w:cs="Arial"/>
                <w:bCs w:val="0"/>
                <w:iCs/>
                <w:snapToGrid w:val="0"/>
                <w:szCs w:val="20"/>
              </w:rPr>
              <w:t xml:space="preserve">The resubmission </w:t>
            </w:r>
            <w:r w:rsidR="00F45962" w:rsidRPr="00A74194">
              <w:rPr>
                <w:rFonts w:eastAsia="Times New Roman" w:cs="Arial"/>
                <w:bCs w:val="0"/>
                <w:iCs/>
                <w:snapToGrid w:val="0"/>
                <w:szCs w:val="20"/>
              </w:rPr>
              <w:t xml:space="preserve">did </w:t>
            </w:r>
            <w:r w:rsidRPr="00A74194">
              <w:rPr>
                <w:rFonts w:eastAsia="Times New Roman" w:cs="Arial"/>
                <w:bCs w:val="0"/>
                <w:iCs/>
                <w:snapToGrid w:val="0"/>
                <w:szCs w:val="20"/>
              </w:rPr>
              <w:t xml:space="preserve">not </w:t>
            </w:r>
            <w:r w:rsidR="00A01DD5" w:rsidRPr="00A74194">
              <w:rPr>
                <w:rFonts w:eastAsia="Times New Roman" w:cs="Arial"/>
                <w:bCs w:val="0"/>
                <w:iCs/>
                <w:snapToGrid w:val="0"/>
                <w:szCs w:val="20"/>
              </w:rPr>
              <w:t>present</w:t>
            </w:r>
            <w:r w:rsidRPr="00A74194">
              <w:rPr>
                <w:rFonts w:eastAsia="Times New Roman" w:cs="Arial"/>
                <w:bCs w:val="0"/>
                <w:iCs/>
                <w:snapToGrid w:val="0"/>
                <w:szCs w:val="20"/>
              </w:rPr>
              <w:t xml:space="preserve"> an</w:t>
            </w:r>
            <w:r w:rsidR="00A01DD5" w:rsidRPr="00A74194">
              <w:rPr>
                <w:rFonts w:eastAsia="Times New Roman" w:cs="Arial"/>
                <w:bCs w:val="0"/>
                <w:iCs/>
                <w:snapToGrid w:val="0"/>
                <w:szCs w:val="20"/>
              </w:rPr>
              <w:t xml:space="preserve"> ICER for UDCA intolerant patients.</w:t>
            </w:r>
          </w:p>
        </w:tc>
      </w:tr>
      <w:tr w:rsidR="00B159C2" w:rsidRPr="00A74194" w14:paraId="738B7838" w14:textId="77777777" w:rsidTr="001A3A98">
        <w:trPr>
          <w:cantSplit/>
        </w:trPr>
        <w:tc>
          <w:tcPr>
            <w:tcW w:w="1413"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395E9904" w14:textId="77777777" w:rsidR="00B159C2" w:rsidRPr="00A74194" w:rsidRDefault="00B159C2" w:rsidP="00E87E75">
            <w:pPr>
              <w:pStyle w:val="TableText0"/>
              <w:keepNext w:val="0"/>
            </w:pPr>
            <w:r w:rsidRPr="00A74194">
              <w:t>Verification of transition probabilities</w:t>
            </w:r>
          </w:p>
        </w:tc>
        <w:tc>
          <w:tcPr>
            <w:tcW w:w="5779"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7D210764" w14:textId="77777777" w:rsidR="00B159C2" w:rsidRPr="00A74194" w:rsidRDefault="00B159C2" w:rsidP="00E87E75">
            <w:pPr>
              <w:pStyle w:val="TableText0"/>
              <w:keepNext w:val="0"/>
              <w:rPr>
                <w:rFonts w:eastAsia="Times New Roman" w:cs="Arial"/>
                <w:bCs w:val="0"/>
                <w:iCs/>
                <w:snapToGrid w:val="0"/>
                <w:szCs w:val="20"/>
              </w:rPr>
            </w:pPr>
            <w:r w:rsidRPr="00A74194">
              <w:rPr>
                <w:iCs/>
              </w:rPr>
              <w:t>The ESC considered that many of the transition probabilities from the biochemical health states to the liver disease health states and between the liver disease health states were unable to be verified based on the information presented by the resubmission. (paragraph 6.32) The PBAC again considered that the model lacked transparency and clinical plausibility and was insufficient to inform decision making (paragraph 7.9)</w:t>
            </w:r>
          </w:p>
        </w:tc>
        <w:tc>
          <w:tcPr>
            <w:tcW w:w="1825"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77257878" w14:textId="77777777" w:rsidR="00B159C2" w:rsidRPr="00A74194" w:rsidRDefault="00B159C2" w:rsidP="00E87E75">
            <w:pPr>
              <w:pStyle w:val="TableText0"/>
              <w:keepNext w:val="0"/>
              <w:rPr>
                <w:rFonts w:eastAsia="Times New Roman" w:cs="Arial"/>
                <w:bCs w:val="0"/>
                <w:iCs/>
                <w:snapToGrid w:val="0"/>
                <w:szCs w:val="20"/>
              </w:rPr>
            </w:pPr>
            <w:r w:rsidRPr="00A74194">
              <w:rPr>
                <w:iCs/>
              </w:rPr>
              <w:t>Some data sources changed. Many transition probabilities remain</w:t>
            </w:r>
            <w:r w:rsidR="007070B0" w:rsidRPr="00A74194">
              <w:rPr>
                <w:iCs/>
              </w:rPr>
              <w:t>ed</w:t>
            </w:r>
            <w:r w:rsidRPr="00A74194">
              <w:rPr>
                <w:iCs/>
              </w:rPr>
              <w:t xml:space="preserve"> unable to be verified.</w:t>
            </w:r>
          </w:p>
        </w:tc>
      </w:tr>
      <w:tr w:rsidR="00B159C2" w:rsidRPr="00A74194" w14:paraId="079C2E8D" w14:textId="77777777" w:rsidTr="001A3A98">
        <w:trPr>
          <w:cantSplit/>
        </w:trPr>
        <w:tc>
          <w:tcPr>
            <w:tcW w:w="1413"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488FFA73" w14:textId="77777777" w:rsidR="00B159C2" w:rsidRPr="00A74194" w:rsidRDefault="00B159C2" w:rsidP="00E87E75">
            <w:pPr>
              <w:pStyle w:val="TableText0"/>
              <w:keepNext w:val="0"/>
            </w:pPr>
            <w:r w:rsidRPr="00A74194">
              <w:t>Time horizon</w:t>
            </w:r>
          </w:p>
        </w:tc>
        <w:tc>
          <w:tcPr>
            <w:tcW w:w="5779"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5687DC3A" w14:textId="77777777" w:rsidR="00B159C2" w:rsidRPr="00A74194" w:rsidRDefault="00B159C2" w:rsidP="00E87E75">
            <w:pPr>
              <w:pStyle w:val="TableText0"/>
              <w:keepNext w:val="0"/>
              <w:rPr>
                <w:rFonts w:eastAsia="Times New Roman" w:cs="Arial"/>
                <w:bCs w:val="0"/>
                <w:iCs/>
                <w:snapToGrid w:val="0"/>
                <w:szCs w:val="20"/>
              </w:rPr>
            </w:pPr>
            <w:r w:rsidRPr="00A74194">
              <w:rPr>
                <w:iCs/>
              </w:rPr>
              <w:t>The time horizon in the model (50 years) was long compared with the median age of patients in the POISE trial (56 years), the duration of follow-up in the POISE trial (12 months) and the progressive nature of the disease (paragraphs 6.32 and 7.9).</w:t>
            </w:r>
          </w:p>
        </w:tc>
        <w:tc>
          <w:tcPr>
            <w:tcW w:w="1825"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35187DBB" w14:textId="77777777" w:rsidR="00B159C2" w:rsidRPr="00A74194" w:rsidRDefault="00B159C2" w:rsidP="0002358E">
            <w:pPr>
              <w:pStyle w:val="TableText0"/>
              <w:keepNext w:val="0"/>
              <w:rPr>
                <w:rFonts w:eastAsia="Times New Roman" w:cs="Arial"/>
                <w:bCs w:val="0"/>
                <w:iCs/>
                <w:snapToGrid w:val="0"/>
                <w:szCs w:val="20"/>
              </w:rPr>
            </w:pPr>
            <w:r w:rsidRPr="00A74194">
              <w:rPr>
                <w:iCs/>
              </w:rPr>
              <w:t xml:space="preserve">The model time horizon was changed to 30 years. </w:t>
            </w:r>
          </w:p>
        </w:tc>
      </w:tr>
      <w:tr w:rsidR="00B159C2" w:rsidRPr="00A74194" w14:paraId="35B64D86" w14:textId="77777777" w:rsidTr="001A3A98">
        <w:trPr>
          <w:cantSplit/>
          <w:trHeight w:val="620"/>
        </w:trPr>
        <w:tc>
          <w:tcPr>
            <w:tcW w:w="1413"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0DB292DE" w14:textId="77777777" w:rsidR="00B159C2" w:rsidRPr="00A74194" w:rsidRDefault="00B159C2" w:rsidP="00E87E75">
            <w:pPr>
              <w:pStyle w:val="TableText0"/>
              <w:keepNext w:val="0"/>
            </w:pPr>
            <w:r w:rsidRPr="00A74194">
              <w:lastRenderedPageBreak/>
              <w:t>Model input clarification and justification</w:t>
            </w:r>
          </w:p>
        </w:tc>
        <w:tc>
          <w:tcPr>
            <w:tcW w:w="5779"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16B9189B" w14:textId="77777777" w:rsidR="00B159C2" w:rsidRPr="00A74194" w:rsidRDefault="00B159C2" w:rsidP="00E87E75">
            <w:pPr>
              <w:pStyle w:val="TableText0"/>
              <w:keepNext w:val="0"/>
              <w:rPr>
                <w:rFonts w:eastAsia="Times New Roman" w:cs="Arial"/>
                <w:bCs w:val="0"/>
                <w:iCs/>
                <w:snapToGrid w:val="0"/>
                <w:szCs w:val="20"/>
              </w:rPr>
            </w:pPr>
            <w:r w:rsidRPr="00A74194">
              <w:rPr>
                <w:iCs/>
              </w:rPr>
              <w:t>The PBAC considered that other model inputs required more clarification and justification. The PBAC advised that if this was not possible it might be more appropriate to present a cost per responder analysis, noting the potential difficulties of interpreting an ICER based on this outcome (paragraph 7.10)</w:t>
            </w:r>
            <w:r w:rsidR="008A0628" w:rsidRPr="00A74194">
              <w:rPr>
                <w:iCs/>
              </w:rPr>
              <w:t>.</w:t>
            </w:r>
          </w:p>
        </w:tc>
        <w:tc>
          <w:tcPr>
            <w:tcW w:w="1825"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55F1B080" w14:textId="77777777" w:rsidR="00B159C2" w:rsidRPr="00A74194" w:rsidRDefault="00B159C2" w:rsidP="00E87E75">
            <w:pPr>
              <w:pStyle w:val="TableText0"/>
              <w:keepNext w:val="0"/>
              <w:rPr>
                <w:iCs/>
              </w:rPr>
            </w:pPr>
            <w:r w:rsidRPr="00A74194">
              <w:rPr>
                <w:iCs/>
              </w:rPr>
              <w:t>Some model inputs were clarified, many remained unable to be verified.</w:t>
            </w:r>
          </w:p>
          <w:p w14:paraId="340CEF33" w14:textId="77777777" w:rsidR="00046149" w:rsidRPr="00A74194" w:rsidRDefault="00046149" w:rsidP="00E87E75">
            <w:pPr>
              <w:pStyle w:val="TableText0"/>
              <w:keepNext w:val="0"/>
              <w:rPr>
                <w:rFonts w:eastAsia="Times New Roman" w:cs="Arial"/>
                <w:bCs w:val="0"/>
                <w:iCs/>
                <w:snapToGrid w:val="0"/>
                <w:szCs w:val="20"/>
              </w:rPr>
            </w:pPr>
          </w:p>
          <w:p w14:paraId="6F41430D" w14:textId="77777777" w:rsidR="00046149" w:rsidRPr="00A74194" w:rsidRDefault="00046149" w:rsidP="001E359A">
            <w:pPr>
              <w:pStyle w:val="TableText0"/>
              <w:keepNext w:val="0"/>
              <w:rPr>
                <w:rFonts w:eastAsia="Times New Roman" w:cs="Arial"/>
                <w:bCs w:val="0"/>
                <w:iCs/>
                <w:snapToGrid w:val="0"/>
                <w:szCs w:val="20"/>
              </w:rPr>
            </w:pPr>
            <w:r w:rsidRPr="00A74194">
              <w:rPr>
                <w:rFonts w:eastAsia="Times New Roman" w:cs="Arial"/>
                <w:bCs w:val="0"/>
                <w:iCs/>
                <w:snapToGrid w:val="0"/>
                <w:szCs w:val="20"/>
              </w:rPr>
              <w:t>The resubmission also estimated a cost per responder (step 1</w:t>
            </w:r>
            <w:r w:rsidR="001E359A" w:rsidRPr="00A74194">
              <w:rPr>
                <w:rFonts w:eastAsia="Times New Roman" w:cs="Arial"/>
                <w:bCs w:val="0"/>
                <w:iCs/>
                <w:snapToGrid w:val="0"/>
                <w:szCs w:val="20"/>
              </w:rPr>
              <w:t xml:space="preserve"> of the </w:t>
            </w:r>
            <w:r w:rsidRPr="00A74194">
              <w:rPr>
                <w:rFonts w:eastAsia="Times New Roman" w:cs="Arial"/>
                <w:bCs w:val="0"/>
                <w:iCs/>
                <w:snapToGrid w:val="0"/>
                <w:szCs w:val="20"/>
              </w:rPr>
              <w:t>economic evaluation</w:t>
            </w:r>
            <w:r w:rsidR="001E359A" w:rsidRPr="00A74194">
              <w:rPr>
                <w:rFonts w:eastAsia="Times New Roman" w:cs="Arial"/>
                <w:bCs w:val="0"/>
                <w:iCs/>
                <w:snapToGrid w:val="0"/>
                <w:szCs w:val="20"/>
              </w:rPr>
              <w:t>)</w:t>
            </w:r>
            <w:r w:rsidRPr="00A74194">
              <w:rPr>
                <w:rFonts w:eastAsia="Times New Roman" w:cs="Arial"/>
                <w:bCs w:val="0"/>
                <w:iCs/>
                <w:snapToGrid w:val="0"/>
                <w:szCs w:val="20"/>
              </w:rPr>
              <w:t>.</w:t>
            </w:r>
          </w:p>
        </w:tc>
      </w:tr>
      <w:tr w:rsidR="00B159C2" w:rsidRPr="00A74194" w14:paraId="7B4BD44A" w14:textId="77777777" w:rsidTr="001A3A98">
        <w:trPr>
          <w:cantSplit/>
        </w:trPr>
        <w:tc>
          <w:tcPr>
            <w:tcW w:w="1413"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2DC8D4A3" w14:textId="77777777" w:rsidR="00B159C2" w:rsidRPr="00A74194" w:rsidRDefault="00B159C2" w:rsidP="00E87E75">
            <w:pPr>
              <w:pStyle w:val="TableText0"/>
              <w:keepNext w:val="0"/>
            </w:pPr>
            <w:r w:rsidRPr="00A74194">
              <w:t>Utility values and disutilities for adverse events</w:t>
            </w:r>
          </w:p>
        </w:tc>
        <w:tc>
          <w:tcPr>
            <w:tcW w:w="5779"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0C924B95" w14:textId="77777777" w:rsidR="00B159C2" w:rsidRPr="00A74194" w:rsidRDefault="003E1DA5" w:rsidP="00DB3881">
            <w:pPr>
              <w:pStyle w:val="TableText0"/>
              <w:keepNext w:val="0"/>
              <w:rPr>
                <w:rFonts w:eastAsia="Times New Roman" w:cs="Arial"/>
                <w:bCs w:val="0"/>
                <w:iCs/>
                <w:snapToGrid w:val="0"/>
                <w:szCs w:val="20"/>
              </w:rPr>
            </w:pPr>
            <w:r w:rsidRPr="00A74194">
              <w:rPr>
                <w:iCs/>
              </w:rPr>
              <w:t>U</w:t>
            </w:r>
            <w:r w:rsidR="00B159C2" w:rsidRPr="00A74194">
              <w:rPr>
                <w:iCs/>
              </w:rPr>
              <w:t>tility values were unable to be verified and the resubmission did not apply disutilities to adverse events (paragraph 6.32).</w:t>
            </w:r>
          </w:p>
        </w:tc>
        <w:tc>
          <w:tcPr>
            <w:tcW w:w="1825"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636A48DA" w14:textId="77777777" w:rsidR="003E1DA5" w:rsidRPr="00A74194" w:rsidRDefault="00B159C2" w:rsidP="00E87E75">
            <w:pPr>
              <w:pStyle w:val="TableText0"/>
              <w:keepNext w:val="0"/>
              <w:rPr>
                <w:iCs/>
              </w:rPr>
            </w:pPr>
            <w:r w:rsidRPr="00A74194">
              <w:rPr>
                <w:iCs/>
              </w:rPr>
              <w:t xml:space="preserve">Utility values </w:t>
            </w:r>
            <w:r w:rsidR="003E1DA5" w:rsidRPr="00A74194">
              <w:rPr>
                <w:iCs/>
              </w:rPr>
              <w:t>for HCC and DCC were unchanged and remain</w:t>
            </w:r>
            <w:r w:rsidR="00177855" w:rsidRPr="00A74194">
              <w:rPr>
                <w:iCs/>
              </w:rPr>
              <w:t>ed</w:t>
            </w:r>
            <w:r w:rsidR="003E1DA5" w:rsidRPr="00A74194">
              <w:rPr>
                <w:iCs/>
              </w:rPr>
              <w:t xml:space="preserve"> </w:t>
            </w:r>
            <w:r w:rsidR="00177855" w:rsidRPr="00A74194">
              <w:rPr>
                <w:iCs/>
              </w:rPr>
              <w:t xml:space="preserve">unable to be </w:t>
            </w:r>
            <w:r w:rsidR="003E1DA5" w:rsidRPr="00A74194">
              <w:rPr>
                <w:iCs/>
              </w:rPr>
              <w:t xml:space="preserve">verified. </w:t>
            </w:r>
          </w:p>
          <w:p w14:paraId="7F79B619" w14:textId="77777777" w:rsidR="00B159C2" w:rsidRPr="00A74194" w:rsidRDefault="00B159C2" w:rsidP="00E87E75">
            <w:pPr>
              <w:pStyle w:val="TableText0"/>
              <w:keepNext w:val="0"/>
              <w:rPr>
                <w:rFonts w:eastAsia="Times New Roman" w:cs="Arial"/>
                <w:bCs w:val="0"/>
                <w:iCs/>
                <w:snapToGrid w:val="0"/>
                <w:szCs w:val="20"/>
              </w:rPr>
            </w:pPr>
            <w:r w:rsidRPr="00A74194">
              <w:rPr>
                <w:iCs/>
              </w:rPr>
              <w:t>Disutilities were applied for adverse events (prurit</w:t>
            </w:r>
            <w:r w:rsidR="006A7F6D" w:rsidRPr="00A74194">
              <w:rPr>
                <w:iCs/>
              </w:rPr>
              <w:t>u</w:t>
            </w:r>
            <w:r w:rsidRPr="00A74194">
              <w:rPr>
                <w:iCs/>
              </w:rPr>
              <w:t xml:space="preserve">s) for the first 12 months of treatment. </w:t>
            </w:r>
          </w:p>
        </w:tc>
      </w:tr>
      <w:tr w:rsidR="00B159C2" w:rsidRPr="00A74194" w14:paraId="4B1A1C42" w14:textId="77777777" w:rsidTr="001A3A98">
        <w:trPr>
          <w:cantSplit/>
        </w:trPr>
        <w:tc>
          <w:tcPr>
            <w:tcW w:w="1413"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271C1ACA" w14:textId="77777777" w:rsidR="00B159C2" w:rsidRPr="00A74194" w:rsidRDefault="00B159C2" w:rsidP="00E87E75">
            <w:pPr>
              <w:pStyle w:val="TableText0"/>
              <w:keepNext w:val="0"/>
            </w:pPr>
            <w:r w:rsidRPr="00A74194">
              <w:t>Long-term costs</w:t>
            </w:r>
          </w:p>
        </w:tc>
        <w:tc>
          <w:tcPr>
            <w:tcW w:w="5779"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7C3C6D41" w14:textId="77777777" w:rsidR="00B159C2" w:rsidRPr="00A74194" w:rsidRDefault="00B159C2" w:rsidP="00E87E75">
            <w:pPr>
              <w:pStyle w:val="TableText0"/>
              <w:keepNext w:val="0"/>
              <w:rPr>
                <w:rFonts w:eastAsia="Times New Roman" w:cs="Arial"/>
                <w:bCs w:val="0"/>
                <w:iCs/>
                <w:snapToGrid w:val="0"/>
                <w:szCs w:val="20"/>
              </w:rPr>
            </w:pPr>
            <w:r w:rsidRPr="00A74194">
              <w:rPr>
                <w:iCs/>
              </w:rPr>
              <w:t>In the model, the OCA and UDCA treatment costs cease once a patient progresses to the liver disease health states. As the proposed PBS restriction only includes a continuation rule at 12 months, with no requirement for reassessment of efficacy after that, treatment costs may have been underestimated (paragraph 6.32).</w:t>
            </w:r>
          </w:p>
        </w:tc>
        <w:tc>
          <w:tcPr>
            <w:tcW w:w="1825"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35384775" w14:textId="77777777" w:rsidR="00B159C2" w:rsidRPr="00A74194" w:rsidRDefault="00B159C2" w:rsidP="00E87E75">
            <w:pPr>
              <w:pStyle w:val="TableText0"/>
              <w:keepNext w:val="0"/>
              <w:rPr>
                <w:rFonts w:eastAsia="Times New Roman" w:cs="Arial"/>
                <w:bCs w:val="0"/>
                <w:iCs/>
                <w:snapToGrid w:val="0"/>
                <w:szCs w:val="20"/>
              </w:rPr>
            </w:pPr>
            <w:r w:rsidRPr="00A74194">
              <w:rPr>
                <w:iCs/>
              </w:rPr>
              <w:t xml:space="preserve">Restriction revised. </w:t>
            </w:r>
          </w:p>
        </w:tc>
      </w:tr>
      <w:tr w:rsidR="00B159C2" w:rsidRPr="00A74194" w14:paraId="76CDCFE5" w14:textId="77777777" w:rsidTr="001A3A98">
        <w:trPr>
          <w:cantSplit/>
        </w:trPr>
        <w:tc>
          <w:tcPr>
            <w:tcW w:w="0" w:type="auto"/>
            <w:gridSpan w:val="3"/>
            <w:tcBorders>
              <w:top w:val="single" w:sz="4" w:space="0" w:color="auto"/>
              <w:left w:val="single" w:sz="4" w:space="0" w:color="auto"/>
              <w:bottom w:val="single" w:sz="4" w:space="0" w:color="auto"/>
              <w:right w:val="single" w:sz="4" w:space="0" w:color="auto"/>
            </w:tcBorders>
            <w:tcMar>
              <w:left w:w="28" w:type="dxa"/>
              <w:right w:w="28" w:type="dxa"/>
            </w:tcMar>
            <w:hideMark/>
          </w:tcPr>
          <w:p w14:paraId="43BAF821" w14:textId="77777777" w:rsidR="00B159C2" w:rsidRPr="00A74194" w:rsidRDefault="00B159C2" w:rsidP="00E87E75">
            <w:pPr>
              <w:pStyle w:val="TableText0"/>
              <w:keepNext w:val="0"/>
              <w:rPr>
                <w:rFonts w:eastAsia="Times New Roman" w:cs="Arial"/>
                <w:b/>
                <w:snapToGrid w:val="0"/>
                <w:szCs w:val="20"/>
              </w:rPr>
            </w:pPr>
            <w:r w:rsidRPr="00A74194">
              <w:rPr>
                <w:rFonts w:eastAsia="Times New Roman" w:cs="Arial"/>
                <w:b/>
                <w:snapToGrid w:val="0"/>
                <w:szCs w:val="20"/>
              </w:rPr>
              <w:t>Financial impact</w:t>
            </w:r>
          </w:p>
        </w:tc>
      </w:tr>
      <w:tr w:rsidR="00B159C2" w:rsidRPr="00A74194" w14:paraId="011E0B29" w14:textId="77777777" w:rsidTr="001A3A98">
        <w:trPr>
          <w:cantSplit/>
        </w:trPr>
        <w:tc>
          <w:tcPr>
            <w:tcW w:w="1413"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50AD7016" w14:textId="77777777" w:rsidR="00B159C2" w:rsidRPr="00A74194" w:rsidRDefault="00B159C2" w:rsidP="00E87E75">
            <w:pPr>
              <w:pStyle w:val="TableText0"/>
              <w:keepNext w:val="0"/>
            </w:pPr>
            <w:r w:rsidRPr="00A74194">
              <w:t>Estimated number of patients</w:t>
            </w:r>
          </w:p>
        </w:tc>
        <w:tc>
          <w:tcPr>
            <w:tcW w:w="5779"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28B1EB6A" w14:textId="77777777" w:rsidR="00B159C2" w:rsidRPr="00A74194" w:rsidRDefault="00B159C2" w:rsidP="00E87E75">
            <w:pPr>
              <w:pStyle w:val="TableText0"/>
              <w:keepNext w:val="0"/>
              <w:rPr>
                <w:iCs/>
              </w:rPr>
            </w:pPr>
            <w:r w:rsidRPr="00A74194">
              <w:rPr>
                <w:iCs/>
              </w:rPr>
              <w:t>The PBAC … considered that the number of patients treated may again be underestimated (paragraph 7.11)</w:t>
            </w:r>
            <w:r w:rsidR="008A0628" w:rsidRPr="00A74194">
              <w:rPr>
                <w:iCs/>
              </w:rPr>
              <w:t>.</w:t>
            </w:r>
          </w:p>
        </w:tc>
        <w:tc>
          <w:tcPr>
            <w:tcW w:w="1825"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4CA0F8CE" w14:textId="77777777" w:rsidR="00B159C2" w:rsidRPr="00A74194" w:rsidRDefault="00B159C2" w:rsidP="00E87E75">
            <w:pPr>
              <w:pStyle w:val="TableText0"/>
              <w:keepNext w:val="0"/>
              <w:rPr>
                <w:rFonts w:eastAsia="Times New Roman" w:cs="Arial"/>
                <w:bCs w:val="0"/>
                <w:iCs/>
                <w:snapToGrid w:val="0"/>
                <w:szCs w:val="20"/>
              </w:rPr>
            </w:pPr>
            <w:r w:rsidRPr="00A74194">
              <w:rPr>
                <w:rFonts w:eastAsia="Times New Roman" w:cs="Arial"/>
                <w:bCs w:val="0"/>
                <w:iCs/>
                <w:snapToGrid w:val="0"/>
                <w:szCs w:val="20"/>
              </w:rPr>
              <w:t>Growth rate of UDCA treat</w:t>
            </w:r>
            <w:r w:rsidR="006A7F6D" w:rsidRPr="00A74194">
              <w:rPr>
                <w:rFonts w:eastAsia="Times New Roman" w:cs="Arial"/>
                <w:bCs w:val="0"/>
                <w:iCs/>
                <w:snapToGrid w:val="0"/>
                <w:szCs w:val="20"/>
              </w:rPr>
              <w:t>ed</w:t>
            </w:r>
            <w:r w:rsidRPr="00A74194">
              <w:rPr>
                <w:rFonts w:eastAsia="Times New Roman" w:cs="Arial"/>
                <w:bCs w:val="0"/>
                <w:iCs/>
                <w:snapToGrid w:val="0"/>
                <w:szCs w:val="20"/>
              </w:rPr>
              <w:t xml:space="preserve"> patients was changed from 2% to 10%. </w:t>
            </w:r>
          </w:p>
          <w:p w14:paraId="5675D29F" w14:textId="77777777" w:rsidR="00B159C2" w:rsidRPr="00A74194" w:rsidRDefault="00B159C2" w:rsidP="00E87E75">
            <w:pPr>
              <w:pStyle w:val="TableText0"/>
              <w:keepNext w:val="0"/>
              <w:rPr>
                <w:rFonts w:eastAsia="Times New Roman" w:cs="Arial"/>
                <w:bCs w:val="0"/>
                <w:iCs/>
                <w:snapToGrid w:val="0"/>
                <w:szCs w:val="20"/>
              </w:rPr>
            </w:pPr>
            <w:r w:rsidRPr="00A74194">
              <w:rPr>
                <w:rFonts w:eastAsia="Times New Roman" w:cs="Arial"/>
                <w:bCs w:val="0"/>
                <w:iCs/>
                <w:snapToGrid w:val="0"/>
                <w:szCs w:val="20"/>
              </w:rPr>
              <w:t>Patients who were receiving UDCA and were assumed to have PBC were increased from 68% to 100%.</w:t>
            </w:r>
          </w:p>
        </w:tc>
      </w:tr>
      <w:tr w:rsidR="00B159C2" w:rsidRPr="00A74194" w14:paraId="0C60A8D2" w14:textId="77777777" w:rsidTr="001A3A98">
        <w:trPr>
          <w:cantSplit/>
        </w:trPr>
        <w:tc>
          <w:tcPr>
            <w:tcW w:w="1413"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789EDEDC" w14:textId="77777777" w:rsidR="00B159C2" w:rsidRPr="00A74194" w:rsidRDefault="00B159C2" w:rsidP="00E87E75">
            <w:pPr>
              <w:pStyle w:val="TableText0"/>
              <w:keepNext w:val="0"/>
            </w:pPr>
            <w:r w:rsidRPr="00A74194">
              <w:t>RSA</w:t>
            </w:r>
          </w:p>
        </w:tc>
        <w:tc>
          <w:tcPr>
            <w:tcW w:w="5779"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01D89C42" w14:textId="77777777" w:rsidR="00B159C2" w:rsidRPr="00A74194" w:rsidRDefault="00B159C2" w:rsidP="00E87E75">
            <w:pPr>
              <w:pStyle w:val="TableText0"/>
              <w:keepNext w:val="0"/>
              <w:rPr>
                <w:iCs/>
              </w:rPr>
            </w:pPr>
            <w:r w:rsidRPr="00A74194">
              <w:rPr>
                <w:iCs/>
              </w:rPr>
              <w:t>The PBAC advised that an RSA, in the form of subsidisation caps would be an appropriate method to manage the uncertainties surrounding uptake and the risk of leakage to patients who were UCDA responders (paragraph 7.13)</w:t>
            </w:r>
            <w:r w:rsidR="008A0628" w:rsidRPr="00A74194">
              <w:rPr>
                <w:iCs/>
              </w:rPr>
              <w:t>.</w:t>
            </w:r>
          </w:p>
        </w:tc>
        <w:tc>
          <w:tcPr>
            <w:tcW w:w="1825"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6DEF3211" w14:textId="77777777" w:rsidR="00B159C2" w:rsidRPr="00A74194" w:rsidRDefault="00B159C2" w:rsidP="006A7F6D">
            <w:pPr>
              <w:pStyle w:val="TableText0"/>
              <w:keepNext w:val="0"/>
              <w:rPr>
                <w:rFonts w:eastAsia="Times New Roman" w:cs="Arial"/>
                <w:bCs w:val="0"/>
                <w:iCs/>
                <w:snapToGrid w:val="0"/>
                <w:szCs w:val="20"/>
              </w:rPr>
            </w:pPr>
            <w:r w:rsidRPr="00A74194">
              <w:rPr>
                <w:rFonts w:eastAsia="Times New Roman" w:cs="Arial"/>
                <w:bCs w:val="0"/>
                <w:iCs/>
                <w:snapToGrid w:val="0"/>
                <w:szCs w:val="20"/>
              </w:rPr>
              <w:t xml:space="preserve">RSA proposed in the form of financial caps. </w:t>
            </w:r>
          </w:p>
        </w:tc>
      </w:tr>
    </w:tbl>
    <w:bookmarkEnd w:id="17"/>
    <w:p w14:paraId="73394765" w14:textId="77777777" w:rsidR="00B159C2" w:rsidRPr="00A74194" w:rsidRDefault="001020A6" w:rsidP="00B159C2">
      <w:pPr>
        <w:pStyle w:val="TableFigureFooter"/>
      </w:pPr>
      <w:r w:rsidRPr="00A74194">
        <w:t xml:space="preserve">AEMP = approved ex-manufacturer price; </w:t>
      </w:r>
      <w:r w:rsidR="00B159C2" w:rsidRPr="00A74194">
        <w:t>DCC = decompensated cirrhosis; ESC = Economic Sub-Committee; HCC = hepatocellular cancer; ICER =</w:t>
      </w:r>
      <w:r w:rsidRPr="00A74194">
        <w:t xml:space="preserve"> </w:t>
      </w:r>
      <w:r w:rsidR="00B159C2" w:rsidRPr="00A74194">
        <w:t>incremental cost-effectiveness ratio; OCA = obeticholic acid; PBAC = Pharmaceutical Benefits Advisory</w:t>
      </w:r>
      <w:r w:rsidR="00B7214C" w:rsidRPr="00A74194">
        <w:t xml:space="preserve"> </w:t>
      </w:r>
      <w:r w:rsidR="00B159C2" w:rsidRPr="00A74194">
        <w:t>Committee;</w:t>
      </w:r>
      <w:r w:rsidRPr="00A74194">
        <w:t xml:space="preserve"> PBC: primary biliary cholangitis; PSCR = pre-Sub-Committee response; </w:t>
      </w:r>
      <w:r w:rsidR="00B159C2" w:rsidRPr="00A74194">
        <w:t xml:space="preserve">PSD = Public Summary Document; </w:t>
      </w:r>
      <w:r w:rsidRPr="00A74194">
        <w:t xml:space="preserve">RSA = risk sharing arrangement; </w:t>
      </w:r>
      <w:r w:rsidR="00B159C2" w:rsidRPr="00A74194">
        <w:t>UDCA = ursodeoxycholic</w:t>
      </w:r>
      <w:r w:rsidR="008A0628" w:rsidRPr="00A74194">
        <w:t xml:space="preserve"> </w:t>
      </w:r>
      <w:r w:rsidR="00B159C2" w:rsidRPr="00A74194">
        <w:t>acid; ULN = upper limit of normal</w:t>
      </w:r>
    </w:p>
    <w:p w14:paraId="7774D5FD" w14:textId="77777777" w:rsidR="00B159C2" w:rsidRPr="00A74194" w:rsidRDefault="00B159C2" w:rsidP="00B159C2">
      <w:pPr>
        <w:pStyle w:val="TableFigureFooter"/>
      </w:pPr>
      <w:r w:rsidRPr="00A74194">
        <w:t>Source: Complied during the evaluation</w:t>
      </w:r>
    </w:p>
    <w:p w14:paraId="5842451E" w14:textId="77777777" w:rsidR="00164D71" w:rsidRPr="00A74194" w:rsidRDefault="00164D71" w:rsidP="00B159C2">
      <w:pPr>
        <w:pStyle w:val="TableFigureFooter"/>
        <w:rPr>
          <w:rFonts w:asciiTheme="minorHAnsi" w:hAnsiTheme="minorHAnsi"/>
          <w:sz w:val="24"/>
          <w:szCs w:val="24"/>
        </w:rPr>
      </w:pPr>
    </w:p>
    <w:p w14:paraId="016273A2" w14:textId="77777777" w:rsidR="00164D71" w:rsidRPr="00A74194" w:rsidRDefault="00164D71" w:rsidP="00B159C2">
      <w:pPr>
        <w:pStyle w:val="TableFigureFooter"/>
        <w:rPr>
          <w:rFonts w:asciiTheme="minorHAnsi" w:hAnsiTheme="minorHAnsi"/>
          <w:i/>
          <w:sz w:val="24"/>
          <w:szCs w:val="24"/>
        </w:rPr>
      </w:pPr>
      <w:r w:rsidRPr="00A74194">
        <w:rPr>
          <w:rFonts w:asciiTheme="minorHAnsi" w:hAnsiTheme="minorHAnsi"/>
          <w:sz w:val="24"/>
          <w:szCs w:val="24"/>
        </w:rPr>
        <w:tab/>
      </w:r>
      <w:r w:rsidRPr="00A74194">
        <w:rPr>
          <w:rFonts w:asciiTheme="minorHAnsi" w:hAnsiTheme="minorHAnsi"/>
          <w:i/>
          <w:sz w:val="24"/>
          <w:szCs w:val="24"/>
        </w:rPr>
        <w:t>For more detail on PBAC’s view, see section 7 PBAC outcome.</w:t>
      </w:r>
    </w:p>
    <w:p w14:paraId="38FAB843" w14:textId="77777777" w:rsidR="00D657EF" w:rsidRPr="009F4782" w:rsidRDefault="00B159C2" w:rsidP="009F4782">
      <w:pPr>
        <w:pStyle w:val="2-SectionHeading"/>
        <w:numPr>
          <w:ilvl w:val="0"/>
          <w:numId w:val="1"/>
        </w:numPr>
      </w:pPr>
      <w:bookmarkStart w:id="18" w:name="_Toc22898848"/>
      <w:bookmarkStart w:id="19" w:name="_Toc50371932"/>
      <w:r w:rsidRPr="00A74194">
        <w:lastRenderedPageBreak/>
        <w:t>Requested listing</w:t>
      </w:r>
      <w:bookmarkEnd w:id="18"/>
      <w:bookmarkEnd w:id="19"/>
    </w:p>
    <w:tbl>
      <w:tblPr>
        <w:tblW w:w="5000" w:type="pct"/>
        <w:tblBorders>
          <w:top w:val="single" w:sz="4" w:space="0" w:color="auto"/>
          <w:bottom w:val="single" w:sz="4" w:space="0" w:color="auto"/>
          <w:insideH w:val="single" w:sz="4" w:space="0" w:color="auto"/>
        </w:tblBorders>
        <w:tblCellMar>
          <w:left w:w="28" w:type="dxa"/>
          <w:right w:w="28" w:type="dxa"/>
        </w:tblCellMar>
        <w:tblLook w:val="0000" w:firstRow="0" w:lastRow="0" w:firstColumn="0" w:lastColumn="0" w:noHBand="0" w:noVBand="0"/>
      </w:tblPr>
      <w:tblGrid>
        <w:gridCol w:w="2691"/>
        <w:gridCol w:w="852"/>
        <w:gridCol w:w="567"/>
        <w:gridCol w:w="1701"/>
        <w:gridCol w:w="1134"/>
        <w:gridCol w:w="2082"/>
      </w:tblGrid>
      <w:tr w:rsidR="00D657EF" w:rsidRPr="00A74194" w14:paraId="448F7459" w14:textId="77777777" w:rsidTr="00D657EF">
        <w:trPr>
          <w:cantSplit/>
          <w:trHeight w:val="463"/>
        </w:trPr>
        <w:tc>
          <w:tcPr>
            <w:tcW w:w="1491" w:type="pct"/>
            <w:vAlign w:val="center"/>
          </w:tcPr>
          <w:p w14:paraId="057BB4D7" w14:textId="77777777" w:rsidR="00D657EF" w:rsidRPr="00A74194" w:rsidRDefault="00D657EF" w:rsidP="009F4782">
            <w:pPr>
              <w:keepNext/>
              <w:jc w:val="left"/>
              <w:rPr>
                <w:rFonts w:ascii="Arial Narrow" w:hAnsi="Arial Narrow"/>
                <w:b/>
                <w:sz w:val="20"/>
                <w:szCs w:val="20"/>
              </w:rPr>
            </w:pPr>
            <w:r w:rsidRPr="00A74194">
              <w:rPr>
                <w:rFonts w:ascii="Arial Narrow" w:hAnsi="Arial Narrow"/>
                <w:b/>
                <w:sz w:val="20"/>
                <w:szCs w:val="20"/>
              </w:rPr>
              <w:t>Name, Restriction, Manner of administration and form</w:t>
            </w:r>
          </w:p>
        </w:tc>
        <w:tc>
          <w:tcPr>
            <w:tcW w:w="472" w:type="pct"/>
            <w:vAlign w:val="center"/>
          </w:tcPr>
          <w:p w14:paraId="75D55A85" w14:textId="77777777" w:rsidR="00D657EF" w:rsidRPr="00A74194" w:rsidRDefault="00D657EF" w:rsidP="009F4782">
            <w:pPr>
              <w:keepNext/>
              <w:jc w:val="center"/>
              <w:rPr>
                <w:rFonts w:ascii="Arial Narrow" w:hAnsi="Arial Narrow"/>
                <w:b/>
                <w:sz w:val="20"/>
                <w:szCs w:val="20"/>
              </w:rPr>
            </w:pPr>
            <w:r w:rsidRPr="00A74194">
              <w:rPr>
                <w:rFonts w:ascii="Arial Narrow" w:hAnsi="Arial Narrow"/>
                <w:b/>
                <w:sz w:val="20"/>
                <w:szCs w:val="20"/>
              </w:rPr>
              <w:t>Max.</w:t>
            </w:r>
          </w:p>
          <w:p w14:paraId="14FE85EC" w14:textId="77777777" w:rsidR="00D657EF" w:rsidRPr="00A74194" w:rsidRDefault="00D657EF" w:rsidP="009F4782">
            <w:pPr>
              <w:keepNext/>
              <w:jc w:val="center"/>
              <w:rPr>
                <w:rFonts w:ascii="Arial Narrow" w:hAnsi="Arial Narrow"/>
                <w:b/>
                <w:sz w:val="20"/>
                <w:szCs w:val="20"/>
              </w:rPr>
            </w:pPr>
            <w:r w:rsidRPr="00A74194">
              <w:rPr>
                <w:rFonts w:ascii="Arial Narrow" w:hAnsi="Arial Narrow"/>
                <w:b/>
                <w:sz w:val="20"/>
                <w:szCs w:val="20"/>
              </w:rPr>
              <w:t>Qty</w:t>
            </w:r>
          </w:p>
        </w:tc>
        <w:tc>
          <w:tcPr>
            <w:tcW w:w="314" w:type="pct"/>
            <w:vAlign w:val="center"/>
          </w:tcPr>
          <w:p w14:paraId="03646DE7" w14:textId="77777777" w:rsidR="00D657EF" w:rsidRPr="00A74194" w:rsidRDefault="00D657EF" w:rsidP="009F4782">
            <w:pPr>
              <w:keepNext/>
              <w:jc w:val="center"/>
              <w:rPr>
                <w:rFonts w:ascii="Arial Narrow" w:hAnsi="Arial Narrow"/>
                <w:b/>
                <w:sz w:val="20"/>
                <w:szCs w:val="20"/>
              </w:rPr>
            </w:pPr>
            <w:r w:rsidRPr="00A74194">
              <w:rPr>
                <w:rFonts w:ascii="Arial Narrow" w:hAnsi="Arial Narrow" w:cs="Times New Roman"/>
                <w:b/>
                <w:sz w:val="20"/>
                <w:szCs w:val="20"/>
              </w:rPr>
              <w:t>№</w:t>
            </w:r>
            <w:r w:rsidRPr="00A74194">
              <w:rPr>
                <w:rFonts w:ascii="Arial Narrow" w:hAnsi="Arial Narrow"/>
                <w:b/>
                <w:sz w:val="20"/>
                <w:szCs w:val="20"/>
              </w:rPr>
              <w:t>.of</w:t>
            </w:r>
          </w:p>
          <w:p w14:paraId="3ED8EF1D" w14:textId="77777777" w:rsidR="00D657EF" w:rsidRPr="00A74194" w:rsidRDefault="00D657EF" w:rsidP="009F4782">
            <w:pPr>
              <w:keepNext/>
              <w:jc w:val="center"/>
              <w:rPr>
                <w:rFonts w:ascii="Arial Narrow" w:hAnsi="Arial Narrow"/>
                <w:b/>
                <w:sz w:val="20"/>
                <w:szCs w:val="20"/>
              </w:rPr>
            </w:pPr>
            <w:r w:rsidRPr="00A74194">
              <w:rPr>
                <w:rFonts w:ascii="Arial Narrow" w:hAnsi="Arial Narrow"/>
                <w:b/>
                <w:sz w:val="20"/>
                <w:szCs w:val="20"/>
              </w:rPr>
              <w:t>Rpts</w:t>
            </w:r>
          </w:p>
        </w:tc>
        <w:tc>
          <w:tcPr>
            <w:tcW w:w="942" w:type="pct"/>
            <w:vAlign w:val="center"/>
          </w:tcPr>
          <w:p w14:paraId="235A0E38" w14:textId="77777777" w:rsidR="00D657EF" w:rsidRPr="00A74194" w:rsidRDefault="00D657EF" w:rsidP="009F4782">
            <w:pPr>
              <w:keepNext/>
              <w:jc w:val="center"/>
              <w:rPr>
                <w:rFonts w:ascii="Arial Narrow" w:hAnsi="Arial Narrow"/>
                <w:b/>
                <w:sz w:val="20"/>
                <w:szCs w:val="20"/>
              </w:rPr>
            </w:pPr>
            <w:r w:rsidRPr="00A74194">
              <w:rPr>
                <w:rFonts w:ascii="Arial Narrow" w:hAnsi="Arial Narrow"/>
                <w:b/>
                <w:sz w:val="20"/>
                <w:szCs w:val="20"/>
              </w:rPr>
              <w:t>DPMQ</w:t>
            </w:r>
          </w:p>
        </w:tc>
        <w:tc>
          <w:tcPr>
            <w:tcW w:w="1781" w:type="pct"/>
            <w:gridSpan w:val="2"/>
            <w:vAlign w:val="center"/>
          </w:tcPr>
          <w:p w14:paraId="50E03649" w14:textId="77777777" w:rsidR="00D657EF" w:rsidRPr="00A74194" w:rsidRDefault="00D657EF" w:rsidP="009F4782">
            <w:pPr>
              <w:keepNext/>
              <w:rPr>
                <w:rFonts w:ascii="Arial Narrow" w:hAnsi="Arial Narrow"/>
                <w:b/>
                <w:sz w:val="20"/>
                <w:szCs w:val="20"/>
              </w:rPr>
            </w:pPr>
            <w:r w:rsidRPr="00A74194">
              <w:rPr>
                <w:rFonts w:ascii="Arial Narrow" w:hAnsi="Arial Narrow"/>
                <w:b/>
                <w:sz w:val="20"/>
                <w:szCs w:val="20"/>
              </w:rPr>
              <w:t>Proprietary Name and Manufacturer</w:t>
            </w:r>
          </w:p>
        </w:tc>
      </w:tr>
      <w:tr w:rsidR="00D657EF" w:rsidRPr="00A74194" w14:paraId="563C0D8D" w14:textId="77777777" w:rsidTr="00D657EF">
        <w:trPr>
          <w:cantSplit/>
          <w:trHeight w:val="567"/>
        </w:trPr>
        <w:tc>
          <w:tcPr>
            <w:tcW w:w="1491" w:type="pct"/>
            <w:vAlign w:val="center"/>
          </w:tcPr>
          <w:p w14:paraId="4E6F4E67" w14:textId="77777777" w:rsidR="00D657EF" w:rsidRPr="00A74194" w:rsidRDefault="00D657EF" w:rsidP="009F4782">
            <w:pPr>
              <w:pStyle w:val="Tabletext"/>
              <w:keepNext/>
              <w:rPr>
                <w:smallCaps/>
              </w:rPr>
            </w:pPr>
            <w:r w:rsidRPr="00A74194">
              <w:rPr>
                <w:smallCaps/>
              </w:rPr>
              <w:t>Obeticholic acid</w:t>
            </w:r>
          </w:p>
          <w:p w14:paraId="1F1F979E" w14:textId="77777777" w:rsidR="00D657EF" w:rsidRPr="00A74194" w:rsidRDefault="00D657EF" w:rsidP="009F4782">
            <w:pPr>
              <w:keepNext/>
              <w:jc w:val="left"/>
              <w:rPr>
                <w:rFonts w:ascii="Arial Narrow" w:hAnsi="Arial Narrow"/>
                <w:sz w:val="20"/>
              </w:rPr>
            </w:pPr>
            <w:r w:rsidRPr="00A74194">
              <w:rPr>
                <w:rFonts w:ascii="Arial Narrow" w:hAnsi="Arial Narrow"/>
                <w:sz w:val="20"/>
              </w:rPr>
              <w:t>Tablet, 5mg</w:t>
            </w:r>
          </w:p>
        </w:tc>
        <w:tc>
          <w:tcPr>
            <w:tcW w:w="472" w:type="pct"/>
            <w:vAlign w:val="center"/>
          </w:tcPr>
          <w:p w14:paraId="1A0845D8" w14:textId="77777777" w:rsidR="00D657EF" w:rsidRPr="00A74194" w:rsidRDefault="00D657EF" w:rsidP="009F4782">
            <w:pPr>
              <w:keepNext/>
              <w:jc w:val="center"/>
              <w:rPr>
                <w:rFonts w:ascii="Arial Narrow" w:hAnsi="Arial Narrow"/>
                <w:sz w:val="20"/>
              </w:rPr>
            </w:pPr>
            <w:r w:rsidRPr="00A74194">
              <w:rPr>
                <w:rFonts w:ascii="Arial Narrow" w:hAnsi="Arial Narrow"/>
                <w:sz w:val="20"/>
              </w:rPr>
              <w:t>1 pack</w:t>
            </w:r>
          </w:p>
          <w:p w14:paraId="4A6C20D9" w14:textId="77777777" w:rsidR="00D657EF" w:rsidRPr="00A74194" w:rsidRDefault="00D657EF" w:rsidP="009F4782">
            <w:pPr>
              <w:keepNext/>
              <w:jc w:val="center"/>
              <w:rPr>
                <w:rFonts w:ascii="Arial Narrow" w:hAnsi="Arial Narrow"/>
                <w:sz w:val="20"/>
              </w:rPr>
            </w:pPr>
            <w:r w:rsidRPr="00A74194">
              <w:rPr>
                <w:rFonts w:ascii="Arial Narrow" w:hAnsi="Arial Narrow"/>
                <w:sz w:val="20"/>
              </w:rPr>
              <w:t>30 units</w:t>
            </w:r>
          </w:p>
        </w:tc>
        <w:tc>
          <w:tcPr>
            <w:tcW w:w="314" w:type="pct"/>
            <w:vAlign w:val="center"/>
          </w:tcPr>
          <w:p w14:paraId="3134F335" w14:textId="77777777" w:rsidR="00D657EF" w:rsidRPr="00A74194" w:rsidRDefault="00D657EF" w:rsidP="009F4782">
            <w:pPr>
              <w:keepNext/>
              <w:jc w:val="center"/>
              <w:rPr>
                <w:rFonts w:ascii="Arial Narrow" w:hAnsi="Arial Narrow"/>
                <w:sz w:val="20"/>
              </w:rPr>
            </w:pPr>
            <w:r w:rsidRPr="00A74194">
              <w:rPr>
                <w:rFonts w:ascii="Arial Narrow" w:hAnsi="Arial Narrow"/>
                <w:sz w:val="20"/>
              </w:rPr>
              <w:t>5</w:t>
            </w:r>
          </w:p>
        </w:tc>
        <w:tc>
          <w:tcPr>
            <w:tcW w:w="942" w:type="pct"/>
            <w:vAlign w:val="center"/>
          </w:tcPr>
          <w:p w14:paraId="576311F1" w14:textId="77777777" w:rsidR="00D657EF" w:rsidRPr="00A74194" w:rsidRDefault="00D657EF" w:rsidP="009F4782">
            <w:pPr>
              <w:keepNext/>
              <w:jc w:val="center"/>
              <w:rPr>
                <w:rFonts w:ascii="Arial Narrow" w:hAnsi="Arial Narrow"/>
                <w:sz w:val="20"/>
              </w:rPr>
            </w:pPr>
            <w:r w:rsidRPr="00A74194">
              <w:rPr>
                <w:rFonts w:ascii="Arial Narrow" w:hAnsi="Arial Narrow"/>
                <w:sz w:val="20"/>
              </w:rPr>
              <w:t>Published: $</w:t>
            </w:r>
            <w:r w:rsidRPr="00921D8B">
              <w:rPr>
                <w:rFonts w:ascii="Arial Narrow" w:hAnsi="Arial Narrow"/>
                <w:sz w:val="20"/>
              </w:rPr>
              <w:t>4,178.12</w:t>
            </w:r>
            <w:r w:rsidRPr="00A74194">
              <w:rPr>
                <w:rFonts w:ascii="Arial Narrow" w:hAnsi="Arial Narrow"/>
                <w:sz w:val="20"/>
              </w:rPr>
              <w:t xml:space="preserve"> Effective: $</w:t>
            </w:r>
            <w:r w:rsidR="00027EBC">
              <w:rPr>
                <w:rFonts w:ascii="Arial Narrow" w:hAnsi="Arial Narrow"/>
                <w:noProof/>
                <w:color w:val="000000"/>
                <w:sz w:val="20"/>
                <w:highlight w:val="black"/>
              </w:rPr>
              <w:t>'''''''''''''''''''''</w:t>
            </w:r>
            <w:r w:rsidRPr="00A74194">
              <w:rPr>
                <w:rFonts w:ascii="Arial Narrow" w:hAnsi="Arial Narrow"/>
                <w:sz w:val="20"/>
              </w:rPr>
              <w:t xml:space="preserve"> </w:t>
            </w:r>
          </w:p>
        </w:tc>
        <w:tc>
          <w:tcPr>
            <w:tcW w:w="628" w:type="pct"/>
            <w:vAlign w:val="center"/>
          </w:tcPr>
          <w:p w14:paraId="0EB434A7" w14:textId="77777777" w:rsidR="00D657EF" w:rsidRPr="00A74194" w:rsidRDefault="00D657EF" w:rsidP="009F4782">
            <w:pPr>
              <w:keepNext/>
              <w:rPr>
                <w:rFonts w:ascii="Arial Narrow" w:hAnsi="Arial Narrow"/>
                <w:sz w:val="20"/>
              </w:rPr>
            </w:pPr>
            <w:r w:rsidRPr="00A74194">
              <w:rPr>
                <w:rFonts w:ascii="Arial Narrow" w:hAnsi="Arial Narrow" w:cs="Times New Roman"/>
                <w:sz w:val="20"/>
                <w:szCs w:val="20"/>
              </w:rPr>
              <w:t>OCALIVA®</w:t>
            </w:r>
          </w:p>
        </w:tc>
        <w:tc>
          <w:tcPr>
            <w:tcW w:w="1153" w:type="pct"/>
            <w:vAlign w:val="center"/>
          </w:tcPr>
          <w:p w14:paraId="3254A5F0" w14:textId="77777777" w:rsidR="00D657EF" w:rsidRPr="00A74194" w:rsidRDefault="00D657EF" w:rsidP="009F4782">
            <w:pPr>
              <w:keepNext/>
              <w:jc w:val="left"/>
              <w:rPr>
                <w:rFonts w:ascii="Arial Narrow" w:hAnsi="Arial Narrow" w:cs="Times New Roman"/>
                <w:sz w:val="20"/>
                <w:szCs w:val="20"/>
              </w:rPr>
            </w:pPr>
            <w:r w:rsidRPr="00A74194">
              <w:rPr>
                <w:rFonts w:ascii="Arial Narrow" w:hAnsi="Arial Narrow" w:cs="Times New Roman"/>
                <w:sz w:val="20"/>
                <w:szCs w:val="20"/>
              </w:rPr>
              <w:t xml:space="preserve">Manufacturer: Intercept Pharma </w:t>
            </w:r>
          </w:p>
          <w:p w14:paraId="746EB5A9" w14:textId="77777777" w:rsidR="00D657EF" w:rsidRPr="00A74194" w:rsidRDefault="00D657EF" w:rsidP="009F4782">
            <w:pPr>
              <w:keepNext/>
              <w:jc w:val="left"/>
              <w:rPr>
                <w:rFonts w:ascii="Arial Narrow" w:hAnsi="Arial Narrow"/>
                <w:sz w:val="20"/>
              </w:rPr>
            </w:pPr>
            <w:r w:rsidRPr="00A74194">
              <w:rPr>
                <w:rFonts w:ascii="Arial Narrow" w:hAnsi="Arial Narrow" w:cs="Times New Roman"/>
                <w:sz w:val="20"/>
                <w:szCs w:val="20"/>
              </w:rPr>
              <w:t>Australian Sponsor: Chiesi Australia Pty Ltd</w:t>
            </w:r>
            <w:r w:rsidRPr="00A74194">
              <w:rPr>
                <w:rFonts w:ascii="Arial Narrow" w:hAnsi="Arial Narrow"/>
                <w:sz w:val="20"/>
              </w:rPr>
              <w:t xml:space="preserve"> </w:t>
            </w:r>
          </w:p>
        </w:tc>
      </w:tr>
    </w:tbl>
    <w:p w14:paraId="58E0CF7C" w14:textId="77777777" w:rsidR="00D657EF" w:rsidRDefault="00D657EF" w:rsidP="00D657EF"/>
    <w:tbl>
      <w:tblPr>
        <w:tblW w:w="5000" w:type="pct"/>
        <w:tblLook w:val="0000" w:firstRow="0" w:lastRow="0" w:firstColumn="0" w:lastColumn="0" w:noHBand="0" w:noVBand="0"/>
      </w:tblPr>
      <w:tblGrid>
        <w:gridCol w:w="2123"/>
        <w:gridCol w:w="6894"/>
      </w:tblGrid>
      <w:tr w:rsidR="009F4782" w:rsidRPr="00700B99" w14:paraId="7F87EA1F" w14:textId="77777777" w:rsidTr="009F4782">
        <w:trPr>
          <w:cantSplit/>
        </w:trPr>
        <w:tc>
          <w:tcPr>
            <w:tcW w:w="1177" w:type="pct"/>
            <w:tcBorders>
              <w:top w:val="single" w:sz="4" w:space="0" w:color="auto"/>
              <w:left w:val="single" w:sz="4" w:space="0" w:color="auto"/>
              <w:bottom w:val="single" w:sz="4" w:space="0" w:color="auto"/>
              <w:right w:val="single" w:sz="4" w:space="0" w:color="auto"/>
            </w:tcBorders>
          </w:tcPr>
          <w:p w14:paraId="4384AC27" w14:textId="77777777" w:rsidR="009F4782" w:rsidRPr="00700B99" w:rsidRDefault="009F4782" w:rsidP="009F4782">
            <w:pPr>
              <w:pStyle w:val="TableText0"/>
              <w:rPr>
                <w:b/>
              </w:rPr>
            </w:pPr>
            <w:r>
              <w:rPr>
                <w:b/>
              </w:rPr>
              <w:t>Category/Program</w:t>
            </w:r>
          </w:p>
        </w:tc>
        <w:tc>
          <w:tcPr>
            <w:tcW w:w="3823" w:type="pct"/>
            <w:tcBorders>
              <w:top w:val="single" w:sz="4" w:space="0" w:color="auto"/>
              <w:left w:val="single" w:sz="4" w:space="0" w:color="auto"/>
              <w:bottom w:val="single" w:sz="4" w:space="0" w:color="auto"/>
              <w:right w:val="single" w:sz="4" w:space="0" w:color="auto"/>
            </w:tcBorders>
          </w:tcPr>
          <w:p w14:paraId="53CD216B" w14:textId="77777777" w:rsidR="009F4782" w:rsidRPr="00700B99" w:rsidRDefault="009F4782" w:rsidP="009F4782">
            <w:pPr>
              <w:pStyle w:val="TableText0"/>
            </w:pPr>
            <w:r>
              <w:t>Section 85 (General Schedule)</w:t>
            </w:r>
          </w:p>
        </w:tc>
      </w:tr>
      <w:tr w:rsidR="009F4782" w:rsidRPr="00700B99" w14:paraId="300F3636" w14:textId="77777777" w:rsidTr="009F4782">
        <w:trPr>
          <w:cantSplit/>
        </w:trPr>
        <w:tc>
          <w:tcPr>
            <w:tcW w:w="1177" w:type="pct"/>
            <w:tcBorders>
              <w:top w:val="single" w:sz="4" w:space="0" w:color="auto"/>
              <w:left w:val="single" w:sz="4" w:space="0" w:color="auto"/>
              <w:bottom w:val="single" w:sz="4" w:space="0" w:color="auto"/>
              <w:right w:val="single" w:sz="4" w:space="0" w:color="auto"/>
            </w:tcBorders>
          </w:tcPr>
          <w:p w14:paraId="1C2DA8D1" w14:textId="77777777" w:rsidR="009F4782" w:rsidRPr="00700B99" w:rsidRDefault="009F4782" w:rsidP="009F4782">
            <w:pPr>
              <w:pStyle w:val="TableText0"/>
              <w:keepNext w:val="0"/>
              <w:widowControl w:val="0"/>
              <w:rPr>
                <w:b/>
              </w:rPr>
            </w:pPr>
            <w:r w:rsidRPr="00700B99">
              <w:rPr>
                <w:b/>
              </w:rPr>
              <w:t>Prescriber type:</w:t>
            </w:r>
          </w:p>
        </w:tc>
        <w:tc>
          <w:tcPr>
            <w:tcW w:w="3823" w:type="pct"/>
            <w:tcBorders>
              <w:top w:val="single" w:sz="4" w:space="0" w:color="auto"/>
              <w:left w:val="single" w:sz="4" w:space="0" w:color="auto"/>
              <w:bottom w:val="single" w:sz="4" w:space="0" w:color="auto"/>
              <w:right w:val="single" w:sz="4" w:space="0" w:color="auto"/>
            </w:tcBorders>
          </w:tcPr>
          <w:p w14:paraId="1EB20FA7" w14:textId="77777777" w:rsidR="009F4782" w:rsidRPr="00700B99" w:rsidRDefault="009F4782" w:rsidP="009F4782">
            <w:pPr>
              <w:pStyle w:val="TableText0"/>
              <w:keepNext w:val="0"/>
              <w:widowControl w:val="0"/>
            </w:pPr>
            <w:r w:rsidRPr="00700B99">
              <w:fldChar w:fldCharType="begin">
                <w:ffData>
                  <w:name w:val="Check1"/>
                  <w:enabled/>
                  <w:calcOnExit w:val="0"/>
                  <w:checkBox>
                    <w:sizeAuto/>
                    <w:default w:val="0"/>
                  </w:checkBox>
                </w:ffData>
              </w:fldChar>
            </w:r>
            <w:r w:rsidRPr="00700B99">
              <w:instrText xml:space="preserve"> FORMCHECKBOX </w:instrText>
            </w:r>
            <w:r w:rsidR="00523A93">
              <w:fldChar w:fldCharType="separate"/>
            </w:r>
            <w:r w:rsidRPr="00700B99">
              <w:fldChar w:fldCharType="end"/>
            </w:r>
            <w:r w:rsidRPr="00700B99">
              <w:t xml:space="preserve">Dental  </w:t>
            </w:r>
            <w:r w:rsidRPr="00700B99">
              <w:fldChar w:fldCharType="begin">
                <w:ffData>
                  <w:name w:val="Check1"/>
                  <w:enabled/>
                  <w:calcOnExit w:val="0"/>
                  <w:checkBox>
                    <w:sizeAuto/>
                    <w:default w:val="1"/>
                  </w:checkBox>
                </w:ffData>
              </w:fldChar>
            </w:r>
            <w:r w:rsidRPr="00700B99">
              <w:instrText xml:space="preserve"> FORMCHECKBOX </w:instrText>
            </w:r>
            <w:r w:rsidR="00523A93">
              <w:fldChar w:fldCharType="separate"/>
            </w:r>
            <w:r w:rsidRPr="00700B99">
              <w:fldChar w:fldCharType="end"/>
            </w:r>
            <w:r w:rsidRPr="00700B99">
              <w:t xml:space="preserve">Medical Practitioners  </w:t>
            </w:r>
            <w:r w:rsidRPr="00700B99">
              <w:fldChar w:fldCharType="begin">
                <w:ffData>
                  <w:name w:val="Check1"/>
                  <w:enabled/>
                  <w:calcOnExit w:val="0"/>
                  <w:checkBox>
                    <w:sizeAuto/>
                    <w:default w:val="0"/>
                  </w:checkBox>
                </w:ffData>
              </w:fldChar>
            </w:r>
            <w:r w:rsidRPr="00700B99">
              <w:instrText xml:space="preserve"> FORMCHECKBOX </w:instrText>
            </w:r>
            <w:r w:rsidR="00523A93">
              <w:fldChar w:fldCharType="separate"/>
            </w:r>
            <w:r w:rsidRPr="00700B99">
              <w:fldChar w:fldCharType="end"/>
            </w:r>
            <w:r w:rsidRPr="00700B99">
              <w:t xml:space="preserve">Nurse practitioners </w:t>
            </w:r>
            <w:r w:rsidRPr="00700B99">
              <w:fldChar w:fldCharType="begin">
                <w:ffData>
                  <w:name w:val="Check1"/>
                  <w:enabled/>
                  <w:calcOnExit w:val="0"/>
                  <w:checkBox>
                    <w:sizeAuto/>
                    <w:default w:val="0"/>
                  </w:checkBox>
                </w:ffData>
              </w:fldChar>
            </w:r>
            <w:r w:rsidRPr="00700B99">
              <w:instrText xml:space="preserve"> FORMCHECKBOX </w:instrText>
            </w:r>
            <w:r w:rsidR="00523A93">
              <w:fldChar w:fldCharType="separate"/>
            </w:r>
            <w:r w:rsidRPr="00700B99">
              <w:fldChar w:fldCharType="end"/>
            </w:r>
            <w:r w:rsidRPr="00700B99">
              <w:t xml:space="preserve">Optometrists </w:t>
            </w:r>
            <w:r w:rsidRPr="00700B99">
              <w:fldChar w:fldCharType="begin">
                <w:ffData>
                  <w:name w:val="Check1"/>
                  <w:enabled/>
                  <w:calcOnExit w:val="0"/>
                  <w:checkBox>
                    <w:sizeAuto/>
                    <w:default w:val="0"/>
                  </w:checkBox>
                </w:ffData>
              </w:fldChar>
            </w:r>
            <w:r w:rsidRPr="00700B99">
              <w:instrText xml:space="preserve"> FORMCHECKBOX </w:instrText>
            </w:r>
            <w:r w:rsidR="00523A93">
              <w:fldChar w:fldCharType="separate"/>
            </w:r>
            <w:r w:rsidRPr="00700B99">
              <w:fldChar w:fldCharType="end"/>
            </w:r>
            <w:r w:rsidRPr="00700B99">
              <w:t>Midwives</w:t>
            </w:r>
          </w:p>
        </w:tc>
      </w:tr>
      <w:tr w:rsidR="009F4782" w:rsidRPr="00700B99" w14:paraId="224EEDDC" w14:textId="77777777" w:rsidTr="009F4782">
        <w:trPr>
          <w:cantSplit/>
        </w:trPr>
        <w:tc>
          <w:tcPr>
            <w:tcW w:w="1177" w:type="pct"/>
            <w:tcBorders>
              <w:top w:val="single" w:sz="4" w:space="0" w:color="auto"/>
              <w:left w:val="single" w:sz="4" w:space="0" w:color="auto"/>
              <w:bottom w:val="single" w:sz="4" w:space="0" w:color="auto"/>
              <w:right w:val="single" w:sz="4" w:space="0" w:color="auto"/>
            </w:tcBorders>
          </w:tcPr>
          <w:p w14:paraId="529F8677" w14:textId="77777777" w:rsidR="009F4782" w:rsidRPr="00700B99" w:rsidRDefault="009F4782" w:rsidP="009F4782">
            <w:pPr>
              <w:pStyle w:val="TableText0"/>
              <w:keepNext w:val="0"/>
              <w:widowControl w:val="0"/>
              <w:rPr>
                <w:b/>
              </w:rPr>
            </w:pPr>
            <w:r w:rsidRPr="00700B99">
              <w:rPr>
                <w:b/>
              </w:rPr>
              <w:t>Condition:</w:t>
            </w:r>
          </w:p>
        </w:tc>
        <w:tc>
          <w:tcPr>
            <w:tcW w:w="3823" w:type="pct"/>
            <w:tcBorders>
              <w:top w:val="single" w:sz="4" w:space="0" w:color="auto"/>
              <w:left w:val="single" w:sz="4" w:space="0" w:color="auto"/>
              <w:bottom w:val="single" w:sz="4" w:space="0" w:color="auto"/>
              <w:right w:val="single" w:sz="4" w:space="0" w:color="auto"/>
            </w:tcBorders>
          </w:tcPr>
          <w:p w14:paraId="4CF65CB2" w14:textId="77777777" w:rsidR="009F4782" w:rsidRPr="00700B99" w:rsidRDefault="009F4782" w:rsidP="009F4782">
            <w:pPr>
              <w:pStyle w:val="TableText0"/>
              <w:keepNext w:val="0"/>
              <w:widowControl w:val="0"/>
            </w:pPr>
            <w:r w:rsidRPr="00700B99">
              <w:t>Primary biliary cholangitis</w:t>
            </w:r>
          </w:p>
        </w:tc>
      </w:tr>
      <w:tr w:rsidR="009F4782" w:rsidRPr="00700B99" w14:paraId="4F04538C" w14:textId="77777777" w:rsidTr="009F4782">
        <w:trPr>
          <w:cantSplit/>
        </w:trPr>
        <w:tc>
          <w:tcPr>
            <w:tcW w:w="1177" w:type="pct"/>
            <w:tcBorders>
              <w:top w:val="single" w:sz="4" w:space="0" w:color="auto"/>
              <w:left w:val="single" w:sz="4" w:space="0" w:color="auto"/>
              <w:bottom w:val="single" w:sz="4" w:space="0" w:color="auto"/>
              <w:right w:val="single" w:sz="4" w:space="0" w:color="auto"/>
            </w:tcBorders>
          </w:tcPr>
          <w:p w14:paraId="4907D88E" w14:textId="77777777" w:rsidR="009F4782" w:rsidRPr="00700B99" w:rsidRDefault="009F4782" w:rsidP="009F4782">
            <w:pPr>
              <w:pStyle w:val="TableText0"/>
              <w:keepNext w:val="0"/>
              <w:widowControl w:val="0"/>
              <w:rPr>
                <w:b/>
              </w:rPr>
            </w:pPr>
            <w:r w:rsidRPr="00700B99">
              <w:rPr>
                <w:b/>
              </w:rPr>
              <w:t>PBS Indication:</w:t>
            </w:r>
          </w:p>
        </w:tc>
        <w:tc>
          <w:tcPr>
            <w:tcW w:w="3823" w:type="pct"/>
            <w:tcBorders>
              <w:top w:val="single" w:sz="4" w:space="0" w:color="auto"/>
              <w:left w:val="single" w:sz="4" w:space="0" w:color="auto"/>
              <w:bottom w:val="single" w:sz="4" w:space="0" w:color="auto"/>
              <w:right w:val="single" w:sz="4" w:space="0" w:color="auto"/>
            </w:tcBorders>
          </w:tcPr>
          <w:p w14:paraId="4D0B8BF0" w14:textId="77777777" w:rsidR="009F4782" w:rsidRPr="00700B99" w:rsidRDefault="009F4782" w:rsidP="009F4782">
            <w:pPr>
              <w:pStyle w:val="TableText0"/>
              <w:keepNext w:val="0"/>
              <w:widowControl w:val="0"/>
            </w:pPr>
            <w:r w:rsidRPr="00700B99">
              <w:t>Primary biliary cholangitis</w:t>
            </w:r>
          </w:p>
        </w:tc>
      </w:tr>
      <w:tr w:rsidR="009F4782" w:rsidRPr="00700B99" w14:paraId="248FFD45" w14:textId="77777777" w:rsidTr="009F4782">
        <w:trPr>
          <w:cantSplit/>
        </w:trPr>
        <w:tc>
          <w:tcPr>
            <w:tcW w:w="1177" w:type="pct"/>
            <w:tcBorders>
              <w:top w:val="single" w:sz="4" w:space="0" w:color="auto"/>
              <w:left w:val="single" w:sz="4" w:space="0" w:color="auto"/>
              <w:bottom w:val="single" w:sz="4" w:space="0" w:color="auto"/>
              <w:right w:val="single" w:sz="4" w:space="0" w:color="auto"/>
            </w:tcBorders>
          </w:tcPr>
          <w:p w14:paraId="74060822" w14:textId="77777777" w:rsidR="009F4782" w:rsidRPr="00700B99" w:rsidRDefault="009F4782" w:rsidP="009F4782">
            <w:pPr>
              <w:pStyle w:val="TableText0"/>
              <w:keepNext w:val="0"/>
              <w:widowControl w:val="0"/>
            </w:pPr>
            <w:r w:rsidRPr="00700B99">
              <w:rPr>
                <w:b/>
              </w:rPr>
              <w:t>Treatment phase:</w:t>
            </w:r>
          </w:p>
        </w:tc>
        <w:tc>
          <w:tcPr>
            <w:tcW w:w="3823" w:type="pct"/>
            <w:tcBorders>
              <w:top w:val="single" w:sz="4" w:space="0" w:color="auto"/>
              <w:left w:val="single" w:sz="4" w:space="0" w:color="auto"/>
              <w:bottom w:val="single" w:sz="4" w:space="0" w:color="auto"/>
              <w:right w:val="single" w:sz="4" w:space="0" w:color="auto"/>
            </w:tcBorders>
          </w:tcPr>
          <w:p w14:paraId="2672FE3C" w14:textId="77777777" w:rsidR="009F4782" w:rsidRPr="00700B99" w:rsidRDefault="009F4782" w:rsidP="009F4782">
            <w:pPr>
              <w:pStyle w:val="TableText0"/>
              <w:keepNext w:val="0"/>
              <w:widowControl w:val="0"/>
            </w:pPr>
            <w:r w:rsidRPr="00700B99">
              <w:t>Initial treatment</w:t>
            </w:r>
          </w:p>
        </w:tc>
      </w:tr>
      <w:tr w:rsidR="009F4782" w:rsidRPr="00700B99" w14:paraId="6CA51A70" w14:textId="77777777" w:rsidTr="009F4782">
        <w:trPr>
          <w:cantSplit/>
        </w:trPr>
        <w:tc>
          <w:tcPr>
            <w:tcW w:w="1177" w:type="pct"/>
            <w:tcBorders>
              <w:top w:val="single" w:sz="4" w:space="0" w:color="auto"/>
              <w:left w:val="single" w:sz="4" w:space="0" w:color="auto"/>
              <w:bottom w:val="single" w:sz="4" w:space="0" w:color="auto"/>
              <w:right w:val="single" w:sz="4" w:space="0" w:color="auto"/>
            </w:tcBorders>
          </w:tcPr>
          <w:p w14:paraId="42F3FFC1" w14:textId="77777777" w:rsidR="009F4782" w:rsidRPr="00700B99" w:rsidRDefault="009F4782" w:rsidP="009F4782">
            <w:pPr>
              <w:pStyle w:val="TableText0"/>
              <w:keepNext w:val="0"/>
              <w:widowControl w:val="0"/>
              <w:rPr>
                <w:i/>
              </w:rPr>
            </w:pPr>
            <w:r w:rsidRPr="00700B99">
              <w:rPr>
                <w:b/>
              </w:rPr>
              <w:t>Restriction:</w:t>
            </w:r>
          </w:p>
        </w:tc>
        <w:tc>
          <w:tcPr>
            <w:tcW w:w="3823" w:type="pct"/>
            <w:tcBorders>
              <w:top w:val="single" w:sz="4" w:space="0" w:color="auto"/>
              <w:left w:val="single" w:sz="4" w:space="0" w:color="auto"/>
              <w:bottom w:val="single" w:sz="4" w:space="0" w:color="auto"/>
              <w:right w:val="single" w:sz="4" w:space="0" w:color="auto"/>
            </w:tcBorders>
          </w:tcPr>
          <w:p w14:paraId="25A77817" w14:textId="77777777" w:rsidR="009F4782" w:rsidRPr="00700B99" w:rsidRDefault="009F4782" w:rsidP="009F4782">
            <w:pPr>
              <w:pStyle w:val="TableText0"/>
              <w:keepNext w:val="0"/>
              <w:widowControl w:val="0"/>
            </w:pPr>
            <w:r w:rsidRPr="00700B99">
              <w:fldChar w:fldCharType="begin">
                <w:ffData>
                  <w:name w:val="Check1"/>
                  <w:enabled/>
                  <w:calcOnExit w:val="0"/>
                  <w:checkBox>
                    <w:sizeAuto/>
                    <w:default w:val="0"/>
                  </w:checkBox>
                </w:ffData>
              </w:fldChar>
            </w:r>
            <w:r w:rsidRPr="00700B99">
              <w:instrText xml:space="preserve"> FORMCHECKBOX </w:instrText>
            </w:r>
            <w:r w:rsidR="00523A93">
              <w:fldChar w:fldCharType="separate"/>
            </w:r>
            <w:r w:rsidRPr="00700B99">
              <w:fldChar w:fldCharType="end"/>
            </w:r>
            <w:r w:rsidRPr="00700B99">
              <w:t>Restricted benefit</w:t>
            </w:r>
          </w:p>
          <w:p w14:paraId="24B6D031" w14:textId="77777777" w:rsidR="009F4782" w:rsidRPr="00700B99" w:rsidRDefault="009F4782" w:rsidP="009F4782">
            <w:pPr>
              <w:pStyle w:val="TableText0"/>
              <w:keepNext w:val="0"/>
              <w:widowControl w:val="0"/>
            </w:pPr>
            <w:r w:rsidRPr="00700B99">
              <w:fldChar w:fldCharType="begin">
                <w:ffData>
                  <w:name w:val=""/>
                  <w:enabled/>
                  <w:calcOnExit w:val="0"/>
                  <w:checkBox>
                    <w:sizeAuto/>
                    <w:default w:val="1"/>
                  </w:checkBox>
                </w:ffData>
              </w:fldChar>
            </w:r>
            <w:r w:rsidRPr="00700B99">
              <w:instrText xml:space="preserve"> FORMCHECKBOX </w:instrText>
            </w:r>
            <w:r w:rsidR="00523A93">
              <w:fldChar w:fldCharType="separate"/>
            </w:r>
            <w:r w:rsidRPr="00700B99">
              <w:fldChar w:fldCharType="end"/>
            </w:r>
            <w:r w:rsidRPr="00700B99">
              <w:t>Authority Required - In Writing</w:t>
            </w:r>
          </w:p>
          <w:p w14:paraId="145DA65E" w14:textId="77777777" w:rsidR="009F4782" w:rsidRPr="00700B99" w:rsidRDefault="009F4782" w:rsidP="009F4782">
            <w:pPr>
              <w:pStyle w:val="TableText0"/>
              <w:keepNext w:val="0"/>
              <w:widowControl w:val="0"/>
            </w:pPr>
            <w:r w:rsidRPr="00700B99">
              <w:fldChar w:fldCharType="begin">
                <w:ffData>
                  <w:name w:val="Check3"/>
                  <w:enabled/>
                  <w:calcOnExit w:val="0"/>
                  <w:checkBox>
                    <w:sizeAuto/>
                    <w:default w:val="0"/>
                  </w:checkBox>
                </w:ffData>
              </w:fldChar>
            </w:r>
            <w:r w:rsidRPr="00700B99">
              <w:instrText xml:space="preserve"> FORMCHECKBOX </w:instrText>
            </w:r>
            <w:r w:rsidR="00523A93">
              <w:fldChar w:fldCharType="separate"/>
            </w:r>
            <w:r w:rsidRPr="00700B99">
              <w:fldChar w:fldCharType="end"/>
            </w:r>
            <w:r w:rsidRPr="00700B99">
              <w:t>Authority Required – Telephone, Electronic</w:t>
            </w:r>
          </w:p>
          <w:p w14:paraId="67C43153" w14:textId="77777777" w:rsidR="009F4782" w:rsidRPr="00700B99" w:rsidRDefault="009F4782" w:rsidP="009F4782">
            <w:pPr>
              <w:pStyle w:val="TableText0"/>
              <w:keepNext w:val="0"/>
              <w:widowControl w:val="0"/>
            </w:pPr>
            <w:r w:rsidRPr="00700B99">
              <w:fldChar w:fldCharType="begin">
                <w:ffData>
                  <w:name w:val="Check5"/>
                  <w:enabled/>
                  <w:calcOnExit w:val="0"/>
                  <w:checkBox>
                    <w:sizeAuto/>
                    <w:default w:val="0"/>
                  </w:checkBox>
                </w:ffData>
              </w:fldChar>
            </w:r>
            <w:r w:rsidRPr="00700B99">
              <w:instrText xml:space="preserve"> FORMCHECKBOX </w:instrText>
            </w:r>
            <w:r w:rsidR="00523A93">
              <w:fldChar w:fldCharType="separate"/>
            </w:r>
            <w:r w:rsidRPr="00700B99">
              <w:fldChar w:fldCharType="end"/>
            </w:r>
            <w:r w:rsidRPr="00700B99">
              <w:t>Streamlined</w:t>
            </w:r>
          </w:p>
        </w:tc>
      </w:tr>
      <w:tr w:rsidR="009F4782" w:rsidRPr="00700B99" w14:paraId="626D87E3" w14:textId="77777777" w:rsidTr="009F4782">
        <w:trPr>
          <w:cantSplit/>
        </w:trPr>
        <w:tc>
          <w:tcPr>
            <w:tcW w:w="1177" w:type="pct"/>
            <w:tcBorders>
              <w:top w:val="single" w:sz="4" w:space="0" w:color="auto"/>
              <w:left w:val="single" w:sz="4" w:space="0" w:color="auto"/>
              <w:bottom w:val="single" w:sz="4" w:space="0" w:color="auto"/>
              <w:right w:val="single" w:sz="4" w:space="0" w:color="auto"/>
            </w:tcBorders>
          </w:tcPr>
          <w:p w14:paraId="14F41A00" w14:textId="77777777" w:rsidR="009F4782" w:rsidRPr="00700B99" w:rsidRDefault="009F4782" w:rsidP="009F4782">
            <w:pPr>
              <w:pStyle w:val="TableText0"/>
              <w:keepNext w:val="0"/>
              <w:widowControl w:val="0"/>
              <w:rPr>
                <w:i/>
              </w:rPr>
            </w:pPr>
            <w:r w:rsidRPr="00700B99">
              <w:rPr>
                <w:b/>
              </w:rPr>
              <w:t>Treatment criteria:</w:t>
            </w:r>
          </w:p>
        </w:tc>
        <w:tc>
          <w:tcPr>
            <w:tcW w:w="3823" w:type="pct"/>
            <w:tcBorders>
              <w:top w:val="single" w:sz="4" w:space="0" w:color="auto"/>
              <w:left w:val="single" w:sz="4" w:space="0" w:color="auto"/>
              <w:bottom w:val="single" w:sz="4" w:space="0" w:color="auto"/>
              <w:right w:val="single" w:sz="4" w:space="0" w:color="auto"/>
            </w:tcBorders>
          </w:tcPr>
          <w:p w14:paraId="73962745" w14:textId="77777777" w:rsidR="009F4782" w:rsidRPr="00700B99" w:rsidRDefault="009F4782" w:rsidP="009F4782">
            <w:pPr>
              <w:pStyle w:val="TableText0"/>
              <w:keepNext w:val="0"/>
              <w:widowControl w:val="0"/>
              <w:rPr>
                <w:rFonts w:cs="Arial"/>
              </w:rPr>
            </w:pPr>
            <w:r w:rsidRPr="00700B99">
              <w:rPr>
                <w:rFonts w:cs="Arial"/>
              </w:rPr>
              <w:t>Patient must be treated by a gastroenterologist or hepatologist or in consultation with a gastroenterologist or hepatologist.</w:t>
            </w:r>
          </w:p>
        </w:tc>
      </w:tr>
      <w:tr w:rsidR="009F4782" w:rsidRPr="00700B99" w14:paraId="3172E985" w14:textId="77777777" w:rsidTr="009F4782">
        <w:trPr>
          <w:cantSplit/>
        </w:trPr>
        <w:tc>
          <w:tcPr>
            <w:tcW w:w="1177" w:type="pct"/>
            <w:tcBorders>
              <w:top w:val="single" w:sz="4" w:space="0" w:color="auto"/>
              <w:left w:val="single" w:sz="4" w:space="0" w:color="auto"/>
              <w:bottom w:val="single" w:sz="4" w:space="0" w:color="auto"/>
              <w:right w:val="single" w:sz="4" w:space="0" w:color="auto"/>
            </w:tcBorders>
          </w:tcPr>
          <w:p w14:paraId="1F02F931" w14:textId="77777777" w:rsidR="009F4782" w:rsidRPr="00700B99" w:rsidRDefault="009F4782" w:rsidP="009F4782">
            <w:pPr>
              <w:pStyle w:val="TableText0"/>
              <w:keepNext w:val="0"/>
              <w:widowControl w:val="0"/>
              <w:rPr>
                <w:i/>
              </w:rPr>
            </w:pPr>
            <w:r w:rsidRPr="00700B99">
              <w:rPr>
                <w:b/>
              </w:rPr>
              <w:t>Clinical criteria:</w:t>
            </w:r>
          </w:p>
        </w:tc>
        <w:tc>
          <w:tcPr>
            <w:tcW w:w="3823" w:type="pct"/>
            <w:tcBorders>
              <w:top w:val="single" w:sz="4" w:space="0" w:color="auto"/>
              <w:left w:val="single" w:sz="4" w:space="0" w:color="auto"/>
              <w:bottom w:val="single" w:sz="4" w:space="0" w:color="auto"/>
              <w:right w:val="single" w:sz="4" w:space="0" w:color="auto"/>
            </w:tcBorders>
          </w:tcPr>
          <w:p w14:paraId="501E8B97" w14:textId="77777777" w:rsidR="009F4782" w:rsidRPr="00700B99" w:rsidRDefault="009F4782" w:rsidP="009F4782">
            <w:pPr>
              <w:widowControl w:val="0"/>
              <w:rPr>
                <w:rFonts w:ascii="Arial Narrow" w:hAnsi="Arial Narrow" w:cs="Times New Roman"/>
                <w:sz w:val="20"/>
              </w:rPr>
            </w:pPr>
            <w:r w:rsidRPr="00700B99">
              <w:rPr>
                <w:rFonts w:ascii="Arial Narrow" w:hAnsi="Arial Narrow"/>
                <w:sz w:val="20"/>
              </w:rPr>
              <w:t xml:space="preserve">Patient must not have severe liver disease, </w:t>
            </w:r>
          </w:p>
          <w:p w14:paraId="3EDE01F0" w14:textId="77777777" w:rsidR="009F4782" w:rsidRPr="00700B99" w:rsidRDefault="009F4782" w:rsidP="009F4782">
            <w:pPr>
              <w:widowControl w:val="0"/>
              <w:rPr>
                <w:rFonts w:ascii="Arial Narrow" w:hAnsi="Arial Narrow"/>
                <w:i/>
                <w:sz w:val="20"/>
              </w:rPr>
            </w:pPr>
            <w:r w:rsidRPr="00700B99">
              <w:rPr>
                <w:rFonts w:ascii="Arial Narrow" w:hAnsi="Arial Narrow"/>
                <w:i/>
                <w:strike/>
                <w:sz w:val="20"/>
              </w:rPr>
              <w:t>OR</w:t>
            </w:r>
            <w:r w:rsidRPr="00700B99">
              <w:rPr>
                <w:rFonts w:ascii="Arial Narrow" w:hAnsi="Arial Narrow"/>
                <w:i/>
                <w:sz w:val="20"/>
              </w:rPr>
              <w:t>AND</w:t>
            </w:r>
          </w:p>
          <w:p w14:paraId="65FD251C" w14:textId="77777777" w:rsidR="009F4782" w:rsidRPr="00700B99" w:rsidRDefault="009F4782" w:rsidP="009F4782">
            <w:pPr>
              <w:widowControl w:val="0"/>
              <w:rPr>
                <w:rFonts w:ascii="Arial Narrow" w:hAnsi="Arial Narrow"/>
                <w:sz w:val="20"/>
              </w:rPr>
            </w:pPr>
            <w:r w:rsidRPr="00700B99">
              <w:rPr>
                <w:rFonts w:ascii="Arial Narrow" w:hAnsi="Arial Narrow"/>
                <w:sz w:val="20"/>
              </w:rPr>
              <w:t xml:space="preserve">Patient must not have immunodeficiency diseases, </w:t>
            </w:r>
          </w:p>
          <w:p w14:paraId="3B85839B" w14:textId="77777777" w:rsidR="009F4782" w:rsidRPr="00700B99" w:rsidRDefault="009F4782" w:rsidP="009F4782">
            <w:pPr>
              <w:widowControl w:val="0"/>
              <w:rPr>
                <w:rFonts w:ascii="Arial Narrow" w:hAnsi="Arial Narrow"/>
                <w:sz w:val="20"/>
              </w:rPr>
            </w:pPr>
            <w:r w:rsidRPr="00700B99">
              <w:rPr>
                <w:rFonts w:ascii="Arial Narrow" w:hAnsi="Arial Narrow"/>
                <w:sz w:val="20"/>
              </w:rPr>
              <w:t>AND</w:t>
            </w:r>
          </w:p>
          <w:p w14:paraId="0C16A262" w14:textId="77777777" w:rsidR="009F4782" w:rsidRPr="00700B99" w:rsidRDefault="009F4782" w:rsidP="009F4782">
            <w:pPr>
              <w:widowControl w:val="0"/>
              <w:rPr>
                <w:rFonts w:ascii="Arial Narrow" w:hAnsi="Arial Narrow"/>
                <w:sz w:val="20"/>
              </w:rPr>
            </w:pPr>
            <w:r w:rsidRPr="00700B99">
              <w:rPr>
                <w:rFonts w:ascii="Arial Narrow" w:hAnsi="Arial Narrow"/>
                <w:sz w:val="20"/>
              </w:rPr>
              <w:t xml:space="preserve">Treatment must be in combination with ursodeoxycholic acid (UDCA) in adults with an inadequate response to UDCA, </w:t>
            </w:r>
          </w:p>
          <w:p w14:paraId="5B60519B" w14:textId="77777777" w:rsidR="009F4782" w:rsidRPr="00700B99" w:rsidRDefault="009F4782" w:rsidP="009F4782">
            <w:pPr>
              <w:widowControl w:val="0"/>
              <w:rPr>
                <w:rFonts w:ascii="Arial Narrow" w:hAnsi="Arial Narrow"/>
                <w:sz w:val="20"/>
              </w:rPr>
            </w:pPr>
            <w:r w:rsidRPr="00700B99">
              <w:rPr>
                <w:rFonts w:ascii="Arial Narrow" w:hAnsi="Arial Narrow"/>
                <w:sz w:val="20"/>
              </w:rPr>
              <w:t>AND</w:t>
            </w:r>
          </w:p>
          <w:p w14:paraId="19279681" w14:textId="77777777" w:rsidR="009F4782" w:rsidRPr="00700B99" w:rsidRDefault="009F4782" w:rsidP="009F4782">
            <w:pPr>
              <w:widowControl w:val="0"/>
              <w:rPr>
                <w:rFonts w:ascii="Arial Narrow" w:hAnsi="Arial Narrow"/>
                <w:sz w:val="20"/>
              </w:rPr>
            </w:pPr>
            <w:r w:rsidRPr="00700B99">
              <w:rPr>
                <w:rFonts w:ascii="Arial Narrow" w:hAnsi="Arial Narrow"/>
                <w:sz w:val="20"/>
              </w:rPr>
              <w:t xml:space="preserve">The patient must have an alkaline phosphatase (ALP) greater than or equal to 1.67 times the upper limit of normal (ULN), </w:t>
            </w:r>
          </w:p>
          <w:p w14:paraId="1EC59B9F" w14:textId="77777777" w:rsidR="009F4782" w:rsidRPr="00700B99" w:rsidRDefault="009F4782" w:rsidP="009F4782">
            <w:pPr>
              <w:widowControl w:val="0"/>
              <w:rPr>
                <w:rFonts w:ascii="Arial Narrow" w:hAnsi="Arial Narrow"/>
                <w:sz w:val="20"/>
              </w:rPr>
            </w:pPr>
            <w:r w:rsidRPr="00700B99">
              <w:rPr>
                <w:rFonts w:ascii="Arial Narrow" w:hAnsi="Arial Narrow"/>
                <w:sz w:val="20"/>
              </w:rPr>
              <w:t>AND/OR</w:t>
            </w:r>
          </w:p>
          <w:p w14:paraId="1DEFE48D" w14:textId="77777777" w:rsidR="009F4782" w:rsidRPr="00700B99" w:rsidRDefault="009F4782" w:rsidP="009F4782">
            <w:pPr>
              <w:widowControl w:val="0"/>
              <w:rPr>
                <w:rFonts w:ascii="Arial Narrow" w:hAnsi="Arial Narrow"/>
                <w:sz w:val="20"/>
              </w:rPr>
            </w:pPr>
            <w:r w:rsidRPr="00700B99">
              <w:rPr>
                <w:rFonts w:ascii="Arial Narrow" w:hAnsi="Arial Narrow"/>
                <w:sz w:val="20"/>
              </w:rPr>
              <w:t xml:space="preserve">Patient must have a total bilirubin &gt; 1x ULN but &lt; 2x the ULN, </w:t>
            </w:r>
          </w:p>
          <w:p w14:paraId="171FBB22" w14:textId="77777777" w:rsidR="009F4782" w:rsidRPr="00700B99" w:rsidRDefault="009F4782" w:rsidP="009F4782">
            <w:pPr>
              <w:widowControl w:val="0"/>
              <w:rPr>
                <w:rFonts w:ascii="Arial Narrow" w:hAnsi="Arial Narrow"/>
                <w:sz w:val="20"/>
              </w:rPr>
            </w:pPr>
            <w:r w:rsidRPr="00700B99">
              <w:rPr>
                <w:rFonts w:ascii="Arial Narrow" w:hAnsi="Arial Narrow"/>
                <w:sz w:val="20"/>
              </w:rPr>
              <w:t>OR</w:t>
            </w:r>
          </w:p>
          <w:p w14:paraId="375ACCE3" w14:textId="77777777" w:rsidR="009F4782" w:rsidRPr="00700B99" w:rsidRDefault="009F4782" w:rsidP="009F4782">
            <w:pPr>
              <w:pStyle w:val="TableText0"/>
              <w:keepNext w:val="0"/>
              <w:widowControl w:val="0"/>
              <w:rPr>
                <w:rFonts w:cs="Arial"/>
              </w:rPr>
            </w:pPr>
            <w:r w:rsidRPr="00700B99">
              <w:t>Treatment must be as monotherapy, in adults unable to tolerate UDCA, due to severe side effects.</w:t>
            </w:r>
          </w:p>
        </w:tc>
      </w:tr>
      <w:tr w:rsidR="009F4782" w:rsidRPr="00700B99" w14:paraId="347CE1B4" w14:textId="77777777" w:rsidTr="009F4782">
        <w:trPr>
          <w:cantSplit/>
        </w:trPr>
        <w:tc>
          <w:tcPr>
            <w:tcW w:w="1177" w:type="pct"/>
            <w:tcBorders>
              <w:top w:val="single" w:sz="4" w:space="0" w:color="auto"/>
              <w:left w:val="single" w:sz="4" w:space="0" w:color="auto"/>
              <w:bottom w:val="single" w:sz="4" w:space="0" w:color="auto"/>
              <w:right w:val="single" w:sz="4" w:space="0" w:color="auto"/>
            </w:tcBorders>
          </w:tcPr>
          <w:p w14:paraId="207570FB" w14:textId="77777777" w:rsidR="009F4782" w:rsidRPr="00700B99" w:rsidRDefault="009F4782" w:rsidP="009F4782">
            <w:pPr>
              <w:pStyle w:val="TableText0"/>
              <w:keepNext w:val="0"/>
              <w:widowControl w:val="0"/>
              <w:rPr>
                <w:b/>
              </w:rPr>
            </w:pPr>
            <w:r w:rsidRPr="00700B99">
              <w:rPr>
                <w:b/>
              </w:rPr>
              <w:t>Prescriber Instructions:</w:t>
            </w:r>
          </w:p>
        </w:tc>
        <w:tc>
          <w:tcPr>
            <w:tcW w:w="3823" w:type="pct"/>
            <w:tcBorders>
              <w:top w:val="single" w:sz="4" w:space="0" w:color="auto"/>
              <w:left w:val="single" w:sz="4" w:space="0" w:color="auto"/>
              <w:bottom w:val="single" w:sz="4" w:space="0" w:color="auto"/>
              <w:right w:val="single" w:sz="4" w:space="0" w:color="auto"/>
            </w:tcBorders>
          </w:tcPr>
          <w:p w14:paraId="547C029B" w14:textId="77777777" w:rsidR="009F4782" w:rsidRPr="00700B99" w:rsidRDefault="009F4782" w:rsidP="009F4782">
            <w:pPr>
              <w:pStyle w:val="TableText0"/>
              <w:keepNext w:val="0"/>
              <w:widowControl w:val="0"/>
            </w:pPr>
            <w:r w:rsidRPr="00700B99">
              <w:rPr>
                <w:rFonts w:cs="Arial"/>
              </w:rPr>
              <w:t>Severe side effects of UDCA therapy include diarrhoea, upper abdominal pain, decompensation of hepatic cirrhosis, calcification of gallstones, allergic reactions or urticaria.</w:t>
            </w:r>
          </w:p>
        </w:tc>
      </w:tr>
      <w:tr w:rsidR="009F4782" w:rsidRPr="00700B99" w14:paraId="5AE57907" w14:textId="77777777" w:rsidTr="009F4782">
        <w:trPr>
          <w:cantSplit/>
        </w:trPr>
        <w:tc>
          <w:tcPr>
            <w:tcW w:w="1177" w:type="pct"/>
            <w:tcBorders>
              <w:top w:val="single" w:sz="4" w:space="0" w:color="auto"/>
              <w:left w:val="single" w:sz="4" w:space="0" w:color="auto"/>
              <w:bottom w:val="single" w:sz="4" w:space="0" w:color="auto"/>
              <w:right w:val="single" w:sz="4" w:space="0" w:color="auto"/>
            </w:tcBorders>
          </w:tcPr>
          <w:p w14:paraId="35EB97B9" w14:textId="77777777" w:rsidR="009F4782" w:rsidRPr="00700B99" w:rsidRDefault="009F4782" w:rsidP="009F4782">
            <w:pPr>
              <w:pStyle w:val="TableText0"/>
              <w:keepNext w:val="0"/>
              <w:widowControl w:val="0"/>
              <w:rPr>
                <w:b/>
              </w:rPr>
            </w:pPr>
            <w:r w:rsidRPr="00700B99">
              <w:rPr>
                <w:b/>
              </w:rPr>
              <w:t>Administrative Advice:</w:t>
            </w:r>
          </w:p>
        </w:tc>
        <w:tc>
          <w:tcPr>
            <w:tcW w:w="3823" w:type="pct"/>
            <w:tcBorders>
              <w:top w:val="single" w:sz="4" w:space="0" w:color="auto"/>
              <w:left w:val="single" w:sz="4" w:space="0" w:color="auto"/>
              <w:bottom w:val="single" w:sz="4" w:space="0" w:color="auto"/>
              <w:right w:val="single" w:sz="4" w:space="0" w:color="auto"/>
            </w:tcBorders>
          </w:tcPr>
          <w:p w14:paraId="2A286C2D" w14:textId="77777777" w:rsidR="009F4782" w:rsidRPr="00700B99" w:rsidRDefault="009F4782" w:rsidP="009F4782">
            <w:pPr>
              <w:widowControl w:val="0"/>
              <w:rPr>
                <w:rFonts w:ascii="Arial Narrow" w:hAnsi="Arial Narrow"/>
                <w:sz w:val="20"/>
              </w:rPr>
            </w:pPr>
            <w:r w:rsidRPr="00700B99">
              <w:rPr>
                <w:rFonts w:ascii="Arial Narrow" w:hAnsi="Arial Narrow"/>
                <w:sz w:val="20"/>
              </w:rPr>
              <w:t>Not for use in the treatment of sclerosing cholangitis or cholelithiasis.</w:t>
            </w:r>
          </w:p>
          <w:p w14:paraId="6BCAB743" w14:textId="77777777" w:rsidR="009F4782" w:rsidRPr="00700B99" w:rsidRDefault="009F4782" w:rsidP="009F4782">
            <w:pPr>
              <w:pStyle w:val="TableText0"/>
              <w:keepNext w:val="0"/>
              <w:widowControl w:val="0"/>
            </w:pPr>
            <w:r w:rsidRPr="00700B99">
              <w:rPr>
                <w:rFonts w:cs="Arial"/>
              </w:rPr>
              <w:t>Special pricing arrangements apply</w:t>
            </w:r>
          </w:p>
        </w:tc>
      </w:tr>
    </w:tbl>
    <w:p w14:paraId="3060ECC4" w14:textId="77777777" w:rsidR="009F4782" w:rsidRPr="00700B99" w:rsidRDefault="009F4782" w:rsidP="009F4782">
      <w:pPr>
        <w:pStyle w:val="TableFigureFooter"/>
      </w:pPr>
      <w:r w:rsidRPr="00700B99">
        <w:t>Source:</w:t>
      </w:r>
      <w:r>
        <w:t xml:space="preserve"> </w:t>
      </w:r>
      <w:r w:rsidRPr="00700B99">
        <w:t xml:space="preserve">p37-38 of the resubmission. </w:t>
      </w:r>
    </w:p>
    <w:p w14:paraId="1167F246" w14:textId="77777777" w:rsidR="009F4782" w:rsidRDefault="009F4782" w:rsidP="009F4782"/>
    <w:p w14:paraId="559328F5" w14:textId="77777777" w:rsidR="00523A93" w:rsidRDefault="00523A93">
      <w:r>
        <w:br w:type="page"/>
      </w:r>
    </w:p>
    <w:tbl>
      <w:tblPr>
        <w:tblW w:w="0" w:type="auto"/>
        <w:tblInd w:w="-5" w:type="dxa"/>
        <w:tblLook w:val="04A0" w:firstRow="1" w:lastRow="0" w:firstColumn="1" w:lastColumn="0" w:noHBand="0" w:noVBand="1"/>
      </w:tblPr>
      <w:tblGrid>
        <w:gridCol w:w="2127"/>
        <w:gridCol w:w="6895"/>
      </w:tblGrid>
      <w:tr w:rsidR="009F4782" w:rsidRPr="00700B99" w14:paraId="66AF0550" w14:textId="77777777" w:rsidTr="009F4782">
        <w:trPr>
          <w:cantSplit/>
          <w:trHeight w:val="60"/>
        </w:trPr>
        <w:tc>
          <w:tcPr>
            <w:tcW w:w="2127" w:type="dxa"/>
            <w:tcBorders>
              <w:top w:val="single" w:sz="4" w:space="0" w:color="auto"/>
              <w:left w:val="single" w:sz="4" w:space="0" w:color="auto"/>
              <w:bottom w:val="single" w:sz="4" w:space="0" w:color="auto"/>
              <w:right w:val="single" w:sz="4" w:space="0" w:color="auto"/>
            </w:tcBorders>
            <w:vAlign w:val="center"/>
            <w:hideMark/>
          </w:tcPr>
          <w:p w14:paraId="5BC61D74" w14:textId="4FCBB95E" w:rsidR="009F4782" w:rsidRPr="00700B99" w:rsidRDefault="009F4782" w:rsidP="009F4782">
            <w:pPr>
              <w:spacing w:line="256" w:lineRule="auto"/>
              <w:rPr>
                <w:rFonts w:ascii="Arial Narrow" w:hAnsi="Arial Narrow"/>
                <w:b/>
                <w:sz w:val="20"/>
              </w:rPr>
            </w:pPr>
            <w:r w:rsidRPr="00700B99">
              <w:rPr>
                <w:rFonts w:ascii="Arial Narrow" w:hAnsi="Arial Narrow"/>
                <w:b/>
                <w:sz w:val="20"/>
              </w:rPr>
              <w:lastRenderedPageBreak/>
              <w:t>Category/Program</w:t>
            </w:r>
          </w:p>
        </w:tc>
        <w:tc>
          <w:tcPr>
            <w:tcW w:w="6895" w:type="dxa"/>
            <w:tcBorders>
              <w:top w:val="single" w:sz="4" w:space="0" w:color="auto"/>
              <w:left w:val="single" w:sz="4" w:space="0" w:color="auto"/>
              <w:bottom w:val="single" w:sz="4" w:space="0" w:color="auto"/>
              <w:right w:val="single" w:sz="4" w:space="0" w:color="auto"/>
            </w:tcBorders>
            <w:vAlign w:val="center"/>
            <w:hideMark/>
          </w:tcPr>
          <w:p w14:paraId="5A64C38E" w14:textId="77777777" w:rsidR="009F4782" w:rsidRPr="00700B99" w:rsidRDefault="009F4782" w:rsidP="009F4782">
            <w:pPr>
              <w:spacing w:line="256" w:lineRule="auto"/>
              <w:rPr>
                <w:rFonts w:ascii="Arial Narrow" w:hAnsi="Arial Narrow" w:cs="Times New Roman"/>
                <w:sz w:val="20"/>
              </w:rPr>
            </w:pPr>
            <w:r w:rsidRPr="00700B99">
              <w:rPr>
                <w:rFonts w:ascii="Arial Narrow" w:hAnsi="Arial Narrow"/>
                <w:sz w:val="20"/>
              </w:rPr>
              <w:t>Section 85 (general schedule)</w:t>
            </w:r>
          </w:p>
        </w:tc>
      </w:tr>
      <w:tr w:rsidR="009F4782" w:rsidRPr="00700B99" w14:paraId="1ECA209B" w14:textId="77777777" w:rsidTr="009F4782">
        <w:trPr>
          <w:cantSplit/>
          <w:trHeight w:val="80"/>
        </w:trPr>
        <w:tc>
          <w:tcPr>
            <w:tcW w:w="2127" w:type="dxa"/>
            <w:tcBorders>
              <w:top w:val="single" w:sz="4" w:space="0" w:color="auto"/>
              <w:left w:val="single" w:sz="4" w:space="0" w:color="auto"/>
              <w:bottom w:val="single" w:sz="4" w:space="0" w:color="auto"/>
              <w:right w:val="single" w:sz="4" w:space="0" w:color="auto"/>
            </w:tcBorders>
            <w:vAlign w:val="center"/>
            <w:hideMark/>
          </w:tcPr>
          <w:p w14:paraId="636BA906" w14:textId="77777777" w:rsidR="009F4782" w:rsidRPr="00700B99" w:rsidRDefault="009F4782" w:rsidP="009F4782">
            <w:pPr>
              <w:spacing w:line="256" w:lineRule="auto"/>
              <w:rPr>
                <w:rFonts w:ascii="Arial Narrow" w:hAnsi="Arial Narrow"/>
                <w:b/>
                <w:sz w:val="20"/>
              </w:rPr>
            </w:pPr>
            <w:r w:rsidRPr="00700B99">
              <w:rPr>
                <w:rFonts w:ascii="Arial Narrow" w:hAnsi="Arial Narrow"/>
                <w:b/>
                <w:sz w:val="20"/>
              </w:rPr>
              <w:t>Prescriber type:</w:t>
            </w:r>
          </w:p>
        </w:tc>
        <w:tc>
          <w:tcPr>
            <w:tcW w:w="6895" w:type="dxa"/>
            <w:tcBorders>
              <w:top w:val="single" w:sz="4" w:space="0" w:color="auto"/>
              <w:left w:val="single" w:sz="4" w:space="0" w:color="auto"/>
              <w:bottom w:val="single" w:sz="4" w:space="0" w:color="auto"/>
              <w:right w:val="single" w:sz="4" w:space="0" w:color="auto"/>
            </w:tcBorders>
            <w:vAlign w:val="center"/>
            <w:hideMark/>
          </w:tcPr>
          <w:p w14:paraId="344038A7" w14:textId="77777777" w:rsidR="009F4782" w:rsidRPr="00700B99" w:rsidRDefault="009F4782" w:rsidP="009F4782">
            <w:pPr>
              <w:spacing w:line="256" w:lineRule="auto"/>
              <w:rPr>
                <w:rFonts w:ascii="Arial Narrow" w:hAnsi="Arial Narrow"/>
                <w:sz w:val="20"/>
              </w:rPr>
            </w:pPr>
            <w:r w:rsidRPr="00700B99">
              <w:rPr>
                <w:rFonts w:ascii="Arial Narrow" w:hAnsi="Arial Narrow"/>
                <w:sz w:val="20"/>
              </w:rPr>
              <w:t xml:space="preserve">Dental  </w:t>
            </w:r>
            <w:r w:rsidRPr="00700B99">
              <w:rPr>
                <w:rFonts w:ascii="Arial Narrow" w:hAnsi="Arial Narrow"/>
                <w:sz w:val="20"/>
              </w:rPr>
              <w:fldChar w:fldCharType="begin">
                <w:ffData>
                  <w:name w:val=""/>
                  <w:enabled/>
                  <w:calcOnExit w:val="0"/>
                  <w:checkBox>
                    <w:sizeAuto/>
                    <w:default w:val="1"/>
                  </w:checkBox>
                </w:ffData>
              </w:fldChar>
            </w:r>
            <w:r w:rsidRPr="00700B99">
              <w:rPr>
                <w:rFonts w:ascii="Arial Narrow" w:hAnsi="Arial Narrow"/>
                <w:sz w:val="20"/>
              </w:rPr>
              <w:instrText xml:space="preserve"> FORMCHECKBOX </w:instrText>
            </w:r>
            <w:r w:rsidR="00523A93">
              <w:rPr>
                <w:rFonts w:ascii="Arial Narrow" w:hAnsi="Arial Narrow"/>
                <w:sz w:val="20"/>
              </w:rPr>
            </w:r>
            <w:r w:rsidR="00523A93">
              <w:rPr>
                <w:rFonts w:ascii="Arial Narrow" w:hAnsi="Arial Narrow"/>
                <w:sz w:val="20"/>
              </w:rPr>
              <w:fldChar w:fldCharType="separate"/>
            </w:r>
            <w:r w:rsidRPr="00700B99">
              <w:rPr>
                <w:rFonts w:ascii="Arial Narrow" w:hAnsi="Arial Narrow"/>
                <w:sz w:val="20"/>
              </w:rPr>
              <w:fldChar w:fldCharType="end"/>
            </w:r>
            <w:r w:rsidRPr="00700B99">
              <w:rPr>
                <w:rFonts w:ascii="Arial Narrow" w:hAnsi="Arial Narrow"/>
                <w:sz w:val="20"/>
              </w:rPr>
              <w:t xml:space="preserve">Medical Practitioners  </w:t>
            </w:r>
            <w:r w:rsidRPr="00700B99">
              <w:rPr>
                <w:rFonts w:ascii="Arial Narrow" w:hAnsi="Arial Narrow"/>
                <w:sz w:val="20"/>
              </w:rPr>
              <w:fldChar w:fldCharType="begin">
                <w:ffData>
                  <w:name w:val="Check3"/>
                  <w:enabled/>
                  <w:calcOnExit w:val="0"/>
                  <w:checkBox>
                    <w:sizeAuto/>
                    <w:default w:val="1"/>
                  </w:checkBox>
                </w:ffData>
              </w:fldChar>
            </w:r>
            <w:r w:rsidRPr="00700B99">
              <w:rPr>
                <w:rFonts w:ascii="Arial Narrow" w:hAnsi="Arial Narrow"/>
                <w:sz w:val="20"/>
              </w:rPr>
              <w:instrText xml:space="preserve"> FORMCHECKBOX </w:instrText>
            </w:r>
            <w:r w:rsidR="00523A93">
              <w:rPr>
                <w:rFonts w:ascii="Arial Narrow" w:hAnsi="Arial Narrow"/>
                <w:sz w:val="20"/>
              </w:rPr>
            </w:r>
            <w:r w:rsidR="00523A93">
              <w:rPr>
                <w:rFonts w:ascii="Arial Narrow" w:hAnsi="Arial Narrow"/>
                <w:sz w:val="20"/>
              </w:rPr>
              <w:fldChar w:fldCharType="separate"/>
            </w:r>
            <w:r w:rsidRPr="00700B99">
              <w:rPr>
                <w:rFonts w:ascii="Times New Roman" w:hAnsi="Times New Roman" w:cs="Times New Roman"/>
                <w:lang w:eastAsia="en-GB"/>
              </w:rPr>
              <w:fldChar w:fldCharType="end"/>
            </w:r>
            <w:r w:rsidRPr="00700B99">
              <w:rPr>
                <w:rFonts w:ascii="Arial Narrow" w:hAnsi="Arial Narrow"/>
                <w:sz w:val="20"/>
              </w:rPr>
              <w:t xml:space="preserve">Nurse practitioners  </w:t>
            </w:r>
            <w:r w:rsidRPr="00700B99">
              <w:rPr>
                <w:rFonts w:ascii="Arial Narrow" w:hAnsi="Arial Narrow"/>
                <w:sz w:val="20"/>
              </w:rPr>
              <w:fldChar w:fldCharType="begin">
                <w:ffData>
                  <w:name w:val=""/>
                  <w:enabled/>
                  <w:calcOnExit w:val="0"/>
                  <w:checkBox>
                    <w:sizeAuto/>
                    <w:default w:val="0"/>
                  </w:checkBox>
                </w:ffData>
              </w:fldChar>
            </w:r>
            <w:r w:rsidRPr="00700B99">
              <w:rPr>
                <w:rFonts w:ascii="Arial Narrow" w:hAnsi="Arial Narrow"/>
                <w:sz w:val="20"/>
              </w:rPr>
              <w:instrText xml:space="preserve"> FORMCHECKBOX </w:instrText>
            </w:r>
            <w:r w:rsidR="00523A93">
              <w:rPr>
                <w:rFonts w:ascii="Arial Narrow" w:hAnsi="Arial Narrow"/>
                <w:sz w:val="20"/>
              </w:rPr>
            </w:r>
            <w:r w:rsidR="00523A93">
              <w:rPr>
                <w:rFonts w:ascii="Arial Narrow" w:hAnsi="Arial Narrow"/>
                <w:sz w:val="20"/>
              </w:rPr>
              <w:fldChar w:fldCharType="separate"/>
            </w:r>
            <w:r w:rsidRPr="00700B99">
              <w:rPr>
                <w:rFonts w:ascii="Arial Narrow" w:hAnsi="Arial Narrow"/>
                <w:sz w:val="20"/>
              </w:rPr>
              <w:fldChar w:fldCharType="end"/>
            </w:r>
            <w:r w:rsidRPr="00700B99">
              <w:rPr>
                <w:rFonts w:ascii="Arial Narrow" w:hAnsi="Arial Narrow"/>
                <w:sz w:val="20"/>
              </w:rPr>
              <w:t>Optometrists</w:t>
            </w:r>
            <w:r>
              <w:rPr>
                <w:rFonts w:ascii="Arial Narrow" w:hAnsi="Arial Narrow"/>
                <w:sz w:val="20"/>
              </w:rPr>
              <w:t xml:space="preserve"> </w:t>
            </w:r>
            <w:r w:rsidRPr="00700B99">
              <w:rPr>
                <w:rFonts w:ascii="Arial Narrow" w:hAnsi="Arial Narrow"/>
                <w:sz w:val="20"/>
              </w:rPr>
              <w:fldChar w:fldCharType="begin">
                <w:ffData>
                  <w:name w:val="Check5"/>
                  <w:enabled/>
                  <w:calcOnExit w:val="0"/>
                  <w:checkBox>
                    <w:sizeAuto/>
                    <w:default w:val="0"/>
                  </w:checkBox>
                </w:ffData>
              </w:fldChar>
            </w:r>
            <w:r w:rsidRPr="00700B99">
              <w:rPr>
                <w:rFonts w:ascii="Arial Narrow" w:hAnsi="Arial Narrow"/>
                <w:sz w:val="20"/>
              </w:rPr>
              <w:instrText xml:space="preserve"> FORMCHECKBOX </w:instrText>
            </w:r>
            <w:r w:rsidR="00523A93">
              <w:rPr>
                <w:rFonts w:ascii="Arial Narrow" w:hAnsi="Arial Narrow"/>
                <w:sz w:val="20"/>
              </w:rPr>
            </w:r>
            <w:r w:rsidR="00523A93">
              <w:rPr>
                <w:rFonts w:ascii="Arial Narrow" w:hAnsi="Arial Narrow"/>
                <w:sz w:val="20"/>
              </w:rPr>
              <w:fldChar w:fldCharType="separate"/>
            </w:r>
            <w:r w:rsidRPr="00700B99">
              <w:rPr>
                <w:rFonts w:ascii="Arial Narrow" w:hAnsi="Arial Narrow"/>
                <w:sz w:val="20"/>
              </w:rPr>
              <w:fldChar w:fldCharType="end"/>
            </w:r>
            <w:r w:rsidRPr="00700B99">
              <w:rPr>
                <w:rFonts w:ascii="Arial Narrow" w:hAnsi="Arial Narrow"/>
                <w:sz w:val="20"/>
              </w:rPr>
              <w:t>Midwives</w:t>
            </w:r>
          </w:p>
        </w:tc>
      </w:tr>
      <w:tr w:rsidR="009F4782" w:rsidRPr="00700B99" w14:paraId="7B53F574" w14:textId="77777777" w:rsidTr="009F4782">
        <w:trPr>
          <w:cantSplit/>
          <w:trHeight w:val="87"/>
        </w:trPr>
        <w:tc>
          <w:tcPr>
            <w:tcW w:w="2127" w:type="dxa"/>
            <w:tcBorders>
              <w:top w:val="single" w:sz="4" w:space="0" w:color="auto"/>
              <w:left w:val="single" w:sz="4" w:space="0" w:color="auto"/>
              <w:bottom w:val="single" w:sz="4" w:space="0" w:color="auto"/>
              <w:right w:val="single" w:sz="4" w:space="0" w:color="auto"/>
            </w:tcBorders>
            <w:vAlign w:val="center"/>
            <w:hideMark/>
          </w:tcPr>
          <w:p w14:paraId="4B51AE27" w14:textId="77777777" w:rsidR="009F4782" w:rsidRPr="00700B99" w:rsidRDefault="009F4782" w:rsidP="009F4782">
            <w:pPr>
              <w:spacing w:line="256" w:lineRule="auto"/>
              <w:rPr>
                <w:rFonts w:ascii="Arial Narrow" w:hAnsi="Arial Narrow"/>
                <w:b/>
                <w:sz w:val="20"/>
              </w:rPr>
            </w:pPr>
            <w:r w:rsidRPr="00700B99">
              <w:rPr>
                <w:rFonts w:ascii="Arial Narrow" w:hAnsi="Arial Narrow"/>
                <w:b/>
                <w:sz w:val="20"/>
              </w:rPr>
              <w:t>Condition:</w:t>
            </w:r>
          </w:p>
        </w:tc>
        <w:tc>
          <w:tcPr>
            <w:tcW w:w="6895" w:type="dxa"/>
            <w:tcBorders>
              <w:top w:val="single" w:sz="4" w:space="0" w:color="auto"/>
              <w:left w:val="single" w:sz="4" w:space="0" w:color="auto"/>
              <w:bottom w:val="single" w:sz="4" w:space="0" w:color="auto"/>
              <w:right w:val="single" w:sz="4" w:space="0" w:color="auto"/>
            </w:tcBorders>
            <w:vAlign w:val="center"/>
            <w:hideMark/>
          </w:tcPr>
          <w:p w14:paraId="1792F1D3" w14:textId="77777777" w:rsidR="009F4782" w:rsidRPr="00700B99" w:rsidRDefault="009F4782" w:rsidP="009F4782">
            <w:pPr>
              <w:spacing w:line="256" w:lineRule="auto"/>
              <w:rPr>
                <w:rFonts w:ascii="Arial Narrow" w:hAnsi="Arial Narrow" w:cs="Times New Roman"/>
                <w:sz w:val="20"/>
              </w:rPr>
            </w:pPr>
            <w:r w:rsidRPr="00700B99">
              <w:rPr>
                <w:rFonts w:ascii="Arial Narrow" w:hAnsi="Arial Narrow"/>
                <w:sz w:val="20"/>
              </w:rPr>
              <w:t xml:space="preserve">Primary biliary cholangitis </w:t>
            </w:r>
          </w:p>
        </w:tc>
      </w:tr>
      <w:tr w:rsidR="009F4782" w:rsidRPr="00700B99" w14:paraId="102ABBAC" w14:textId="77777777" w:rsidTr="009F4782">
        <w:trPr>
          <w:cantSplit/>
          <w:trHeight w:val="60"/>
        </w:trPr>
        <w:tc>
          <w:tcPr>
            <w:tcW w:w="2127" w:type="dxa"/>
            <w:tcBorders>
              <w:top w:val="single" w:sz="4" w:space="0" w:color="auto"/>
              <w:left w:val="single" w:sz="4" w:space="0" w:color="auto"/>
              <w:bottom w:val="single" w:sz="4" w:space="0" w:color="auto"/>
              <w:right w:val="single" w:sz="4" w:space="0" w:color="auto"/>
            </w:tcBorders>
            <w:vAlign w:val="center"/>
            <w:hideMark/>
          </w:tcPr>
          <w:p w14:paraId="5EFC601F" w14:textId="77777777" w:rsidR="009F4782" w:rsidRPr="00700B99" w:rsidRDefault="009F4782" w:rsidP="009F4782">
            <w:pPr>
              <w:spacing w:line="256" w:lineRule="auto"/>
              <w:rPr>
                <w:rFonts w:ascii="Arial Narrow" w:hAnsi="Arial Narrow"/>
                <w:b/>
                <w:sz w:val="20"/>
              </w:rPr>
            </w:pPr>
            <w:r w:rsidRPr="00700B99">
              <w:rPr>
                <w:rFonts w:ascii="Arial Narrow" w:hAnsi="Arial Narrow"/>
                <w:b/>
                <w:sz w:val="20"/>
              </w:rPr>
              <w:t>PBS Indication:</w:t>
            </w:r>
          </w:p>
        </w:tc>
        <w:tc>
          <w:tcPr>
            <w:tcW w:w="6895" w:type="dxa"/>
            <w:tcBorders>
              <w:top w:val="single" w:sz="4" w:space="0" w:color="auto"/>
              <w:left w:val="single" w:sz="4" w:space="0" w:color="auto"/>
              <w:bottom w:val="single" w:sz="4" w:space="0" w:color="auto"/>
              <w:right w:val="single" w:sz="4" w:space="0" w:color="auto"/>
            </w:tcBorders>
            <w:vAlign w:val="center"/>
            <w:hideMark/>
          </w:tcPr>
          <w:p w14:paraId="13005E34" w14:textId="77777777" w:rsidR="009F4782" w:rsidRPr="00700B99" w:rsidRDefault="009F4782" w:rsidP="009F4782">
            <w:pPr>
              <w:spacing w:line="256" w:lineRule="auto"/>
              <w:rPr>
                <w:rFonts w:ascii="Arial Narrow" w:hAnsi="Arial Narrow" w:cs="Times New Roman"/>
                <w:sz w:val="20"/>
              </w:rPr>
            </w:pPr>
            <w:r w:rsidRPr="00700B99">
              <w:rPr>
                <w:rFonts w:ascii="Arial Narrow" w:hAnsi="Arial Narrow"/>
                <w:sz w:val="20"/>
              </w:rPr>
              <w:t>Primary biliary cholangitis</w:t>
            </w:r>
          </w:p>
        </w:tc>
      </w:tr>
      <w:tr w:rsidR="009F4782" w:rsidRPr="00700B99" w14:paraId="5A9B507F" w14:textId="77777777" w:rsidTr="009F4782">
        <w:trPr>
          <w:cantSplit/>
          <w:trHeight w:val="60"/>
        </w:trPr>
        <w:tc>
          <w:tcPr>
            <w:tcW w:w="2127" w:type="dxa"/>
            <w:tcBorders>
              <w:top w:val="single" w:sz="4" w:space="0" w:color="auto"/>
              <w:left w:val="single" w:sz="4" w:space="0" w:color="auto"/>
              <w:bottom w:val="single" w:sz="4" w:space="0" w:color="auto"/>
              <w:right w:val="single" w:sz="4" w:space="0" w:color="auto"/>
            </w:tcBorders>
            <w:vAlign w:val="center"/>
            <w:hideMark/>
          </w:tcPr>
          <w:p w14:paraId="526E7399" w14:textId="77777777" w:rsidR="009F4782" w:rsidRPr="00700B99" w:rsidRDefault="009F4782" w:rsidP="009F4782">
            <w:pPr>
              <w:spacing w:line="256" w:lineRule="auto"/>
              <w:rPr>
                <w:rFonts w:ascii="Arial Narrow" w:hAnsi="Arial Narrow"/>
                <w:b/>
                <w:sz w:val="20"/>
              </w:rPr>
            </w:pPr>
            <w:r w:rsidRPr="00700B99">
              <w:rPr>
                <w:rFonts w:ascii="Arial Narrow" w:hAnsi="Arial Narrow"/>
                <w:b/>
                <w:sz w:val="20"/>
              </w:rPr>
              <w:t>Treatment phase:</w:t>
            </w:r>
          </w:p>
        </w:tc>
        <w:tc>
          <w:tcPr>
            <w:tcW w:w="6895" w:type="dxa"/>
            <w:tcBorders>
              <w:top w:val="single" w:sz="4" w:space="0" w:color="auto"/>
              <w:left w:val="single" w:sz="4" w:space="0" w:color="auto"/>
              <w:bottom w:val="single" w:sz="4" w:space="0" w:color="auto"/>
              <w:right w:val="single" w:sz="4" w:space="0" w:color="auto"/>
            </w:tcBorders>
            <w:vAlign w:val="center"/>
            <w:hideMark/>
          </w:tcPr>
          <w:p w14:paraId="7255A4AC" w14:textId="77777777" w:rsidR="009F4782" w:rsidRPr="00700B99" w:rsidRDefault="009F4782" w:rsidP="009F4782">
            <w:pPr>
              <w:spacing w:line="256" w:lineRule="auto"/>
              <w:rPr>
                <w:rFonts w:ascii="Arial Narrow" w:hAnsi="Arial Narrow" w:cs="Times New Roman"/>
                <w:sz w:val="20"/>
              </w:rPr>
            </w:pPr>
            <w:r w:rsidRPr="00700B99">
              <w:rPr>
                <w:rFonts w:ascii="Arial Narrow" w:hAnsi="Arial Narrow"/>
                <w:sz w:val="20"/>
              </w:rPr>
              <w:t>Continuing treatment</w:t>
            </w:r>
          </w:p>
        </w:tc>
      </w:tr>
      <w:tr w:rsidR="009F4782" w:rsidRPr="00700B99" w14:paraId="017E1156" w14:textId="77777777" w:rsidTr="009F4782">
        <w:trPr>
          <w:cantSplit/>
          <w:trHeight w:val="371"/>
        </w:trPr>
        <w:tc>
          <w:tcPr>
            <w:tcW w:w="2127" w:type="dxa"/>
            <w:tcBorders>
              <w:top w:val="single" w:sz="4" w:space="0" w:color="auto"/>
              <w:left w:val="single" w:sz="4" w:space="0" w:color="auto"/>
              <w:bottom w:val="single" w:sz="4" w:space="0" w:color="auto"/>
              <w:right w:val="single" w:sz="4" w:space="0" w:color="auto"/>
            </w:tcBorders>
            <w:vAlign w:val="center"/>
            <w:hideMark/>
          </w:tcPr>
          <w:p w14:paraId="136BF547" w14:textId="77777777" w:rsidR="009F4782" w:rsidRPr="00700B99" w:rsidRDefault="009F4782" w:rsidP="009F4782">
            <w:pPr>
              <w:spacing w:line="256" w:lineRule="auto"/>
              <w:rPr>
                <w:rFonts w:ascii="Arial Narrow" w:hAnsi="Arial Narrow"/>
                <w:b/>
                <w:sz w:val="20"/>
              </w:rPr>
            </w:pPr>
            <w:r w:rsidRPr="00700B99">
              <w:rPr>
                <w:rFonts w:ascii="Arial Narrow" w:hAnsi="Arial Narrow"/>
                <w:b/>
                <w:sz w:val="20"/>
              </w:rPr>
              <w:t>Restriction:</w:t>
            </w:r>
          </w:p>
        </w:tc>
        <w:tc>
          <w:tcPr>
            <w:tcW w:w="6895" w:type="dxa"/>
            <w:tcBorders>
              <w:top w:val="single" w:sz="4" w:space="0" w:color="auto"/>
              <w:left w:val="single" w:sz="4" w:space="0" w:color="auto"/>
              <w:bottom w:val="single" w:sz="4" w:space="0" w:color="auto"/>
              <w:right w:val="single" w:sz="4" w:space="0" w:color="auto"/>
            </w:tcBorders>
            <w:vAlign w:val="center"/>
            <w:hideMark/>
          </w:tcPr>
          <w:p w14:paraId="2FAD4FCE" w14:textId="77777777" w:rsidR="009F4782" w:rsidRPr="00700B99" w:rsidRDefault="009F4782" w:rsidP="009F4782">
            <w:pPr>
              <w:spacing w:line="256" w:lineRule="auto"/>
              <w:rPr>
                <w:rFonts w:ascii="Arial Narrow" w:hAnsi="Arial Narrow"/>
                <w:sz w:val="20"/>
              </w:rPr>
            </w:pPr>
            <w:r w:rsidRPr="00700B99">
              <w:rPr>
                <w:rFonts w:ascii="Arial Narrow" w:hAnsi="Arial Narrow"/>
                <w:sz w:val="20"/>
              </w:rPr>
              <w:fldChar w:fldCharType="begin">
                <w:ffData>
                  <w:name w:val="Check1"/>
                  <w:enabled/>
                  <w:calcOnExit w:val="0"/>
                  <w:checkBox>
                    <w:sizeAuto/>
                    <w:default w:val="0"/>
                  </w:checkBox>
                </w:ffData>
              </w:fldChar>
            </w:r>
            <w:r w:rsidRPr="00700B99">
              <w:rPr>
                <w:rFonts w:ascii="Arial Narrow" w:hAnsi="Arial Narrow"/>
                <w:sz w:val="20"/>
              </w:rPr>
              <w:instrText xml:space="preserve"> FORMCHECKBOX </w:instrText>
            </w:r>
            <w:r w:rsidR="00523A93">
              <w:rPr>
                <w:rFonts w:ascii="Arial Narrow" w:hAnsi="Arial Narrow"/>
                <w:sz w:val="20"/>
              </w:rPr>
            </w:r>
            <w:r w:rsidR="00523A93">
              <w:rPr>
                <w:rFonts w:ascii="Arial Narrow" w:hAnsi="Arial Narrow"/>
                <w:sz w:val="20"/>
              </w:rPr>
              <w:fldChar w:fldCharType="separate"/>
            </w:r>
            <w:r w:rsidRPr="00700B99">
              <w:rPr>
                <w:rFonts w:ascii="Arial Narrow" w:hAnsi="Arial Narrow"/>
                <w:sz w:val="20"/>
              </w:rPr>
              <w:fldChar w:fldCharType="end"/>
            </w:r>
            <w:r w:rsidRPr="00700B99">
              <w:rPr>
                <w:rFonts w:ascii="Arial Narrow" w:hAnsi="Arial Narrow"/>
                <w:sz w:val="20"/>
              </w:rPr>
              <w:t>Restricted benefit</w:t>
            </w:r>
          </w:p>
          <w:p w14:paraId="26DB4F5B" w14:textId="77777777" w:rsidR="009F4782" w:rsidRPr="00700B99" w:rsidRDefault="009F4782" w:rsidP="009F4782">
            <w:pPr>
              <w:spacing w:line="256" w:lineRule="auto"/>
              <w:rPr>
                <w:rFonts w:ascii="Arial Narrow" w:hAnsi="Arial Narrow"/>
                <w:sz w:val="20"/>
              </w:rPr>
            </w:pPr>
            <w:r w:rsidRPr="00700B99">
              <w:rPr>
                <w:rFonts w:ascii="Arial Narrow" w:hAnsi="Arial Narrow"/>
                <w:sz w:val="20"/>
              </w:rPr>
              <w:fldChar w:fldCharType="begin">
                <w:ffData>
                  <w:name w:val=""/>
                  <w:enabled/>
                  <w:calcOnExit w:val="0"/>
                  <w:checkBox>
                    <w:sizeAuto/>
                    <w:default w:val="0"/>
                  </w:checkBox>
                </w:ffData>
              </w:fldChar>
            </w:r>
            <w:r w:rsidRPr="00700B99">
              <w:rPr>
                <w:rFonts w:ascii="Arial Narrow" w:hAnsi="Arial Narrow"/>
                <w:sz w:val="20"/>
              </w:rPr>
              <w:instrText xml:space="preserve"> FORMCHECKBOX </w:instrText>
            </w:r>
            <w:r w:rsidR="00523A93">
              <w:rPr>
                <w:rFonts w:ascii="Arial Narrow" w:hAnsi="Arial Narrow"/>
                <w:sz w:val="20"/>
              </w:rPr>
            </w:r>
            <w:r w:rsidR="00523A93">
              <w:rPr>
                <w:rFonts w:ascii="Arial Narrow" w:hAnsi="Arial Narrow"/>
                <w:sz w:val="20"/>
              </w:rPr>
              <w:fldChar w:fldCharType="separate"/>
            </w:r>
            <w:r w:rsidRPr="00700B99">
              <w:rPr>
                <w:rFonts w:ascii="Arial Narrow" w:hAnsi="Arial Narrow"/>
                <w:sz w:val="20"/>
              </w:rPr>
              <w:fldChar w:fldCharType="end"/>
            </w:r>
            <w:r w:rsidRPr="00700B99">
              <w:rPr>
                <w:rFonts w:ascii="Arial Narrow" w:hAnsi="Arial Narrow"/>
                <w:sz w:val="20"/>
              </w:rPr>
              <w:t>Authority Required - In Writing</w:t>
            </w:r>
          </w:p>
          <w:p w14:paraId="46800E68" w14:textId="77777777" w:rsidR="009F4782" w:rsidRPr="00700B99" w:rsidRDefault="009F4782" w:rsidP="009F4782">
            <w:pPr>
              <w:spacing w:line="256" w:lineRule="auto"/>
              <w:rPr>
                <w:rFonts w:ascii="Arial Narrow" w:hAnsi="Arial Narrow"/>
                <w:sz w:val="20"/>
              </w:rPr>
            </w:pPr>
            <w:r w:rsidRPr="00700B99">
              <w:rPr>
                <w:rFonts w:ascii="Arial Narrow" w:hAnsi="Arial Narrow"/>
                <w:sz w:val="20"/>
              </w:rPr>
              <w:fldChar w:fldCharType="begin">
                <w:ffData>
                  <w:name w:val=""/>
                  <w:enabled/>
                  <w:calcOnExit w:val="0"/>
                  <w:checkBox>
                    <w:sizeAuto/>
                    <w:default w:val="1"/>
                  </w:checkBox>
                </w:ffData>
              </w:fldChar>
            </w:r>
            <w:r w:rsidRPr="00700B99">
              <w:rPr>
                <w:rFonts w:ascii="Arial Narrow" w:hAnsi="Arial Narrow"/>
                <w:sz w:val="20"/>
              </w:rPr>
              <w:instrText xml:space="preserve"> FORMCHECKBOX </w:instrText>
            </w:r>
            <w:r w:rsidR="00523A93">
              <w:rPr>
                <w:rFonts w:ascii="Arial Narrow" w:hAnsi="Arial Narrow"/>
                <w:sz w:val="20"/>
              </w:rPr>
            </w:r>
            <w:r w:rsidR="00523A93">
              <w:rPr>
                <w:rFonts w:ascii="Arial Narrow" w:hAnsi="Arial Narrow"/>
                <w:sz w:val="20"/>
              </w:rPr>
              <w:fldChar w:fldCharType="separate"/>
            </w:r>
            <w:r w:rsidRPr="00700B99">
              <w:rPr>
                <w:rFonts w:ascii="Arial Narrow" w:hAnsi="Arial Narrow"/>
                <w:sz w:val="20"/>
              </w:rPr>
              <w:fldChar w:fldCharType="end"/>
            </w:r>
            <w:r w:rsidRPr="00700B99">
              <w:rPr>
                <w:rFonts w:ascii="Arial Narrow" w:hAnsi="Arial Narrow"/>
                <w:sz w:val="20"/>
              </w:rPr>
              <w:t>Authority Required - Telephone, Electronic</w:t>
            </w:r>
          </w:p>
          <w:p w14:paraId="39B57609" w14:textId="77777777" w:rsidR="009F4782" w:rsidRPr="00700B99" w:rsidRDefault="009F4782" w:rsidP="009F4782">
            <w:pPr>
              <w:spacing w:line="256" w:lineRule="auto"/>
              <w:rPr>
                <w:rFonts w:ascii="Arial Narrow" w:hAnsi="Arial Narrow" w:cs="Times New Roman"/>
                <w:sz w:val="20"/>
              </w:rPr>
            </w:pPr>
            <w:r w:rsidRPr="00700B99">
              <w:rPr>
                <w:rFonts w:ascii="Arial Narrow" w:hAnsi="Arial Narrow"/>
                <w:sz w:val="20"/>
              </w:rPr>
              <w:fldChar w:fldCharType="begin">
                <w:ffData>
                  <w:name w:val="Check5"/>
                  <w:enabled/>
                  <w:calcOnExit w:val="0"/>
                  <w:checkBox>
                    <w:sizeAuto/>
                    <w:default w:val="0"/>
                  </w:checkBox>
                </w:ffData>
              </w:fldChar>
            </w:r>
            <w:r w:rsidRPr="00700B99">
              <w:rPr>
                <w:rFonts w:ascii="Arial Narrow" w:hAnsi="Arial Narrow"/>
                <w:sz w:val="20"/>
              </w:rPr>
              <w:instrText xml:space="preserve"> FORMCHECKBOX </w:instrText>
            </w:r>
            <w:r w:rsidR="00523A93">
              <w:rPr>
                <w:rFonts w:ascii="Arial Narrow" w:hAnsi="Arial Narrow"/>
                <w:sz w:val="20"/>
              </w:rPr>
            </w:r>
            <w:r w:rsidR="00523A93">
              <w:rPr>
                <w:rFonts w:ascii="Arial Narrow" w:hAnsi="Arial Narrow"/>
                <w:sz w:val="20"/>
              </w:rPr>
              <w:fldChar w:fldCharType="separate"/>
            </w:r>
            <w:r w:rsidRPr="00700B99">
              <w:rPr>
                <w:rFonts w:ascii="Arial Narrow" w:hAnsi="Arial Narrow"/>
                <w:sz w:val="20"/>
              </w:rPr>
              <w:fldChar w:fldCharType="end"/>
            </w:r>
            <w:r w:rsidRPr="00700B99">
              <w:rPr>
                <w:rFonts w:ascii="Arial Narrow" w:hAnsi="Arial Narrow"/>
                <w:sz w:val="20"/>
              </w:rPr>
              <w:t>Streamlined</w:t>
            </w:r>
          </w:p>
        </w:tc>
      </w:tr>
      <w:tr w:rsidR="009F4782" w:rsidRPr="00700B99" w14:paraId="4EFA6D38" w14:textId="77777777" w:rsidTr="009F4782">
        <w:trPr>
          <w:cantSplit/>
          <w:trHeight w:val="371"/>
        </w:trPr>
        <w:tc>
          <w:tcPr>
            <w:tcW w:w="2127" w:type="dxa"/>
            <w:tcBorders>
              <w:top w:val="single" w:sz="4" w:space="0" w:color="auto"/>
              <w:left w:val="single" w:sz="4" w:space="0" w:color="auto"/>
              <w:bottom w:val="single" w:sz="4" w:space="0" w:color="auto"/>
              <w:right w:val="single" w:sz="4" w:space="0" w:color="auto"/>
            </w:tcBorders>
            <w:vAlign w:val="center"/>
            <w:hideMark/>
          </w:tcPr>
          <w:p w14:paraId="5C6BD074" w14:textId="77777777" w:rsidR="009F4782" w:rsidRPr="00700B99" w:rsidRDefault="009F4782" w:rsidP="009F4782">
            <w:pPr>
              <w:spacing w:line="256" w:lineRule="auto"/>
              <w:rPr>
                <w:rFonts w:ascii="Arial Narrow" w:hAnsi="Arial Narrow"/>
                <w:sz w:val="20"/>
              </w:rPr>
            </w:pPr>
            <w:r w:rsidRPr="00700B99">
              <w:rPr>
                <w:rFonts w:ascii="Arial Narrow" w:hAnsi="Arial Narrow"/>
                <w:b/>
                <w:sz w:val="20"/>
              </w:rPr>
              <w:t>Treatment criteria</w:t>
            </w:r>
            <w:r w:rsidRPr="00700B99">
              <w:rPr>
                <w:rFonts w:ascii="Arial Narrow" w:hAnsi="Arial Narrow"/>
                <w:sz w:val="20"/>
              </w:rPr>
              <w:t>:</w:t>
            </w:r>
          </w:p>
        </w:tc>
        <w:tc>
          <w:tcPr>
            <w:tcW w:w="6895" w:type="dxa"/>
            <w:tcBorders>
              <w:top w:val="single" w:sz="4" w:space="0" w:color="auto"/>
              <w:left w:val="single" w:sz="4" w:space="0" w:color="auto"/>
              <w:bottom w:val="single" w:sz="4" w:space="0" w:color="auto"/>
              <w:right w:val="single" w:sz="4" w:space="0" w:color="auto"/>
            </w:tcBorders>
            <w:vAlign w:val="center"/>
            <w:hideMark/>
          </w:tcPr>
          <w:p w14:paraId="2F28E588" w14:textId="77777777" w:rsidR="009F4782" w:rsidRPr="00700B99" w:rsidRDefault="009F4782" w:rsidP="009F4782">
            <w:pPr>
              <w:spacing w:line="256" w:lineRule="auto"/>
              <w:rPr>
                <w:rFonts w:ascii="Arial Narrow" w:hAnsi="Arial Narrow"/>
                <w:sz w:val="20"/>
              </w:rPr>
            </w:pPr>
            <w:r w:rsidRPr="00700B99">
              <w:rPr>
                <w:rFonts w:ascii="Arial Narrow" w:hAnsi="Arial Narrow"/>
                <w:sz w:val="20"/>
              </w:rPr>
              <w:t>Patient must be treated by a gastroenterologist or hepatologist or in consultation with a gastroenterologist or hepatologist.</w:t>
            </w:r>
          </w:p>
        </w:tc>
      </w:tr>
      <w:tr w:rsidR="009F4782" w:rsidRPr="00700B99" w14:paraId="583C5CAD" w14:textId="77777777" w:rsidTr="009F4782">
        <w:trPr>
          <w:cantSplit/>
          <w:trHeight w:val="371"/>
        </w:trPr>
        <w:tc>
          <w:tcPr>
            <w:tcW w:w="2127" w:type="dxa"/>
            <w:tcBorders>
              <w:top w:val="single" w:sz="4" w:space="0" w:color="auto"/>
              <w:left w:val="single" w:sz="4" w:space="0" w:color="auto"/>
              <w:bottom w:val="single" w:sz="4" w:space="0" w:color="auto"/>
              <w:right w:val="single" w:sz="4" w:space="0" w:color="auto"/>
            </w:tcBorders>
            <w:vAlign w:val="center"/>
            <w:hideMark/>
          </w:tcPr>
          <w:p w14:paraId="783CDCE0" w14:textId="77777777" w:rsidR="009F4782" w:rsidRPr="00700B99" w:rsidRDefault="009F4782" w:rsidP="009F4782">
            <w:pPr>
              <w:spacing w:line="256" w:lineRule="auto"/>
              <w:rPr>
                <w:rFonts w:ascii="Arial Narrow" w:hAnsi="Arial Narrow"/>
                <w:b/>
                <w:sz w:val="20"/>
              </w:rPr>
            </w:pPr>
            <w:r w:rsidRPr="00700B99">
              <w:rPr>
                <w:rFonts w:ascii="Arial Narrow" w:hAnsi="Arial Narrow"/>
                <w:b/>
                <w:sz w:val="20"/>
              </w:rPr>
              <w:t>Clinical criteria:</w:t>
            </w:r>
          </w:p>
        </w:tc>
        <w:tc>
          <w:tcPr>
            <w:tcW w:w="6895" w:type="dxa"/>
            <w:tcBorders>
              <w:top w:val="single" w:sz="4" w:space="0" w:color="auto"/>
              <w:left w:val="single" w:sz="4" w:space="0" w:color="auto"/>
              <w:bottom w:val="single" w:sz="4" w:space="0" w:color="auto"/>
              <w:right w:val="single" w:sz="4" w:space="0" w:color="auto"/>
            </w:tcBorders>
            <w:vAlign w:val="center"/>
            <w:hideMark/>
          </w:tcPr>
          <w:p w14:paraId="51F26DEB" w14:textId="77777777" w:rsidR="009F4782" w:rsidRPr="00700B99" w:rsidRDefault="009F4782" w:rsidP="009F4782">
            <w:pPr>
              <w:spacing w:line="256" w:lineRule="auto"/>
              <w:rPr>
                <w:rFonts w:ascii="Arial Narrow" w:hAnsi="Arial Narrow" w:cs="Times New Roman"/>
                <w:sz w:val="20"/>
              </w:rPr>
            </w:pPr>
            <w:r w:rsidRPr="00700B99">
              <w:rPr>
                <w:rFonts w:ascii="Arial Narrow" w:hAnsi="Arial Narrow"/>
                <w:sz w:val="20"/>
              </w:rPr>
              <w:t xml:space="preserve">Patient must have previously been issued with an authority prescription for this drug for this condition, </w:t>
            </w:r>
          </w:p>
          <w:p w14:paraId="5C6FA39D" w14:textId="77777777" w:rsidR="009F4782" w:rsidRPr="00700B99" w:rsidRDefault="009F4782" w:rsidP="009F4782">
            <w:pPr>
              <w:spacing w:line="256" w:lineRule="auto"/>
              <w:rPr>
                <w:rFonts w:ascii="Arial Narrow" w:hAnsi="Arial Narrow"/>
                <w:sz w:val="20"/>
              </w:rPr>
            </w:pPr>
            <w:r w:rsidRPr="00700B99">
              <w:rPr>
                <w:rFonts w:ascii="Arial Narrow" w:hAnsi="Arial Narrow"/>
                <w:sz w:val="20"/>
              </w:rPr>
              <w:t>AND</w:t>
            </w:r>
          </w:p>
          <w:p w14:paraId="41E4B6AB" w14:textId="77777777" w:rsidR="009F4782" w:rsidRPr="00700B99" w:rsidRDefault="009F4782" w:rsidP="009F4782">
            <w:pPr>
              <w:spacing w:line="256" w:lineRule="auto"/>
              <w:rPr>
                <w:rFonts w:ascii="Arial Narrow" w:hAnsi="Arial Narrow"/>
                <w:sz w:val="20"/>
              </w:rPr>
            </w:pPr>
            <w:r w:rsidRPr="00700B99">
              <w:rPr>
                <w:rFonts w:ascii="Arial Narrow" w:hAnsi="Arial Narrow"/>
                <w:sz w:val="20"/>
              </w:rPr>
              <w:t>Patient must have adequately tolerated 5 mg dose at 6 months assessment, OR</w:t>
            </w:r>
          </w:p>
          <w:p w14:paraId="7E40A8E4" w14:textId="77777777" w:rsidR="009F4782" w:rsidRPr="00700B99" w:rsidRDefault="009F4782" w:rsidP="009F4782">
            <w:pPr>
              <w:spacing w:line="256" w:lineRule="auto"/>
              <w:rPr>
                <w:rFonts w:ascii="Arial Narrow" w:hAnsi="Arial Narrow"/>
                <w:sz w:val="20"/>
              </w:rPr>
            </w:pPr>
            <w:r w:rsidRPr="00700B99">
              <w:rPr>
                <w:rFonts w:ascii="Arial Narrow" w:hAnsi="Arial Narrow"/>
                <w:sz w:val="20"/>
              </w:rPr>
              <w:t xml:space="preserve">Patient must have achieved an adequate response to 5 mg as defined as an ALP &lt; 1.67x ULN with ≥ 15% decrease from baseline in ALP and total bilirubin &lt;1x ULN </w:t>
            </w:r>
          </w:p>
          <w:p w14:paraId="119C2CD1" w14:textId="77777777" w:rsidR="009F4782" w:rsidRPr="00700B99" w:rsidRDefault="009F4782" w:rsidP="009F4782">
            <w:pPr>
              <w:spacing w:line="256" w:lineRule="auto"/>
              <w:rPr>
                <w:rFonts w:ascii="Arial Narrow" w:hAnsi="Arial Narrow"/>
                <w:sz w:val="20"/>
              </w:rPr>
            </w:pPr>
            <w:r w:rsidRPr="00700B99">
              <w:rPr>
                <w:rFonts w:ascii="Arial Narrow" w:hAnsi="Arial Narrow"/>
                <w:sz w:val="20"/>
              </w:rPr>
              <w:t>AND</w:t>
            </w:r>
          </w:p>
          <w:p w14:paraId="2F6FF650" w14:textId="77777777" w:rsidR="009F4782" w:rsidRPr="00700B99" w:rsidRDefault="009F4782" w:rsidP="009F4782">
            <w:pPr>
              <w:spacing w:line="256" w:lineRule="auto"/>
              <w:rPr>
                <w:rFonts w:ascii="Arial Narrow" w:hAnsi="Arial Narrow"/>
                <w:sz w:val="20"/>
              </w:rPr>
            </w:pPr>
            <w:r w:rsidRPr="00700B99">
              <w:rPr>
                <w:rFonts w:ascii="Arial Narrow" w:hAnsi="Arial Narrow"/>
                <w:sz w:val="20"/>
              </w:rPr>
              <w:t>Patient must continue to achieve an adequate response at yearly assessments</w:t>
            </w:r>
          </w:p>
          <w:p w14:paraId="7549313A" w14:textId="77777777" w:rsidR="009F4782" w:rsidRPr="00700B99" w:rsidRDefault="009F4782" w:rsidP="009F4782">
            <w:pPr>
              <w:spacing w:line="256" w:lineRule="auto"/>
              <w:rPr>
                <w:rFonts w:ascii="Arial Narrow" w:hAnsi="Arial Narrow"/>
                <w:i/>
                <w:sz w:val="20"/>
              </w:rPr>
            </w:pPr>
            <w:r w:rsidRPr="00700B99">
              <w:rPr>
                <w:rFonts w:ascii="Arial Narrow" w:hAnsi="Arial Narrow"/>
                <w:i/>
                <w:strike/>
                <w:sz w:val="20"/>
              </w:rPr>
              <w:t>OR</w:t>
            </w:r>
            <w:r w:rsidRPr="00700B99">
              <w:rPr>
                <w:rFonts w:ascii="Arial Narrow" w:hAnsi="Arial Narrow"/>
                <w:i/>
                <w:sz w:val="20"/>
              </w:rPr>
              <w:t>AND</w:t>
            </w:r>
          </w:p>
          <w:p w14:paraId="13F279EE" w14:textId="77777777" w:rsidR="009F4782" w:rsidRPr="00700B99" w:rsidRDefault="009F4782" w:rsidP="009F4782">
            <w:pPr>
              <w:spacing w:line="256" w:lineRule="auto"/>
              <w:rPr>
                <w:rFonts w:ascii="Arial Narrow" w:hAnsi="Arial Narrow"/>
                <w:sz w:val="20"/>
              </w:rPr>
            </w:pPr>
            <w:r w:rsidRPr="00700B99">
              <w:rPr>
                <w:rFonts w:ascii="Arial Narrow" w:hAnsi="Arial Narrow"/>
                <w:sz w:val="20"/>
              </w:rPr>
              <w:t>Not have compensated cirrhosis, decompensated cirrhosis or hepatocellular carcinoma.</w:t>
            </w:r>
          </w:p>
        </w:tc>
      </w:tr>
      <w:tr w:rsidR="009F4782" w:rsidRPr="00700B99" w14:paraId="28B744FD" w14:textId="77777777" w:rsidTr="009F4782">
        <w:trPr>
          <w:cantSplit/>
          <w:trHeight w:val="371"/>
        </w:trPr>
        <w:tc>
          <w:tcPr>
            <w:tcW w:w="2127" w:type="dxa"/>
            <w:tcBorders>
              <w:top w:val="single" w:sz="4" w:space="0" w:color="auto"/>
              <w:left w:val="single" w:sz="4" w:space="0" w:color="auto"/>
              <w:bottom w:val="single" w:sz="4" w:space="0" w:color="auto"/>
              <w:right w:val="single" w:sz="4" w:space="0" w:color="auto"/>
            </w:tcBorders>
            <w:vAlign w:val="center"/>
            <w:hideMark/>
          </w:tcPr>
          <w:p w14:paraId="1EBC420D" w14:textId="77777777" w:rsidR="009F4782" w:rsidRPr="00700B99" w:rsidRDefault="009F4782" w:rsidP="009F4782">
            <w:pPr>
              <w:spacing w:line="256" w:lineRule="auto"/>
              <w:rPr>
                <w:rFonts w:ascii="Arial Narrow" w:hAnsi="Arial Narrow"/>
                <w:b/>
                <w:sz w:val="20"/>
              </w:rPr>
            </w:pPr>
            <w:r w:rsidRPr="00700B99">
              <w:rPr>
                <w:rFonts w:ascii="Arial Narrow" w:hAnsi="Arial Narrow"/>
                <w:b/>
                <w:sz w:val="20"/>
              </w:rPr>
              <w:t>Administrative Advice</w:t>
            </w:r>
          </w:p>
        </w:tc>
        <w:tc>
          <w:tcPr>
            <w:tcW w:w="6895" w:type="dxa"/>
            <w:tcBorders>
              <w:top w:val="single" w:sz="4" w:space="0" w:color="auto"/>
              <w:left w:val="single" w:sz="4" w:space="0" w:color="auto"/>
              <w:bottom w:val="single" w:sz="4" w:space="0" w:color="auto"/>
              <w:right w:val="single" w:sz="4" w:space="0" w:color="auto"/>
            </w:tcBorders>
          </w:tcPr>
          <w:p w14:paraId="373EA119" w14:textId="77777777" w:rsidR="009F4782" w:rsidRPr="00700B99" w:rsidRDefault="009F4782" w:rsidP="009F4782">
            <w:pPr>
              <w:spacing w:line="256" w:lineRule="auto"/>
              <w:rPr>
                <w:rFonts w:ascii="Arial Narrow" w:hAnsi="Arial Narrow"/>
                <w:sz w:val="20"/>
              </w:rPr>
            </w:pPr>
            <w:r w:rsidRPr="00700B99">
              <w:rPr>
                <w:rFonts w:ascii="Arial Narrow" w:hAnsi="Arial Narrow"/>
                <w:sz w:val="20"/>
              </w:rPr>
              <w:t>Not for use in the treatment of sclerosing cholangitis or cholelithiasis.</w:t>
            </w:r>
          </w:p>
          <w:p w14:paraId="78B714A5" w14:textId="77777777" w:rsidR="009F4782" w:rsidRPr="00700B99" w:rsidRDefault="009F4782" w:rsidP="009F4782">
            <w:pPr>
              <w:spacing w:line="256" w:lineRule="auto"/>
              <w:rPr>
                <w:rFonts w:ascii="Arial Narrow" w:hAnsi="Arial Narrow"/>
                <w:sz w:val="20"/>
              </w:rPr>
            </w:pPr>
            <w:r w:rsidRPr="00700B99">
              <w:rPr>
                <w:rFonts w:ascii="Arial Narrow" w:hAnsi="Arial Narrow"/>
                <w:sz w:val="20"/>
              </w:rPr>
              <w:t>Special pricing arrangements apply</w:t>
            </w:r>
          </w:p>
          <w:p w14:paraId="229FF29B" w14:textId="77777777" w:rsidR="009F4782" w:rsidRPr="00700B99" w:rsidRDefault="009F4782" w:rsidP="009F4782">
            <w:pPr>
              <w:spacing w:line="256" w:lineRule="auto"/>
              <w:rPr>
                <w:rFonts w:ascii="Arial Narrow" w:hAnsi="Arial Narrow"/>
                <w:sz w:val="20"/>
              </w:rPr>
            </w:pPr>
          </w:p>
          <w:p w14:paraId="6D2AF71A" w14:textId="77777777" w:rsidR="009F4782" w:rsidRPr="00700B99" w:rsidRDefault="009F4782" w:rsidP="009F4782">
            <w:pPr>
              <w:spacing w:line="256" w:lineRule="auto"/>
              <w:rPr>
                <w:rFonts w:ascii="Arial Narrow" w:hAnsi="Arial Narrow"/>
                <w:b/>
                <w:sz w:val="20"/>
                <w:u w:val="single"/>
              </w:rPr>
            </w:pPr>
            <w:r w:rsidRPr="00700B99">
              <w:rPr>
                <w:rFonts w:ascii="Arial Narrow" w:hAnsi="Arial Narrow"/>
                <w:b/>
                <w:sz w:val="20"/>
                <w:u w:val="single"/>
              </w:rPr>
              <w:t>Note</w:t>
            </w:r>
          </w:p>
          <w:p w14:paraId="245695A3" w14:textId="77777777" w:rsidR="009F4782" w:rsidRPr="00700B99" w:rsidRDefault="009F4782" w:rsidP="009F4782">
            <w:pPr>
              <w:spacing w:line="256" w:lineRule="auto"/>
              <w:rPr>
                <w:rFonts w:ascii="Arial Narrow" w:hAnsi="Arial Narrow"/>
                <w:sz w:val="20"/>
              </w:rPr>
            </w:pPr>
            <w:r w:rsidRPr="00700B99">
              <w:rPr>
                <w:rFonts w:ascii="Arial Narrow" w:hAnsi="Arial Narrow"/>
                <w:sz w:val="20"/>
              </w:rPr>
              <w:t>For prescribing by nurse practitioners as continuing therapy only, where the treatment of, and prescribing of medicine for, a patient has been initiated by a gastroenterologist or a hepatologist or in consultation with a gastroenterologist or hepatologist. Further information can be found in the Explanatory Notes for Nurse Practitioners.</w:t>
            </w:r>
          </w:p>
        </w:tc>
      </w:tr>
    </w:tbl>
    <w:p w14:paraId="19DE6F49" w14:textId="77777777" w:rsidR="009F4782" w:rsidRDefault="009F4782" w:rsidP="009F4782">
      <w:pPr>
        <w:pStyle w:val="TableFigureFooter"/>
      </w:pPr>
      <w:r w:rsidRPr="00700B99">
        <w:t>Source: p38-39 of the resubmission.</w:t>
      </w:r>
    </w:p>
    <w:p w14:paraId="0560010A" w14:textId="77777777" w:rsidR="009F4782" w:rsidRPr="00700B99" w:rsidRDefault="009F4782" w:rsidP="009F4782"/>
    <w:tbl>
      <w:tblPr>
        <w:tblW w:w="5000" w:type="pct"/>
        <w:tblBorders>
          <w:top w:val="single" w:sz="4" w:space="0" w:color="auto"/>
          <w:bottom w:val="single" w:sz="4" w:space="0" w:color="auto"/>
          <w:insideH w:val="single" w:sz="4" w:space="0" w:color="auto"/>
        </w:tblBorders>
        <w:tblCellMar>
          <w:left w:w="28" w:type="dxa"/>
          <w:right w:w="28" w:type="dxa"/>
        </w:tblCellMar>
        <w:tblLook w:val="0000" w:firstRow="0" w:lastRow="0" w:firstColumn="0" w:lastColumn="0" w:noHBand="0" w:noVBand="0"/>
      </w:tblPr>
      <w:tblGrid>
        <w:gridCol w:w="2408"/>
        <w:gridCol w:w="852"/>
        <w:gridCol w:w="569"/>
        <w:gridCol w:w="1982"/>
        <w:gridCol w:w="1134"/>
        <w:gridCol w:w="2082"/>
      </w:tblGrid>
      <w:tr w:rsidR="009F4782" w:rsidRPr="00700B99" w14:paraId="48138BB4" w14:textId="77777777" w:rsidTr="009F4782">
        <w:trPr>
          <w:cantSplit/>
          <w:trHeight w:val="463"/>
        </w:trPr>
        <w:tc>
          <w:tcPr>
            <w:tcW w:w="1334" w:type="pct"/>
            <w:vAlign w:val="center"/>
          </w:tcPr>
          <w:p w14:paraId="4F1494FA" w14:textId="77777777" w:rsidR="009F4782" w:rsidRPr="00700B99" w:rsidRDefault="009F4782" w:rsidP="009F4782">
            <w:pPr>
              <w:keepNext/>
              <w:jc w:val="left"/>
              <w:rPr>
                <w:rFonts w:ascii="Arial Narrow" w:hAnsi="Arial Narrow"/>
                <w:b/>
                <w:sz w:val="20"/>
              </w:rPr>
            </w:pPr>
            <w:r w:rsidRPr="00700B99">
              <w:rPr>
                <w:rFonts w:ascii="Arial Narrow" w:hAnsi="Arial Narrow"/>
                <w:b/>
                <w:sz w:val="20"/>
              </w:rPr>
              <w:t>Name, Restriction,</w:t>
            </w:r>
            <w:r>
              <w:rPr>
                <w:rFonts w:ascii="Arial Narrow" w:hAnsi="Arial Narrow"/>
                <w:b/>
                <w:sz w:val="20"/>
              </w:rPr>
              <w:t xml:space="preserve"> </w:t>
            </w:r>
            <w:r w:rsidRPr="00700B99">
              <w:rPr>
                <w:rFonts w:ascii="Arial Narrow" w:hAnsi="Arial Narrow"/>
                <w:b/>
                <w:sz w:val="20"/>
              </w:rPr>
              <w:t>Manner of administration and form</w:t>
            </w:r>
          </w:p>
        </w:tc>
        <w:tc>
          <w:tcPr>
            <w:tcW w:w="472" w:type="pct"/>
            <w:vAlign w:val="center"/>
          </w:tcPr>
          <w:p w14:paraId="63A42B70" w14:textId="77777777" w:rsidR="009F4782" w:rsidRPr="00700B99" w:rsidRDefault="009F4782" w:rsidP="009F4782">
            <w:pPr>
              <w:keepNext/>
              <w:jc w:val="center"/>
              <w:rPr>
                <w:rFonts w:ascii="Arial Narrow" w:hAnsi="Arial Narrow"/>
                <w:b/>
                <w:sz w:val="20"/>
              </w:rPr>
            </w:pPr>
            <w:r w:rsidRPr="00700B99">
              <w:rPr>
                <w:rFonts w:ascii="Arial Narrow" w:hAnsi="Arial Narrow"/>
                <w:b/>
                <w:sz w:val="20"/>
              </w:rPr>
              <w:t>Max.</w:t>
            </w:r>
          </w:p>
          <w:p w14:paraId="2C2341C1" w14:textId="77777777" w:rsidR="009F4782" w:rsidRPr="00700B99" w:rsidRDefault="009F4782" w:rsidP="009F4782">
            <w:pPr>
              <w:keepNext/>
              <w:jc w:val="center"/>
              <w:rPr>
                <w:rFonts w:ascii="Arial Narrow" w:hAnsi="Arial Narrow"/>
                <w:b/>
                <w:sz w:val="20"/>
              </w:rPr>
            </w:pPr>
            <w:r w:rsidRPr="00700B99">
              <w:rPr>
                <w:rFonts w:ascii="Arial Narrow" w:hAnsi="Arial Narrow"/>
                <w:b/>
                <w:sz w:val="20"/>
              </w:rPr>
              <w:t>Qty</w:t>
            </w:r>
          </w:p>
        </w:tc>
        <w:tc>
          <w:tcPr>
            <w:tcW w:w="315" w:type="pct"/>
            <w:vAlign w:val="center"/>
          </w:tcPr>
          <w:p w14:paraId="5F9E4953" w14:textId="77777777" w:rsidR="009F4782" w:rsidRPr="00700B99" w:rsidRDefault="009F4782" w:rsidP="009F4782">
            <w:pPr>
              <w:keepNext/>
              <w:jc w:val="center"/>
              <w:rPr>
                <w:rFonts w:ascii="Arial Narrow" w:hAnsi="Arial Narrow"/>
                <w:b/>
                <w:sz w:val="20"/>
              </w:rPr>
            </w:pPr>
            <w:r w:rsidRPr="00700B99">
              <w:rPr>
                <w:rFonts w:ascii="Arial Narrow" w:hAnsi="Arial Narrow" w:cs="Times New Roman"/>
                <w:b/>
                <w:sz w:val="20"/>
              </w:rPr>
              <w:t>№</w:t>
            </w:r>
            <w:r w:rsidRPr="00700B99">
              <w:rPr>
                <w:rFonts w:ascii="Arial Narrow" w:hAnsi="Arial Narrow"/>
                <w:b/>
                <w:sz w:val="20"/>
              </w:rPr>
              <w:t>.of</w:t>
            </w:r>
          </w:p>
          <w:p w14:paraId="566FE88A" w14:textId="77777777" w:rsidR="009F4782" w:rsidRPr="00700B99" w:rsidRDefault="009F4782" w:rsidP="009F4782">
            <w:pPr>
              <w:keepNext/>
              <w:jc w:val="center"/>
              <w:rPr>
                <w:rFonts w:ascii="Arial Narrow" w:hAnsi="Arial Narrow"/>
                <w:b/>
                <w:sz w:val="20"/>
              </w:rPr>
            </w:pPr>
            <w:r w:rsidRPr="00700B99">
              <w:rPr>
                <w:rFonts w:ascii="Arial Narrow" w:hAnsi="Arial Narrow"/>
                <w:b/>
                <w:sz w:val="20"/>
              </w:rPr>
              <w:t>Rpts</w:t>
            </w:r>
          </w:p>
        </w:tc>
        <w:tc>
          <w:tcPr>
            <w:tcW w:w="1098" w:type="pct"/>
            <w:vAlign w:val="center"/>
          </w:tcPr>
          <w:p w14:paraId="1E38EBD9" w14:textId="77777777" w:rsidR="009F4782" w:rsidRPr="00700B99" w:rsidRDefault="009F4782" w:rsidP="009F4782">
            <w:pPr>
              <w:keepNext/>
              <w:jc w:val="center"/>
              <w:rPr>
                <w:rFonts w:ascii="Arial Narrow" w:hAnsi="Arial Narrow"/>
                <w:b/>
                <w:sz w:val="20"/>
              </w:rPr>
            </w:pPr>
            <w:r>
              <w:rPr>
                <w:rFonts w:ascii="Arial Narrow" w:hAnsi="Arial Narrow"/>
                <w:b/>
                <w:sz w:val="20"/>
              </w:rPr>
              <w:t>DPMQ</w:t>
            </w:r>
          </w:p>
        </w:tc>
        <w:tc>
          <w:tcPr>
            <w:tcW w:w="1781" w:type="pct"/>
            <w:gridSpan w:val="2"/>
            <w:vAlign w:val="center"/>
          </w:tcPr>
          <w:p w14:paraId="08BCA506" w14:textId="77777777" w:rsidR="009F4782" w:rsidRPr="00700B99" w:rsidRDefault="009F4782" w:rsidP="009F4782">
            <w:pPr>
              <w:keepNext/>
              <w:jc w:val="center"/>
              <w:rPr>
                <w:rFonts w:ascii="Arial Narrow" w:hAnsi="Arial Narrow"/>
                <w:b/>
                <w:sz w:val="20"/>
                <w:lang w:val="fr-FR"/>
              </w:rPr>
            </w:pPr>
            <w:r w:rsidRPr="00700B99">
              <w:rPr>
                <w:rFonts w:ascii="Arial Narrow" w:hAnsi="Arial Narrow"/>
                <w:b/>
                <w:sz w:val="20"/>
              </w:rPr>
              <w:t>Proprietary Name and Manufacturer</w:t>
            </w:r>
          </w:p>
        </w:tc>
      </w:tr>
      <w:tr w:rsidR="009F4782" w:rsidRPr="00700B99" w14:paraId="09D37FD5" w14:textId="77777777" w:rsidTr="009F4782">
        <w:trPr>
          <w:cantSplit/>
          <w:trHeight w:val="567"/>
        </w:trPr>
        <w:tc>
          <w:tcPr>
            <w:tcW w:w="1334" w:type="pct"/>
            <w:vAlign w:val="center"/>
          </w:tcPr>
          <w:p w14:paraId="30E35EE5" w14:textId="77777777" w:rsidR="009F4782" w:rsidRPr="00700B99" w:rsidRDefault="009F4782" w:rsidP="009F4782">
            <w:pPr>
              <w:pStyle w:val="Tabletext"/>
              <w:rPr>
                <w:smallCaps/>
              </w:rPr>
            </w:pPr>
            <w:r w:rsidRPr="00700B99">
              <w:rPr>
                <w:smallCaps/>
              </w:rPr>
              <w:t>Obeticholic acid</w:t>
            </w:r>
          </w:p>
          <w:p w14:paraId="1DBC3D40" w14:textId="77777777" w:rsidR="009F4782" w:rsidRPr="00700B99" w:rsidRDefault="009F4782" w:rsidP="009F4782">
            <w:pPr>
              <w:keepNext/>
              <w:jc w:val="left"/>
              <w:rPr>
                <w:rFonts w:ascii="Arial Narrow" w:hAnsi="Arial Narrow"/>
                <w:sz w:val="20"/>
              </w:rPr>
            </w:pPr>
            <w:r>
              <w:rPr>
                <w:rFonts w:ascii="Arial Narrow" w:hAnsi="Arial Narrow"/>
                <w:sz w:val="20"/>
              </w:rPr>
              <w:t xml:space="preserve">Tablet, 10 </w:t>
            </w:r>
            <w:r w:rsidRPr="00700B99">
              <w:rPr>
                <w:rFonts w:ascii="Arial Narrow" w:hAnsi="Arial Narrow"/>
                <w:sz w:val="20"/>
              </w:rPr>
              <w:t>mg</w:t>
            </w:r>
          </w:p>
        </w:tc>
        <w:tc>
          <w:tcPr>
            <w:tcW w:w="472" w:type="pct"/>
            <w:vAlign w:val="center"/>
          </w:tcPr>
          <w:p w14:paraId="598693B8" w14:textId="77777777" w:rsidR="009F4782" w:rsidRPr="00700B99" w:rsidRDefault="009F4782" w:rsidP="009F4782">
            <w:pPr>
              <w:keepNext/>
              <w:jc w:val="center"/>
              <w:rPr>
                <w:rFonts w:ascii="Arial Narrow" w:hAnsi="Arial Narrow"/>
                <w:sz w:val="20"/>
              </w:rPr>
            </w:pPr>
            <w:r w:rsidRPr="00700B99">
              <w:rPr>
                <w:rFonts w:ascii="Arial Narrow" w:hAnsi="Arial Narrow"/>
                <w:sz w:val="20"/>
              </w:rPr>
              <w:t>1 pack</w:t>
            </w:r>
          </w:p>
          <w:p w14:paraId="1ADDE106" w14:textId="77777777" w:rsidR="009F4782" w:rsidRPr="00700B99" w:rsidRDefault="009F4782" w:rsidP="009F4782">
            <w:pPr>
              <w:keepNext/>
              <w:jc w:val="center"/>
              <w:rPr>
                <w:rFonts w:ascii="Arial Narrow" w:hAnsi="Arial Narrow"/>
                <w:sz w:val="20"/>
              </w:rPr>
            </w:pPr>
            <w:r w:rsidRPr="00700B99">
              <w:rPr>
                <w:rFonts w:ascii="Arial Narrow" w:hAnsi="Arial Narrow"/>
                <w:sz w:val="20"/>
              </w:rPr>
              <w:t>30 units</w:t>
            </w:r>
          </w:p>
        </w:tc>
        <w:tc>
          <w:tcPr>
            <w:tcW w:w="315" w:type="pct"/>
            <w:vAlign w:val="center"/>
          </w:tcPr>
          <w:p w14:paraId="4D0E5B3A" w14:textId="77777777" w:rsidR="009F4782" w:rsidRPr="00700B99" w:rsidRDefault="009F4782" w:rsidP="009F4782">
            <w:pPr>
              <w:keepNext/>
              <w:jc w:val="center"/>
              <w:rPr>
                <w:rFonts w:ascii="Arial Narrow" w:hAnsi="Arial Narrow"/>
                <w:sz w:val="20"/>
              </w:rPr>
            </w:pPr>
            <w:r w:rsidRPr="00700B99">
              <w:rPr>
                <w:rFonts w:ascii="Arial Narrow" w:hAnsi="Arial Narrow"/>
                <w:sz w:val="20"/>
              </w:rPr>
              <w:t>5</w:t>
            </w:r>
          </w:p>
        </w:tc>
        <w:tc>
          <w:tcPr>
            <w:tcW w:w="1098" w:type="pct"/>
            <w:vAlign w:val="center"/>
          </w:tcPr>
          <w:p w14:paraId="3ACE94D1" w14:textId="77777777" w:rsidR="009F4782" w:rsidRPr="00700B99" w:rsidRDefault="009F4782" w:rsidP="009F4782">
            <w:pPr>
              <w:keepNext/>
              <w:jc w:val="center"/>
              <w:rPr>
                <w:rFonts w:ascii="Arial Narrow" w:hAnsi="Arial Narrow"/>
                <w:sz w:val="20"/>
              </w:rPr>
            </w:pPr>
            <w:r>
              <w:rPr>
                <w:rFonts w:ascii="Arial Narrow" w:hAnsi="Arial Narrow"/>
                <w:sz w:val="20"/>
              </w:rPr>
              <w:t xml:space="preserve">Published: </w:t>
            </w:r>
            <w:r w:rsidRPr="00700B99">
              <w:rPr>
                <w:rFonts w:ascii="Arial Narrow" w:hAnsi="Arial Narrow"/>
                <w:sz w:val="20"/>
              </w:rPr>
              <w:t>$</w:t>
            </w:r>
            <w:r w:rsidRPr="009A1504">
              <w:rPr>
                <w:rFonts w:ascii="Arial Narrow" w:hAnsi="Arial Narrow"/>
                <w:sz w:val="20"/>
              </w:rPr>
              <w:t>4,178.12</w:t>
            </w:r>
            <w:r w:rsidRPr="00700B99">
              <w:rPr>
                <w:rFonts w:ascii="Arial Narrow" w:hAnsi="Arial Narrow"/>
                <w:sz w:val="20"/>
              </w:rPr>
              <w:t xml:space="preserve"> </w:t>
            </w:r>
            <w:r>
              <w:rPr>
                <w:rFonts w:ascii="Arial Narrow" w:hAnsi="Arial Narrow"/>
                <w:sz w:val="20"/>
              </w:rPr>
              <w:t xml:space="preserve">Effective: </w:t>
            </w:r>
            <w:r w:rsidRPr="00700B99">
              <w:rPr>
                <w:rFonts w:ascii="Arial Narrow" w:hAnsi="Arial Narrow"/>
                <w:sz w:val="20"/>
              </w:rPr>
              <w:t>$</w:t>
            </w:r>
            <w:r w:rsidR="00027EBC">
              <w:rPr>
                <w:rFonts w:ascii="Arial Narrow" w:hAnsi="Arial Narrow"/>
                <w:noProof/>
                <w:color w:val="000000"/>
                <w:sz w:val="20"/>
                <w:highlight w:val="black"/>
              </w:rPr>
              <w:t>'''''''''''''''''''</w:t>
            </w:r>
            <w:r w:rsidRPr="00700B99">
              <w:rPr>
                <w:rFonts w:ascii="Arial Narrow" w:hAnsi="Arial Narrow"/>
                <w:sz w:val="20"/>
              </w:rPr>
              <w:t xml:space="preserve"> </w:t>
            </w:r>
          </w:p>
        </w:tc>
        <w:tc>
          <w:tcPr>
            <w:tcW w:w="628" w:type="pct"/>
            <w:vAlign w:val="center"/>
          </w:tcPr>
          <w:p w14:paraId="222FDA1D" w14:textId="77777777" w:rsidR="009F4782" w:rsidRPr="00700B99" w:rsidRDefault="009F4782" w:rsidP="009F4782">
            <w:pPr>
              <w:rPr>
                <w:rFonts w:ascii="Arial Narrow" w:hAnsi="Arial Narrow"/>
                <w:sz w:val="20"/>
              </w:rPr>
            </w:pPr>
            <w:r w:rsidRPr="00700B99">
              <w:rPr>
                <w:rFonts w:ascii="Arial Narrow" w:hAnsi="Arial Narrow" w:cs="Times New Roman"/>
                <w:sz w:val="20"/>
                <w:szCs w:val="20"/>
              </w:rPr>
              <w:t>OCALIVA®</w:t>
            </w:r>
          </w:p>
        </w:tc>
        <w:tc>
          <w:tcPr>
            <w:tcW w:w="1153" w:type="pct"/>
            <w:vAlign w:val="center"/>
          </w:tcPr>
          <w:p w14:paraId="20CF4941" w14:textId="77777777" w:rsidR="009F4782" w:rsidRPr="00700B99" w:rsidRDefault="009F4782" w:rsidP="009F4782">
            <w:pPr>
              <w:jc w:val="left"/>
              <w:rPr>
                <w:rFonts w:ascii="Arial Narrow" w:hAnsi="Arial Narrow" w:cs="Times New Roman"/>
                <w:sz w:val="20"/>
                <w:szCs w:val="20"/>
              </w:rPr>
            </w:pPr>
            <w:r w:rsidRPr="00700B99">
              <w:rPr>
                <w:rFonts w:ascii="Arial Narrow" w:hAnsi="Arial Narrow" w:cs="Times New Roman"/>
                <w:sz w:val="20"/>
                <w:szCs w:val="20"/>
              </w:rPr>
              <w:t xml:space="preserve">Manufacturer: Intercept Pharma </w:t>
            </w:r>
          </w:p>
          <w:p w14:paraId="4B39F75D" w14:textId="77777777" w:rsidR="009F4782" w:rsidRPr="00700B99" w:rsidRDefault="009F4782" w:rsidP="009F4782">
            <w:pPr>
              <w:keepNext/>
              <w:jc w:val="left"/>
              <w:rPr>
                <w:rFonts w:ascii="Arial Narrow" w:hAnsi="Arial Narrow"/>
                <w:sz w:val="20"/>
              </w:rPr>
            </w:pPr>
            <w:r w:rsidRPr="00700B99">
              <w:rPr>
                <w:rFonts w:ascii="Arial Narrow" w:hAnsi="Arial Narrow" w:cs="Times New Roman"/>
                <w:sz w:val="20"/>
                <w:szCs w:val="20"/>
              </w:rPr>
              <w:t>Australian Sponsor:</w:t>
            </w:r>
            <w:r>
              <w:rPr>
                <w:rFonts w:ascii="Arial Narrow" w:hAnsi="Arial Narrow" w:cs="Times New Roman"/>
                <w:sz w:val="20"/>
                <w:szCs w:val="20"/>
              </w:rPr>
              <w:t xml:space="preserve"> </w:t>
            </w:r>
            <w:r w:rsidRPr="00700B99">
              <w:rPr>
                <w:rFonts w:ascii="Arial Narrow" w:hAnsi="Arial Narrow" w:cs="Times New Roman"/>
                <w:sz w:val="20"/>
                <w:szCs w:val="20"/>
              </w:rPr>
              <w:t>Chiesi Australia Pty Ltd</w:t>
            </w:r>
            <w:r w:rsidRPr="00700B99">
              <w:rPr>
                <w:rFonts w:ascii="Arial Narrow" w:hAnsi="Arial Narrow"/>
                <w:sz w:val="20"/>
              </w:rPr>
              <w:t xml:space="preserve"> </w:t>
            </w:r>
          </w:p>
        </w:tc>
      </w:tr>
    </w:tbl>
    <w:p w14:paraId="11DBC814" w14:textId="77777777" w:rsidR="009F4782" w:rsidRDefault="009F4782" w:rsidP="009F4782"/>
    <w:p w14:paraId="4795CC41" w14:textId="77777777" w:rsidR="00523A93" w:rsidRDefault="00523A93">
      <w:r>
        <w:br w:type="page"/>
      </w:r>
    </w:p>
    <w:tbl>
      <w:tblPr>
        <w:tblW w:w="0" w:type="auto"/>
        <w:tblInd w:w="-5" w:type="dxa"/>
        <w:tblLook w:val="04A0" w:firstRow="1" w:lastRow="0" w:firstColumn="1" w:lastColumn="0" w:noHBand="0" w:noVBand="1"/>
      </w:tblPr>
      <w:tblGrid>
        <w:gridCol w:w="1985"/>
        <w:gridCol w:w="7037"/>
      </w:tblGrid>
      <w:tr w:rsidR="009F4782" w:rsidRPr="00700B99" w14:paraId="7C2A1DB4" w14:textId="77777777" w:rsidTr="009F4782">
        <w:trPr>
          <w:cantSplit/>
          <w:trHeight w:val="60"/>
        </w:trPr>
        <w:tc>
          <w:tcPr>
            <w:tcW w:w="1985" w:type="dxa"/>
            <w:tcBorders>
              <w:top w:val="single" w:sz="4" w:space="0" w:color="auto"/>
              <w:left w:val="single" w:sz="4" w:space="0" w:color="auto"/>
              <w:bottom w:val="single" w:sz="4" w:space="0" w:color="auto"/>
              <w:right w:val="single" w:sz="4" w:space="0" w:color="auto"/>
            </w:tcBorders>
            <w:vAlign w:val="center"/>
            <w:hideMark/>
          </w:tcPr>
          <w:p w14:paraId="3797557F" w14:textId="7F42FAA0" w:rsidR="009F4782" w:rsidRPr="00700B99" w:rsidRDefault="009F4782" w:rsidP="009F4782">
            <w:pPr>
              <w:spacing w:line="256" w:lineRule="auto"/>
              <w:rPr>
                <w:rFonts w:ascii="Arial Narrow" w:hAnsi="Arial Narrow"/>
                <w:b/>
                <w:sz w:val="20"/>
              </w:rPr>
            </w:pPr>
            <w:r w:rsidRPr="00700B99">
              <w:rPr>
                <w:rFonts w:ascii="Arial Narrow" w:hAnsi="Arial Narrow"/>
                <w:b/>
                <w:sz w:val="20"/>
              </w:rPr>
              <w:lastRenderedPageBreak/>
              <w:t>Category/Program</w:t>
            </w:r>
          </w:p>
        </w:tc>
        <w:tc>
          <w:tcPr>
            <w:tcW w:w="7037" w:type="dxa"/>
            <w:tcBorders>
              <w:top w:val="single" w:sz="4" w:space="0" w:color="auto"/>
              <w:left w:val="single" w:sz="4" w:space="0" w:color="auto"/>
              <w:bottom w:val="single" w:sz="4" w:space="0" w:color="auto"/>
              <w:right w:val="single" w:sz="4" w:space="0" w:color="auto"/>
            </w:tcBorders>
            <w:vAlign w:val="center"/>
            <w:hideMark/>
          </w:tcPr>
          <w:p w14:paraId="43B7C5C0" w14:textId="77777777" w:rsidR="009F4782" w:rsidRPr="00700B99" w:rsidRDefault="009F4782" w:rsidP="009F4782">
            <w:pPr>
              <w:spacing w:line="256" w:lineRule="auto"/>
              <w:rPr>
                <w:rFonts w:ascii="Arial Narrow" w:hAnsi="Arial Narrow" w:cs="Times New Roman"/>
                <w:sz w:val="20"/>
              </w:rPr>
            </w:pPr>
            <w:r w:rsidRPr="00700B99">
              <w:rPr>
                <w:rFonts w:ascii="Arial Narrow" w:hAnsi="Arial Narrow"/>
                <w:sz w:val="20"/>
              </w:rPr>
              <w:t>Section 85 (general schedule)</w:t>
            </w:r>
          </w:p>
        </w:tc>
      </w:tr>
      <w:tr w:rsidR="009F4782" w:rsidRPr="00700B99" w14:paraId="1A51F345" w14:textId="77777777" w:rsidTr="009F4782">
        <w:trPr>
          <w:cantSplit/>
          <w:trHeight w:val="224"/>
        </w:trPr>
        <w:tc>
          <w:tcPr>
            <w:tcW w:w="1985" w:type="dxa"/>
            <w:tcBorders>
              <w:top w:val="single" w:sz="4" w:space="0" w:color="auto"/>
              <w:left w:val="single" w:sz="4" w:space="0" w:color="auto"/>
              <w:bottom w:val="single" w:sz="4" w:space="0" w:color="auto"/>
              <w:right w:val="single" w:sz="4" w:space="0" w:color="auto"/>
            </w:tcBorders>
            <w:vAlign w:val="center"/>
            <w:hideMark/>
          </w:tcPr>
          <w:p w14:paraId="76C2831D" w14:textId="77777777" w:rsidR="009F4782" w:rsidRPr="00700B99" w:rsidRDefault="009F4782" w:rsidP="009F4782">
            <w:pPr>
              <w:spacing w:line="256" w:lineRule="auto"/>
              <w:rPr>
                <w:rFonts w:ascii="Arial Narrow" w:hAnsi="Arial Narrow"/>
                <w:b/>
                <w:sz w:val="20"/>
              </w:rPr>
            </w:pPr>
            <w:r w:rsidRPr="00700B99">
              <w:rPr>
                <w:rFonts w:ascii="Arial Narrow" w:hAnsi="Arial Narrow"/>
                <w:b/>
                <w:sz w:val="20"/>
              </w:rPr>
              <w:t>Prescriber type:</w:t>
            </w:r>
          </w:p>
        </w:tc>
        <w:tc>
          <w:tcPr>
            <w:tcW w:w="7037" w:type="dxa"/>
            <w:tcBorders>
              <w:top w:val="single" w:sz="4" w:space="0" w:color="auto"/>
              <w:left w:val="single" w:sz="4" w:space="0" w:color="auto"/>
              <w:bottom w:val="single" w:sz="4" w:space="0" w:color="auto"/>
              <w:right w:val="single" w:sz="4" w:space="0" w:color="auto"/>
            </w:tcBorders>
            <w:vAlign w:val="center"/>
            <w:hideMark/>
          </w:tcPr>
          <w:p w14:paraId="1F2CF223" w14:textId="77777777" w:rsidR="009F4782" w:rsidRPr="00700B99" w:rsidRDefault="009F4782" w:rsidP="009F4782">
            <w:pPr>
              <w:spacing w:line="256" w:lineRule="auto"/>
              <w:rPr>
                <w:rFonts w:ascii="Arial Narrow" w:hAnsi="Arial Narrow"/>
                <w:sz w:val="20"/>
              </w:rPr>
            </w:pPr>
            <w:r w:rsidRPr="00700B99">
              <w:rPr>
                <w:rFonts w:ascii="Arial Narrow" w:hAnsi="Arial Narrow"/>
                <w:sz w:val="20"/>
              </w:rPr>
              <w:t xml:space="preserve">Dental  </w:t>
            </w:r>
            <w:r w:rsidRPr="00700B99">
              <w:rPr>
                <w:rFonts w:ascii="Arial Narrow" w:hAnsi="Arial Narrow"/>
                <w:sz w:val="20"/>
              </w:rPr>
              <w:fldChar w:fldCharType="begin">
                <w:ffData>
                  <w:name w:val=""/>
                  <w:enabled/>
                  <w:calcOnExit w:val="0"/>
                  <w:checkBox>
                    <w:sizeAuto/>
                    <w:default w:val="1"/>
                  </w:checkBox>
                </w:ffData>
              </w:fldChar>
            </w:r>
            <w:r w:rsidRPr="00700B99">
              <w:rPr>
                <w:rFonts w:ascii="Arial Narrow" w:hAnsi="Arial Narrow"/>
                <w:sz w:val="20"/>
              </w:rPr>
              <w:instrText xml:space="preserve"> FORMCHECKBOX </w:instrText>
            </w:r>
            <w:r w:rsidR="00523A93">
              <w:rPr>
                <w:rFonts w:ascii="Arial Narrow" w:hAnsi="Arial Narrow"/>
                <w:sz w:val="20"/>
              </w:rPr>
            </w:r>
            <w:r w:rsidR="00523A93">
              <w:rPr>
                <w:rFonts w:ascii="Arial Narrow" w:hAnsi="Arial Narrow"/>
                <w:sz w:val="20"/>
              </w:rPr>
              <w:fldChar w:fldCharType="separate"/>
            </w:r>
            <w:r w:rsidRPr="00700B99">
              <w:rPr>
                <w:rFonts w:ascii="Arial Narrow" w:hAnsi="Arial Narrow"/>
                <w:sz w:val="20"/>
              </w:rPr>
              <w:fldChar w:fldCharType="end"/>
            </w:r>
            <w:r w:rsidRPr="00700B99">
              <w:rPr>
                <w:rFonts w:ascii="Arial Narrow" w:hAnsi="Arial Narrow"/>
                <w:sz w:val="20"/>
              </w:rPr>
              <w:t xml:space="preserve">Medical Practitioners  </w:t>
            </w:r>
            <w:r w:rsidRPr="00700B99">
              <w:rPr>
                <w:rFonts w:ascii="Arial Narrow" w:hAnsi="Arial Narrow"/>
                <w:sz w:val="20"/>
              </w:rPr>
              <w:fldChar w:fldCharType="begin">
                <w:ffData>
                  <w:name w:val=""/>
                  <w:enabled/>
                  <w:calcOnExit w:val="0"/>
                  <w:checkBox>
                    <w:sizeAuto/>
                    <w:default w:val="1"/>
                  </w:checkBox>
                </w:ffData>
              </w:fldChar>
            </w:r>
            <w:r w:rsidRPr="00700B99">
              <w:rPr>
                <w:rFonts w:ascii="Arial Narrow" w:hAnsi="Arial Narrow"/>
                <w:sz w:val="20"/>
              </w:rPr>
              <w:instrText xml:space="preserve"> FORMCHECKBOX </w:instrText>
            </w:r>
            <w:r w:rsidR="00523A93">
              <w:rPr>
                <w:rFonts w:ascii="Arial Narrow" w:hAnsi="Arial Narrow"/>
                <w:sz w:val="20"/>
              </w:rPr>
            </w:r>
            <w:r w:rsidR="00523A93">
              <w:rPr>
                <w:rFonts w:ascii="Arial Narrow" w:hAnsi="Arial Narrow"/>
                <w:sz w:val="20"/>
              </w:rPr>
              <w:fldChar w:fldCharType="separate"/>
            </w:r>
            <w:r w:rsidRPr="00700B99">
              <w:rPr>
                <w:rFonts w:ascii="Arial Narrow" w:hAnsi="Arial Narrow"/>
                <w:sz w:val="20"/>
              </w:rPr>
              <w:fldChar w:fldCharType="end"/>
            </w:r>
            <w:r w:rsidRPr="00700B99">
              <w:rPr>
                <w:rFonts w:ascii="Arial Narrow" w:hAnsi="Arial Narrow"/>
                <w:sz w:val="20"/>
              </w:rPr>
              <w:t xml:space="preserve">Nurse practitioners  </w:t>
            </w:r>
            <w:r w:rsidRPr="00700B99">
              <w:rPr>
                <w:rFonts w:ascii="Arial Narrow" w:hAnsi="Arial Narrow"/>
                <w:sz w:val="20"/>
              </w:rPr>
              <w:fldChar w:fldCharType="begin">
                <w:ffData>
                  <w:name w:val=""/>
                  <w:enabled/>
                  <w:calcOnExit w:val="0"/>
                  <w:checkBox>
                    <w:sizeAuto/>
                    <w:default w:val="0"/>
                  </w:checkBox>
                </w:ffData>
              </w:fldChar>
            </w:r>
            <w:r w:rsidRPr="00700B99">
              <w:rPr>
                <w:rFonts w:ascii="Arial Narrow" w:hAnsi="Arial Narrow"/>
                <w:sz w:val="20"/>
              </w:rPr>
              <w:instrText xml:space="preserve"> FORMCHECKBOX </w:instrText>
            </w:r>
            <w:r w:rsidR="00523A93">
              <w:rPr>
                <w:rFonts w:ascii="Arial Narrow" w:hAnsi="Arial Narrow"/>
                <w:sz w:val="20"/>
              </w:rPr>
            </w:r>
            <w:r w:rsidR="00523A93">
              <w:rPr>
                <w:rFonts w:ascii="Arial Narrow" w:hAnsi="Arial Narrow"/>
                <w:sz w:val="20"/>
              </w:rPr>
              <w:fldChar w:fldCharType="separate"/>
            </w:r>
            <w:r w:rsidRPr="00700B99">
              <w:rPr>
                <w:rFonts w:ascii="Arial Narrow" w:hAnsi="Arial Narrow"/>
                <w:sz w:val="20"/>
              </w:rPr>
              <w:fldChar w:fldCharType="end"/>
            </w:r>
            <w:r w:rsidRPr="00700B99">
              <w:rPr>
                <w:rFonts w:ascii="Arial Narrow" w:hAnsi="Arial Narrow"/>
                <w:sz w:val="20"/>
              </w:rPr>
              <w:t>Optometrists</w:t>
            </w:r>
            <w:r>
              <w:rPr>
                <w:rFonts w:ascii="Arial Narrow" w:hAnsi="Arial Narrow"/>
                <w:sz w:val="20"/>
              </w:rPr>
              <w:t xml:space="preserve"> </w:t>
            </w:r>
            <w:r w:rsidRPr="00700B99">
              <w:rPr>
                <w:rFonts w:ascii="Arial Narrow" w:hAnsi="Arial Narrow"/>
                <w:sz w:val="20"/>
              </w:rPr>
              <w:fldChar w:fldCharType="begin">
                <w:ffData>
                  <w:name w:val="Check5"/>
                  <w:enabled/>
                  <w:calcOnExit w:val="0"/>
                  <w:checkBox>
                    <w:sizeAuto/>
                    <w:default w:val="0"/>
                  </w:checkBox>
                </w:ffData>
              </w:fldChar>
            </w:r>
            <w:r w:rsidRPr="00700B99">
              <w:rPr>
                <w:rFonts w:ascii="Arial Narrow" w:hAnsi="Arial Narrow"/>
                <w:sz w:val="20"/>
              </w:rPr>
              <w:instrText xml:space="preserve"> FORMCHECKBOX </w:instrText>
            </w:r>
            <w:r w:rsidR="00523A93">
              <w:rPr>
                <w:rFonts w:ascii="Arial Narrow" w:hAnsi="Arial Narrow"/>
                <w:sz w:val="20"/>
              </w:rPr>
            </w:r>
            <w:r w:rsidR="00523A93">
              <w:rPr>
                <w:rFonts w:ascii="Arial Narrow" w:hAnsi="Arial Narrow"/>
                <w:sz w:val="20"/>
              </w:rPr>
              <w:fldChar w:fldCharType="separate"/>
            </w:r>
            <w:r w:rsidRPr="00700B99">
              <w:rPr>
                <w:rFonts w:ascii="Arial Narrow" w:hAnsi="Arial Narrow"/>
                <w:sz w:val="20"/>
              </w:rPr>
              <w:fldChar w:fldCharType="end"/>
            </w:r>
            <w:r w:rsidRPr="00700B99">
              <w:rPr>
                <w:rFonts w:ascii="Arial Narrow" w:hAnsi="Arial Narrow"/>
                <w:sz w:val="20"/>
              </w:rPr>
              <w:t>Midwives</w:t>
            </w:r>
          </w:p>
        </w:tc>
      </w:tr>
      <w:tr w:rsidR="009F4782" w:rsidRPr="00700B99" w14:paraId="0E004F03" w14:textId="77777777" w:rsidTr="009F4782">
        <w:trPr>
          <w:cantSplit/>
          <w:trHeight w:val="60"/>
        </w:trPr>
        <w:tc>
          <w:tcPr>
            <w:tcW w:w="1985" w:type="dxa"/>
            <w:tcBorders>
              <w:top w:val="single" w:sz="4" w:space="0" w:color="auto"/>
              <w:left w:val="single" w:sz="4" w:space="0" w:color="auto"/>
              <w:bottom w:val="single" w:sz="4" w:space="0" w:color="auto"/>
              <w:right w:val="single" w:sz="4" w:space="0" w:color="auto"/>
            </w:tcBorders>
            <w:vAlign w:val="center"/>
            <w:hideMark/>
          </w:tcPr>
          <w:p w14:paraId="54EE6DA4" w14:textId="77777777" w:rsidR="009F4782" w:rsidRPr="00700B99" w:rsidRDefault="009F4782" w:rsidP="009F4782">
            <w:pPr>
              <w:spacing w:line="256" w:lineRule="auto"/>
              <w:rPr>
                <w:rFonts w:ascii="Arial Narrow" w:hAnsi="Arial Narrow"/>
                <w:b/>
                <w:sz w:val="20"/>
              </w:rPr>
            </w:pPr>
            <w:r w:rsidRPr="00700B99">
              <w:rPr>
                <w:rFonts w:ascii="Arial Narrow" w:hAnsi="Arial Narrow"/>
                <w:b/>
                <w:sz w:val="20"/>
              </w:rPr>
              <w:t>Condition:</w:t>
            </w:r>
          </w:p>
        </w:tc>
        <w:tc>
          <w:tcPr>
            <w:tcW w:w="7037" w:type="dxa"/>
            <w:tcBorders>
              <w:top w:val="single" w:sz="4" w:space="0" w:color="auto"/>
              <w:left w:val="single" w:sz="4" w:space="0" w:color="auto"/>
              <w:bottom w:val="single" w:sz="4" w:space="0" w:color="auto"/>
              <w:right w:val="single" w:sz="4" w:space="0" w:color="auto"/>
            </w:tcBorders>
            <w:vAlign w:val="center"/>
            <w:hideMark/>
          </w:tcPr>
          <w:p w14:paraId="59F102AB" w14:textId="77777777" w:rsidR="009F4782" w:rsidRPr="00700B99" w:rsidRDefault="009F4782" w:rsidP="009F4782">
            <w:pPr>
              <w:spacing w:line="256" w:lineRule="auto"/>
              <w:rPr>
                <w:rFonts w:ascii="Arial Narrow" w:hAnsi="Arial Narrow" w:cs="Times New Roman"/>
                <w:sz w:val="20"/>
              </w:rPr>
            </w:pPr>
            <w:r w:rsidRPr="00700B99">
              <w:rPr>
                <w:rFonts w:ascii="Arial Narrow" w:hAnsi="Arial Narrow"/>
                <w:sz w:val="20"/>
              </w:rPr>
              <w:t xml:space="preserve">Primary biliary cholangitis </w:t>
            </w:r>
          </w:p>
        </w:tc>
      </w:tr>
      <w:tr w:rsidR="009F4782" w:rsidRPr="00700B99" w14:paraId="4725889A" w14:textId="77777777" w:rsidTr="009F4782">
        <w:trPr>
          <w:cantSplit/>
          <w:trHeight w:val="60"/>
        </w:trPr>
        <w:tc>
          <w:tcPr>
            <w:tcW w:w="1985" w:type="dxa"/>
            <w:tcBorders>
              <w:top w:val="single" w:sz="4" w:space="0" w:color="auto"/>
              <w:left w:val="single" w:sz="4" w:space="0" w:color="auto"/>
              <w:bottom w:val="single" w:sz="4" w:space="0" w:color="auto"/>
              <w:right w:val="single" w:sz="4" w:space="0" w:color="auto"/>
            </w:tcBorders>
            <w:vAlign w:val="center"/>
            <w:hideMark/>
          </w:tcPr>
          <w:p w14:paraId="3CE3E75A" w14:textId="77777777" w:rsidR="009F4782" w:rsidRPr="00700B99" w:rsidRDefault="009F4782" w:rsidP="009F4782">
            <w:pPr>
              <w:spacing w:line="256" w:lineRule="auto"/>
              <w:rPr>
                <w:rFonts w:ascii="Arial Narrow" w:hAnsi="Arial Narrow"/>
                <w:b/>
                <w:sz w:val="20"/>
              </w:rPr>
            </w:pPr>
            <w:r w:rsidRPr="00700B99">
              <w:rPr>
                <w:rFonts w:ascii="Arial Narrow" w:hAnsi="Arial Narrow"/>
                <w:b/>
                <w:sz w:val="20"/>
              </w:rPr>
              <w:t>PBS Indication:</w:t>
            </w:r>
          </w:p>
        </w:tc>
        <w:tc>
          <w:tcPr>
            <w:tcW w:w="7037" w:type="dxa"/>
            <w:tcBorders>
              <w:top w:val="single" w:sz="4" w:space="0" w:color="auto"/>
              <w:left w:val="single" w:sz="4" w:space="0" w:color="auto"/>
              <w:bottom w:val="single" w:sz="4" w:space="0" w:color="auto"/>
              <w:right w:val="single" w:sz="4" w:space="0" w:color="auto"/>
            </w:tcBorders>
            <w:vAlign w:val="center"/>
            <w:hideMark/>
          </w:tcPr>
          <w:p w14:paraId="0E2F498E" w14:textId="77777777" w:rsidR="009F4782" w:rsidRPr="00700B99" w:rsidRDefault="009F4782" w:rsidP="009F4782">
            <w:pPr>
              <w:spacing w:line="256" w:lineRule="auto"/>
              <w:rPr>
                <w:rFonts w:ascii="Arial Narrow" w:hAnsi="Arial Narrow" w:cs="Times New Roman"/>
                <w:sz w:val="20"/>
              </w:rPr>
            </w:pPr>
            <w:r w:rsidRPr="00700B99">
              <w:rPr>
                <w:rFonts w:ascii="Arial Narrow" w:hAnsi="Arial Narrow"/>
                <w:sz w:val="20"/>
              </w:rPr>
              <w:t>Primary biliary cholangitis</w:t>
            </w:r>
          </w:p>
        </w:tc>
      </w:tr>
      <w:tr w:rsidR="009F4782" w:rsidRPr="00700B99" w14:paraId="4B20F307" w14:textId="77777777" w:rsidTr="009F4782">
        <w:trPr>
          <w:cantSplit/>
          <w:trHeight w:val="60"/>
        </w:trPr>
        <w:tc>
          <w:tcPr>
            <w:tcW w:w="1985" w:type="dxa"/>
            <w:tcBorders>
              <w:top w:val="single" w:sz="4" w:space="0" w:color="auto"/>
              <w:left w:val="single" w:sz="4" w:space="0" w:color="auto"/>
              <w:bottom w:val="single" w:sz="4" w:space="0" w:color="auto"/>
              <w:right w:val="single" w:sz="4" w:space="0" w:color="auto"/>
            </w:tcBorders>
            <w:vAlign w:val="center"/>
            <w:hideMark/>
          </w:tcPr>
          <w:p w14:paraId="05F668BF" w14:textId="77777777" w:rsidR="009F4782" w:rsidRPr="00700B99" w:rsidRDefault="009F4782" w:rsidP="009F4782">
            <w:pPr>
              <w:spacing w:line="256" w:lineRule="auto"/>
              <w:rPr>
                <w:rFonts w:ascii="Arial Narrow" w:hAnsi="Arial Narrow"/>
                <w:b/>
                <w:sz w:val="20"/>
              </w:rPr>
            </w:pPr>
            <w:r w:rsidRPr="00700B99">
              <w:rPr>
                <w:rFonts w:ascii="Arial Narrow" w:hAnsi="Arial Narrow"/>
                <w:b/>
                <w:sz w:val="20"/>
              </w:rPr>
              <w:t>Treatment phase:</w:t>
            </w:r>
          </w:p>
        </w:tc>
        <w:tc>
          <w:tcPr>
            <w:tcW w:w="7037" w:type="dxa"/>
            <w:tcBorders>
              <w:top w:val="single" w:sz="4" w:space="0" w:color="auto"/>
              <w:left w:val="single" w:sz="4" w:space="0" w:color="auto"/>
              <w:bottom w:val="single" w:sz="4" w:space="0" w:color="auto"/>
              <w:right w:val="single" w:sz="4" w:space="0" w:color="auto"/>
            </w:tcBorders>
            <w:vAlign w:val="center"/>
            <w:hideMark/>
          </w:tcPr>
          <w:p w14:paraId="591D10F9" w14:textId="77777777" w:rsidR="009F4782" w:rsidRPr="00700B99" w:rsidRDefault="009F4782" w:rsidP="009F4782">
            <w:pPr>
              <w:spacing w:line="256" w:lineRule="auto"/>
              <w:rPr>
                <w:rFonts w:ascii="Arial Narrow" w:hAnsi="Arial Narrow" w:cs="Times New Roman"/>
                <w:sz w:val="20"/>
              </w:rPr>
            </w:pPr>
            <w:r w:rsidRPr="00700B99">
              <w:rPr>
                <w:rFonts w:ascii="Arial Narrow" w:hAnsi="Arial Narrow"/>
                <w:sz w:val="20"/>
              </w:rPr>
              <w:t>Continuing treatment</w:t>
            </w:r>
          </w:p>
        </w:tc>
      </w:tr>
      <w:tr w:rsidR="009F4782" w:rsidRPr="00700B99" w14:paraId="44086AAF" w14:textId="77777777" w:rsidTr="009F4782">
        <w:trPr>
          <w:cantSplit/>
          <w:trHeight w:val="371"/>
        </w:trPr>
        <w:tc>
          <w:tcPr>
            <w:tcW w:w="1985" w:type="dxa"/>
            <w:tcBorders>
              <w:top w:val="single" w:sz="4" w:space="0" w:color="auto"/>
              <w:left w:val="single" w:sz="4" w:space="0" w:color="auto"/>
              <w:bottom w:val="single" w:sz="4" w:space="0" w:color="auto"/>
              <w:right w:val="single" w:sz="4" w:space="0" w:color="auto"/>
            </w:tcBorders>
            <w:vAlign w:val="center"/>
            <w:hideMark/>
          </w:tcPr>
          <w:p w14:paraId="4A1833D3" w14:textId="77777777" w:rsidR="009F4782" w:rsidRPr="00700B99" w:rsidRDefault="009F4782" w:rsidP="009F4782">
            <w:pPr>
              <w:spacing w:line="256" w:lineRule="auto"/>
              <w:rPr>
                <w:rFonts w:ascii="Arial Narrow" w:hAnsi="Arial Narrow"/>
                <w:b/>
                <w:sz w:val="20"/>
              </w:rPr>
            </w:pPr>
            <w:r w:rsidRPr="00700B99">
              <w:rPr>
                <w:rFonts w:ascii="Arial Narrow" w:hAnsi="Arial Narrow"/>
                <w:b/>
                <w:sz w:val="20"/>
              </w:rPr>
              <w:t>Restriction:</w:t>
            </w:r>
          </w:p>
        </w:tc>
        <w:tc>
          <w:tcPr>
            <w:tcW w:w="7037" w:type="dxa"/>
            <w:tcBorders>
              <w:top w:val="single" w:sz="4" w:space="0" w:color="auto"/>
              <w:left w:val="single" w:sz="4" w:space="0" w:color="auto"/>
              <w:bottom w:val="single" w:sz="4" w:space="0" w:color="auto"/>
              <w:right w:val="single" w:sz="4" w:space="0" w:color="auto"/>
            </w:tcBorders>
            <w:vAlign w:val="center"/>
            <w:hideMark/>
          </w:tcPr>
          <w:p w14:paraId="1D890F27" w14:textId="77777777" w:rsidR="009F4782" w:rsidRPr="00700B99" w:rsidRDefault="009F4782" w:rsidP="009F4782">
            <w:pPr>
              <w:spacing w:line="256" w:lineRule="auto"/>
              <w:rPr>
                <w:rFonts w:ascii="Arial Narrow" w:hAnsi="Arial Narrow"/>
                <w:sz w:val="20"/>
              </w:rPr>
            </w:pPr>
            <w:r w:rsidRPr="00700B99">
              <w:rPr>
                <w:rFonts w:ascii="Arial Narrow" w:hAnsi="Arial Narrow"/>
                <w:sz w:val="20"/>
              </w:rPr>
              <w:fldChar w:fldCharType="begin">
                <w:ffData>
                  <w:name w:val="Check1"/>
                  <w:enabled/>
                  <w:calcOnExit w:val="0"/>
                  <w:checkBox>
                    <w:sizeAuto/>
                    <w:default w:val="0"/>
                  </w:checkBox>
                </w:ffData>
              </w:fldChar>
            </w:r>
            <w:r w:rsidRPr="00700B99">
              <w:rPr>
                <w:rFonts w:ascii="Arial Narrow" w:hAnsi="Arial Narrow"/>
                <w:sz w:val="20"/>
              </w:rPr>
              <w:instrText xml:space="preserve"> FORMCHECKBOX </w:instrText>
            </w:r>
            <w:r w:rsidR="00523A93">
              <w:rPr>
                <w:rFonts w:ascii="Arial Narrow" w:hAnsi="Arial Narrow"/>
                <w:sz w:val="20"/>
              </w:rPr>
            </w:r>
            <w:r w:rsidR="00523A93">
              <w:rPr>
                <w:rFonts w:ascii="Arial Narrow" w:hAnsi="Arial Narrow"/>
                <w:sz w:val="20"/>
              </w:rPr>
              <w:fldChar w:fldCharType="separate"/>
            </w:r>
            <w:r w:rsidRPr="00700B99">
              <w:rPr>
                <w:rFonts w:ascii="Arial Narrow" w:hAnsi="Arial Narrow"/>
                <w:sz w:val="20"/>
              </w:rPr>
              <w:fldChar w:fldCharType="end"/>
            </w:r>
            <w:r w:rsidRPr="00700B99">
              <w:rPr>
                <w:rFonts w:ascii="Arial Narrow" w:hAnsi="Arial Narrow"/>
                <w:sz w:val="20"/>
              </w:rPr>
              <w:t>Restricted benefit</w:t>
            </w:r>
          </w:p>
          <w:p w14:paraId="2E171B6B" w14:textId="77777777" w:rsidR="009F4782" w:rsidRPr="00700B99" w:rsidRDefault="009F4782" w:rsidP="009F4782">
            <w:pPr>
              <w:spacing w:line="256" w:lineRule="auto"/>
              <w:rPr>
                <w:rFonts w:ascii="Arial Narrow" w:hAnsi="Arial Narrow"/>
                <w:sz w:val="20"/>
              </w:rPr>
            </w:pPr>
            <w:r w:rsidRPr="00700B99">
              <w:rPr>
                <w:rFonts w:ascii="Arial Narrow" w:hAnsi="Arial Narrow"/>
                <w:sz w:val="20"/>
              </w:rPr>
              <w:fldChar w:fldCharType="begin">
                <w:ffData>
                  <w:name w:val=""/>
                  <w:enabled/>
                  <w:calcOnExit w:val="0"/>
                  <w:checkBox>
                    <w:sizeAuto/>
                    <w:default w:val="0"/>
                  </w:checkBox>
                </w:ffData>
              </w:fldChar>
            </w:r>
            <w:r w:rsidRPr="00700B99">
              <w:rPr>
                <w:rFonts w:ascii="Arial Narrow" w:hAnsi="Arial Narrow"/>
                <w:sz w:val="20"/>
              </w:rPr>
              <w:instrText xml:space="preserve"> FORMCHECKBOX </w:instrText>
            </w:r>
            <w:r w:rsidR="00523A93">
              <w:rPr>
                <w:rFonts w:ascii="Arial Narrow" w:hAnsi="Arial Narrow"/>
                <w:sz w:val="20"/>
              </w:rPr>
            </w:r>
            <w:r w:rsidR="00523A93">
              <w:rPr>
                <w:rFonts w:ascii="Arial Narrow" w:hAnsi="Arial Narrow"/>
                <w:sz w:val="20"/>
              </w:rPr>
              <w:fldChar w:fldCharType="separate"/>
            </w:r>
            <w:r w:rsidRPr="00700B99">
              <w:rPr>
                <w:rFonts w:ascii="Arial Narrow" w:hAnsi="Arial Narrow"/>
                <w:sz w:val="20"/>
              </w:rPr>
              <w:fldChar w:fldCharType="end"/>
            </w:r>
            <w:r w:rsidRPr="00700B99">
              <w:rPr>
                <w:rFonts w:ascii="Arial Narrow" w:hAnsi="Arial Narrow"/>
                <w:sz w:val="20"/>
              </w:rPr>
              <w:t>Authority Required - In Writing</w:t>
            </w:r>
          </w:p>
          <w:p w14:paraId="47839FF4" w14:textId="77777777" w:rsidR="009F4782" w:rsidRPr="00700B99" w:rsidRDefault="009F4782" w:rsidP="009F4782">
            <w:pPr>
              <w:spacing w:line="256" w:lineRule="auto"/>
              <w:rPr>
                <w:rFonts w:ascii="Arial Narrow" w:hAnsi="Arial Narrow"/>
                <w:sz w:val="20"/>
              </w:rPr>
            </w:pPr>
            <w:r w:rsidRPr="00700B99">
              <w:rPr>
                <w:rFonts w:ascii="Arial Narrow" w:hAnsi="Arial Narrow"/>
                <w:sz w:val="20"/>
              </w:rPr>
              <w:fldChar w:fldCharType="begin">
                <w:ffData>
                  <w:name w:val=""/>
                  <w:enabled/>
                  <w:calcOnExit w:val="0"/>
                  <w:checkBox>
                    <w:sizeAuto/>
                    <w:default w:val="1"/>
                  </w:checkBox>
                </w:ffData>
              </w:fldChar>
            </w:r>
            <w:r w:rsidRPr="00700B99">
              <w:rPr>
                <w:rFonts w:ascii="Arial Narrow" w:hAnsi="Arial Narrow"/>
                <w:sz w:val="20"/>
              </w:rPr>
              <w:instrText xml:space="preserve"> FORMCHECKBOX </w:instrText>
            </w:r>
            <w:r w:rsidR="00523A93">
              <w:rPr>
                <w:rFonts w:ascii="Arial Narrow" w:hAnsi="Arial Narrow"/>
                <w:sz w:val="20"/>
              </w:rPr>
            </w:r>
            <w:r w:rsidR="00523A93">
              <w:rPr>
                <w:rFonts w:ascii="Arial Narrow" w:hAnsi="Arial Narrow"/>
                <w:sz w:val="20"/>
              </w:rPr>
              <w:fldChar w:fldCharType="separate"/>
            </w:r>
            <w:r w:rsidRPr="00700B99">
              <w:rPr>
                <w:rFonts w:ascii="Arial Narrow" w:hAnsi="Arial Narrow"/>
                <w:sz w:val="20"/>
              </w:rPr>
              <w:fldChar w:fldCharType="end"/>
            </w:r>
            <w:r w:rsidRPr="00700B99">
              <w:rPr>
                <w:rFonts w:ascii="Arial Narrow" w:hAnsi="Arial Narrow"/>
                <w:sz w:val="20"/>
              </w:rPr>
              <w:t>Authority Required - Telephone, Electronic</w:t>
            </w:r>
          </w:p>
          <w:p w14:paraId="1F9C2371" w14:textId="77777777" w:rsidR="009F4782" w:rsidRPr="00700B99" w:rsidRDefault="009F4782" w:rsidP="009F4782">
            <w:pPr>
              <w:spacing w:line="256" w:lineRule="auto"/>
              <w:rPr>
                <w:rFonts w:ascii="Arial Narrow" w:hAnsi="Arial Narrow" w:cs="Times New Roman"/>
                <w:sz w:val="20"/>
              </w:rPr>
            </w:pPr>
            <w:r w:rsidRPr="00700B99">
              <w:rPr>
                <w:rFonts w:ascii="Arial Narrow" w:hAnsi="Arial Narrow"/>
                <w:sz w:val="20"/>
              </w:rPr>
              <w:fldChar w:fldCharType="begin">
                <w:ffData>
                  <w:name w:val="Check5"/>
                  <w:enabled/>
                  <w:calcOnExit w:val="0"/>
                  <w:checkBox>
                    <w:sizeAuto/>
                    <w:default w:val="0"/>
                  </w:checkBox>
                </w:ffData>
              </w:fldChar>
            </w:r>
            <w:r w:rsidRPr="00700B99">
              <w:rPr>
                <w:rFonts w:ascii="Arial Narrow" w:hAnsi="Arial Narrow"/>
                <w:sz w:val="20"/>
              </w:rPr>
              <w:instrText xml:space="preserve"> FORMCHECKBOX </w:instrText>
            </w:r>
            <w:r w:rsidR="00523A93">
              <w:rPr>
                <w:rFonts w:ascii="Arial Narrow" w:hAnsi="Arial Narrow"/>
                <w:sz w:val="20"/>
              </w:rPr>
            </w:r>
            <w:r w:rsidR="00523A93">
              <w:rPr>
                <w:rFonts w:ascii="Arial Narrow" w:hAnsi="Arial Narrow"/>
                <w:sz w:val="20"/>
              </w:rPr>
              <w:fldChar w:fldCharType="separate"/>
            </w:r>
            <w:r w:rsidRPr="00700B99">
              <w:rPr>
                <w:rFonts w:ascii="Arial Narrow" w:hAnsi="Arial Narrow"/>
                <w:sz w:val="20"/>
              </w:rPr>
              <w:fldChar w:fldCharType="end"/>
            </w:r>
            <w:r w:rsidRPr="00700B99">
              <w:rPr>
                <w:rFonts w:ascii="Arial Narrow" w:hAnsi="Arial Narrow"/>
                <w:sz w:val="20"/>
              </w:rPr>
              <w:t>Streamlined</w:t>
            </w:r>
          </w:p>
        </w:tc>
      </w:tr>
      <w:tr w:rsidR="009F4782" w:rsidRPr="00700B99" w14:paraId="41D131AC" w14:textId="77777777" w:rsidTr="009F4782">
        <w:trPr>
          <w:cantSplit/>
          <w:trHeight w:val="371"/>
        </w:trPr>
        <w:tc>
          <w:tcPr>
            <w:tcW w:w="1985" w:type="dxa"/>
            <w:tcBorders>
              <w:top w:val="single" w:sz="4" w:space="0" w:color="auto"/>
              <w:left w:val="single" w:sz="4" w:space="0" w:color="auto"/>
              <w:bottom w:val="single" w:sz="4" w:space="0" w:color="auto"/>
              <w:right w:val="single" w:sz="4" w:space="0" w:color="auto"/>
            </w:tcBorders>
            <w:vAlign w:val="center"/>
            <w:hideMark/>
          </w:tcPr>
          <w:p w14:paraId="11F1A41A" w14:textId="77777777" w:rsidR="009F4782" w:rsidRPr="00700B99" w:rsidRDefault="009F4782" w:rsidP="009F4782">
            <w:pPr>
              <w:spacing w:line="256" w:lineRule="auto"/>
              <w:rPr>
                <w:rFonts w:ascii="Arial Narrow" w:hAnsi="Arial Narrow"/>
                <w:sz w:val="20"/>
              </w:rPr>
            </w:pPr>
            <w:r w:rsidRPr="00700B99">
              <w:rPr>
                <w:rFonts w:ascii="Arial Narrow" w:hAnsi="Arial Narrow"/>
                <w:b/>
                <w:sz w:val="20"/>
              </w:rPr>
              <w:t>Treatment criteria</w:t>
            </w:r>
            <w:r w:rsidRPr="00700B99">
              <w:rPr>
                <w:rFonts w:ascii="Arial Narrow" w:hAnsi="Arial Narrow"/>
                <w:sz w:val="20"/>
              </w:rPr>
              <w:t>:</w:t>
            </w:r>
          </w:p>
        </w:tc>
        <w:tc>
          <w:tcPr>
            <w:tcW w:w="7037" w:type="dxa"/>
            <w:tcBorders>
              <w:top w:val="single" w:sz="4" w:space="0" w:color="auto"/>
              <w:left w:val="single" w:sz="4" w:space="0" w:color="auto"/>
              <w:bottom w:val="single" w:sz="4" w:space="0" w:color="auto"/>
              <w:right w:val="single" w:sz="4" w:space="0" w:color="auto"/>
            </w:tcBorders>
            <w:vAlign w:val="center"/>
            <w:hideMark/>
          </w:tcPr>
          <w:p w14:paraId="7E313BD4" w14:textId="77777777" w:rsidR="009F4782" w:rsidRPr="00700B99" w:rsidRDefault="009F4782" w:rsidP="009F4782">
            <w:pPr>
              <w:spacing w:line="256" w:lineRule="auto"/>
              <w:rPr>
                <w:rFonts w:ascii="Arial Narrow" w:hAnsi="Arial Narrow"/>
                <w:sz w:val="20"/>
              </w:rPr>
            </w:pPr>
            <w:r w:rsidRPr="00700B99">
              <w:rPr>
                <w:rFonts w:ascii="Arial Narrow" w:hAnsi="Arial Narrow"/>
                <w:sz w:val="20"/>
              </w:rPr>
              <w:t>Patient must be treated by a gastroenterologist or hepatologist or in consultation with a gastroenterologist or hepatologist.</w:t>
            </w:r>
          </w:p>
        </w:tc>
      </w:tr>
      <w:tr w:rsidR="009F4782" w:rsidRPr="00700B99" w14:paraId="08A13488" w14:textId="77777777" w:rsidTr="009F4782">
        <w:trPr>
          <w:cantSplit/>
          <w:trHeight w:val="371"/>
        </w:trPr>
        <w:tc>
          <w:tcPr>
            <w:tcW w:w="1985" w:type="dxa"/>
            <w:tcBorders>
              <w:top w:val="single" w:sz="4" w:space="0" w:color="auto"/>
              <w:left w:val="single" w:sz="4" w:space="0" w:color="auto"/>
              <w:bottom w:val="single" w:sz="4" w:space="0" w:color="auto"/>
              <w:right w:val="single" w:sz="4" w:space="0" w:color="auto"/>
            </w:tcBorders>
            <w:vAlign w:val="center"/>
            <w:hideMark/>
          </w:tcPr>
          <w:p w14:paraId="116B5E7E" w14:textId="77777777" w:rsidR="009F4782" w:rsidRPr="00700B99" w:rsidRDefault="009F4782" w:rsidP="009F4782">
            <w:pPr>
              <w:spacing w:line="256" w:lineRule="auto"/>
              <w:rPr>
                <w:rFonts w:ascii="Arial Narrow" w:hAnsi="Arial Narrow"/>
                <w:b/>
                <w:sz w:val="20"/>
              </w:rPr>
            </w:pPr>
            <w:r w:rsidRPr="00700B99">
              <w:rPr>
                <w:rFonts w:ascii="Arial Narrow" w:hAnsi="Arial Narrow"/>
                <w:b/>
                <w:sz w:val="20"/>
              </w:rPr>
              <w:t>Clinical criteria:</w:t>
            </w:r>
          </w:p>
        </w:tc>
        <w:tc>
          <w:tcPr>
            <w:tcW w:w="7037" w:type="dxa"/>
            <w:tcBorders>
              <w:top w:val="single" w:sz="4" w:space="0" w:color="auto"/>
              <w:left w:val="single" w:sz="4" w:space="0" w:color="auto"/>
              <w:bottom w:val="single" w:sz="4" w:space="0" w:color="auto"/>
              <w:right w:val="single" w:sz="4" w:space="0" w:color="auto"/>
            </w:tcBorders>
            <w:vAlign w:val="center"/>
            <w:hideMark/>
          </w:tcPr>
          <w:p w14:paraId="5F14B46E" w14:textId="77777777" w:rsidR="009F4782" w:rsidRPr="00700B99" w:rsidRDefault="009F4782" w:rsidP="009F4782">
            <w:pPr>
              <w:spacing w:line="256" w:lineRule="auto"/>
              <w:rPr>
                <w:rFonts w:ascii="Arial Narrow" w:hAnsi="Arial Narrow" w:cs="Times New Roman"/>
                <w:sz w:val="20"/>
              </w:rPr>
            </w:pPr>
            <w:r w:rsidRPr="00700B99">
              <w:rPr>
                <w:rFonts w:ascii="Arial Narrow" w:hAnsi="Arial Narrow"/>
                <w:sz w:val="20"/>
              </w:rPr>
              <w:t xml:space="preserve">Patient must have previously been issued with an authority prescription for this drug for this condition, </w:t>
            </w:r>
          </w:p>
          <w:p w14:paraId="385AC3B1" w14:textId="77777777" w:rsidR="009F4782" w:rsidRPr="00700B99" w:rsidRDefault="009F4782" w:rsidP="009F4782">
            <w:pPr>
              <w:spacing w:line="256" w:lineRule="auto"/>
              <w:rPr>
                <w:rFonts w:ascii="Arial Narrow" w:hAnsi="Arial Narrow"/>
                <w:sz w:val="20"/>
              </w:rPr>
            </w:pPr>
            <w:r w:rsidRPr="00700B99">
              <w:rPr>
                <w:rFonts w:ascii="Arial Narrow" w:hAnsi="Arial Narrow"/>
                <w:sz w:val="20"/>
              </w:rPr>
              <w:t>AND</w:t>
            </w:r>
          </w:p>
          <w:p w14:paraId="0D122E14" w14:textId="77777777" w:rsidR="009F4782" w:rsidRPr="00700B99" w:rsidRDefault="009F4782" w:rsidP="009F4782">
            <w:pPr>
              <w:spacing w:line="256" w:lineRule="auto"/>
              <w:rPr>
                <w:rFonts w:ascii="Arial Narrow" w:hAnsi="Arial Narrow"/>
                <w:sz w:val="20"/>
              </w:rPr>
            </w:pPr>
            <w:r w:rsidRPr="00700B99">
              <w:rPr>
                <w:rFonts w:ascii="Arial Narrow" w:hAnsi="Arial Narrow"/>
                <w:sz w:val="20"/>
              </w:rPr>
              <w:t>Patient must have adequately tolerated 5 mg dose at 6 months assessment, OR</w:t>
            </w:r>
          </w:p>
          <w:p w14:paraId="0D7E6167" w14:textId="77777777" w:rsidR="009F4782" w:rsidRPr="00700B99" w:rsidRDefault="009F4782" w:rsidP="009F4782">
            <w:pPr>
              <w:spacing w:line="256" w:lineRule="auto"/>
              <w:rPr>
                <w:rFonts w:ascii="Arial Narrow" w:hAnsi="Arial Narrow"/>
                <w:sz w:val="20"/>
              </w:rPr>
            </w:pPr>
            <w:r w:rsidRPr="00700B99">
              <w:rPr>
                <w:rFonts w:ascii="Arial Narrow" w:hAnsi="Arial Narrow"/>
                <w:sz w:val="20"/>
              </w:rPr>
              <w:t xml:space="preserve">Patient must have adequately tolerated 10 mg dose at 12 months, </w:t>
            </w:r>
          </w:p>
          <w:p w14:paraId="446B5F5F" w14:textId="77777777" w:rsidR="009F4782" w:rsidRPr="00700B99" w:rsidRDefault="009F4782" w:rsidP="009F4782">
            <w:pPr>
              <w:spacing w:line="256" w:lineRule="auto"/>
              <w:rPr>
                <w:rFonts w:ascii="Arial Narrow" w:hAnsi="Arial Narrow"/>
                <w:sz w:val="20"/>
              </w:rPr>
            </w:pPr>
            <w:r w:rsidRPr="00700B99">
              <w:rPr>
                <w:rFonts w:ascii="Arial Narrow" w:hAnsi="Arial Narrow"/>
                <w:sz w:val="20"/>
              </w:rPr>
              <w:t>AND</w:t>
            </w:r>
          </w:p>
          <w:p w14:paraId="663686C4" w14:textId="77777777" w:rsidR="009F4782" w:rsidRPr="00700B99" w:rsidRDefault="009F4782" w:rsidP="009F4782">
            <w:pPr>
              <w:spacing w:line="256" w:lineRule="auto"/>
              <w:rPr>
                <w:rFonts w:ascii="Arial Narrow" w:hAnsi="Arial Narrow"/>
                <w:sz w:val="20"/>
              </w:rPr>
            </w:pPr>
            <w:r w:rsidRPr="00700B99">
              <w:rPr>
                <w:rFonts w:ascii="Arial Narrow" w:hAnsi="Arial Narrow"/>
                <w:sz w:val="20"/>
              </w:rPr>
              <w:t xml:space="preserve">Patient must have achieved an adequate response to 10 mg at 12 months and each subsequent assessment as defined as an ALP &lt; 1.67x ULN with ≥ 15% decrease from baseline in ALP, and total bilirubin &lt; 1x ULN </w:t>
            </w:r>
          </w:p>
          <w:p w14:paraId="54DD0370" w14:textId="77777777" w:rsidR="009F4782" w:rsidRPr="00700B99" w:rsidRDefault="009F4782" w:rsidP="009F4782">
            <w:pPr>
              <w:spacing w:line="256" w:lineRule="auto"/>
              <w:rPr>
                <w:rFonts w:ascii="Arial Narrow" w:hAnsi="Arial Narrow"/>
                <w:sz w:val="20"/>
              </w:rPr>
            </w:pPr>
            <w:r w:rsidRPr="00700B99">
              <w:rPr>
                <w:rFonts w:ascii="Arial Narrow" w:hAnsi="Arial Narrow"/>
                <w:sz w:val="20"/>
              </w:rPr>
              <w:t>AND</w:t>
            </w:r>
          </w:p>
          <w:p w14:paraId="3DD9D1A7" w14:textId="77777777" w:rsidR="009F4782" w:rsidRPr="00700B99" w:rsidRDefault="009F4782" w:rsidP="009F4782">
            <w:pPr>
              <w:spacing w:line="256" w:lineRule="auto"/>
              <w:rPr>
                <w:rFonts w:ascii="Arial Narrow" w:hAnsi="Arial Narrow"/>
                <w:sz w:val="20"/>
              </w:rPr>
            </w:pPr>
            <w:r w:rsidRPr="00700B99">
              <w:rPr>
                <w:rFonts w:ascii="Arial Narrow" w:hAnsi="Arial Narrow"/>
                <w:sz w:val="20"/>
              </w:rPr>
              <w:t>Patient must continue to achieve an adequate response at yearly assessments</w:t>
            </w:r>
          </w:p>
          <w:p w14:paraId="684CD812" w14:textId="77777777" w:rsidR="009F4782" w:rsidRPr="00700B99" w:rsidRDefault="009F4782" w:rsidP="009F4782">
            <w:pPr>
              <w:spacing w:line="256" w:lineRule="auto"/>
              <w:rPr>
                <w:rFonts w:ascii="Arial Narrow" w:hAnsi="Arial Narrow"/>
                <w:i/>
                <w:strike/>
                <w:sz w:val="20"/>
              </w:rPr>
            </w:pPr>
            <w:r w:rsidRPr="00700B99">
              <w:rPr>
                <w:rFonts w:ascii="Arial Narrow" w:hAnsi="Arial Narrow"/>
                <w:i/>
                <w:strike/>
                <w:sz w:val="20"/>
              </w:rPr>
              <w:t>OR</w:t>
            </w:r>
            <w:r w:rsidRPr="00700B99">
              <w:rPr>
                <w:rFonts w:ascii="Arial Narrow" w:hAnsi="Arial Narrow"/>
                <w:i/>
                <w:sz w:val="20"/>
              </w:rPr>
              <w:t xml:space="preserve"> AND</w:t>
            </w:r>
          </w:p>
          <w:p w14:paraId="670A13A9" w14:textId="77777777" w:rsidR="009F4782" w:rsidRPr="00700B99" w:rsidRDefault="009F4782" w:rsidP="009F4782">
            <w:pPr>
              <w:spacing w:line="256" w:lineRule="auto"/>
              <w:rPr>
                <w:rFonts w:ascii="Arial Narrow" w:hAnsi="Arial Narrow"/>
                <w:sz w:val="20"/>
              </w:rPr>
            </w:pPr>
            <w:r w:rsidRPr="00700B99">
              <w:rPr>
                <w:rFonts w:ascii="Arial Narrow" w:hAnsi="Arial Narrow"/>
                <w:sz w:val="20"/>
              </w:rPr>
              <w:t>Not have compensated cirrhosis, decompensated cirrhosis or hepatocellular carcinoma.</w:t>
            </w:r>
          </w:p>
        </w:tc>
      </w:tr>
      <w:tr w:rsidR="009F4782" w:rsidRPr="00700B99" w14:paraId="17D059C9" w14:textId="77777777" w:rsidTr="009F4782">
        <w:trPr>
          <w:cantSplit/>
          <w:trHeight w:val="371"/>
        </w:trPr>
        <w:tc>
          <w:tcPr>
            <w:tcW w:w="1985" w:type="dxa"/>
            <w:tcBorders>
              <w:top w:val="single" w:sz="4" w:space="0" w:color="auto"/>
              <w:left w:val="single" w:sz="4" w:space="0" w:color="auto"/>
              <w:bottom w:val="single" w:sz="4" w:space="0" w:color="auto"/>
              <w:right w:val="single" w:sz="4" w:space="0" w:color="auto"/>
            </w:tcBorders>
            <w:vAlign w:val="center"/>
            <w:hideMark/>
          </w:tcPr>
          <w:p w14:paraId="2B68FBBB" w14:textId="77777777" w:rsidR="009F4782" w:rsidRPr="00700B99" w:rsidRDefault="009F4782" w:rsidP="009F4782">
            <w:pPr>
              <w:spacing w:line="256" w:lineRule="auto"/>
              <w:rPr>
                <w:rFonts w:ascii="Arial Narrow" w:hAnsi="Arial Narrow"/>
                <w:b/>
                <w:sz w:val="20"/>
              </w:rPr>
            </w:pPr>
            <w:r w:rsidRPr="00700B99">
              <w:rPr>
                <w:rFonts w:ascii="Arial Narrow" w:hAnsi="Arial Narrow"/>
                <w:b/>
                <w:sz w:val="20"/>
              </w:rPr>
              <w:t>Administrative Advice</w:t>
            </w:r>
          </w:p>
        </w:tc>
        <w:tc>
          <w:tcPr>
            <w:tcW w:w="7037" w:type="dxa"/>
            <w:tcBorders>
              <w:top w:val="single" w:sz="4" w:space="0" w:color="auto"/>
              <w:left w:val="single" w:sz="4" w:space="0" w:color="auto"/>
              <w:bottom w:val="single" w:sz="4" w:space="0" w:color="auto"/>
              <w:right w:val="single" w:sz="4" w:space="0" w:color="auto"/>
            </w:tcBorders>
          </w:tcPr>
          <w:p w14:paraId="758E02DB" w14:textId="77777777" w:rsidR="009F4782" w:rsidRPr="00700B99" w:rsidRDefault="009F4782" w:rsidP="009F4782">
            <w:pPr>
              <w:spacing w:line="256" w:lineRule="auto"/>
              <w:rPr>
                <w:rFonts w:ascii="Arial Narrow" w:hAnsi="Arial Narrow"/>
                <w:sz w:val="20"/>
              </w:rPr>
            </w:pPr>
            <w:r w:rsidRPr="00700B99">
              <w:rPr>
                <w:rFonts w:ascii="Arial Narrow" w:hAnsi="Arial Narrow"/>
                <w:sz w:val="20"/>
              </w:rPr>
              <w:t>Not for use in the treatment of sclerosing cholangitis or cholelithiasis.</w:t>
            </w:r>
          </w:p>
          <w:p w14:paraId="6410882A" w14:textId="77777777" w:rsidR="009F4782" w:rsidRPr="00700B99" w:rsidRDefault="009F4782" w:rsidP="009F4782">
            <w:pPr>
              <w:spacing w:line="256" w:lineRule="auto"/>
              <w:rPr>
                <w:rFonts w:ascii="Arial Narrow" w:hAnsi="Arial Narrow"/>
                <w:sz w:val="20"/>
              </w:rPr>
            </w:pPr>
            <w:r w:rsidRPr="00700B99">
              <w:rPr>
                <w:rFonts w:ascii="Arial Narrow" w:hAnsi="Arial Narrow"/>
                <w:sz w:val="20"/>
              </w:rPr>
              <w:t>Special pricing arrangements apply</w:t>
            </w:r>
          </w:p>
          <w:p w14:paraId="69448FCB" w14:textId="77777777" w:rsidR="009F4782" w:rsidRPr="00700B99" w:rsidRDefault="009F4782" w:rsidP="009F4782">
            <w:pPr>
              <w:spacing w:line="256" w:lineRule="auto"/>
              <w:rPr>
                <w:rFonts w:ascii="Arial Narrow" w:hAnsi="Arial Narrow"/>
                <w:sz w:val="20"/>
              </w:rPr>
            </w:pPr>
          </w:p>
          <w:p w14:paraId="064D451A" w14:textId="77777777" w:rsidR="009F4782" w:rsidRPr="00700B99" w:rsidRDefault="009F4782" w:rsidP="009F4782">
            <w:pPr>
              <w:spacing w:line="256" w:lineRule="auto"/>
              <w:rPr>
                <w:rFonts w:ascii="Arial Narrow" w:hAnsi="Arial Narrow"/>
                <w:sz w:val="20"/>
              </w:rPr>
            </w:pPr>
            <w:r w:rsidRPr="00700B99">
              <w:rPr>
                <w:rFonts w:ascii="Arial Narrow" w:hAnsi="Arial Narrow"/>
                <w:sz w:val="20"/>
              </w:rPr>
              <w:t>For dosage titration from 5 mg to 10</w:t>
            </w:r>
            <w:r>
              <w:rPr>
                <w:rFonts w:ascii="Arial Narrow" w:hAnsi="Arial Narrow"/>
                <w:sz w:val="20"/>
              </w:rPr>
              <w:t xml:space="preserve"> mg, refer to the OCALIVA (obeti</w:t>
            </w:r>
            <w:r w:rsidRPr="00700B99">
              <w:rPr>
                <w:rFonts w:ascii="Arial Narrow" w:hAnsi="Arial Narrow"/>
                <w:sz w:val="20"/>
              </w:rPr>
              <w:t>cholic acid) Product Information for detailed instructions on implementation and patient monitoring after initial induction on the 10 mg dose.</w:t>
            </w:r>
          </w:p>
          <w:p w14:paraId="5D60AE91" w14:textId="77777777" w:rsidR="009F4782" w:rsidRPr="00700B99" w:rsidRDefault="009F4782" w:rsidP="009F4782">
            <w:pPr>
              <w:spacing w:line="256" w:lineRule="auto"/>
              <w:rPr>
                <w:rFonts w:ascii="Arial Narrow" w:hAnsi="Arial Narrow"/>
                <w:sz w:val="20"/>
              </w:rPr>
            </w:pPr>
          </w:p>
          <w:p w14:paraId="6115CC63" w14:textId="77777777" w:rsidR="009F4782" w:rsidRPr="00700B99" w:rsidRDefault="009F4782" w:rsidP="009F4782">
            <w:pPr>
              <w:spacing w:line="256" w:lineRule="auto"/>
              <w:rPr>
                <w:rFonts w:ascii="Arial Narrow" w:hAnsi="Arial Narrow"/>
                <w:b/>
                <w:sz w:val="20"/>
                <w:u w:val="single"/>
              </w:rPr>
            </w:pPr>
            <w:r w:rsidRPr="00700B99">
              <w:rPr>
                <w:rFonts w:ascii="Arial Narrow" w:hAnsi="Arial Narrow"/>
                <w:b/>
                <w:sz w:val="20"/>
                <w:u w:val="single"/>
              </w:rPr>
              <w:t>Note</w:t>
            </w:r>
          </w:p>
          <w:p w14:paraId="1C4ED865" w14:textId="77777777" w:rsidR="009F4782" w:rsidRPr="00700B99" w:rsidRDefault="009F4782" w:rsidP="009F4782">
            <w:pPr>
              <w:spacing w:line="256" w:lineRule="auto"/>
              <w:rPr>
                <w:rFonts w:ascii="Arial Narrow" w:hAnsi="Arial Narrow"/>
                <w:sz w:val="20"/>
              </w:rPr>
            </w:pPr>
            <w:r w:rsidRPr="00700B99">
              <w:rPr>
                <w:rFonts w:ascii="Arial Narrow" w:hAnsi="Arial Narrow"/>
                <w:sz w:val="20"/>
              </w:rPr>
              <w:t>For prescribing by nurse practitioners as continuing therapy only, where the treatment of, and prescribing of medicine for, a patient has been initiated by a gastroenterologist or a hepatologist or in consultation with a gastroenterologist or hepatologist. Further information can be found in the Explanatory Notes for Nurse Practitioners.</w:t>
            </w:r>
          </w:p>
        </w:tc>
      </w:tr>
    </w:tbl>
    <w:p w14:paraId="2F112540" w14:textId="77777777" w:rsidR="009F4782" w:rsidRDefault="009F4782" w:rsidP="009F4782">
      <w:pPr>
        <w:pStyle w:val="TableFigureFooter"/>
      </w:pPr>
      <w:r w:rsidRPr="00700B99">
        <w:t>Source: p39-40 of the resubmission.</w:t>
      </w:r>
    </w:p>
    <w:p w14:paraId="3FCEC8B0" w14:textId="02F5E8D0" w:rsidR="007249B9" w:rsidRPr="00A74194" w:rsidRDefault="007249B9" w:rsidP="00B159C2">
      <w:pPr>
        <w:pStyle w:val="3-BodyText"/>
        <w:rPr>
          <w:iCs/>
        </w:rPr>
      </w:pPr>
      <w:r w:rsidRPr="00A74194">
        <w:rPr>
          <w:color w:val="000000" w:themeColor="text1"/>
        </w:rPr>
        <w:t xml:space="preserve">The OCA effective </w:t>
      </w:r>
      <w:r w:rsidRPr="00A74194">
        <w:rPr>
          <w:iCs/>
        </w:rPr>
        <w:t>dispensed price for maximum quantity (</w:t>
      </w:r>
      <w:r w:rsidRPr="00A74194">
        <w:rPr>
          <w:color w:val="000000" w:themeColor="text1"/>
        </w:rPr>
        <w:t xml:space="preserve">DPMQ) is lower compared to the previous submission </w:t>
      </w:r>
      <w:r w:rsidRPr="00A74194">
        <w:t>($</w:t>
      </w:r>
      <w:r w:rsidR="00027EBC">
        <w:rPr>
          <w:noProof/>
          <w:color w:val="000000"/>
          <w:highlight w:val="black"/>
        </w:rPr>
        <w:t>''''''''''''''''</w:t>
      </w:r>
      <w:r w:rsidRPr="00A74194">
        <w:t xml:space="preserve"> in 2020 versus $</w:t>
      </w:r>
      <w:r w:rsidR="00027EBC">
        <w:rPr>
          <w:noProof/>
          <w:color w:val="000000"/>
          <w:highlight w:val="black"/>
        </w:rPr>
        <w:t>''''''''''''''''''</w:t>
      </w:r>
      <w:r w:rsidRPr="00A74194">
        <w:t xml:space="preserve"> in 2019), reflecting a </w:t>
      </w:r>
      <w:r w:rsidRPr="00E30C34">
        <w:t>7</w:t>
      </w:r>
      <w:r w:rsidRPr="00A74194">
        <w:t>% reduction in the AEMP</w:t>
      </w:r>
      <w:r w:rsidRPr="00A74194">
        <w:rPr>
          <w:iCs/>
          <w:color w:val="000000" w:themeColor="text1"/>
        </w:rPr>
        <w:t xml:space="preserve">. </w:t>
      </w:r>
      <w:r w:rsidRPr="00A74194">
        <w:t xml:space="preserve">The resubmission stated that “the </w:t>
      </w:r>
      <w:r w:rsidRPr="00E30C34">
        <w:t>7</w:t>
      </w:r>
      <w:r w:rsidRPr="00A74194">
        <w:t xml:space="preserve">% price reduction reflects the fact that it is estimated that 7% of PBC patients who would be eligible for </w:t>
      </w:r>
      <w:r w:rsidR="00EF4395" w:rsidRPr="00A74194">
        <w:t xml:space="preserve">obeticholic acid </w:t>
      </w:r>
      <w:r w:rsidRPr="00A74194">
        <w:t xml:space="preserve">under the requested PBS restriction would be UDCA intolerant”. </w:t>
      </w:r>
      <w:r w:rsidRPr="00A74194">
        <w:rPr>
          <w:iCs/>
        </w:rPr>
        <w:t>It appears that this reduction was arrived at by applying an AEMP of $</w:t>
      </w:r>
      <w:r w:rsidR="00027EBC">
        <w:rPr>
          <w:iCs/>
          <w:noProof/>
          <w:color w:val="000000"/>
          <w:highlight w:val="black"/>
        </w:rPr>
        <w:t>'''</w:t>
      </w:r>
      <w:r w:rsidRPr="00A74194">
        <w:rPr>
          <w:iCs/>
        </w:rPr>
        <w:t xml:space="preserve"> for the 7% of UDCA-intolerant patients and an AEMP of $</w:t>
      </w:r>
      <w:r w:rsidR="00027EBC">
        <w:rPr>
          <w:iCs/>
          <w:noProof/>
          <w:color w:val="000000"/>
          <w:highlight w:val="black"/>
        </w:rPr>
        <w:t>'''''''''''''''''</w:t>
      </w:r>
      <w:r w:rsidRPr="00A74194">
        <w:rPr>
          <w:iCs/>
        </w:rPr>
        <w:t xml:space="preserve"> (unchanged) for the remaining 93% of UDCA inadequate responder patients, resulting in the combined effective AEMP of $</w:t>
      </w:r>
      <w:r w:rsidR="00027EBC">
        <w:rPr>
          <w:iCs/>
          <w:noProof/>
          <w:color w:val="000000"/>
          <w:highlight w:val="black"/>
        </w:rPr>
        <w:t>''''''''''''''''</w:t>
      </w:r>
      <w:r w:rsidRPr="00A74194">
        <w:rPr>
          <w:iCs/>
        </w:rPr>
        <w:t xml:space="preserve"> and a DPMQ of $</w:t>
      </w:r>
      <w:r w:rsidR="00027EBC">
        <w:rPr>
          <w:iCs/>
          <w:noProof/>
          <w:color w:val="000000"/>
          <w:highlight w:val="black"/>
        </w:rPr>
        <w:t>'''''''''''''''''</w:t>
      </w:r>
      <w:r w:rsidRPr="00A74194">
        <w:rPr>
          <w:iCs/>
        </w:rPr>
        <w:t xml:space="preserve"> (with updated dispensing fees).</w:t>
      </w:r>
      <w:r w:rsidR="007F4B37" w:rsidRPr="00A74194">
        <w:rPr>
          <w:iCs/>
        </w:rPr>
        <w:t xml:space="preserve"> The </w:t>
      </w:r>
      <w:r w:rsidR="00523A93">
        <w:rPr>
          <w:iCs/>
        </w:rPr>
        <w:t>Pre-Sub-Committee R</w:t>
      </w:r>
      <w:r w:rsidR="000E32CD">
        <w:rPr>
          <w:iCs/>
        </w:rPr>
        <w:t>esponse (</w:t>
      </w:r>
      <w:r w:rsidR="007F4B37" w:rsidRPr="00A74194">
        <w:rPr>
          <w:iCs/>
        </w:rPr>
        <w:t>PSCR</w:t>
      </w:r>
      <w:r w:rsidR="000E32CD">
        <w:rPr>
          <w:iCs/>
        </w:rPr>
        <w:t>)</w:t>
      </w:r>
      <w:r w:rsidR="007F4B37" w:rsidRPr="00A74194">
        <w:rPr>
          <w:iCs/>
        </w:rPr>
        <w:t xml:space="preserve"> clarified that the </w:t>
      </w:r>
      <w:r w:rsidR="007F4B37" w:rsidRPr="00E30C34">
        <w:rPr>
          <w:iCs/>
        </w:rPr>
        <w:t>7</w:t>
      </w:r>
      <w:r w:rsidR="007F4B37" w:rsidRPr="00A74194">
        <w:rPr>
          <w:iCs/>
        </w:rPr>
        <w:t xml:space="preserve">% price reduction was offered to account for uncertainty in the clinical evidence and the economic model for both the </w:t>
      </w:r>
      <w:r w:rsidR="007F4B37" w:rsidRPr="00A74194">
        <w:rPr>
          <w:iCs/>
        </w:rPr>
        <w:lastRenderedPageBreak/>
        <w:t>UDCA-intolerant and UDCA-inadequate responder populations.</w:t>
      </w:r>
      <w:r w:rsidR="0088040A" w:rsidRPr="00A74194">
        <w:rPr>
          <w:iCs/>
        </w:rPr>
        <w:t xml:space="preserve"> The ESC considered that a </w:t>
      </w:r>
      <w:r w:rsidR="0088040A" w:rsidRPr="00E30C34">
        <w:rPr>
          <w:iCs/>
        </w:rPr>
        <w:t>7</w:t>
      </w:r>
      <w:r w:rsidR="0088040A" w:rsidRPr="00A74194">
        <w:rPr>
          <w:iCs/>
        </w:rPr>
        <w:t xml:space="preserve">% price reduction did not </w:t>
      </w:r>
      <w:r w:rsidR="00F45962" w:rsidRPr="00A74194">
        <w:rPr>
          <w:iCs/>
        </w:rPr>
        <w:t xml:space="preserve">adequately </w:t>
      </w:r>
      <w:r w:rsidR="0088040A" w:rsidRPr="00A74194">
        <w:rPr>
          <w:iCs/>
        </w:rPr>
        <w:t>meet the PBACs previous recommendations that the clinical and economic uncertainties be mitigated through the requested price.</w:t>
      </w:r>
      <w:r w:rsidR="00BF09B9" w:rsidRPr="00A74194">
        <w:rPr>
          <w:iCs/>
        </w:rPr>
        <w:t xml:space="preserve"> The pre-PBAC response offered an additional </w:t>
      </w:r>
      <w:r w:rsidR="00BF09B9" w:rsidRPr="00E30C34">
        <w:rPr>
          <w:iCs/>
        </w:rPr>
        <w:t>13</w:t>
      </w:r>
      <w:r w:rsidR="00BF09B9" w:rsidRPr="00A74194">
        <w:rPr>
          <w:iCs/>
        </w:rPr>
        <w:t xml:space="preserve">% price reduction, in addition to the </w:t>
      </w:r>
      <w:r w:rsidR="00BF09B9" w:rsidRPr="00E30C34">
        <w:rPr>
          <w:iCs/>
        </w:rPr>
        <w:t>7</w:t>
      </w:r>
      <w:r w:rsidR="00BF09B9" w:rsidRPr="00A74194">
        <w:rPr>
          <w:iCs/>
        </w:rPr>
        <w:t>% offered in the resubmission. This resulted in an effective DPMQ of $</w:t>
      </w:r>
      <w:r w:rsidR="00027EBC">
        <w:rPr>
          <w:iCs/>
          <w:noProof/>
          <w:color w:val="000000"/>
          <w:highlight w:val="black"/>
        </w:rPr>
        <w:t>''''''''''''''''</w:t>
      </w:r>
      <w:r w:rsidR="00BF09B9" w:rsidRPr="00A74194">
        <w:rPr>
          <w:iCs/>
        </w:rPr>
        <w:t>.</w:t>
      </w:r>
    </w:p>
    <w:p w14:paraId="7AF5E9DE" w14:textId="77777777" w:rsidR="00B159C2" w:rsidRPr="00A74194" w:rsidRDefault="00B159C2" w:rsidP="00B159C2">
      <w:pPr>
        <w:pStyle w:val="3-BodyText"/>
        <w:rPr>
          <w:iCs/>
        </w:rPr>
      </w:pPr>
      <w:r w:rsidRPr="00A74194">
        <w:t xml:space="preserve">The requested listing was updated in accordance with previous suggestions by the PBAC (paragraph 7.4, obeticholic acid </w:t>
      </w:r>
      <w:r w:rsidR="000E32CD">
        <w:t>Public Summary Document (</w:t>
      </w:r>
      <w:r w:rsidRPr="00A74194">
        <w:t>PSD</w:t>
      </w:r>
      <w:r w:rsidR="000E32CD">
        <w:t>)</w:t>
      </w:r>
      <w:r w:rsidRPr="00A74194">
        <w:t xml:space="preserve">, July 2019), including </w:t>
      </w:r>
      <w:r w:rsidRPr="00A74194">
        <w:rPr>
          <w:iCs/>
        </w:rPr>
        <w:t>additional continuation criteria for decompensated cirrhosis</w:t>
      </w:r>
      <w:r w:rsidR="00B7214C" w:rsidRPr="00A74194">
        <w:rPr>
          <w:iCs/>
        </w:rPr>
        <w:t xml:space="preserve"> (DCC)</w:t>
      </w:r>
      <w:r w:rsidRPr="00A74194">
        <w:rPr>
          <w:iCs/>
        </w:rPr>
        <w:t xml:space="preserve"> or hepatocellular cancer</w:t>
      </w:r>
      <w:r w:rsidR="00B7214C" w:rsidRPr="00A74194">
        <w:rPr>
          <w:iCs/>
        </w:rPr>
        <w:t xml:space="preserve"> (HCC)</w:t>
      </w:r>
      <w:r w:rsidRPr="00A74194">
        <w:rPr>
          <w:iCs/>
        </w:rPr>
        <w:t xml:space="preserve">, and the addition of an Authority Required </w:t>
      </w:r>
      <w:r w:rsidR="00DB3881" w:rsidRPr="00A74194">
        <w:rPr>
          <w:iCs/>
        </w:rPr>
        <w:t xml:space="preserve">(written) </w:t>
      </w:r>
      <w:r w:rsidRPr="00A74194">
        <w:rPr>
          <w:iCs/>
        </w:rPr>
        <w:t>restriction</w:t>
      </w:r>
      <w:r w:rsidR="00DB3881" w:rsidRPr="00A74194">
        <w:rPr>
          <w:iCs/>
        </w:rPr>
        <w:t xml:space="preserve"> for initial therapy</w:t>
      </w:r>
      <w:r w:rsidRPr="00A74194">
        <w:rPr>
          <w:iCs/>
        </w:rPr>
        <w:t>.</w:t>
      </w:r>
      <w:r w:rsidR="00DE60ED">
        <w:rPr>
          <w:iCs/>
        </w:rPr>
        <w:t xml:space="preserve"> The PBAC considered that, due to the addition of the continuation criteria that must be met in the proposed continuing restriction, an Authority Required (telephone/online) would be appropriate for both the initial and continuing restrictions.</w:t>
      </w:r>
    </w:p>
    <w:p w14:paraId="4719D2FF" w14:textId="77777777" w:rsidR="00B159C2" w:rsidRPr="00A74194" w:rsidRDefault="00B159C2" w:rsidP="00B159C2">
      <w:pPr>
        <w:pStyle w:val="3-BodyText"/>
        <w:rPr>
          <w:iCs/>
        </w:rPr>
      </w:pPr>
      <w:r w:rsidRPr="00A74194">
        <w:rPr>
          <w:iCs/>
        </w:rPr>
        <w:t>The proposed restriction states that ‘Patient must continue to achieve an adequate response at yearly assessments.’</w:t>
      </w:r>
      <w:r w:rsidRPr="00A74194">
        <w:t xml:space="preserve"> Adequate </w:t>
      </w:r>
      <w:r w:rsidR="00BF74C5" w:rsidRPr="00A74194">
        <w:t xml:space="preserve">response </w:t>
      </w:r>
      <w:r w:rsidRPr="00A74194">
        <w:t>was not further defined using a biochemical response marker,</w:t>
      </w:r>
      <w:r w:rsidR="00BF74C5" w:rsidRPr="00A74194">
        <w:t xml:space="preserve"> nor</w:t>
      </w:r>
      <w:r w:rsidRPr="00A74194">
        <w:t xml:space="preserve"> </w:t>
      </w:r>
      <w:r w:rsidR="00BF74C5" w:rsidRPr="00A74194">
        <w:t xml:space="preserve">was </w:t>
      </w:r>
      <w:r w:rsidRPr="00A74194">
        <w:t xml:space="preserve">whether response is </w:t>
      </w:r>
      <w:r w:rsidR="00BF74C5" w:rsidRPr="00A74194">
        <w:t xml:space="preserve">to be </w:t>
      </w:r>
      <w:r w:rsidRPr="00A74194">
        <w:t xml:space="preserve">compared to baseline or the previous yearly assessment. </w:t>
      </w:r>
    </w:p>
    <w:p w14:paraId="44C06976" w14:textId="77777777" w:rsidR="000F3E6E" w:rsidRPr="00A74194" w:rsidRDefault="00B159C2" w:rsidP="006C0D39">
      <w:pPr>
        <w:pStyle w:val="3-BodyText"/>
      </w:pPr>
      <w:r w:rsidRPr="00A74194">
        <w:rPr>
          <w:iCs/>
        </w:rPr>
        <w:t xml:space="preserve">The PBAC previously considered the proposed restriction required explicit instructions surrounding the need for dosage adjustment in patients who experience severe pruritus or moderate or severe hepatic impairment (paragraph 7.3, obeticholic acid PSD, November 2018). </w:t>
      </w:r>
      <w:r w:rsidR="00FA2F95" w:rsidRPr="00A74194">
        <w:rPr>
          <w:iCs/>
        </w:rPr>
        <w:t>T</w:t>
      </w:r>
      <w:r w:rsidRPr="00A74194">
        <w:rPr>
          <w:iCs/>
        </w:rPr>
        <w:t xml:space="preserve">he resubmission argued that the restriction refers to the TGA Product Information for more information on the dosage adjustment rather than including this information in the restriction. </w:t>
      </w:r>
    </w:p>
    <w:p w14:paraId="249AB221" w14:textId="77777777" w:rsidR="00164D71" w:rsidRPr="00A74194" w:rsidRDefault="00164D71" w:rsidP="00164D71">
      <w:pPr>
        <w:pStyle w:val="3-BodyText"/>
        <w:numPr>
          <w:ilvl w:val="0"/>
          <w:numId w:val="0"/>
        </w:numPr>
        <w:ind w:left="720"/>
      </w:pPr>
      <w:r w:rsidRPr="00A74194">
        <w:rPr>
          <w:i/>
        </w:rPr>
        <w:t>For more detail on PBAC’s view, see section 7 PBAC outcome.</w:t>
      </w:r>
    </w:p>
    <w:p w14:paraId="5DB062CB" w14:textId="77777777" w:rsidR="00B159C2" w:rsidRPr="00A74194" w:rsidRDefault="00B159C2" w:rsidP="00B159C2">
      <w:pPr>
        <w:pStyle w:val="2-SectionHeading"/>
        <w:numPr>
          <w:ilvl w:val="0"/>
          <w:numId w:val="1"/>
        </w:numPr>
      </w:pPr>
      <w:bookmarkStart w:id="20" w:name="_Toc22898849"/>
      <w:bookmarkStart w:id="21" w:name="_Toc50371933"/>
      <w:r w:rsidRPr="00A74194">
        <w:t>Population and disease</w:t>
      </w:r>
      <w:bookmarkEnd w:id="20"/>
      <w:bookmarkEnd w:id="21"/>
    </w:p>
    <w:p w14:paraId="52CAF889" w14:textId="77777777" w:rsidR="00B159C2" w:rsidRPr="00A74194" w:rsidRDefault="00B159C2" w:rsidP="00B159C2">
      <w:pPr>
        <w:pStyle w:val="3-BodyText"/>
      </w:pPr>
      <w:r w:rsidRPr="00A74194">
        <w:t>PBC was recently renamed from primary biliary cirrhosis. PBC is a rare, progressive, autoimmune, non-viral disease of the liver that gradually destroys the interlobular bile ducts. While the cause of the disease is unknown, a combination of multiple genetic factors and environmental factors are thought to trigger PBC.</w:t>
      </w:r>
      <w:r w:rsidR="00A23A22" w:rsidRPr="00A74194">
        <w:t xml:space="preserve"> </w:t>
      </w:r>
    </w:p>
    <w:p w14:paraId="4FAD8419" w14:textId="77777777" w:rsidR="00B159C2" w:rsidRPr="00A74194" w:rsidRDefault="00B159C2" w:rsidP="00B159C2">
      <w:pPr>
        <w:pStyle w:val="3-BodyText"/>
      </w:pPr>
      <w:r w:rsidRPr="00A74194">
        <w:t>PBC is more prevalent in adults aged over 40 years, females and people of European descent.</w:t>
      </w:r>
    </w:p>
    <w:p w14:paraId="4EB1953D" w14:textId="77777777" w:rsidR="00B159C2" w:rsidRPr="00A74194" w:rsidRDefault="00B159C2" w:rsidP="00B159C2">
      <w:pPr>
        <w:pStyle w:val="3-BodyText"/>
      </w:pPr>
      <w:r w:rsidRPr="00A74194">
        <w:t>The resubmission estimated that there are approximately 1,275 PBC patients in Australia based on the prevalence of PBC at 51 per million population (Sood, 2004) Previously the DUSC estimated that there were approximately 8,200 PBC patients in Australia in 2017 based on the number of patients receiving UDCA (paragraph 4.2, obeticholic acid PSD, July 2019).</w:t>
      </w:r>
    </w:p>
    <w:p w14:paraId="0DB71D0E" w14:textId="77777777" w:rsidR="00B159C2" w:rsidRPr="00A74194" w:rsidRDefault="00B159C2" w:rsidP="00B159C2">
      <w:pPr>
        <w:pStyle w:val="3-BodyText"/>
        <w:rPr>
          <w:rFonts w:ascii="Calibri" w:hAnsi="Calibri"/>
          <w:szCs w:val="22"/>
        </w:rPr>
      </w:pPr>
      <w:r w:rsidRPr="00A74194">
        <w:lastRenderedPageBreak/>
        <w:t>The clinical management algorithms were based on the 2017 European Association for the Study of the Liver (EASL) guidelines and were updated to reflect changes to the proposed PBS restrictions.</w:t>
      </w:r>
    </w:p>
    <w:p w14:paraId="44E25809" w14:textId="77777777" w:rsidR="00B159C2" w:rsidRPr="00A74194" w:rsidRDefault="00B159C2" w:rsidP="00B159C2">
      <w:pPr>
        <w:pStyle w:val="3-BodyText"/>
        <w:rPr>
          <w:rFonts w:ascii="Calibri" w:hAnsi="Calibri"/>
          <w:szCs w:val="22"/>
        </w:rPr>
      </w:pPr>
      <w:r w:rsidRPr="00A74194">
        <w:t>The resubmission proposed that OCA should be used in combination with UDCA for patients with an inadequate response to UDCA; or as monotherapy for patients who are intolerant to UDCA.</w:t>
      </w:r>
    </w:p>
    <w:p w14:paraId="3A5822B8" w14:textId="77777777" w:rsidR="00B159C2" w:rsidRPr="00A74194" w:rsidRDefault="00B159C2" w:rsidP="00B159C2">
      <w:pPr>
        <w:pStyle w:val="3-BodyText"/>
        <w:rPr>
          <w:rFonts w:ascii="Calibri" w:hAnsi="Calibri"/>
          <w:szCs w:val="22"/>
        </w:rPr>
      </w:pPr>
      <w:r w:rsidRPr="00A74194">
        <w:t xml:space="preserve">For </w:t>
      </w:r>
      <w:r w:rsidR="00E222B9" w:rsidRPr="00A74194">
        <w:t>n</w:t>
      </w:r>
      <w:r w:rsidRPr="00A74194">
        <w:t>on-</w:t>
      </w:r>
      <w:r w:rsidR="00E222B9" w:rsidRPr="00A74194">
        <w:t>c</w:t>
      </w:r>
      <w:r w:rsidRPr="00A74194">
        <w:t xml:space="preserve">irrhotic or </w:t>
      </w:r>
      <w:r w:rsidR="00E222B9" w:rsidRPr="00A74194">
        <w:t>c</w:t>
      </w:r>
      <w:r w:rsidRPr="00A74194">
        <w:t>ompensated Child-Pugh Class A</w:t>
      </w:r>
      <w:r w:rsidR="00DB3881" w:rsidRPr="00A74194">
        <w:t xml:space="preserve"> PBC</w:t>
      </w:r>
      <w:r w:rsidRPr="00A74194">
        <w:t xml:space="preserve">, the recommended starting dose is 5 mg once daily. Based on the assessment of tolerability after six months, the dose should be increased to 10 mg once daily to achieve optimal response. This is referred to as OCA 5-10 mg titration hereafter. The OCA dose is adjusted for patient with Child-Pugh Class B or C or Patients with a </w:t>
      </w:r>
      <w:r w:rsidR="00E222B9" w:rsidRPr="00A74194">
        <w:t>p</w:t>
      </w:r>
      <w:r w:rsidRPr="00A74194">
        <w:t xml:space="preserve">rior </w:t>
      </w:r>
      <w:r w:rsidR="00E222B9" w:rsidRPr="00A74194">
        <w:t>d</w:t>
      </w:r>
      <w:r w:rsidRPr="00A74194">
        <w:t xml:space="preserve">ecompensation </w:t>
      </w:r>
      <w:r w:rsidR="00E222B9" w:rsidRPr="00A74194">
        <w:t>e</w:t>
      </w:r>
      <w:r w:rsidRPr="00A74194">
        <w:t xml:space="preserve">vent, or to manage pruritus. </w:t>
      </w:r>
      <w:r w:rsidRPr="00A74194">
        <w:rPr>
          <w:iCs/>
        </w:rPr>
        <w:t>The resubmission did not address dosage changes for patients with moderate (Child</w:t>
      </w:r>
      <w:r w:rsidRPr="00A74194">
        <w:rPr>
          <w:iCs/>
        </w:rPr>
        <w:noBreakHyphen/>
        <w:t>Pugh Class B), severe (Child-Pugh Class C) hepatic impairment or prior decompensation event requir</w:t>
      </w:r>
      <w:r w:rsidR="00E222B9" w:rsidRPr="00A74194">
        <w:rPr>
          <w:iCs/>
        </w:rPr>
        <w:t>ing</w:t>
      </w:r>
      <w:r w:rsidRPr="00A74194">
        <w:rPr>
          <w:iCs/>
        </w:rPr>
        <w:t xml:space="preserve"> an OCA dosage reduction</w:t>
      </w:r>
      <w:r w:rsidRPr="00A74194">
        <w:t xml:space="preserve">. This is unchanged from the previous submission. </w:t>
      </w:r>
    </w:p>
    <w:p w14:paraId="6238B154" w14:textId="77777777" w:rsidR="0010229D" w:rsidRPr="00A74194" w:rsidRDefault="0010229D" w:rsidP="0010229D">
      <w:pPr>
        <w:pStyle w:val="3-BodyText"/>
        <w:rPr>
          <w:rFonts w:ascii="Calibri" w:hAnsi="Calibri"/>
          <w:szCs w:val="22"/>
        </w:rPr>
      </w:pPr>
      <w:r w:rsidRPr="00A74194">
        <w:t>Figure</w:t>
      </w:r>
      <w:r w:rsidR="00E222B9" w:rsidRPr="00A74194">
        <w:t>s</w:t>
      </w:r>
      <w:r w:rsidRPr="00A74194">
        <w:t xml:space="preserve"> 1 and 2 present the revised clinical management algorithms.</w:t>
      </w:r>
    </w:p>
    <w:p w14:paraId="33F7BE1B" w14:textId="77777777" w:rsidR="00B159C2" w:rsidRPr="00A74194" w:rsidRDefault="00B159C2" w:rsidP="00B159C2">
      <w:pPr>
        <w:spacing w:line="360" w:lineRule="auto"/>
        <w:rPr>
          <w:b/>
          <w:bCs/>
          <w:sz w:val="22"/>
          <w:szCs w:val="22"/>
        </w:rPr>
      </w:pPr>
    </w:p>
    <w:p w14:paraId="4244DC70" w14:textId="77777777" w:rsidR="00B159C2" w:rsidRPr="00A74194" w:rsidRDefault="00B159C2" w:rsidP="00B159C2">
      <w:pPr>
        <w:pStyle w:val="TableFigureHeading"/>
      </w:pPr>
      <w:r w:rsidRPr="00A74194">
        <w:t>Figure 1</w:t>
      </w:r>
      <w:r w:rsidR="006F0BF1" w:rsidRPr="00A74194">
        <w:t>:</w:t>
      </w:r>
      <w:r w:rsidRPr="00A74194">
        <w:t xml:space="preserve"> Updated proposed treatment algorithm for primary biliary cholangitis with OCA on the PBS for UDCA -Inadequate Response Patients. </w:t>
      </w:r>
    </w:p>
    <w:p w14:paraId="66C98B3A" w14:textId="77777777" w:rsidR="00B159C2" w:rsidRPr="00A74194" w:rsidRDefault="00B159C2" w:rsidP="00B159C2">
      <w:pPr>
        <w:rPr>
          <w:lang w:eastAsia="en-US"/>
        </w:rPr>
      </w:pPr>
      <w:r w:rsidRPr="00A74194">
        <w:rPr>
          <w:noProof/>
        </w:rPr>
        <w:drawing>
          <wp:inline distT="0" distB="0" distL="0" distR="0" wp14:anchorId="5594133D" wp14:editId="2CB2E886">
            <wp:extent cx="4401307" cy="2952454"/>
            <wp:effectExtent l="0" t="0" r="5715" b="0"/>
            <wp:docPr id="11" name="Picture 1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06908" cy="2956211"/>
                    </a:xfrm>
                    <a:prstGeom prst="rect">
                      <a:avLst/>
                    </a:prstGeom>
                    <a:noFill/>
                  </pic:spPr>
                </pic:pic>
              </a:graphicData>
            </a:graphic>
          </wp:inline>
        </w:drawing>
      </w:r>
    </w:p>
    <w:p w14:paraId="5CEF2867" w14:textId="77777777" w:rsidR="00B159C2" w:rsidRPr="00A74194" w:rsidRDefault="00B159C2" w:rsidP="00B159C2">
      <w:pPr>
        <w:pStyle w:val="TableFigureFooter"/>
      </w:pPr>
      <w:r w:rsidRPr="00A74194">
        <w:t xml:space="preserve">Source: Adapted and modified from EASL 2017 Figure 4, page 153. </w:t>
      </w:r>
    </w:p>
    <w:p w14:paraId="5DEDECAE" w14:textId="77777777" w:rsidR="001020A6" w:rsidRPr="00A74194" w:rsidRDefault="00B159C2" w:rsidP="00B159C2">
      <w:pPr>
        <w:pStyle w:val="TableFigureFooter"/>
      </w:pPr>
      <w:r w:rsidRPr="00A74194">
        <w:t>ALP</w:t>
      </w:r>
      <w:r w:rsidR="001020A6" w:rsidRPr="00A74194">
        <w:t xml:space="preserve"> =</w:t>
      </w:r>
      <w:r w:rsidRPr="00A74194">
        <w:t xml:space="preserve"> alkaline phosphatase; ALT</w:t>
      </w:r>
      <w:r w:rsidR="001020A6" w:rsidRPr="00A74194">
        <w:t xml:space="preserve"> =</w:t>
      </w:r>
      <w:r w:rsidRPr="00A74194">
        <w:t xml:space="preserve"> alanine aminotransferase</w:t>
      </w:r>
      <w:r w:rsidR="001020A6" w:rsidRPr="00A74194">
        <w:t>;</w:t>
      </w:r>
      <w:r w:rsidRPr="00A74194">
        <w:t xml:space="preserve"> AST</w:t>
      </w:r>
      <w:r w:rsidR="001020A6" w:rsidRPr="00A74194">
        <w:t xml:space="preserve"> =</w:t>
      </w:r>
      <w:r w:rsidRPr="00A74194">
        <w:t xml:space="preserve"> aspartate aminotransferase; </w:t>
      </w:r>
      <w:r w:rsidR="001020A6" w:rsidRPr="00A74194">
        <w:t xml:space="preserve">OCA = obeticholic acid; PBC = primary biliary cholangitis; UDCA = ursodeoxycholic acid; </w:t>
      </w:r>
      <w:r w:rsidRPr="00A74194">
        <w:t>ULN</w:t>
      </w:r>
      <w:r w:rsidR="001020A6" w:rsidRPr="00A74194">
        <w:t xml:space="preserve"> =</w:t>
      </w:r>
      <w:r w:rsidRPr="00A74194">
        <w:t xml:space="preserve"> upper limit of normal. </w:t>
      </w:r>
    </w:p>
    <w:p w14:paraId="0B9DB352" w14:textId="77777777" w:rsidR="00B159C2" w:rsidRPr="00A74194" w:rsidRDefault="00B159C2" w:rsidP="00B159C2">
      <w:pPr>
        <w:pStyle w:val="TableFigureFooter"/>
      </w:pPr>
      <w:r w:rsidRPr="00A74194">
        <w:t>Updated as per feedback provided by the PBAC for the previous submission.</w:t>
      </w:r>
    </w:p>
    <w:p w14:paraId="3BF4F7AD" w14:textId="77777777" w:rsidR="00B159C2" w:rsidRPr="00A74194" w:rsidRDefault="00B159C2" w:rsidP="00B159C2">
      <w:pPr>
        <w:rPr>
          <w:rFonts w:asciiTheme="minorHAnsi" w:hAnsiTheme="minorHAnsi" w:cstheme="minorHAnsi"/>
          <w:lang w:eastAsia="en-US"/>
        </w:rPr>
      </w:pPr>
    </w:p>
    <w:p w14:paraId="3FCE8C1A" w14:textId="77777777" w:rsidR="00B159C2" w:rsidRPr="00A74194" w:rsidRDefault="00B159C2" w:rsidP="00B159C2">
      <w:pPr>
        <w:pStyle w:val="TableFigureHeading"/>
      </w:pPr>
      <w:r w:rsidRPr="00A74194">
        <w:lastRenderedPageBreak/>
        <w:t>Figure 2</w:t>
      </w:r>
      <w:r w:rsidR="006F0BF1" w:rsidRPr="00A74194">
        <w:t>:</w:t>
      </w:r>
      <w:r w:rsidRPr="00A74194">
        <w:t xml:space="preserve"> Updated proposed treatment algorithm for primary biliary cholangitis with OCA on the PBS for UDCA-Intolerant Patients</w:t>
      </w:r>
    </w:p>
    <w:p w14:paraId="71E19CA1" w14:textId="77777777" w:rsidR="00B159C2" w:rsidRPr="00A74194" w:rsidRDefault="00B159C2" w:rsidP="00B159C2">
      <w:pPr>
        <w:spacing w:line="360" w:lineRule="auto"/>
        <w:rPr>
          <w:szCs w:val="22"/>
        </w:rPr>
      </w:pPr>
      <w:r w:rsidRPr="00A74194">
        <w:rPr>
          <w:noProof/>
        </w:rPr>
        <w:drawing>
          <wp:inline distT="0" distB="0" distL="0" distR="0" wp14:anchorId="668F1C97" wp14:editId="1B48CABD">
            <wp:extent cx="4517195" cy="3024305"/>
            <wp:effectExtent l="0" t="0" r="4445" b="0"/>
            <wp:docPr id="27" name="Picture 27"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24987" cy="3029522"/>
                    </a:xfrm>
                    <a:prstGeom prst="rect">
                      <a:avLst/>
                    </a:prstGeom>
                    <a:noFill/>
                  </pic:spPr>
                </pic:pic>
              </a:graphicData>
            </a:graphic>
          </wp:inline>
        </w:drawing>
      </w:r>
    </w:p>
    <w:p w14:paraId="7742CEDC" w14:textId="77777777" w:rsidR="00B159C2" w:rsidRPr="00A74194" w:rsidRDefault="00B159C2" w:rsidP="00193A76">
      <w:pPr>
        <w:pStyle w:val="TableSource"/>
      </w:pPr>
      <w:r w:rsidRPr="00A74194">
        <w:t xml:space="preserve">Source: Adapted and modified from EASL 2017 Figure 4, page 153. </w:t>
      </w:r>
    </w:p>
    <w:p w14:paraId="5906D039" w14:textId="77777777" w:rsidR="001020A6" w:rsidRPr="00A74194" w:rsidRDefault="001020A6" w:rsidP="00193A76">
      <w:pPr>
        <w:pStyle w:val="TableSource"/>
      </w:pPr>
      <w:r w:rsidRPr="00A74194">
        <w:t>ALP = alkaline phosphatase; ALT = alanine aminotransferase; AST = aspartate aminotransferase; OCA = obeticholic acid; PBC = primary biliary cholangitis; UDCA = ursodeoxycholic acid; ULN = upper limit of normal.</w:t>
      </w:r>
      <w:r w:rsidR="00B159C2" w:rsidRPr="00A74194">
        <w:t xml:space="preserve"> </w:t>
      </w:r>
    </w:p>
    <w:p w14:paraId="756EEFBF" w14:textId="77777777" w:rsidR="00B159C2" w:rsidRPr="00A74194" w:rsidRDefault="00B159C2" w:rsidP="00193A76">
      <w:pPr>
        <w:pStyle w:val="TableSource"/>
      </w:pPr>
      <w:r w:rsidRPr="00A74194">
        <w:t>Updated as per feedback provided by the PBAC for the previous submission.</w:t>
      </w:r>
    </w:p>
    <w:p w14:paraId="3BF078CF" w14:textId="77777777" w:rsidR="00164D71" w:rsidRPr="00A74194" w:rsidRDefault="00164D71" w:rsidP="00164D71"/>
    <w:p w14:paraId="135771F2" w14:textId="77777777" w:rsidR="00164D71" w:rsidRPr="00A74194" w:rsidRDefault="00164D71" w:rsidP="00164D71">
      <w:pPr>
        <w:ind w:firstLine="720"/>
      </w:pPr>
      <w:r w:rsidRPr="00A74194">
        <w:rPr>
          <w:rFonts w:asciiTheme="minorHAnsi" w:hAnsiTheme="minorHAnsi"/>
          <w:i/>
        </w:rPr>
        <w:t>For more detail on PBAC’s view, see section 7 PBAC outcome.</w:t>
      </w:r>
    </w:p>
    <w:p w14:paraId="1CBB151A" w14:textId="77777777" w:rsidR="00B159C2" w:rsidRPr="00A74194" w:rsidRDefault="00B159C2" w:rsidP="00B159C2">
      <w:pPr>
        <w:pStyle w:val="2-SectionHeading"/>
        <w:numPr>
          <w:ilvl w:val="0"/>
          <w:numId w:val="1"/>
        </w:numPr>
      </w:pPr>
      <w:bookmarkStart w:id="22" w:name="_Toc22898850"/>
      <w:bookmarkStart w:id="23" w:name="_Toc50371934"/>
      <w:r w:rsidRPr="00A74194">
        <w:t>Comparator</w:t>
      </w:r>
      <w:bookmarkEnd w:id="22"/>
      <w:bookmarkEnd w:id="23"/>
    </w:p>
    <w:p w14:paraId="50254529" w14:textId="77777777" w:rsidR="00B159C2" w:rsidRPr="00A74194" w:rsidRDefault="00B159C2" w:rsidP="00B159C2">
      <w:pPr>
        <w:pStyle w:val="3-BodyText"/>
        <w:rPr>
          <w:snapToGrid/>
        </w:rPr>
      </w:pPr>
      <w:r w:rsidRPr="00A74194">
        <w:t xml:space="preserve">The resubmission proposed the following main comparators: </w:t>
      </w:r>
    </w:p>
    <w:p w14:paraId="40DB1102" w14:textId="77777777" w:rsidR="00B159C2" w:rsidRPr="00A74194" w:rsidRDefault="00B159C2" w:rsidP="00B159C2">
      <w:pPr>
        <w:pStyle w:val="3-BodyText"/>
        <w:numPr>
          <w:ilvl w:val="0"/>
          <w:numId w:val="0"/>
        </w:numPr>
        <w:ind w:left="720"/>
      </w:pPr>
      <w:r w:rsidRPr="00A74194">
        <w:sym w:font="Symbol" w:char="F0B7"/>
      </w:r>
      <w:r w:rsidRPr="00A74194">
        <w:t xml:space="preserve"> UDCA inadequate responders: UDCA monotherapy; and</w:t>
      </w:r>
    </w:p>
    <w:p w14:paraId="2F284EC6" w14:textId="77777777" w:rsidR="00B159C2" w:rsidRPr="00A74194" w:rsidRDefault="00B159C2" w:rsidP="00B159C2">
      <w:pPr>
        <w:pStyle w:val="3-BodyText"/>
        <w:numPr>
          <w:ilvl w:val="0"/>
          <w:numId w:val="0"/>
        </w:numPr>
        <w:ind w:left="720"/>
        <w:rPr>
          <w:snapToGrid/>
        </w:rPr>
      </w:pPr>
      <w:r w:rsidRPr="00A74194">
        <w:sym w:font="Symbol" w:char="F0B7"/>
      </w:r>
      <w:r w:rsidRPr="00A74194">
        <w:t xml:space="preserve"> UDCA intolerant patients: placebo or no treatment</w:t>
      </w:r>
    </w:p>
    <w:p w14:paraId="3862BBA0" w14:textId="77777777" w:rsidR="00B159C2" w:rsidRPr="00A74194" w:rsidRDefault="00B159C2" w:rsidP="00B159C2">
      <w:pPr>
        <w:pStyle w:val="3-BodyText"/>
        <w:rPr>
          <w:iCs/>
          <w:snapToGrid/>
        </w:rPr>
      </w:pPr>
      <w:r w:rsidRPr="00A74194">
        <w:rPr>
          <w:iCs/>
        </w:rPr>
        <w:t>The PBAC had previously considered these to be the appropriate comparators (paragraph 7.4, obeticholic acid PSD, November 2018).</w:t>
      </w:r>
    </w:p>
    <w:p w14:paraId="3EC4BDB8" w14:textId="77777777" w:rsidR="00164D71" w:rsidRPr="00A74194" w:rsidRDefault="00164D71" w:rsidP="00164D71">
      <w:pPr>
        <w:pStyle w:val="3-BodyText"/>
        <w:numPr>
          <w:ilvl w:val="0"/>
          <w:numId w:val="0"/>
        </w:numPr>
        <w:ind w:left="720"/>
        <w:rPr>
          <w:iCs/>
          <w:snapToGrid/>
        </w:rPr>
      </w:pPr>
      <w:r w:rsidRPr="00A74194">
        <w:rPr>
          <w:i/>
        </w:rPr>
        <w:t>For more detail on PBAC’s view, see section 7 PBAC outcome.</w:t>
      </w:r>
    </w:p>
    <w:p w14:paraId="1CAF1875" w14:textId="77777777" w:rsidR="00B159C2" w:rsidRPr="00A74194" w:rsidRDefault="00B159C2" w:rsidP="00B159C2">
      <w:pPr>
        <w:pStyle w:val="2-SectionHeading"/>
        <w:numPr>
          <w:ilvl w:val="0"/>
          <w:numId w:val="1"/>
        </w:numPr>
      </w:pPr>
      <w:bookmarkStart w:id="24" w:name="_Toc50371935"/>
      <w:bookmarkStart w:id="25" w:name="_Toc22897640"/>
      <w:bookmarkStart w:id="26" w:name="_Toc22898852"/>
      <w:r w:rsidRPr="00A74194">
        <w:t>Consideration of the evidence</w:t>
      </w:r>
      <w:bookmarkEnd w:id="24"/>
    </w:p>
    <w:p w14:paraId="044A0777" w14:textId="77777777" w:rsidR="00164D71" w:rsidRPr="00A74194" w:rsidRDefault="00164D71" w:rsidP="008C7115">
      <w:pPr>
        <w:pStyle w:val="4-SubsectionHeading"/>
        <w:rPr>
          <w:snapToGrid w:val="0"/>
        </w:rPr>
      </w:pPr>
      <w:bookmarkStart w:id="27" w:name="_Toc50371936"/>
      <w:r w:rsidRPr="00A74194">
        <w:rPr>
          <w:snapToGrid w:val="0"/>
        </w:rPr>
        <w:t>Sponsor hearing</w:t>
      </w:r>
    </w:p>
    <w:p w14:paraId="270D143C" w14:textId="77777777" w:rsidR="00164D71" w:rsidRPr="00A74194" w:rsidRDefault="00164D71" w:rsidP="00164D71">
      <w:pPr>
        <w:widowControl w:val="0"/>
        <w:numPr>
          <w:ilvl w:val="1"/>
          <w:numId w:val="1"/>
        </w:numPr>
        <w:spacing w:after="120"/>
        <w:rPr>
          <w:rFonts w:asciiTheme="minorHAnsi" w:hAnsiTheme="minorHAnsi"/>
          <w:bCs/>
          <w:snapToGrid w:val="0"/>
        </w:rPr>
      </w:pPr>
      <w:r w:rsidRPr="00A74194">
        <w:rPr>
          <w:rFonts w:asciiTheme="minorHAnsi" w:hAnsiTheme="minorHAnsi"/>
          <w:bCs/>
          <w:snapToGrid w:val="0"/>
        </w:rPr>
        <w:t>There was no hearing for this item.</w:t>
      </w:r>
    </w:p>
    <w:p w14:paraId="3BCDF785" w14:textId="77777777" w:rsidR="00164D71" w:rsidRPr="00A74194" w:rsidRDefault="00164D71" w:rsidP="008C7115">
      <w:pPr>
        <w:pStyle w:val="4-SubsectionHeading"/>
        <w:rPr>
          <w:snapToGrid w:val="0"/>
        </w:rPr>
      </w:pPr>
      <w:r w:rsidRPr="00A74194">
        <w:rPr>
          <w:snapToGrid w:val="0"/>
        </w:rPr>
        <w:t>Consumer comments</w:t>
      </w:r>
    </w:p>
    <w:p w14:paraId="679D8C38" w14:textId="77777777" w:rsidR="00670B73" w:rsidRPr="00A74194" w:rsidRDefault="00164D71" w:rsidP="00164D71">
      <w:pPr>
        <w:widowControl w:val="0"/>
        <w:numPr>
          <w:ilvl w:val="1"/>
          <w:numId w:val="1"/>
        </w:numPr>
        <w:spacing w:after="120"/>
        <w:rPr>
          <w:rFonts w:asciiTheme="minorHAnsi" w:hAnsiTheme="minorHAnsi"/>
          <w:bCs/>
          <w:snapToGrid w:val="0"/>
        </w:rPr>
      </w:pPr>
      <w:r w:rsidRPr="00A74194">
        <w:rPr>
          <w:rFonts w:asciiTheme="minorHAnsi" w:hAnsiTheme="minorHAnsi"/>
          <w:bCs/>
          <w:snapToGrid w:val="0"/>
        </w:rPr>
        <w:t>The PBAC noted and welcomed the input from individuals (</w:t>
      </w:r>
      <w:r w:rsidR="008C7115" w:rsidRPr="00A74194">
        <w:rPr>
          <w:rFonts w:asciiTheme="minorHAnsi" w:hAnsiTheme="minorHAnsi"/>
          <w:bCs/>
          <w:snapToGrid w:val="0"/>
        </w:rPr>
        <w:t>1</w:t>
      </w:r>
      <w:r w:rsidRPr="00A74194">
        <w:rPr>
          <w:rFonts w:asciiTheme="minorHAnsi" w:hAnsiTheme="minorHAnsi"/>
          <w:bCs/>
          <w:snapToGrid w:val="0"/>
        </w:rPr>
        <w:t>)</w:t>
      </w:r>
      <w:r w:rsidR="008C7115" w:rsidRPr="00A74194">
        <w:rPr>
          <w:rFonts w:asciiTheme="minorHAnsi" w:hAnsiTheme="minorHAnsi"/>
          <w:bCs/>
          <w:snapToGrid w:val="0"/>
        </w:rPr>
        <w:t xml:space="preserve"> and</w:t>
      </w:r>
      <w:r w:rsidRPr="00A74194">
        <w:rPr>
          <w:rFonts w:asciiTheme="minorHAnsi" w:hAnsiTheme="minorHAnsi"/>
          <w:bCs/>
          <w:snapToGrid w:val="0"/>
        </w:rPr>
        <w:t xml:space="preserve"> health care professionals (1) via the Consumer Comments facility on the PBS website</w:t>
      </w:r>
      <w:r w:rsidR="00A74194">
        <w:rPr>
          <w:rFonts w:asciiTheme="minorHAnsi" w:hAnsiTheme="minorHAnsi"/>
          <w:bCs/>
          <w:snapToGrid w:val="0"/>
        </w:rPr>
        <w:t xml:space="preserve">. </w:t>
      </w:r>
      <w:r w:rsidRPr="00A74194">
        <w:rPr>
          <w:rFonts w:asciiTheme="minorHAnsi" w:hAnsiTheme="minorHAnsi"/>
          <w:bCs/>
          <w:snapToGrid w:val="0"/>
        </w:rPr>
        <w:t xml:space="preserve">The </w:t>
      </w:r>
      <w:r w:rsidRPr="00A74194">
        <w:rPr>
          <w:rFonts w:asciiTheme="minorHAnsi" w:hAnsiTheme="minorHAnsi"/>
          <w:bCs/>
          <w:snapToGrid w:val="0"/>
        </w:rPr>
        <w:lastRenderedPageBreak/>
        <w:t xml:space="preserve">comments described </w:t>
      </w:r>
      <w:r w:rsidR="008C7115" w:rsidRPr="00A74194">
        <w:rPr>
          <w:rFonts w:asciiTheme="minorHAnsi" w:hAnsiTheme="minorHAnsi"/>
          <w:bCs/>
          <w:snapToGrid w:val="0"/>
        </w:rPr>
        <w:t xml:space="preserve">the need for alternate PBC </w:t>
      </w:r>
      <w:r w:rsidR="00670B73" w:rsidRPr="00A74194">
        <w:rPr>
          <w:rFonts w:asciiTheme="minorHAnsi" w:hAnsiTheme="minorHAnsi"/>
          <w:bCs/>
          <w:snapToGrid w:val="0"/>
        </w:rPr>
        <w:t xml:space="preserve">treatments. </w:t>
      </w:r>
    </w:p>
    <w:p w14:paraId="2219378F" w14:textId="77777777" w:rsidR="00B159C2" w:rsidRPr="00A74194" w:rsidRDefault="00B159C2" w:rsidP="00B159C2">
      <w:pPr>
        <w:pStyle w:val="4-SubsectionHeading"/>
      </w:pPr>
      <w:r w:rsidRPr="00A74194">
        <w:t>Clinical studies/trials</w:t>
      </w:r>
      <w:bookmarkEnd w:id="25"/>
      <w:bookmarkEnd w:id="26"/>
      <w:bookmarkEnd w:id="27"/>
    </w:p>
    <w:p w14:paraId="3C751C0D" w14:textId="77777777" w:rsidR="00B159C2" w:rsidRPr="00A74194" w:rsidRDefault="00B159C2" w:rsidP="00B159C2">
      <w:pPr>
        <w:pStyle w:val="3-BodyText"/>
      </w:pPr>
      <w:r w:rsidRPr="00A74194">
        <w:t>The clinical evidence presented is unchanged from the previous submission.</w:t>
      </w:r>
    </w:p>
    <w:p w14:paraId="73C1F3EA" w14:textId="77777777" w:rsidR="00E222B9" w:rsidRPr="00A74194" w:rsidRDefault="00B159C2" w:rsidP="00B159C2">
      <w:pPr>
        <w:pStyle w:val="3-BodyText"/>
      </w:pPr>
      <w:r w:rsidRPr="00A74194">
        <w:rPr>
          <w:snapToGrid/>
        </w:rPr>
        <w:t xml:space="preserve">The </w:t>
      </w:r>
      <w:r w:rsidR="0019716A" w:rsidRPr="00A74194">
        <w:rPr>
          <w:snapToGrid/>
        </w:rPr>
        <w:t>re</w:t>
      </w:r>
      <w:r w:rsidRPr="00A74194">
        <w:rPr>
          <w:snapToGrid/>
        </w:rPr>
        <w:t>submission was based on</w:t>
      </w:r>
      <w:r w:rsidR="00E222B9" w:rsidRPr="00A74194">
        <w:rPr>
          <w:snapToGrid/>
        </w:rPr>
        <w:t>:</w:t>
      </w:r>
      <w:r w:rsidRPr="00A74194">
        <w:rPr>
          <w:snapToGrid/>
        </w:rPr>
        <w:t xml:space="preserve"> </w:t>
      </w:r>
    </w:p>
    <w:p w14:paraId="72B74600" w14:textId="77777777" w:rsidR="00B159C2" w:rsidRPr="00A74194" w:rsidRDefault="00E222B9" w:rsidP="00164D71">
      <w:pPr>
        <w:pStyle w:val="3-BodyText"/>
        <w:numPr>
          <w:ilvl w:val="0"/>
          <w:numId w:val="19"/>
        </w:numPr>
      </w:pPr>
      <w:r w:rsidRPr="00A74194">
        <w:rPr>
          <w:snapToGrid/>
        </w:rPr>
        <w:t>O</w:t>
      </w:r>
      <w:r w:rsidR="00B159C2" w:rsidRPr="00A74194">
        <w:rPr>
          <w:snapToGrid/>
        </w:rPr>
        <w:t>ne head-to-head randomised trial (POISE) comparing:</w:t>
      </w:r>
    </w:p>
    <w:p w14:paraId="7C0560B6" w14:textId="77777777" w:rsidR="00B159C2" w:rsidRPr="00A74194" w:rsidRDefault="00B159C2" w:rsidP="00164D71">
      <w:pPr>
        <w:pStyle w:val="3-BodyText"/>
        <w:numPr>
          <w:ilvl w:val="0"/>
          <w:numId w:val="12"/>
        </w:numPr>
        <w:ind w:left="1434" w:hanging="357"/>
      </w:pPr>
      <w:r w:rsidRPr="00A74194">
        <w:t>OCA</w:t>
      </w:r>
      <w:r w:rsidR="005A06D1" w:rsidRPr="00A74194">
        <w:t xml:space="preserve"> </w:t>
      </w:r>
      <w:r w:rsidRPr="00A74194">
        <w:t>+</w:t>
      </w:r>
      <w:r w:rsidR="005A06D1" w:rsidRPr="00A74194">
        <w:t xml:space="preserve"> </w:t>
      </w:r>
      <w:r w:rsidRPr="00A74194">
        <w:t xml:space="preserve">UDCA vs </w:t>
      </w:r>
      <w:r w:rsidR="000B63FB" w:rsidRPr="00A74194">
        <w:t>UDCA monotherapy</w:t>
      </w:r>
      <w:r w:rsidRPr="00A74194">
        <w:t xml:space="preserve"> in patients with an inadequate response to UDCA (OCA 5-10 mg titration: N=65; OCA 10 mg: N=67; placebo: N=68) or</w:t>
      </w:r>
    </w:p>
    <w:p w14:paraId="755C29EA" w14:textId="77777777" w:rsidR="00B159C2" w:rsidRPr="00A74194" w:rsidRDefault="00B159C2" w:rsidP="00164D71">
      <w:pPr>
        <w:pStyle w:val="3-BodyText"/>
        <w:numPr>
          <w:ilvl w:val="0"/>
          <w:numId w:val="12"/>
        </w:numPr>
        <w:ind w:left="1434" w:hanging="357"/>
      </w:pPr>
      <w:r w:rsidRPr="00A74194">
        <w:t>OCA vs placebo in patients with intolerance to UDCA (OCA 5-10 mg titration: N=5; OCA 10 mg: N=6; placebo: N=5).</w:t>
      </w:r>
    </w:p>
    <w:p w14:paraId="6BC0E353" w14:textId="77777777" w:rsidR="00B159C2" w:rsidRPr="00A74194" w:rsidRDefault="00B159C2" w:rsidP="00164D71">
      <w:pPr>
        <w:pStyle w:val="3-BodyText"/>
        <w:numPr>
          <w:ilvl w:val="0"/>
          <w:numId w:val="19"/>
        </w:numPr>
      </w:pPr>
      <w:r w:rsidRPr="00A74194">
        <w:t xml:space="preserve">Two supplementary </w:t>
      </w:r>
      <w:r w:rsidR="00F4223F" w:rsidRPr="00A74194">
        <w:t>randomised controlled trials (</w:t>
      </w:r>
      <w:r w:rsidRPr="00A74194">
        <w:t>RCTs</w:t>
      </w:r>
      <w:r w:rsidR="00F4223F" w:rsidRPr="00A74194">
        <w:t>)</w:t>
      </w:r>
      <w:r w:rsidRPr="00A74194">
        <w:t xml:space="preserve"> comparing:</w:t>
      </w:r>
    </w:p>
    <w:p w14:paraId="61DDE7F4" w14:textId="77777777" w:rsidR="00B159C2" w:rsidRPr="00A74194" w:rsidRDefault="00B159C2" w:rsidP="00164D71">
      <w:pPr>
        <w:pStyle w:val="3-BodyText"/>
        <w:numPr>
          <w:ilvl w:val="3"/>
          <w:numId w:val="13"/>
        </w:numPr>
        <w:ind w:left="1434" w:hanging="357"/>
      </w:pPr>
      <w:r w:rsidRPr="00A74194">
        <w:t>OCA as a monotherapy vs placebo (747-201 trial, placebo: N=24; OCA 10</w:t>
      </w:r>
      <w:r w:rsidR="005A06D1" w:rsidRPr="00A74194">
        <w:t xml:space="preserve"> </w:t>
      </w:r>
      <w:r w:rsidRPr="00A74194">
        <w:t>mg: N=20; OCA 50</w:t>
      </w:r>
      <w:r w:rsidR="005A06D1" w:rsidRPr="00A74194">
        <w:t xml:space="preserve"> </w:t>
      </w:r>
      <w:r w:rsidRPr="00A74194">
        <w:t>mg: N=16)</w:t>
      </w:r>
    </w:p>
    <w:p w14:paraId="19185EC6" w14:textId="77777777" w:rsidR="00B159C2" w:rsidRPr="00A74194" w:rsidRDefault="00B159C2" w:rsidP="00164D71">
      <w:pPr>
        <w:pStyle w:val="3-BodyText"/>
        <w:numPr>
          <w:ilvl w:val="3"/>
          <w:numId w:val="13"/>
        </w:numPr>
        <w:ind w:left="1434" w:hanging="357"/>
      </w:pPr>
      <w:r w:rsidRPr="00A74194">
        <w:t>OCA +</w:t>
      </w:r>
      <w:r w:rsidR="005A06D1" w:rsidRPr="00A74194">
        <w:t xml:space="preserve"> </w:t>
      </w:r>
      <w:r w:rsidRPr="00A74194">
        <w:t>UDCA vs UDCA</w:t>
      </w:r>
      <w:r w:rsidR="005A06D1" w:rsidRPr="00A74194">
        <w:t xml:space="preserve"> </w:t>
      </w:r>
      <w:r w:rsidRPr="00A74194">
        <w:t>+ placebo (747-202 trial, placebo: N=38; OCA 10</w:t>
      </w:r>
      <w:r w:rsidR="005A06D1" w:rsidRPr="00A74194">
        <w:t xml:space="preserve"> </w:t>
      </w:r>
      <w:r w:rsidRPr="00A74194">
        <w:t>mg: N= 38; OCA 25</w:t>
      </w:r>
      <w:r w:rsidR="005A06D1" w:rsidRPr="00A74194">
        <w:t xml:space="preserve"> </w:t>
      </w:r>
      <w:r w:rsidRPr="00A74194">
        <w:t>mg: N=48; OCA 50</w:t>
      </w:r>
      <w:r w:rsidR="005A06D1" w:rsidRPr="00A74194">
        <w:t xml:space="preserve"> </w:t>
      </w:r>
      <w:r w:rsidRPr="00A74194">
        <w:t>mg: N=41).</w:t>
      </w:r>
    </w:p>
    <w:p w14:paraId="56F89151" w14:textId="77777777" w:rsidR="00B159C2" w:rsidRPr="00A74194" w:rsidRDefault="00E222B9" w:rsidP="00B159C2">
      <w:pPr>
        <w:pStyle w:val="3-BodyText"/>
        <w:numPr>
          <w:ilvl w:val="0"/>
          <w:numId w:val="0"/>
        </w:numPr>
        <w:ind w:left="720"/>
      </w:pPr>
      <w:r w:rsidRPr="00A74194">
        <w:t xml:space="preserve">(3) </w:t>
      </w:r>
      <w:r w:rsidR="00B159C2" w:rsidRPr="00A74194">
        <w:t>One open-label extension stud</w:t>
      </w:r>
      <w:r w:rsidRPr="00A74194">
        <w:t>y</w:t>
      </w:r>
      <w:r w:rsidR="00B159C2" w:rsidRPr="00A74194">
        <w:t xml:space="preserve"> of the POISE trial (POISE LTSE) (N=193). All patients in the POISE LTSE received OCA at a dose of 5mg (including those who have been taking OCA 10 mg in the double-blind phase) +/- UDCA for the first 3 months, after which time dose could be increased.</w:t>
      </w:r>
    </w:p>
    <w:p w14:paraId="18EBC3E5" w14:textId="77777777" w:rsidR="00B159C2" w:rsidRPr="00A74194" w:rsidRDefault="00B159C2" w:rsidP="00B159C2">
      <w:pPr>
        <w:pStyle w:val="ListParagraph"/>
        <w:numPr>
          <w:ilvl w:val="1"/>
          <w:numId w:val="1"/>
        </w:numPr>
        <w:spacing w:after="160"/>
        <w:rPr>
          <w:rFonts w:cs="Calibri"/>
          <w:snapToGrid/>
        </w:rPr>
      </w:pPr>
      <w:r w:rsidRPr="00A74194">
        <w:rPr>
          <w:rFonts w:cs="Calibri"/>
          <w:snapToGrid/>
        </w:rPr>
        <w:t xml:space="preserve">Table 3 presents the details of the trials presented. </w:t>
      </w:r>
    </w:p>
    <w:p w14:paraId="27C6D826" w14:textId="77777777" w:rsidR="00B159C2" w:rsidRPr="00A74194" w:rsidRDefault="00B159C2" w:rsidP="00F22259">
      <w:pPr>
        <w:pStyle w:val="CaptionTable"/>
      </w:pPr>
      <w:r w:rsidRPr="00A74194">
        <w:t xml:space="preserve">Table 3: Trials and associated reports presented in the </w:t>
      </w:r>
      <w:r w:rsidR="0019716A" w:rsidRPr="00A74194">
        <w:t>re</w:t>
      </w:r>
      <w:r w:rsidRPr="00A74194">
        <w:t>submission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04"/>
        <w:gridCol w:w="6258"/>
        <w:gridCol w:w="2055"/>
      </w:tblGrid>
      <w:tr w:rsidR="00B159C2" w:rsidRPr="00A74194" w14:paraId="3767E7F6" w14:textId="77777777" w:rsidTr="001A0308">
        <w:trPr>
          <w:tblHeader/>
        </w:trPr>
        <w:tc>
          <w:tcPr>
            <w:tcW w:w="704" w:type="dxa"/>
            <w:vAlign w:val="center"/>
          </w:tcPr>
          <w:p w14:paraId="125EE6E0" w14:textId="77777777" w:rsidR="00B159C2" w:rsidRPr="00A74194" w:rsidRDefault="00B159C2" w:rsidP="001A0308">
            <w:pPr>
              <w:pStyle w:val="Tabletext"/>
              <w:keepNext/>
              <w:rPr>
                <w:b/>
              </w:rPr>
            </w:pPr>
            <w:r w:rsidRPr="00A74194">
              <w:rPr>
                <w:b/>
              </w:rPr>
              <w:t xml:space="preserve">Trial </w:t>
            </w:r>
          </w:p>
        </w:tc>
        <w:tc>
          <w:tcPr>
            <w:tcW w:w="6258" w:type="dxa"/>
            <w:vAlign w:val="center"/>
          </w:tcPr>
          <w:p w14:paraId="5DCBD446" w14:textId="77777777" w:rsidR="00B159C2" w:rsidRPr="00A74194" w:rsidRDefault="00B159C2" w:rsidP="00F22259">
            <w:pPr>
              <w:pStyle w:val="Tabletext"/>
              <w:keepNext/>
              <w:jc w:val="center"/>
              <w:rPr>
                <w:b/>
              </w:rPr>
            </w:pPr>
            <w:r w:rsidRPr="00A74194">
              <w:rPr>
                <w:b/>
              </w:rPr>
              <w:t>Protocol title/ Publication title</w:t>
            </w:r>
          </w:p>
        </w:tc>
        <w:tc>
          <w:tcPr>
            <w:tcW w:w="0" w:type="auto"/>
            <w:vAlign w:val="center"/>
          </w:tcPr>
          <w:p w14:paraId="6F9B6468" w14:textId="77777777" w:rsidR="00B159C2" w:rsidRPr="00A74194" w:rsidRDefault="00B159C2" w:rsidP="00F22259">
            <w:pPr>
              <w:pStyle w:val="Tabletext"/>
              <w:keepNext/>
              <w:jc w:val="center"/>
              <w:rPr>
                <w:b/>
              </w:rPr>
            </w:pPr>
            <w:r w:rsidRPr="00A74194">
              <w:rPr>
                <w:b/>
              </w:rPr>
              <w:t>Publication citation</w:t>
            </w:r>
          </w:p>
        </w:tc>
      </w:tr>
      <w:tr w:rsidR="00B159C2" w:rsidRPr="00A74194" w14:paraId="55D8028B" w14:textId="77777777" w:rsidTr="001A0308">
        <w:tc>
          <w:tcPr>
            <w:tcW w:w="704" w:type="dxa"/>
            <w:vMerge w:val="restart"/>
            <w:tcBorders>
              <w:top w:val="single" w:sz="4" w:space="0" w:color="auto"/>
            </w:tcBorders>
            <w:shd w:val="clear" w:color="auto" w:fill="B8CCE4" w:themeFill="accent1" w:themeFillTint="66"/>
            <w:vAlign w:val="center"/>
          </w:tcPr>
          <w:p w14:paraId="283A9DB6" w14:textId="77777777" w:rsidR="00B159C2" w:rsidRPr="00A74194" w:rsidRDefault="00B159C2" w:rsidP="00F22259">
            <w:pPr>
              <w:pStyle w:val="Tabletext"/>
              <w:keepNext/>
            </w:pPr>
            <w:r w:rsidRPr="00A74194">
              <w:t>POISE</w:t>
            </w:r>
          </w:p>
        </w:tc>
        <w:tc>
          <w:tcPr>
            <w:tcW w:w="6258" w:type="dxa"/>
            <w:tcBorders>
              <w:top w:val="single" w:sz="4" w:space="0" w:color="auto"/>
              <w:bottom w:val="nil"/>
            </w:tcBorders>
            <w:shd w:val="clear" w:color="auto" w:fill="B8CCE4" w:themeFill="accent1" w:themeFillTint="66"/>
            <w:vAlign w:val="center"/>
          </w:tcPr>
          <w:p w14:paraId="6BC124AF" w14:textId="77777777" w:rsidR="00B159C2" w:rsidRPr="00A74194" w:rsidRDefault="00B159C2" w:rsidP="00F22259">
            <w:pPr>
              <w:pStyle w:val="Tabletext"/>
              <w:keepNext/>
              <w:rPr>
                <w:szCs w:val="18"/>
              </w:rPr>
            </w:pPr>
            <w:r w:rsidRPr="00A74194">
              <w:rPr>
                <w:rFonts w:cstheme="minorHAnsi"/>
                <w:szCs w:val="18"/>
              </w:rPr>
              <w:t>A Phase 3, double blind, placebo controlled trial and long term safety extension of obeticholic acid in patients with primary biliary cirrhosis (POISE)</w:t>
            </w:r>
          </w:p>
        </w:tc>
        <w:tc>
          <w:tcPr>
            <w:tcW w:w="0" w:type="auto"/>
            <w:tcBorders>
              <w:top w:val="single" w:sz="4" w:space="0" w:color="auto"/>
              <w:bottom w:val="nil"/>
            </w:tcBorders>
            <w:shd w:val="clear" w:color="auto" w:fill="B8CCE4" w:themeFill="accent1" w:themeFillTint="66"/>
            <w:vAlign w:val="center"/>
          </w:tcPr>
          <w:p w14:paraId="6BA9380C" w14:textId="77777777" w:rsidR="00B159C2" w:rsidRPr="00A74194" w:rsidRDefault="00B159C2" w:rsidP="001A0308">
            <w:pPr>
              <w:pStyle w:val="Tabletext"/>
              <w:keepNext/>
              <w:rPr>
                <w:i/>
                <w:szCs w:val="18"/>
              </w:rPr>
            </w:pPr>
            <w:r w:rsidRPr="00A74194">
              <w:rPr>
                <w:rFonts w:cstheme="minorHAnsi"/>
                <w:szCs w:val="18"/>
              </w:rPr>
              <w:t>Intercept Pharmaceuticals 2015</w:t>
            </w:r>
          </w:p>
        </w:tc>
      </w:tr>
      <w:tr w:rsidR="00B159C2" w:rsidRPr="00A74194" w14:paraId="488E76F0" w14:textId="77777777" w:rsidTr="001A0308">
        <w:tc>
          <w:tcPr>
            <w:tcW w:w="704" w:type="dxa"/>
            <w:vMerge/>
            <w:tcBorders>
              <w:bottom w:val="single" w:sz="4" w:space="0" w:color="auto"/>
            </w:tcBorders>
            <w:vAlign w:val="center"/>
          </w:tcPr>
          <w:p w14:paraId="5AE674C6" w14:textId="77777777" w:rsidR="00B159C2" w:rsidRPr="00A74194" w:rsidRDefault="00B159C2" w:rsidP="00F22259">
            <w:pPr>
              <w:pStyle w:val="Tabletext"/>
              <w:keepNext/>
            </w:pPr>
          </w:p>
        </w:tc>
        <w:tc>
          <w:tcPr>
            <w:tcW w:w="6258" w:type="dxa"/>
            <w:tcBorders>
              <w:top w:val="nil"/>
              <w:bottom w:val="single" w:sz="4" w:space="0" w:color="auto"/>
            </w:tcBorders>
            <w:shd w:val="clear" w:color="auto" w:fill="B8CCE4" w:themeFill="accent1" w:themeFillTint="66"/>
            <w:vAlign w:val="center"/>
          </w:tcPr>
          <w:p w14:paraId="561AA772" w14:textId="77777777" w:rsidR="00B159C2" w:rsidRPr="00A74194" w:rsidRDefault="00B159C2" w:rsidP="00F22259">
            <w:pPr>
              <w:pStyle w:val="Tabletext"/>
              <w:keepNext/>
              <w:rPr>
                <w:rFonts w:cstheme="minorHAnsi"/>
                <w:szCs w:val="18"/>
              </w:rPr>
            </w:pPr>
            <w:r w:rsidRPr="00A74194">
              <w:rPr>
                <w:rFonts w:cstheme="minorHAnsi"/>
                <w:szCs w:val="18"/>
              </w:rPr>
              <w:t>Nevens F, Andreone P, Mazzella G, Strasser SI, Bowlus C, Invernizzi P, et al. A placebo-controlled trial of obeticholic acid in primary biliary cholangitis</w:t>
            </w:r>
          </w:p>
        </w:tc>
        <w:tc>
          <w:tcPr>
            <w:tcW w:w="0" w:type="auto"/>
            <w:tcBorders>
              <w:top w:val="nil"/>
              <w:bottom w:val="single" w:sz="4" w:space="0" w:color="auto"/>
            </w:tcBorders>
            <w:shd w:val="clear" w:color="auto" w:fill="B8CCE4" w:themeFill="accent1" w:themeFillTint="66"/>
            <w:vAlign w:val="center"/>
          </w:tcPr>
          <w:p w14:paraId="5796A03F" w14:textId="77777777" w:rsidR="00B159C2" w:rsidRPr="00A74194" w:rsidRDefault="00B159C2" w:rsidP="001A0308">
            <w:pPr>
              <w:pStyle w:val="Tabletext"/>
              <w:keepNext/>
              <w:spacing w:after="60"/>
              <w:rPr>
                <w:rFonts w:cstheme="minorHAnsi"/>
                <w:szCs w:val="18"/>
              </w:rPr>
            </w:pPr>
            <w:r w:rsidRPr="00A74194">
              <w:rPr>
                <w:rFonts w:cstheme="minorHAnsi"/>
                <w:szCs w:val="18"/>
              </w:rPr>
              <w:t>NEJM</w:t>
            </w:r>
            <w:r w:rsidR="001020A6" w:rsidRPr="00A74194">
              <w:rPr>
                <w:rFonts w:cstheme="minorHAnsi"/>
                <w:szCs w:val="18"/>
              </w:rPr>
              <w:t>.</w:t>
            </w:r>
            <w:r w:rsidRPr="00A74194">
              <w:rPr>
                <w:rFonts w:cstheme="minorHAnsi"/>
                <w:szCs w:val="18"/>
              </w:rPr>
              <w:t xml:space="preserve"> 2016;375(7):631-43. </w:t>
            </w:r>
          </w:p>
        </w:tc>
      </w:tr>
      <w:tr w:rsidR="00B159C2" w:rsidRPr="00A74194" w14:paraId="063367C6" w14:textId="77777777" w:rsidTr="001A0308">
        <w:tc>
          <w:tcPr>
            <w:tcW w:w="704" w:type="dxa"/>
            <w:tcBorders>
              <w:top w:val="single" w:sz="4" w:space="0" w:color="auto"/>
              <w:bottom w:val="single" w:sz="4" w:space="0" w:color="auto"/>
            </w:tcBorders>
            <w:shd w:val="clear" w:color="auto" w:fill="B8CCE4" w:themeFill="accent1" w:themeFillTint="66"/>
            <w:vAlign w:val="center"/>
          </w:tcPr>
          <w:p w14:paraId="1C75BE2A" w14:textId="77777777" w:rsidR="00B159C2" w:rsidRPr="00A74194" w:rsidRDefault="00B159C2" w:rsidP="00F22259">
            <w:pPr>
              <w:pStyle w:val="Tabletext"/>
              <w:keepNext/>
            </w:pPr>
            <w:r w:rsidRPr="00A74194">
              <w:rPr>
                <w:rFonts w:cstheme="minorHAnsi"/>
                <w:szCs w:val="18"/>
              </w:rPr>
              <w:t>747-201</w:t>
            </w:r>
          </w:p>
        </w:tc>
        <w:tc>
          <w:tcPr>
            <w:tcW w:w="6258" w:type="dxa"/>
            <w:tcBorders>
              <w:top w:val="single" w:sz="4" w:space="0" w:color="auto"/>
              <w:bottom w:val="single" w:sz="4" w:space="0" w:color="auto"/>
            </w:tcBorders>
            <w:shd w:val="clear" w:color="auto" w:fill="B8CCE4" w:themeFill="accent1" w:themeFillTint="66"/>
            <w:vAlign w:val="center"/>
          </w:tcPr>
          <w:p w14:paraId="6C0D1717" w14:textId="77777777" w:rsidR="00B159C2" w:rsidRPr="00A74194" w:rsidRDefault="00B159C2" w:rsidP="00F22259">
            <w:pPr>
              <w:pStyle w:val="Tabletext"/>
              <w:keepNext/>
              <w:rPr>
                <w:rFonts w:cstheme="minorHAnsi"/>
                <w:szCs w:val="18"/>
              </w:rPr>
            </w:pPr>
            <w:r w:rsidRPr="00A74194">
              <w:rPr>
                <w:rFonts w:cs="Arial"/>
                <w:szCs w:val="18"/>
              </w:rPr>
              <w:t xml:space="preserve">Kowdley K, Luketic V, Chapman RW, et al. A randomized trial of obeticholic acid monotherapy in patients with primary biliary cholangitis. </w:t>
            </w:r>
          </w:p>
        </w:tc>
        <w:tc>
          <w:tcPr>
            <w:tcW w:w="0" w:type="auto"/>
            <w:tcBorders>
              <w:top w:val="single" w:sz="4" w:space="0" w:color="auto"/>
              <w:bottom w:val="single" w:sz="4" w:space="0" w:color="auto"/>
            </w:tcBorders>
            <w:shd w:val="clear" w:color="auto" w:fill="B8CCE4" w:themeFill="accent1" w:themeFillTint="66"/>
            <w:vAlign w:val="center"/>
          </w:tcPr>
          <w:p w14:paraId="4D3BB249" w14:textId="77777777" w:rsidR="00B159C2" w:rsidRPr="00A74194" w:rsidRDefault="00B159C2" w:rsidP="001A0308">
            <w:pPr>
              <w:pStyle w:val="Tabletext"/>
              <w:keepNext/>
              <w:spacing w:after="60"/>
              <w:rPr>
                <w:rFonts w:cstheme="minorHAnsi"/>
                <w:szCs w:val="18"/>
              </w:rPr>
            </w:pPr>
            <w:r w:rsidRPr="00A74194">
              <w:rPr>
                <w:rFonts w:cs="Arial"/>
                <w:szCs w:val="18"/>
              </w:rPr>
              <w:t>Hepatology</w:t>
            </w:r>
            <w:r w:rsidR="001020A6" w:rsidRPr="00A74194">
              <w:rPr>
                <w:rFonts w:cs="Arial"/>
                <w:szCs w:val="18"/>
              </w:rPr>
              <w:t>.</w:t>
            </w:r>
            <w:r w:rsidRPr="00A74194">
              <w:rPr>
                <w:rFonts w:cs="Arial"/>
                <w:szCs w:val="18"/>
              </w:rPr>
              <w:t xml:space="preserve"> 2018;67(5): 1890-1902</w:t>
            </w:r>
          </w:p>
        </w:tc>
      </w:tr>
      <w:tr w:rsidR="00B159C2" w:rsidRPr="00A74194" w14:paraId="641CDBC2" w14:textId="77777777" w:rsidTr="001A0308">
        <w:tc>
          <w:tcPr>
            <w:tcW w:w="704" w:type="dxa"/>
            <w:tcBorders>
              <w:top w:val="single" w:sz="4" w:space="0" w:color="auto"/>
              <w:bottom w:val="single" w:sz="4" w:space="0" w:color="auto"/>
            </w:tcBorders>
            <w:shd w:val="clear" w:color="auto" w:fill="B8CCE4" w:themeFill="accent1" w:themeFillTint="66"/>
            <w:vAlign w:val="center"/>
          </w:tcPr>
          <w:p w14:paraId="7D20D4D1" w14:textId="77777777" w:rsidR="00B159C2" w:rsidRPr="00A74194" w:rsidRDefault="00B159C2" w:rsidP="00F22259">
            <w:pPr>
              <w:pStyle w:val="Tabletext"/>
              <w:keepNext/>
            </w:pPr>
            <w:r w:rsidRPr="00A74194">
              <w:rPr>
                <w:rFonts w:cstheme="minorHAnsi"/>
                <w:szCs w:val="18"/>
              </w:rPr>
              <w:t>747-202</w:t>
            </w:r>
          </w:p>
        </w:tc>
        <w:tc>
          <w:tcPr>
            <w:tcW w:w="6258" w:type="dxa"/>
            <w:tcBorders>
              <w:top w:val="single" w:sz="4" w:space="0" w:color="auto"/>
              <w:bottom w:val="single" w:sz="4" w:space="0" w:color="auto"/>
            </w:tcBorders>
            <w:shd w:val="clear" w:color="auto" w:fill="B8CCE4" w:themeFill="accent1" w:themeFillTint="66"/>
            <w:vAlign w:val="center"/>
          </w:tcPr>
          <w:p w14:paraId="6F915779" w14:textId="77777777" w:rsidR="00B159C2" w:rsidRPr="00A74194" w:rsidRDefault="00B159C2" w:rsidP="00F22259">
            <w:pPr>
              <w:pStyle w:val="Tabletext"/>
              <w:keepNext/>
              <w:rPr>
                <w:rFonts w:cstheme="minorHAnsi"/>
                <w:szCs w:val="18"/>
              </w:rPr>
            </w:pPr>
            <w:r w:rsidRPr="00A74194">
              <w:rPr>
                <w:rFonts w:cstheme="minorHAnsi"/>
                <w:szCs w:val="18"/>
              </w:rPr>
              <w:t>Hirschfield GM, Mason A, Luketic V, Lindor K, Gordon SC, Mayo M, et al. Efficacy of obeticholic acid in patients with primary biliary cirrhosis and inadequate response to ursodeoxycholic acid.</w:t>
            </w:r>
          </w:p>
        </w:tc>
        <w:tc>
          <w:tcPr>
            <w:tcW w:w="0" w:type="auto"/>
            <w:tcBorders>
              <w:top w:val="single" w:sz="4" w:space="0" w:color="auto"/>
              <w:bottom w:val="single" w:sz="4" w:space="0" w:color="auto"/>
            </w:tcBorders>
            <w:shd w:val="clear" w:color="auto" w:fill="B8CCE4" w:themeFill="accent1" w:themeFillTint="66"/>
            <w:vAlign w:val="center"/>
          </w:tcPr>
          <w:p w14:paraId="35D5BF68" w14:textId="77777777" w:rsidR="00B159C2" w:rsidRPr="00A74194" w:rsidRDefault="00B159C2" w:rsidP="001A0308">
            <w:pPr>
              <w:pStyle w:val="Tabletext"/>
              <w:keepNext/>
              <w:rPr>
                <w:rFonts w:cstheme="minorHAnsi"/>
                <w:szCs w:val="18"/>
              </w:rPr>
            </w:pPr>
            <w:r w:rsidRPr="00A74194">
              <w:rPr>
                <w:rFonts w:cstheme="minorHAnsi"/>
                <w:szCs w:val="18"/>
              </w:rPr>
              <w:t>Gastroenterology</w:t>
            </w:r>
            <w:r w:rsidR="001020A6" w:rsidRPr="00A74194">
              <w:rPr>
                <w:rFonts w:cstheme="minorHAnsi"/>
                <w:szCs w:val="18"/>
              </w:rPr>
              <w:t>.</w:t>
            </w:r>
            <w:r w:rsidR="001A0308" w:rsidRPr="00A74194">
              <w:rPr>
                <w:rFonts w:cstheme="minorHAnsi"/>
                <w:szCs w:val="18"/>
              </w:rPr>
              <w:t xml:space="preserve"> 2015</w:t>
            </w:r>
            <w:r w:rsidRPr="00A74194">
              <w:rPr>
                <w:rFonts w:cstheme="minorHAnsi"/>
                <w:szCs w:val="18"/>
              </w:rPr>
              <w:t>;148(4):751-61 e8</w:t>
            </w:r>
          </w:p>
        </w:tc>
      </w:tr>
    </w:tbl>
    <w:p w14:paraId="42279FA8" w14:textId="77777777" w:rsidR="00900281" w:rsidRPr="00A74194" w:rsidRDefault="00B159C2" w:rsidP="00900281">
      <w:pPr>
        <w:spacing w:after="120"/>
        <w:contextualSpacing/>
        <w:rPr>
          <w:rFonts w:ascii="Arial Narrow" w:hAnsi="Arial Narrow"/>
          <w:sz w:val="18"/>
          <w:szCs w:val="18"/>
        </w:rPr>
      </w:pPr>
      <w:r w:rsidRPr="00A74194">
        <w:rPr>
          <w:rFonts w:ascii="Arial Narrow" w:hAnsi="Arial Narrow"/>
          <w:sz w:val="18"/>
          <w:szCs w:val="18"/>
        </w:rPr>
        <w:t>Source: Table 21, p54 -55 of the resubmission</w:t>
      </w:r>
      <w:r w:rsidR="00900281" w:rsidRPr="00A74194">
        <w:rPr>
          <w:rFonts w:ascii="Arial Narrow" w:hAnsi="Arial Narrow"/>
          <w:sz w:val="18"/>
          <w:szCs w:val="18"/>
        </w:rPr>
        <w:t xml:space="preserve">. </w:t>
      </w:r>
    </w:p>
    <w:p w14:paraId="0524C561" w14:textId="77777777" w:rsidR="00E84633" w:rsidRDefault="00900281" w:rsidP="00900281">
      <w:pPr>
        <w:spacing w:after="120"/>
        <w:contextualSpacing/>
        <w:rPr>
          <w:rFonts w:ascii="Arial Narrow" w:hAnsi="Arial Narrow"/>
          <w:b/>
          <w:sz w:val="18"/>
        </w:rPr>
      </w:pPr>
      <w:r w:rsidRPr="00A74194">
        <w:rPr>
          <w:rFonts w:ascii="Arial Narrow" w:hAnsi="Arial Narrow"/>
          <w:sz w:val="18"/>
          <w:shd w:val="clear" w:color="auto" w:fill="B8CCE4" w:themeFill="accent1" w:themeFillTint="66"/>
        </w:rPr>
        <w:t>Blue shading indicates data previously seen by the PBAC</w:t>
      </w:r>
      <w:r w:rsidRPr="00A74194">
        <w:rPr>
          <w:rFonts w:ascii="Arial Narrow" w:hAnsi="Arial Narrow"/>
          <w:sz w:val="18"/>
        </w:rPr>
        <w:t>.</w:t>
      </w:r>
      <w:r w:rsidRPr="00A74194">
        <w:rPr>
          <w:rFonts w:ascii="Arial Narrow" w:hAnsi="Arial Narrow"/>
          <w:b/>
          <w:sz w:val="18"/>
        </w:rPr>
        <w:t xml:space="preserve"> </w:t>
      </w:r>
    </w:p>
    <w:p w14:paraId="6EB4C971" w14:textId="77777777" w:rsidR="00E84633" w:rsidRDefault="00E84633">
      <w:pPr>
        <w:jc w:val="left"/>
        <w:rPr>
          <w:rFonts w:ascii="Arial Narrow" w:hAnsi="Arial Narrow"/>
          <w:b/>
          <w:sz w:val="18"/>
        </w:rPr>
      </w:pPr>
      <w:r>
        <w:rPr>
          <w:rFonts w:ascii="Arial Narrow" w:hAnsi="Arial Narrow"/>
          <w:b/>
          <w:sz w:val="18"/>
        </w:rPr>
        <w:br w:type="page"/>
      </w:r>
    </w:p>
    <w:p w14:paraId="28A0DE87" w14:textId="77777777" w:rsidR="00B159C2" w:rsidRPr="00A74194" w:rsidRDefault="00B159C2" w:rsidP="00B159C2">
      <w:pPr>
        <w:pStyle w:val="ListParagraph"/>
        <w:numPr>
          <w:ilvl w:val="1"/>
          <w:numId w:val="1"/>
        </w:numPr>
        <w:spacing w:after="160"/>
        <w:rPr>
          <w:i/>
        </w:rPr>
      </w:pPr>
      <w:r w:rsidRPr="00A74194">
        <w:lastRenderedPageBreak/>
        <w:t xml:space="preserve">The key features of the direct RCTs are summarised in Table 4. </w:t>
      </w:r>
    </w:p>
    <w:p w14:paraId="3E8598DD" w14:textId="77777777" w:rsidR="00B159C2" w:rsidRPr="00A74194" w:rsidRDefault="00B159C2" w:rsidP="00C12A60">
      <w:pPr>
        <w:pStyle w:val="CaptionTable"/>
      </w:pPr>
      <w:r w:rsidRPr="00A74194">
        <w:t>Table 4: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31"/>
        <w:gridCol w:w="330"/>
        <w:gridCol w:w="958"/>
        <w:gridCol w:w="749"/>
        <w:gridCol w:w="1122"/>
        <w:gridCol w:w="3477"/>
        <w:gridCol w:w="1650"/>
      </w:tblGrid>
      <w:tr w:rsidR="00B159C2" w:rsidRPr="00A74194" w14:paraId="44EB02F4" w14:textId="77777777" w:rsidTr="007E12FF">
        <w:tc>
          <w:tcPr>
            <w:tcW w:w="406" w:type="pct"/>
            <w:shd w:val="clear" w:color="auto" w:fill="auto"/>
            <w:vAlign w:val="center"/>
          </w:tcPr>
          <w:p w14:paraId="26463C7D" w14:textId="77777777" w:rsidR="00B159C2" w:rsidRPr="00A74194" w:rsidRDefault="00B159C2" w:rsidP="007E12FF">
            <w:pPr>
              <w:pStyle w:val="Tabletext"/>
              <w:rPr>
                <w:b/>
              </w:rPr>
            </w:pPr>
            <w:r w:rsidRPr="00A74194">
              <w:rPr>
                <w:b/>
              </w:rPr>
              <w:t>Trial</w:t>
            </w:r>
          </w:p>
        </w:tc>
        <w:tc>
          <w:tcPr>
            <w:tcW w:w="183" w:type="pct"/>
            <w:shd w:val="clear" w:color="auto" w:fill="auto"/>
            <w:vAlign w:val="center"/>
          </w:tcPr>
          <w:p w14:paraId="6F8B57F5" w14:textId="77777777" w:rsidR="00B159C2" w:rsidRPr="00A74194" w:rsidRDefault="00B159C2" w:rsidP="007E12FF">
            <w:pPr>
              <w:pStyle w:val="Tabletext"/>
              <w:jc w:val="center"/>
              <w:rPr>
                <w:b/>
              </w:rPr>
            </w:pPr>
            <w:r w:rsidRPr="00A74194">
              <w:rPr>
                <w:b/>
              </w:rPr>
              <w:t>N</w:t>
            </w:r>
          </w:p>
        </w:tc>
        <w:tc>
          <w:tcPr>
            <w:tcW w:w="531" w:type="pct"/>
            <w:shd w:val="clear" w:color="auto" w:fill="auto"/>
            <w:vAlign w:val="center"/>
          </w:tcPr>
          <w:p w14:paraId="4FBA35F5" w14:textId="77777777" w:rsidR="00B159C2" w:rsidRPr="00A74194" w:rsidRDefault="00B159C2" w:rsidP="007E12FF">
            <w:pPr>
              <w:pStyle w:val="Tabletext"/>
              <w:jc w:val="center"/>
              <w:rPr>
                <w:b/>
              </w:rPr>
            </w:pPr>
            <w:r w:rsidRPr="00A74194">
              <w:rPr>
                <w:b/>
              </w:rPr>
              <w:t>Design/ duration</w:t>
            </w:r>
          </w:p>
        </w:tc>
        <w:tc>
          <w:tcPr>
            <w:tcW w:w="415" w:type="pct"/>
            <w:shd w:val="clear" w:color="auto" w:fill="auto"/>
            <w:vAlign w:val="center"/>
          </w:tcPr>
          <w:p w14:paraId="35B4DDD5" w14:textId="77777777" w:rsidR="00B159C2" w:rsidRPr="00A74194" w:rsidRDefault="00B159C2" w:rsidP="007E12FF">
            <w:pPr>
              <w:pStyle w:val="Tabletext"/>
              <w:jc w:val="center"/>
              <w:rPr>
                <w:b/>
              </w:rPr>
            </w:pPr>
            <w:r w:rsidRPr="00A74194">
              <w:rPr>
                <w:b/>
              </w:rPr>
              <w:t>Risk of bias</w:t>
            </w:r>
          </w:p>
        </w:tc>
        <w:tc>
          <w:tcPr>
            <w:tcW w:w="622" w:type="pct"/>
            <w:shd w:val="clear" w:color="auto" w:fill="auto"/>
            <w:vAlign w:val="center"/>
          </w:tcPr>
          <w:p w14:paraId="76AF0872" w14:textId="77777777" w:rsidR="00B159C2" w:rsidRPr="00A74194" w:rsidRDefault="00B159C2" w:rsidP="007E12FF">
            <w:pPr>
              <w:pStyle w:val="Tabletext"/>
              <w:jc w:val="center"/>
              <w:rPr>
                <w:b/>
              </w:rPr>
            </w:pPr>
            <w:r w:rsidRPr="00A74194">
              <w:rPr>
                <w:b/>
              </w:rPr>
              <w:t>Patient population</w:t>
            </w:r>
          </w:p>
        </w:tc>
        <w:tc>
          <w:tcPr>
            <w:tcW w:w="1928" w:type="pct"/>
            <w:shd w:val="clear" w:color="auto" w:fill="auto"/>
            <w:vAlign w:val="center"/>
          </w:tcPr>
          <w:p w14:paraId="33E3F5FA" w14:textId="77777777" w:rsidR="00B159C2" w:rsidRPr="00A74194" w:rsidRDefault="00B159C2" w:rsidP="007E12FF">
            <w:pPr>
              <w:pStyle w:val="Tabletext"/>
              <w:jc w:val="center"/>
              <w:rPr>
                <w:b/>
              </w:rPr>
            </w:pPr>
            <w:r w:rsidRPr="00A74194">
              <w:rPr>
                <w:b/>
              </w:rPr>
              <w:t>Outcome(s)</w:t>
            </w:r>
          </w:p>
        </w:tc>
        <w:tc>
          <w:tcPr>
            <w:tcW w:w="914" w:type="pct"/>
            <w:shd w:val="clear" w:color="auto" w:fill="auto"/>
            <w:vAlign w:val="center"/>
          </w:tcPr>
          <w:p w14:paraId="4B603556" w14:textId="77777777" w:rsidR="00B159C2" w:rsidRPr="00A74194" w:rsidRDefault="00B159C2" w:rsidP="007E12FF">
            <w:pPr>
              <w:pStyle w:val="Tabletext"/>
              <w:jc w:val="center"/>
              <w:rPr>
                <w:b/>
              </w:rPr>
            </w:pPr>
            <w:r w:rsidRPr="00A74194">
              <w:rPr>
                <w:b/>
              </w:rPr>
              <w:t>Use in modelled evaluation</w:t>
            </w:r>
          </w:p>
        </w:tc>
      </w:tr>
      <w:tr w:rsidR="00B159C2" w:rsidRPr="00A74194" w14:paraId="6A776F41" w14:textId="77777777" w:rsidTr="007E12FF">
        <w:tc>
          <w:tcPr>
            <w:tcW w:w="5000" w:type="pct"/>
            <w:gridSpan w:val="7"/>
            <w:shd w:val="clear" w:color="auto" w:fill="auto"/>
            <w:vAlign w:val="center"/>
          </w:tcPr>
          <w:p w14:paraId="06DD14E6" w14:textId="77777777" w:rsidR="00B159C2" w:rsidRPr="00A74194" w:rsidRDefault="00B159C2" w:rsidP="007E12FF">
            <w:pPr>
              <w:pStyle w:val="Tabletext"/>
              <w:rPr>
                <w:b/>
              </w:rPr>
            </w:pPr>
            <w:r w:rsidRPr="00A74194">
              <w:rPr>
                <w:b/>
              </w:rPr>
              <w:t xml:space="preserve">OCA + UDCA vs UDCA+ placebo for UDCA inadequate responders or OCA vs placebo for UDCA intolerant </w:t>
            </w:r>
          </w:p>
        </w:tc>
      </w:tr>
      <w:tr w:rsidR="00B159C2" w:rsidRPr="00A74194" w14:paraId="1430572E" w14:textId="77777777" w:rsidTr="00900281">
        <w:tc>
          <w:tcPr>
            <w:tcW w:w="406" w:type="pct"/>
            <w:shd w:val="clear" w:color="auto" w:fill="B8CCE4" w:themeFill="accent1" w:themeFillTint="66"/>
            <w:vAlign w:val="center"/>
          </w:tcPr>
          <w:p w14:paraId="02F3F732" w14:textId="77777777" w:rsidR="00B159C2" w:rsidRPr="00A74194" w:rsidRDefault="00B159C2" w:rsidP="007E12FF">
            <w:pPr>
              <w:pStyle w:val="Tabletext"/>
            </w:pPr>
            <w:r w:rsidRPr="00A74194">
              <w:t>POISE Trial</w:t>
            </w:r>
          </w:p>
        </w:tc>
        <w:tc>
          <w:tcPr>
            <w:tcW w:w="183" w:type="pct"/>
            <w:shd w:val="clear" w:color="auto" w:fill="B8CCE4" w:themeFill="accent1" w:themeFillTint="66"/>
            <w:vAlign w:val="center"/>
          </w:tcPr>
          <w:p w14:paraId="645EDFD3" w14:textId="77777777" w:rsidR="00B159C2" w:rsidRPr="00A74194" w:rsidRDefault="00B159C2" w:rsidP="007E12FF">
            <w:pPr>
              <w:pStyle w:val="Tabletext"/>
              <w:jc w:val="center"/>
            </w:pPr>
            <w:r w:rsidRPr="00A74194">
              <w:t>217</w:t>
            </w:r>
          </w:p>
        </w:tc>
        <w:tc>
          <w:tcPr>
            <w:tcW w:w="531" w:type="pct"/>
            <w:shd w:val="clear" w:color="auto" w:fill="B8CCE4" w:themeFill="accent1" w:themeFillTint="66"/>
            <w:vAlign w:val="center"/>
          </w:tcPr>
          <w:p w14:paraId="26BD975E" w14:textId="77777777" w:rsidR="00B159C2" w:rsidRPr="00A74194" w:rsidRDefault="00B159C2" w:rsidP="007E12FF">
            <w:pPr>
              <w:pStyle w:val="Tabletext"/>
              <w:jc w:val="center"/>
            </w:pPr>
            <w:r w:rsidRPr="00A74194">
              <w:t>R, DB</w:t>
            </w:r>
          </w:p>
          <w:p w14:paraId="5264C957" w14:textId="77777777" w:rsidR="00B159C2" w:rsidRPr="00A74194" w:rsidRDefault="00B159C2" w:rsidP="007E12FF">
            <w:pPr>
              <w:pStyle w:val="Tabletext"/>
              <w:jc w:val="center"/>
            </w:pPr>
            <w:r w:rsidRPr="00A74194">
              <w:t>12 months</w:t>
            </w:r>
          </w:p>
        </w:tc>
        <w:tc>
          <w:tcPr>
            <w:tcW w:w="415" w:type="pct"/>
            <w:shd w:val="clear" w:color="auto" w:fill="B8CCE4" w:themeFill="accent1" w:themeFillTint="66"/>
            <w:vAlign w:val="center"/>
          </w:tcPr>
          <w:p w14:paraId="7F8CE06C" w14:textId="77777777" w:rsidR="00B159C2" w:rsidRPr="00A74194" w:rsidRDefault="00B159C2" w:rsidP="007E12FF">
            <w:pPr>
              <w:pStyle w:val="Tabletext"/>
              <w:jc w:val="center"/>
              <w:rPr>
                <w:i/>
              </w:rPr>
            </w:pPr>
            <w:r w:rsidRPr="00A74194">
              <w:rPr>
                <w:i/>
              </w:rPr>
              <w:t>Moderate</w:t>
            </w:r>
          </w:p>
        </w:tc>
        <w:tc>
          <w:tcPr>
            <w:tcW w:w="622" w:type="pct"/>
            <w:shd w:val="clear" w:color="auto" w:fill="B8CCE4" w:themeFill="accent1" w:themeFillTint="66"/>
            <w:vAlign w:val="center"/>
          </w:tcPr>
          <w:p w14:paraId="5A8A9CEC" w14:textId="77777777" w:rsidR="00B159C2" w:rsidRPr="00A74194" w:rsidRDefault="00B159C2" w:rsidP="007E12FF">
            <w:pPr>
              <w:pStyle w:val="Tabletext"/>
              <w:jc w:val="center"/>
            </w:pPr>
            <w:r w:rsidRPr="00A74194">
              <w:t>PBC</w:t>
            </w:r>
          </w:p>
        </w:tc>
        <w:tc>
          <w:tcPr>
            <w:tcW w:w="1928" w:type="pct"/>
            <w:shd w:val="clear" w:color="auto" w:fill="B8CCE4" w:themeFill="accent1" w:themeFillTint="66"/>
            <w:vAlign w:val="center"/>
          </w:tcPr>
          <w:p w14:paraId="12B2F629" w14:textId="77777777" w:rsidR="00B159C2" w:rsidRPr="00A74194" w:rsidRDefault="00B159C2" w:rsidP="007E12FF">
            <w:pPr>
              <w:pStyle w:val="Tabletext"/>
              <w:jc w:val="center"/>
            </w:pPr>
            <w:r w:rsidRPr="00A74194">
              <w:rPr>
                <w:rFonts w:cstheme="minorHAnsi"/>
                <w:szCs w:val="20"/>
              </w:rPr>
              <w:t>Serum ALP and total bilirubin levels, together as a composite endpoint in the OCA 10mg group.</w:t>
            </w:r>
          </w:p>
        </w:tc>
        <w:tc>
          <w:tcPr>
            <w:tcW w:w="914" w:type="pct"/>
            <w:shd w:val="clear" w:color="auto" w:fill="B8CCE4" w:themeFill="accent1" w:themeFillTint="66"/>
            <w:vAlign w:val="center"/>
          </w:tcPr>
          <w:p w14:paraId="769A3000" w14:textId="77777777" w:rsidR="00B159C2" w:rsidRPr="00A74194" w:rsidRDefault="00B159C2" w:rsidP="007E12FF">
            <w:pPr>
              <w:pStyle w:val="Tabletext"/>
              <w:jc w:val="center"/>
            </w:pPr>
            <w:r w:rsidRPr="00A74194">
              <w:t>Used</w:t>
            </w:r>
          </w:p>
        </w:tc>
      </w:tr>
      <w:tr w:rsidR="00B159C2" w:rsidRPr="00A74194" w14:paraId="2C846D5B" w14:textId="77777777" w:rsidTr="00900281">
        <w:tc>
          <w:tcPr>
            <w:tcW w:w="406" w:type="pct"/>
            <w:shd w:val="clear" w:color="auto" w:fill="B8CCE4" w:themeFill="accent1" w:themeFillTint="66"/>
            <w:vAlign w:val="center"/>
          </w:tcPr>
          <w:p w14:paraId="1D8D37D6" w14:textId="77777777" w:rsidR="00B159C2" w:rsidRPr="00A74194" w:rsidRDefault="00B159C2" w:rsidP="007E12FF">
            <w:pPr>
              <w:pStyle w:val="Tabletext"/>
            </w:pPr>
            <w:r w:rsidRPr="00A74194">
              <w:t>747-201 Trial</w:t>
            </w:r>
          </w:p>
        </w:tc>
        <w:tc>
          <w:tcPr>
            <w:tcW w:w="183" w:type="pct"/>
            <w:shd w:val="clear" w:color="auto" w:fill="B8CCE4" w:themeFill="accent1" w:themeFillTint="66"/>
            <w:vAlign w:val="center"/>
          </w:tcPr>
          <w:p w14:paraId="4DA3C217" w14:textId="77777777" w:rsidR="00B159C2" w:rsidRPr="00A74194" w:rsidRDefault="00B159C2" w:rsidP="007E12FF">
            <w:pPr>
              <w:pStyle w:val="Tabletext"/>
              <w:jc w:val="center"/>
            </w:pPr>
            <w:r w:rsidRPr="00A74194">
              <w:t>60</w:t>
            </w:r>
          </w:p>
        </w:tc>
        <w:tc>
          <w:tcPr>
            <w:tcW w:w="531" w:type="pct"/>
            <w:shd w:val="clear" w:color="auto" w:fill="B8CCE4" w:themeFill="accent1" w:themeFillTint="66"/>
            <w:vAlign w:val="center"/>
          </w:tcPr>
          <w:p w14:paraId="1E59D2C9" w14:textId="77777777" w:rsidR="00B159C2" w:rsidRPr="00A74194" w:rsidRDefault="00B159C2" w:rsidP="007E12FF">
            <w:pPr>
              <w:pStyle w:val="Tabletext"/>
              <w:jc w:val="center"/>
            </w:pPr>
            <w:r w:rsidRPr="00A74194">
              <w:t>R, DB</w:t>
            </w:r>
          </w:p>
          <w:p w14:paraId="76F8281B" w14:textId="77777777" w:rsidR="00B159C2" w:rsidRPr="00A74194" w:rsidRDefault="00B159C2" w:rsidP="007E12FF">
            <w:pPr>
              <w:pStyle w:val="Tabletext"/>
              <w:jc w:val="center"/>
            </w:pPr>
            <w:r w:rsidRPr="00A74194">
              <w:t>12 weeks</w:t>
            </w:r>
          </w:p>
        </w:tc>
        <w:tc>
          <w:tcPr>
            <w:tcW w:w="415" w:type="pct"/>
            <w:shd w:val="clear" w:color="auto" w:fill="B8CCE4" w:themeFill="accent1" w:themeFillTint="66"/>
            <w:vAlign w:val="center"/>
          </w:tcPr>
          <w:p w14:paraId="292791C4" w14:textId="77777777" w:rsidR="00B159C2" w:rsidRPr="00A74194" w:rsidRDefault="00B159C2" w:rsidP="007E12FF">
            <w:pPr>
              <w:pStyle w:val="Tabletext"/>
              <w:jc w:val="center"/>
              <w:rPr>
                <w:i/>
              </w:rPr>
            </w:pPr>
            <w:r w:rsidRPr="00A74194">
              <w:rPr>
                <w:i/>
              </w:rPr>
              <w:t>Moderate</w:t>
            </w:r>
          </w:p>
        </w:tc>
        <w:tc>
          <w:tcPr>
            <w:tcW w:w="622" w:type="pct"/>
            <w:shd w:val="clear" w:color="auto" w:fill="B8CCE4" w:themeFill="accent1" w:themeFillTint="66"/>
            <w:vAlign w:val="center"/>
          </w:tcPr>
          <w:p w14:paraId="6E0FCCB7" w14:textId="77777777" w:rsidR="00B159C2" w:rsidRPr="00A74194" w:rsidRDefault="00B159C2" w:rsidP="007E12FF">
            <w:pPr>
              <w:pStyle w:val="Tabletext"/>
              <w:jc w:val="center"/>
            </w:pPr>
            <w:r w:rsidRPr="00A74194">
              <w:t>PBC</w:t>
            </w:r>
          </w:p>
        </w:tc>
        <w:tc>
          <w:tcPr>
            <w:tcW w:w="1928" w:type="pct"/>
            <w:shd w:val="clear" w:color="auto" w:fill="B8CCE4" w:themeFill="accent1" w:themeFillTint="66"/>
            <w:vAlign w:val="center"/>
          </w:tcPr>
          <w:p w14:paraId="6F2D7161" w14:textId="77777777" w:rsidR="00B159C2" w:rsidRPr="00A74194" w:rsidRDefault="00B159C2" w:rsidP="007E12FF">
            <w:pPr>
              <w:pStyle w:val="Tabletext"/>
              <w:jc w:val="center"/>
            </w:pPr>
            <w:r w:rsidRPr="00A74194">
              <w:rPr>
                <w:rFonts w:cstheme="minorHAnsi"/>
                <w:szCs w:val="20"/>
              </w:rPr>
              <w:t>Serum ALP change from baseline to end of study</w:t>
            </w:r>
          </w:p>
        </w:tc>
        <w:tc>
          <w:tcPr>
            <w:tcW w:w="914" w:type="pct"/>
            <w:shd w:val="clear" w:color="auto" w:fill="B8CCE4" w:themeFill="accent1" w:themeFillTint="66"/>
            <w:vAlign w:val="center"/>
          </w:tcPr>
          <w:p w14:paraId="3D637B78" w14:textId="77777777" w:rsidR="00B159C2" w:rsidRPr="00A74194" w:rsidRDefault="00B159C2" w:rsidP="007E12FF">
            <w:pPr>
              <w:pStyle w:val="Tabletext"/>
              <w:jc w:val="center"/>
            </w:pPr>
            <w:r w:rsidRPr="00A74194">
              <w:t xml:space="preserve">Not used </w:t>
            </w:r>
          </w:p>
        </w:tc>
      </w:tr>
      <w:tr w:rsidR="00B159C2" w:rsidRPr="00A74194" w14:paraId="61C95166" w14:textId="77777777" w:rsidTr="00900281">
        <w:tc>
          <w:tcPr>
            <w:tcW w:w="406" w:type="pct"/>
            <w:shd w:val="clear" w:color="auto" w:fill="B8CCE4" w:themeFill="accent1" w:themeFillTint="66"/>
            <w:vAlign w:val="center"/>
          </w:tcPr>
          <w:p w14:paraId="6F640FD3" w14:textId="77777777" w:rsidR="00B159C2" w:rsidRPr="00A74194" w:rsidRDefault="00B159C2" w:rsidP="007E12FF">
            <w:pPr>
              <w:pStyle w:val="Tabletext"/>
            </w:pPr>
            <w:r w:rsidRPr="00A74194">
              <w:t>747-202 Trial</w:t>
            </w:r>
          </w:p>
        </w:tc>
        <w:tc>
          <w:tcPr>
            <w:tcW w:w="183" w:type="pct"/>
            <w:shd w:val="clear" w:color="auto" w:fill="B8CCE4" w:themeFill="accent1" w:themeFillTint="66"/>
            <w:vAlign w:val="center"/>
          </w:tcPr>
          <w:p w14:paraId="6CC014B3" w14:textId="77777777" w:rsidR="00B159C2" w:rsidRPr="00A74194" w:rsidRDefault="00B159C2" w:rsidP="007E12FF">
            <w:pPr>
              <w:pStyle w:val="Tabletext"/>
              <w:jc w:val="center"/>
            </w:pPr>
            <w:r w:rsidRPr="00A74194">
              <w:t>165</w:t>
            </w:r>
          </w:p>
        </w:tc>
        <w:tc>
          <w:tcPr>
            <w:tcW w:w="531" w:type="pct"/>
            <w:shd w:val="clear" w:color="auto" w:fill="B8CCE4" w:themeFill="accent1" w:themeFillTint="66"/>
            <w:vAlign w:val="center"/>
          </w:tcPr>
          <w:p w14:paraId="1FE70B65" w14:textId="77777777" w:rsidR="00B159C2" w:rsidRPr="00A74194" w:rsidRDefault="00B159C2" w:rsidP="007E12FF">
            <w:pPr>
              <w:pStyle w:val="Tabletext"/>
              <w:jc w:val="center"/>
            </w:pPr>
            <w:r w:rsidRPr="00A74194">
              <w:t>R, DB</w:t>
            </w:r>
          </w:p>
          <w:p w14:paraId="7DACD89C" w14:textId="77777777" w:rsidR="00B159C2" w:rsidRPr="00A74194" w:rsidRDefault="00B159C2" w:rsidP="007E12FF">
            <w:pPr>
              <w:pStyle w:val="Tabletext"/>
              <w:jc w:val="center"/>
            </w:pPr>
            <w:r w:rsidRPr="00A74194">
              <w:t>12 weeks</w:t>
            </w:r>
          </w:p>
        </w:tc>
        <w:tc>
          <w:tcPr>
            <w:tcW w:w="415" w:type="pct"/>
            <w:shd w:val="clear" w:color="auto" w:fill="B8CCE4" w:themeFill="accent1" w:themeFillTint="66"/>
            <w:vAlign w:val="center"/>
          </w:tcPr>
          <w:p w14:paraId="6AFEDE57" w14:textId="77777777" w:rsidR="00B159C2" w:rsidRPr="00A74194" w:rsidRDefault="00B159C2" w:rsidP="007E12FF">
            <w:pPr>
              <w:pStyle w:val="Tabletext"/>
              <w:jc w:val="center"/>
              <w:rPr>
                <w:i/>
              </w:rPr>
            </w:pPr>
            <w:r w:rsidRPr="00A74194">
              <w:rPr>
                <w:i/>
              </w:rPr>
              <w:t>Moderate</w:t>
            </w:r>
          </w:p>
        </w:tc>
        <w:tc>
          <w:tcPr>
            <w:tcW w:w="622" w:type="pct"/>
            <w:shd w:val="clear" w:color="auto" w:fill="B8CCE4" w:themeFill="accent1" w:themeFillTint="66"/>
            <w:vAlign w:val="center"/>
          </w:tcPr>
          <w:p w14:paraId="4EA4B19B" w14:textId="77777777" w:rsidR="00B159C2" w:rsidRPr="00A74194" w:rsidRDefault="00B159C2" w:rsidP="007E12FF">
            <w:pPr>
              <w:pStyle w:val="Tabletext"/>
              <w:jc w:val="center"/>
            </w:pPr>
            <w:r w:rsidRPr="00A74194">
              <w:t>PBC</w:t>
            </w:r>
          </w:p>
        </w:tc>
        <w:tc>
          <w:tcPr>
            <w:tcW w:w="1928" w:type="pct"/>
            <w:shd w:val="clear" w:color="auto" w:fill="B8CCE4" w:themeFill="accent1" w:themeFillTint="66"/>
            <w:vAlign w:val="center"/>
          </w:tcPr>
          <w:p w14:paraId="1F3E66D8" w14:textId="77777777" w:rsidR="00B159C2" w:rsidRPr="00A74194" w:rsidRDefault="00B159C2" w:rsidP="007E12FF">
            <w:pPr>
              <w:pStyle w:val="Tabletext"/>
              <w:jc w:val="center"/>
            </w:pPr>
            <w:r w:rsidRPr="00A74194">
              <w:rPr>
                <w:rFonts w:cstheme="minorHAnsi"/>
                <w:szCs w:val="20"/>
              </w:rPr>
              <w:t xml:space="preserve">Serum ALP change </w:t>
            </w:r>
            <w:r w:rsidRPr="00A74194">
              <w:rPr>
                <w:rFonts w:cstheme="minorHAnsi"/>
              </w:rPr>
              <w:t>from baseline to end of study in each of the OCA groups</w:t>
            </w:r>
          </w:p>
        </w:tc>
        <w:tc>
          <w:tcPr>
            <w:tcW w:w="914" w:type="pct"/>
            <w:shd w:val="clear" w:color="auto" w:fill="B8CCE4" w:themeFill="accent1" w:themeFillTint="66"/>
            <w:vAlign w:val="center"/>
          </w:tcPr>
          <w:p w14:paraId="37FC36A6" w14:textId="77777777" w:rsidR="00B159C2" w:rsidRPr="00A74194" w:rsidRDefault="00B159C2" w:rsidP="007E12FF">
            <w:pPr>
              <w:pStyle w:val="Tabletext"/>
              <w:jc w:val="center"/>
            </w:pPr>
            <w:r w:rsidRPr="00A74194">
              <w:t>Not used</w:t>
            </w:r>
          </w:p>
        </w:tc>
      </w:tr>
    </w:tbl>
    <w:p w14:paraId="0344A0C2" w14:textId="77777777" w:rsidR="00B159C2" w:rsidRPr="00A74194" w:rsidRDefault="001A0308" w:rsidP="00B159C2">
      <w:pPr>
        <w:pStyle w:val="TableFooter"/>
      </w:pPr>
      <w:r w:rsidRPr="00A74194">
        <w:t xml:space="preserve">ALP = alkaline phosphatase; </w:t>
      </w:r>
      <w:r w:rsidR="00B159C2" w:rsidRPr="00A74194">
        <w:t>DB</w:t>
      </w:r>
      <w:r w:rsidRPr="00A74194">
        <w:t xml:space="preserve"> =</w:t>
      </w:r>
      <w:r w:rsidR="003A7D8E" w:rsidRPr="00A74194">
        <w:t xml:space="preserve"> </w:t>
      </w:r>
      <w:r w:rsidR="00B159C2" w:rsidRPr="00A74194">
        <w:t>double blind; MC</w:t>
      </w:r>
      <w:r w:rsidRPr="00A74194">
        <w:t xml:space="preserve"> =</w:t>
      </w:r>
      <w:r w:rsidR="003A7D8E" w:rsidRPr="00A74194">
        <w:t xml:space="preserve"> </w:t>
      </w:r>
      <w:r w:rsidR="00B159C2" w:rsidRPr="00A74194">
        <w:t>multi-centre;</w:t>
      </w:r>
      <w:r w:rsidR="003A7D8E" w:rsidRPr="00A74194">
        <w:t xml:space="preserve"> OCA</w:t>
      </w:r>
      <w:r w:rsidRPr="00A74194">
        <w:t xml:space="preserve"> =</w:t>
      </w:r>
      <w:r w:rsidR="003A7D8E" w:rsidRPr="00A74194">
        <w:t xml:space="preserve"> obeticholic acid; PBC</w:t>
      </w:r>
      <w:r w:rsidRPr="00A74194">
        <w:t xml:space="preserve"> =</w:t>
      </w:r>
      <w:r w:rsidR="003A7D8E" w:rsidRPr="00A74194">
        <w:t xml:space="preserve"> primary biliary cholangitis; </w:t>
      </w:r>
      <w:r w:rsidRPr="00A74194">
        <w:t xml:space="preserve">R = randomised; </w:t>
      </w:r>
      <w:r w:rsidR="003A7D8E" w:rsidRPr="00A74194">
        <w:t>UDCA</w:t>
      </w:r>
      <w:r w:rsidRPr="00A74194">
        <w:t xml:space="preserve"> =</w:t>
      </w:r>
      <w:r w:rsidR="003A7D8E" w:rsidRPr="00A74194">
        <w:t xml:space="preserve"> ursodeoxycholic acid </w:t>
      </w:r>
    </w:p>
    <w:p w14:paraId="7AD7D8C3" w14:textId="77777777" w:rsidR="00900281" w:rsidRPr="00A74194" w:rsidRDefault="00B159C2" w:rsidP="00900281">
      <w:pPr>
        <w:pStyle w:val="TableFooter"/>
      </w:pPr>
      <w:r w:rsidRPr="00A74194">
        <w:t>Source: Figure 14 p68, Figure 15 p70, Figure 16 p71, and Table 26</w:t>
      </w:r>
      <w:r w:rsidR="008A0628" w:rsidRPr="00A74194">
        <w:t>,</w:t>
      </w:r>
      <w:r w:rsidR="00A23A22" w:rsidRPr="00A74194">
        <w:t xml:space="preserve"> </w:t>
      </w:r>
      <w:r w:rsidRPr="00A74194">
        <w:t xml:space="preserve">p74-78 of the </w:t>
      </w:r>
      <w:r w:rsidR="003A7D8E" w:rsidRPr="00A74194">
        <w:t>resubmission</w:t>
      </w:r>
      <w:r w:rsidRPr="00A74194">
        <w:t>.</w:t>
      </w:r>
      <w:r w:rsidR="00900281" w:rsidRPr="00A74194">
        <w:t xml:space="preserve"> </w:t>
      </w:r>
    </w:p>
    <w:p w14:paraId="45A3AA13" w14:textId="77777777" w:rsidR="00900281" w:rsidRPr="00A74194" w:rsidRDefault="00900281" w:rsidP="00900281">
      <w:pPr>
        <w:pStyle w:val="TableFooter"/>
        <w:rPr>
          <w:b/>
        </w:rPr>
      </w:pPr>
      <w:r w:rsidRPr="00A74194">
        <w:rPr>
          <w:shd w:val="clear" w:color="auto" w:fill="B8CCE4" w:themeFill="accent1" w:themeFillTint="66"/>
        </w:rPr>
        <w:t>Blue shading indicates data previously seen by the PBAC.</w:t>
      </w:r>
      <w:r w:rsidRPr="00A74194">
        <w:rPr>
          <w:b/>
          <w:shd w:val="clear" w:color="auto" w:fill="B8CCE4" w:themeFill="accent1" w:themeFillTint="66"/>
        </w:rPr>
        <w:t xml:space="preserve"> </w:t>
      </w:r>
    </w:p>
    <w:p w14:paraId="32C087C6" w14:textId="77777777" w:rsidR="00B159C2" w:rsidRPr="00A74194" w:rsidRDefault="00B159C2" w:rsidP="00B159C2">
      <w:pPr>
        <w:pStyle w:val="TableFooter"/>
      </w:pPr>
    </w:p>
    <w:p w14:paraId="1F258DD9" w14:textId="77777777" w:rsidR="00B159C2" w:rsidRPr="00A74194" w:rsidRDefault="00B159C2" w:rsidP="00B159C2">
      <w:pPr>
        <w:pStyle w:val="4-SubsectionHeading"/>
      </w:pPr>
      <w:bookmarkStart w:id="28" w:name="_Toc22897641"/>
      <w:bookmarkStart w:id="29" w:name="_Toc22898853"/>
      <w:bookmarkStart w:id="30" w:name="_Toc50371937"/>
      <w:r w:rsidRPr="00A74194">
        <w:t>Comparative effectiveness</w:t>
      </w:r>
      <w:bookmarkEnd w:id="28"/>
      <w:bookmarkEnd w:id="29"/>
      <w:bookmarkEnd w:id="30"/>
    </w:p>
    <w:p w14:paraId="7EBF8C47" w14:textId="77777777" w:rsidR="00B159C2" w:rsidRPr="00A74194" w:rsidRDefault="00B159C2" w:rsidP="00B159C2">
      <w:pPr>
        <w:pStyle w:val="ListParagraph"/>
        <w:numPr>
          <w:ilvl w:val="1"/>
          <w:numId w:val="1"/>
        </w:numPr>
        <w:spacing w:after="160"/>
      </w:pPr>
      <w:r w:rsidRPr="00A74194">
        <w:t>Table 5 presents the key efficacy results of the POISE trial.</w:t>
      </w:r>
    </w:p>
    <w:p w14:paraId="157586D1" w14:textId="77777777" w:rsidR="00B159C2" w:rsidRPr="00A74194" w:rsidRDefault="00B159C2" w:rsidP="00C12A60">
      <w:pPr>
        <w:pStyle w:val="CaptionTable"/>
      </w:pPr>
      <w:r w:rsidRPr="00A74194">
        <w:t>Table 5: Percentage of subjects achieving composite endpoint (ALP &lt; 1.67x ULN with ≥ 15% decrease from baseline in ALP, and total bilirubin &lt; ULN) by demographic and baseline subgroups in POISE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425"/>
        <w:gridCol w:w="851"/>
        <w:gridCol w:w="425"/>
        <w:gridCol w:w="850"/>
        <w:gridCol w:w="709"/>
        <w:gridCol w:w="425"/>
        <w:gridCol w:w="851"/>
        <w:gridCol w:w="709"/>
      </w:tblGrid>
      <w:tr w:rsidR="00B159C2" w:rsidRPr="00A74194" w14:paraId="0D102F4E" w14:textId="77777777" w:rsidTr="001A0308">
        <w:trPr>
          <w:cantSplit/>
          <w:tblHeader/>
        </w:trPr>
        <w:tc>
          <w:tcPr>
            <w:tcW w:w="3681" w:type="dxa"/>
            <w:vMerge w:val="restart"/>
            <w:shd w:val="clear" w:color="auto" w:fill="FFFFFF" w:themeFill="background1"/>
            <w:tcMar>
              <w:left w:w="28" w:type="dxa"/>
              <w:right w:w="28" w:type="dxa"/>
            </w:tcMar>
          </w:tcPr>
          <w:p w14:paraId="58C1BFB0" w14:textId="77777777" w:rsidR="00B159C2" w:rsidRPr="00A74194" w:rsidRDefault="00B159C2" w:rsidP="007E12FF">
            <w:pPr>
              <w:pStyle w:val="Tabletext"/>
              <w:keepNext/>
              <w:rPr>
                <w:b/>
              </w:rPr>
            </w:pPr>
            <w:r w:rsidRPr="00A74194">
              <w:rPr>
                <w:b/>
              </w:rPr>
              <w:t>Population</w:t>
            </w:r>
          </w:p>
        </w:tc>
        <w:tc>
          <w:tcPr>
            <w:tcW w:w="1276" w:type="dxa"/>
            <w:gridSpan w:val="2"/>
            <w:shd w:val="clear" w:color="auto" w:fill="FFFFFF" w:themeFill="background1"/>
            <w:tcMar>
              <w:left w:w="28" w:type="dxa"/>
              <w:right w:w="28" w:type="dxa"/>
            </w:tcMar>
          </w:tcPr>
          <w:p w14:paraId="1BE3B2E2" w14:textId="77777777" w:rsidR="00B159C2" w:rsidRPr="00A74194" w:rsidRDefault="00B159C2" w:rsidP="001A0308">
            <w:pPr>
              <w:pStyle w:val="Tabletext"/>
              <w:keepNext/>
              <w:jc w:val="center"/>
              <w:rPr>
                <w:b/>
              </w:rPr>
            </w:pPr>
            <w:r w:rsidRPr="00A74194">
              <w:rPr>
                <w:b/>
              </w:rPr>
              <w:t>Placebo</w:t>
            </w:r>
          </w:p>
        </w:tc>
        <w:tc>
          <w:tcPr>
            <w:tcW w:w="1984" w:type="dxa"/>
            <w:gridSpan w:val="3"/>
            <w:shd w:val="clear" w:color="auto" w:fill="FFFFFF" w:themeFill="background1"/>
            <w:tcMar>
              <w:left w:w="28" w:type="dxa"/>
              <w:right w:w="28" w:type="dxa"/>
            </w:tcMar>
            <w:vAlign w:val="center"/>
          </w:tcPr>
          <w:p w14:paraId="095249D1" w14:textId="77777777" w:rsidR="00B159C2" w:rsidRPr="00A74194" w:rsidRDefault="00B159C2" w:rsidP="001A0308">
            <w:pPr>
              <w:pStyle w:val="Tabletext"/>
              <w:keepNext/>
              <w:jc w:val="center"/>
              <w:rPr>
                <w:b/>
              </w:rPr>
            </w:pPr>
            <w:r w:rsidRPr="00A74194">
              <w:rPr>
                <w:b/>
              </w:rPr>
              <w:t>OCA 5-10mg Titration</w:t>
            </w:r>
          </w:p>
        </w:tc>
        <w:tc>
          <w:tcPr>
            <w:tcW w:w="1985" w:type="dxa"/>
            <w:gridSpan w:val="3"/>
            <w:shd w:val="clear" w:color="auto" w:fill="FFFFFF" w:themeFill="background1"/>
            <w:tcMar>
              <w:left w:w="28" w:type="dxa"/>
              <w:right w:w="28" w:type="dxa"/>
            </w:tcMar>
            <w:vAlign w:val="center"/>
          </w:tcPr>
          <w:p w14:paraId="34E695DE" w14:textId="77777777" w:rsidR="00B159C2" w:rsidRPr="00A74194" w:rsidRDefault="00B159C2" w:rsidP="001A0308">
            <w:pPr>
              <w:pStyle w:val="Tabletext"/>
              <w:keepNext/>
              <w:jc w:val="center"/>
              <w:rPr>
                <w:b/>
              </w:rPr>
            </w:pPr>
            <w:r w:rsidRPr="00A74194">
              <w:rPr>
                <w:b/>
              </w:rPr>
              <w:t>OCA 10 mg</w:t>
            </w:r>
          </w:p>
        </w:tc>
      </w:tr>
      <w:tr w:rsidR="001A0308" w:rsidRPr="00A74194" w14:paraId="4A47C7B7" w14:textId="77777777" w:rsidTr="001A0308">
        <w:trPr>
          <w:cantSplit/>
          <w:tblHeader/>
        </w:trPr>
        <w:tc>
          <w:tcPr>
            <w:tcW w:w="3681" w:type="dxa"/>
            <w:vMerge/>
            <w:tcBorders>
              <w:bottom w:val="single" w:sz="4" w:space="0" w:color="auto"/>
            </w:tcBorders>
            <w:shd w:val="clear" w:color="auto" w:fill="FFFFFF" w:themeFill="background1"/>
            <w:tcMar>
              <w:left w:w="28" w:type="dxa"/>
              <w:right w:w="28" w:type="dxa"/>
            </w:tcMar>
            <w:vAlign w:val="center"/>
          </w:tcPr>
          <w:p w14:paraId="40F38C04" w14:textId="77777777" w:rsidR="00B159C2" w:rsidRPr="00A74194" w:rsidRDefault="00B159C2" w:rsidP="007E12FF">
            <w:pPr>
              <w:pStyle w:val="Tabletext"/>
              <w:keepNext/>
              <w:rPr>
                <w:b/>
              </w:rPr>
            </w:pPr>
          </w:p>
        </w:tc>
        <w:tc>
          <w:tcPr>
            <w:tcW w:w="425" w:type="dxa"/>
            <w:tcBorders>
              <w:bottom w:val="single" w:sz="4" w:space="0" w:color="auto"/>
            </w:tcBorders>
            <w:shd w:val="clear" w:color="auto" w:fill="FFFFFF" w:themeFill="background1"/>
            <w:tcMar>
              <w:left w:w="28" w:type="dxa"/>
              <w:right w:w="28" w:type="dxa"/>
            </w:tcMar>
          </w:tcPr>
          <w:p w14:paraId="5A4F56A2" w14:textId="77777777" w:rsidR="00B159C2" w:rsidRPr="00A74194" w:rsidRDefault="00B159C2" w:rsidP="001A0308">
            <w:pPr>
              <w:pStyle w:val="Tabletext"/>
              <w:keepNext/>
              <w:jc w:val="center"/>
              <w:rPr>
                <w:b/>
              </w:rPr>
            </w:pPr>
            <w:r w:rsidRPr="00A74194">
              <w:rPr>
                <w:b/>
              </w:rPr>
              <w:t>N</w:t>
            </w:r>
          </w:p>
        </w:tc>
        <w:tc>
          <w:tcPr>
            <w:tcW w:w="851" w:type="dxa"/>
            <w:tcBorders>
              <w:bottom w:val="single" w:sz="4" w:space="0" w:color="auto"/>
            </w:tcBorders>
            <w:shd w:val="clear" w:color="auto" w:fill="FFFFFF" w:themeFill="background1"/>
            <w:tcMar>
              <w:left w:w="28" w:type="dxa"/>
              <w:right w:w="28" w:type="dxa"/>
            </w:tcMar>
          </w:tcPr>
          <w:p w14:paraId="30BB753F" w14:textId="77777777" w:rsidR="00B159C2" w:rsidRPr="00A74194" w:rsidRDefault="00B159C2" w:rsidP="001A0308">
            <w:pPr>
              <w:pStyle w:val="Tabletext"/>
              <w:keepNext/>
              <w:jc w:val="center"/>
              <w:rPr>
                <w:b/>
              </w:rPr>
            </w:pPr>
            <w:r w:rsidRPr="00A74194">
              <w:rPr>
                <w:b/>
              </w:rPr>
              <w:t xml:space="preserve">Month </w:t>
            </w:r>
            <w:r w:rsidR="001A0308" w:rsidRPr="00A74194">
              <w:rPr>
                <w:b/>
              </w:rPr>
              <w:t>1</w:t>
            </w:r>
            <w:r w:rsidRPr="00A74194">
              <w:rPr>
                <w:b/>
              </w:rPr>
              <w:t>2</w:t>
            </w:r>
          </w:p>
          <w:p w14:paraId="228DB70C" w14:textId="77777777" w:rsidR="00B159C2" w:rsidRPr="00A74194" w:rsidRDefault="00B159C2" w:rsidP="001A0308">
            <w:pPr>
              <w:pStyle w:val="Tabletext"/>
              <w:keepNext/>
              <w:jc w:val="center"/>
              <w:rPr>
                <w:b/>
              </w:rPr>
            </w:pPr>
            <w:r w:rsidRPr="00A74194">
              <w:rPr>
                <w:b/>
              </w:rPr>
              <w:t>n (%)</w:t>
            </w:r>
          </w:p>
        </w:tc>
        <w:tc>
          <w:tcPr>
            <w:tcW w:w="425" w:type="dxa"/>
            <w:tcBorders>
              <w:bottom w:val="single" w:sz="4" w:space="0" w:color="auto"/>
            </w:tcBorders>
            <w:shd w:val="clear" w:color="auto" w:fill="FFFFFF" w:themeFill="background1"/>
            <w:tcMar>
              <w:left w:w="28" w:type="dxa"/>
              <w:right w:w="28" w:type="dxa"/>
            </w:tcMar>
          </w:tcPr>
          <w:p w14:paraId="31B413F0" w14:textId="77777777" w:rsidR="00B159C2" w:rsidRPr="00A74194" w:rsidRDefault="00B159C2" w:rsidP="001A0308">
            <w:pPr>
              <w:pStyle w:val="Tabletext"/>
              <w:keepNext/>
              <w:jc w:val="center"/>
              <w:rPr>
                <w:b/>
              </w:rPr>
            </w:pPr>
            <w:r w:rsidRPr="00A74194">
              <w:rPr>
                <w:b/>
              </w:rPr>
              <w:t>N</w:t>
            </w:r>
          </w:p>
        </w:tc>
        <w:tc>
          <w:tcPr>
            <w:tcW w:w="850" w:type="dxa"/>
            <w:tcBorders>
              <w:bottom w:val="single" w:sz="4" w:space="0" w:color="auto"/>
            </w:tcBorders>
            <w:shd w:val="clear" w:color="auto" w:fill="FFFFFF" w:themeFill="background1"/>
            <w:tcMar>
              <w:left w:w="28" w:type="dxa"/>
              <w:right w:w="28" w:type="dxa"/>
            </w:tcMar>
          </w:tcPr>
          <w:p w14:paraId="646DAA17" w14:textId="77777777" w:rsidR="00B159C2" w:rsidRPr="00A74194" w:rsidRDefault="00B159C2" w:rsidP="001A0308">
            <w:pPr>
              <w:pStyle w:val="Tabletext"/>
              <w:keepNext/>
              <w:jc w:val="center"/>
              <w:rPr>
                <w:b/>
              </w:rPr>
            </w:pPr>
            <w:r w:rsidRPr="00A74194">
              <w:rPr>
                <w:b/>
              </w:rPr>
              <w:t>Month 12</w:t>
            </w:r>
          </w:p>
          <w:p w14:paraId="5E230E45" w14:textId="77777777" w:rsidR="00B159C2" w:rsidRPr="00A74194" w:rsidRDefault="00B159C2" w:rsidP="001A0308">
            <w:pPr>
              <w:pStyle w:val="Tabletext"/>
              <w:keepNext/>
              <w:jc w:val="center"/>
              <w:rPr>
                <w:b/>
              </w:rPr>
            </w:pPr>
            <w:r w:rsidRPr="00A74194">
              <w:rPr>
                <w:b/>
              </w:rPr>
              <w:t>n (%)</w:t>
            </w:r>
          </w:p>
        </w:tc>
        <w:tc>
          <w:tcPr>
            <w:tcW w:w="709" w:type="dxa"/>
            <w:tcBorders>
              <w:bottom w:val="single" w:sz="4" w:space="0" w:color="auto"/>
            </w:tcBorders>
            <w:shd w:val="clear" w:color="auto" w:fill="FFFFFF" w:themeFill="background1"/>
            <w:tcMar>
              <w:left w:w="28" w:type="dxa"/>
              <w:right w:w="28" w:type="dxa"/>
            </w:tcMar>
          </w:tcPr>
          <w:p w14:paraId="01E745B6" w14:textId="77777777" w:rsidR="00B159C2" w:rsidRPr="00A74194" w:rsidRDefault="00B159C2" w:rsidP="001A0308">
            <w:pPr>
              <w:pStyle w:val="Tabletext"/>
              <w:keepNext/>
              <w:jc w:val="center"/>
              <w:rPr>
                <w:b/>
              </w:rPr>
            </w:pPr>
            <w:r w:rsidRPr="00A74194">
              <w:rPr>
                <w:b/>
              </w:rPr>
              <w:t>p-value</w:t>
            </w:r>
          </w:p>
        </w:tc>
        <w:tc>
          <w:tcPr>
            <w:tcW w:w="425" w:type="dxa"/>
            <w:tcBorders>
              <w:bottom w:val="single" w:sz="4" w:space="0" w:color="auto"/>
            </w:tcBorders>
            <w:shd w:val="clear" w:color="auto" w:fill="FFFFFF" w:themeFill="background1"/>
            <w:tcMar>
              <w:left w:w="28" w:type="dxa"/>
              <w:right w:w="28" w:type="dxa"/>
            </w:tcMar>
          </w:tcPr>
          <w:p w14:paraId="206A0606" w14:textId="77777777" w:rsidR="00B159C2" w:rsidRPr="00A74194" w:rsidRDefault="00B159C2" w:rsidP="001A0308">
            <w:pPr>
              <w:pStyle w:val="Tabletext"/>
              <w:keepNext/>
              <w:jc w:val="center"/>
              <w:rPr>
                <w:b/>
              </w:rPr>
            </w:pPr>
            <w:r w:rsidRPr="00A74194">
              <w:rPr>
                <w:b/>
              </w:rPr>
              <w:t>N</w:t>
            </w:r>
          </w:p>
        </w:tc>
        <w:tc>
          <w:tcPr>
            <w:tcW w:w="851" w:type="dxa"/>
            <w:tcBorders>
              <w:bottom w:val="single" w:sz="4" w:space="0" w:color="auto"/>
            </w:tcBorders>
            <w:shd w:val="clear" w:color="auto" w:fill="FFFFFF" w:themeFill="background1"/>
            <w:tcMar>
              <w:left w:w="28" w:type="dxa"/>
              <w:right w:w="28" w:type="dxa"/>
            </w:tcMar>
          </w:tcPr>
          <w:p w14:paraId="1E75E2C9" w14:textId="77777777" w:rsidR="00B159C2" w:rsidRPr="00A74194" w:rsidRDefault="00B159C2" w:rsidP="001A0308">
            <w:pPr>
              <w:pStyle w:val="Tabletext"/>
              <w:keepNext/>
              <w:jc w:val="center"/>
              <w:rPr>
                <w:b/>
              </w:rPr>
            </w:pPr>
            <w:r w:rsidRPr="00A74194">
              <w:rPr>
                <w:b/>
              </w:rPr>
              <w:t>Month 12</w:t>
            </w:r>
          </w:p>
          <w:p w14:paraId="2B89F1E4" w14:textId="77777777" w:rsidR="00B159C2" w:rsidRPr="00A74194" w:rsidRDefault="00B159C2" w:rsidP="001A0308">
            <w:pPr>
              <w:pStyle w:val="Tabletext"/>
              <w:keepNext/>
              <w:jc w:val="center"/>
              <w:rPr>
                <w:b/>
              </w:rPr>
            </w:pPr>
            <w:r w:rsidRPr="00A74194">
              <w:rPr>
                <w:b/>
              </w:rPr>
              <w:t>n (%)</w:t>
            </w:r>
          </w:p>
        </w:tc>
        <w:tc>
          <w:tcPr>
            <w:tcW w:w="709" w:type="dxa"/>
            <w:tcBorders>
              <w:bottom w:val="single" w:sz="4" w:space="0" w:color="auto"/>
            </w:tcBorders>
            <w:shd w:val="clear" w:color="auto" w:fill="FFFFFF" w:themeFill="background1"/>
            <w:tcMar>
              <w:left w:w="28" w:type="dxa"/>
              <w:right w:w="28" w:type="dxa"/>
            </w:tcMar>
          </w:tcPr>
          <w:p w14:paraId="66118C7F" w14:textId="77777777" w:rsidR="00B159C2" w:rsidRPr="00A74194" w:rsidRDefault="00B159C2" w:rsidP="001A0308">
            <w:pPr>
              <w:pStyle w:val="Tabletext"/>
              <w:keepNext/>
              <w:jc w:val="center"/>
              <w:rPr>
                <w:b/>
              </w:rPr>
            </w:pPr>
            <w:r w:rsidRPr="00A74194">
              <w:rPr>
                <w:b/>
              </w:rPr>
              <w:t>p-value</w:t>
            </w:r>
          </w:p>
        </w:tc>
      </w:tr>
      <w:tr w:rsidR="001A0308" w:rsidRPr="00A74194" w14:paraId="57E7B72C" w14:textId="77777777" w:rsidTr="001A0308">
        <w:trPr>
          <w:cantSplit/>
        </w:trPr>
        <w:tc>
          <w:tcPr>
            <w:tcW w:w="3681" w:type="dxa"/>
            <w:tcBorders>
              <w:bottom w:val="single" w:sz="4" w:space="0" w:color="auto"/>
            </w:tcBorders>
            <w:shd w:val="clear" w:color="auto" w:fill="B8CCE4" w:themeFill="accent1" w:themeFillTint="66"/>
            <w:tcMar>
              <w:left w:w="28" w:type="dxa"/>
              <w:right w:w="28" w:type="dxa"/>
            </w:tcMar>
          </w:tcPr>
          <w:p w14:paraId="3EC5A0AE" w14:textId="77777777" w:rsidR="00B159C2" w:rsidRPr="00A74194" w:rsidRDefault="00B159C2" w:rsidP="007E12FF">
            <w:pPr>
              <w:pStyle w:val="Tabletext"/>
              <w:keepNext/>
              <w:rPr>
                <w:b/>
              </w:rPr>
            </w:pPr>
            <w:r w:rsidRPr="00A74194">
              <w:rPr>
                <w:b/>
              </w:rPr>
              <w:t>ITT population</w:t>
            </w:r>
          </w:p>
        </w:tc>
        <w:tc>
          <w:tcPr>
            <w:tcW w:w="425" w:type="dxa"/>
            <w:tcBorders>
              <w:bottom w:val="single" w:sz="4" w:space="0" w:color="auto"/>
            </w:tcBorders>
            <w:shd w:val="clear" w:color="auto" w:fill="B8CCE4" w:themeFill="accent1" w:themeFillTint="66"/>
            <w:tcMar>
              <w:left w:w="28" w:type="dxa"/>
              <w:right w:w="28" w:type="dxa"/>
            </w:tcMar>
          </w:tcPr>
          <w:p w14:paraId="3EB20DF3" w14:textId="77777777" w:rsidR="00B159C2" w:rsidRPr="00A74194" w:rsidRDefault="00B159C2" w:rsidP="001A0308">
            <w:pPr>
              <w:pStyle w:val="Tabletext"/>
              <w:keepNext/>
              <w:jc w:val="center"/>
              <w:rPr>
                <w:b/>
              </w:rPr>
            </w:pPr>
            <w:r w:rsidRPr="00A74194">
              <w:rPr>
                <w:b/>
              </w:rPr>
              <w:t>73</w:t>
            </w:r>
          </w:p>
        </w:tc>
        <w:tc>
          <w:tcPr>
            <w:tcW w:w="851" w:type="dxa"/>
            <w:tcBorders>
              <w:bottom w:val="single" w:sz="4" w:space="0" w:color="auto"/>
            </w:tcBorders>
            <w:shd w:val="clear" w:color="auto" w:fill="B8CCE4" w:themeFill="accent1" w:themeFillTint="66"/>
            <w:tcMar>
              <w:left w:w="28" w:type="dxa"/>
              <w:right w:w="28" w:type="dxa"/>
            </w:tcMar>
          </w:tcPr>
          <w:p w14:paraId="4FCDFBD8" w14:textId="77777777" w:rsidR="00B159C2" w:rsidRPr="00A74194" w:rsidRDefault="00B159C2" w:rsidP="001A0308">
            <w:pPr>
              <w:pStyle w:val="Tabletext"/>
              <w:keepNext/>
              <w:jc w:val="center"/>
              <w:rPr>
                <w:b/>
              </w:rPr>
            </w:pPr>
            <w:r w:rsidRPr="00A74194">
              <w:rPr>
                <w:b/>
              </w:rPr>
              <w:t>7 (10%)</w:t>
            </w:r>
          </w:p>
        </w:tc>
        <w:tc>
          <w:tcPr>
            <w:tcW w:w="425" w:type="dxa"/>
            <w:tcBorders>
              <w:bottom w:val="single" w:sz="4" w:space="0" w:color="auto"/>
            </w:tcBorders>
            <w:shd w:val="clear" w:color="auto" w:fill="B8CCE4" w:themeFill="accent1" w:themeFillTint="66"/>
            <w:tcMar>
              <w:left w:w="28" w:type="dxa"/>
              <w:right w:w="28" w:type="dxa"/>
            </w:tcMar>
          </w:tcPr>
          <w:p w14:paraId="2C435BC5" w14:textId="77777777" w:rsidR="00B159C2" w:rsidRPr="00A74194" w:rsidRDefault="00B159C2" w:rsidP="001A0308">
            <w:pPr>
              <w:pStyle w:val="Tabletext"/>
              <w:keepNext/>
              <w:jc w:val="center"/>
              <w:rPr>
                <w:b/>
              </w:rPr>
            </w:pPr>
            <w:r w:rsidRPr="00A74194">
              <w:rPr>
                <w:b/>
              </w:rPr>
              <w:t>70</w:t>
            </w:r>
          </w:p>
        </w:tc>
        <w:tc>
          <w:tcPr>
            <w:tcW w:w="850" w:type="dxa"/>
            <w:tcBorders>
              <w:bottom w:val="single" w:sz="4" w:space="0" w:color="auto"/>
            </w:tcBorders>
            <w:shd w:val="clear" w:color="auto" w:fill="B8CCE4" w:themeFill="accent1" w:themeFillTint="66"/>
            <w:tcMar>
              <w:left w:w="28" w:type="dxa"/>
              <w:right w:w="28" w:type="dxa"/>
            </w:tcMar>
          </w:tcPr>
          <w:p w14:paraId="2F24674A" w14:textId="77777777" w:rsidR="00B159C2" w:rsidRPr="00A74194" w:rsidRDefault="00B159C2" w:rsidP="001A0308">
            <w:pPr>
              <w:pStyle w:val="Tabletext"/>
              <w:keepNext/>
              <w:jc w:val="center"/>
              <w:rPr>
                <w:b/>
              </w:rPr>
            </w:pPr>
            <w:r w:rsidRPr="00A74194">
              <w:rPr>
                <w:b/>
              </w:rPr>
              <w:t>32 (46%)</w:t>
            </w:r>
          </w:p>
        </w:tc>
        <w:tc>
          <w:tcPr>
            <w:tcW w:w="709" w:type="dxa"/>
            <w:tcBorders>
              <w:bottom w:val="single" w:sz="4" w:space="0" w:color="auto"/>
            </w:tcBorders>
            <w:shd w:val="clear" w:color="auto" w:fill="B8CCE4" w:themeFill="accent1" w:themeFillTint="66"/>
            <w:tcMar>
              <w:left w:w="28" w:type="dxa"/>
              <w:right w:w="28" w:type="dxa"/>
            </w:tcMar>
          </w:tcPr>
          <w:p w14:paraId="229B49BE" w14:textId="77777777" w:rsidR="00B159C2" w:rsidRPr="00A74194" w:rsidRDefault="00B159C2" w:rsidP="001A0308">
            <w:pPr>
              <w:pStyle w:val="Tabletext"/>
              <w:keepNext/>
              <w:jc w:val="center"/>
              <w:rPr>
                <w:b/>
              </w:rPr>
            </w:pPr>
            <w:r w:rsidRPr="00A74194">
              <w:rPr>
                <w:b/>
              </w:rPr>
              <w:t>&lt;0.0001</w:t>
            </w:r>
          </w:p>
        </w:tc>
        <w:tc>
          <w:tcPr>
            <w:tcW w:w="425" w:type="dxa"/>
            <w:tcBorders>
              <w:bottom w:val="single" w:sz="4" w:space="0" w:color="auto"/>
            </w:tcBorders>
            <w:shd w:val="clear" w:color="auto" w:fill="B8CCE4" w:themeFill="accent1" w:themeFillTint="66"/>
            <w:tcMar>
              <w:left w:w="28" w:type="dxa"/>
              <w:right w:w="28" w:type="dxa"/>
            </w:tcMar>
          </w:tcPr>
          <w:p w14:paraId="3A68B8EB" w14:textId="77777777" w:rsidR="00B159C2" w:rsidRPr="00A74194" w:rsidRDefault="00B159C2" w:rsidP="001A0308">
            <w:pPr>
              <w:pStyle w:val="Tabletext"/>
              <w:keepNext/>
              <w:jc w:val="center"/>
              <w:rPr>
                <w:b/>
              </w:rPr>
            </w:pPr>
            <w:r w:rsidRPr="00A74194">
              <w:rPr>
                <w:b/>
              </w:rPr>
              <w:t>73</w:t>
            </w:r>
          </w:p>
        </w:tc>
        <w:tc>
          <w:tcPr>
            <w:tcW w:w="851" w:type="dxa"/>
            <w:tcBorders>
              <w:bottom w:val="single" w:sz="4" w:space="0" w:color="auto"/>
            </w:tcBorders>
            <w:shd w:val="clear" w:color="auto" w:fill="B8CCE4" w:themeFill="accent1" w:themeFillTint="66"/>
            <w:tcMar>
              <w:left w:w="28" w:type="dxa"/>
              <w:right w:w="28" w:type="dxa"/>
            </w:tcMar>
          </w:tcPr>
          <w:p w14:paraId="5E8AE05E" w14:textId="77777777" w:rsidR="00B159C2" w:rsidRPr="00A74194" w:rsidRDefault="00B159C2" w:rsidP="001A0308">
            <w:pPr>
              <w:pStyle w:val="Tabletext"/>
              <w:keepNext/>
              <w:jc w:val="center"/>
              <w:rPr>
                <w:b/>
              </w:rPr>
            </w:pPr>
            <w:r w:rsidRPr="00A74194">
              <w:rPr>
                <w:b/>
              </w:rPr>
              <w:t>34 (47%)</w:t>
            </w:r>
          </w:p>
        </w:tc>
        <w:tc>
          <w:tcPr>
            <w:tcW w:w="709" w:type="dxa"/>
            <w:tcBorders>
              <w:bottom w:val="single" w:sz="4" w:space="0" w:color="auto"/>
            </w:tcBorders>
            <w:shd w:val="clear" w:color="auto" w:fill="B8CCE4" w:themeFill="accent1" w:themeFillTint="66"/>
            <w:tcMar>
              <w:left w:w="28" w:type="dxa"/>
              <w:right w:w="28" w:type="dxa"/>
            </w:tcMar>
            <w:vAlign w:val="center"/>
          </w:tcPr>
          <w:p w14:paraId="10CE5D8D" w14:textId="77777777" w:rsidR="00B159C2" w:rsidRPr="00A74194" w:rsidRDefault="00B159C2" w:rsidP="001A0308">
            <w:pPr>
              <w:pStyle w:val="Tabletext"/>
              <w:keepNext/>
              <w:jc w:val="center"/>
              <w:rPr>
                <w:b/>
              </w:rPr>
            </w:pPr>
            <w:r w:rsidRPr="00A74194">
              <w:rPr>
                <w:b/>
              </w:rPr>
              <w:t>&lt;0.0001</w:t>
            </w:r>
          </w:p>
        </w:tc>
      </w:tr>
      <w:tr w:rsidR="00B159C2" w:rsidRPr="00A74194" w14:paraId="772E283D" w14:textId="77777777" w:rsidTr="001A0308">
        <w:trPr>
          <w:cantSplit/>
        </w:trPr>
        <w:tc>
          <w:tcPr>
            <w:tcW w:w="8926" w:type="dxa"/>
            <w:gridSpan w:val="9"/>
            <w:shd w:val="clear" w:color="auto" w:fill="B8CCE4" w:themeFill="accent1" w:themeFillTint="66"/>
            <w:tcMar>
              <w:left w:w="28" w:type="dxa"/>
              <w:right w:w="28" w:type="dxa"/>
            </w:tcMar>
          </w:tcPr>
          <w:p w14:paraId="6F6B01BA" w14:textId="77777777" w:rsidR="00B159C2" w:rsidRPr="00A74194" w:rsidRDefault="00B159C2" w:rsidP="007E12FF">
            <w:pPr>
              <w:pStyle w:val="Tabletext"/>
              <w:keepNext/>
              <w:rPr>
                <w:b/>
              </w:rPr>
            </w:pPr>
            <w:r w:rsidRPr="00A74194">
              <w:rPr>
                <w:b/>
              </w:rPr>
              <w:t>UDCA use</w:t>
            </w:r>
          </w:p>
        </w:tc>
      </w:tr>
      <w:tr w:rsidR="001A0308" w:rsidRPr="00A74194" w14:paraId="16622740" w14:textId="77777777" w:rsidTr="001A0308">
        <w:trPr>
          <w:cantSplit/>
        </w:trPr>
        <w:tc>
          <w:tcPr>
            <w:tcW w:w="3681" w:type="dxa"/>
            <w:shd w:val="clear" w:color="auto" w:fill="B8CCE4" w:themeFill="accent1" w:themeFillTint="66"/>
            <w:tcMar>
              <w:left w:w="28" w:type="dxa"/>
              <w:right w:w="28" w:type="dxa"/>
            </w:tcMar>
          </w:tcPr>
          <w:p w14:paraId="40CAAD1D" w14:textId="77777777" w:rsidR="00B159C2" w:rsidRPr="00A74194" w:rsidRDefault="00B159C2" w:rsidP="007E12FF">
            <w:pPr>
              <w:pStyle w:val="Tabletext"/>
              <w:keepNext/>
            </w:pPr>
            <w:r w:rsidRPr="00A74194">
              <w:t xml:space="preserve">No UDCA use (i.e. </w:t>
            </w:r>
            <w:r w:rsidRPr="00A74194">
              <w:rPr>
                <w:color w:val="000000"/>
                <w:szCs w:val="18"/>
              </w:rPr>
              <w:t>UDCA</w:t>
            </w:r>
            <w:r w:rsidRPr="00A74194">
              <w:t>-intolerant patients)</w:t>
            </w:r>
          </w:p>
        </w:tc>
        <w:tc>
          <w:tcPr>
            <w:tcW w:w="425" w:type="dxa"/>
            <w:shd w:val="clear" w:color="auto" w:fill="B8CCE4" w:themeFill="accent1" w:themeFillTint="66"/>
            <w:tcMar>
              <w:left w:w="28" w:type="dxa"/>
              <w:right w:w="28" w:type="dxa"/>
            </w:tcMar>
          </w:tcPr>
          <w:p w14:paraId="3A5FFC3D" w14:textId="77777777" w:rsidR="00B159C2" w:rsidRPr="00A74194" w:rsidRDefault="00B159C2" w:rsidP="001A0308">
            <w:pPr>
              <w:pStyle w:val="Tabletext"/>
              <w:keepNext/>
              <w:jc w:val="center"/>
            </w:pPr>
            <w:r w:rsidRPr="00A74194">
              <w:t>5</w:t>
            </w:r>
          </w:p>
        </w:tc>
        <w:tc>
          <w:tcPr>
            <w:tcW w:w="851" w:type="dxa"/>
            <w:shd w:val="clear" w:color="auto" w:fill="B8CCE4" w:themeFill="accent1" w:themeFillTint="66"/>
            <w:tcMar>
              <w:left w:w="28" w:type="dxa"/>
              <w:right w:w="28" w:type="dxa"/>
            </w:tcMar>
          </w:tcPr>
          <w:p w14:paraId="0F5C8DAD" w14:textId="77777777" w:rsidR="00B159C2" w:rsidRPr="00A74194" w:rsidRDefault="00B159C2" w:rsidP="001A0308">
            <w:pPr>
              <w:pStyle w:val="Tabletext"/>
              <w:keepNext/>
              <w:jc w:val="center"/>
            </w:pPr>
            <w:r w:rsidRPr="00A74194">
              <w:t>0</w:t>
            </w:r>
          </w:p>
        </w:tc>
        <w:tc>
          <w:tcPr>
            <w:tcW w:w="425" w:type="dxa"/>
            <w:shd w:val="clear" w:color="auto" w:fill="B8CCE4" w:themeFill="accent1" w:themeFillTint="66"/>
            <w:tcMar>
              <w:left w:w="28" w:type="dxa"/>
              <w:right w:w="28" w:type="dxa"/>
            </w:tcMar>
          </w:tcPr>
          <w:p w14:paraId="6CB3CD55" w14:textId="77777777" w:rsidR="00B159C2" w:rsidRPr="00A74194" w:rsidRDefault="00B159C2" w:rsidP="001A0308">
            <w:pPr>
              <w:pStyle w:val="Tabletext"/>
              <w:keepNext/>
              <w:jc w:val="center"/>
            </w:pPr>
            <w:r w:rsidRPr="00A74194">
              <w:t>5</w:t>
            </w:r>
          </w:p>
        </w:tc>
        <w:tc>
          <w:tcPr>
            <w:tcW w:w="850" w:type="dxa"/>
            <w:shd w:val="clear" w:color="auto" w:fill="B8CCE4" w:themeFill="accent1" w:themeFillTint="66"/>
            <w:tcMar>
              <w:left w:w="28" w:type="dxa"/>
              <w:right w:w="28" w:type="dxa"/>
            </w:tcMar>
          </w:tcPr>
          <w:p w14:paraId="48D92B84" w14:textId="77777777" w:rsidR="00B159C2" w:rsidRPr="00A74194" w:rsidRDefault="00B159C2" w:rsidP="001A0308">
            <w:pPr>
              <w:pStyle w:val="Tabletext"/>
              <w:keepNext/>
              <w:jc w:val="center"/>
            </w:pPr>
            <w:r w:rsidRPr="00A74194">
              <w:t>2 (40%)</w:t>
            </w:r>
          </w:p>
        </w:tc>
        <w:tc>
          <w:tcPr>
            <w:tcW w:w="709" w:type="dxa"/>
            <w:shd w:val="clear" w:color="auto" w:fill="B8CCE4" w:themeFill="accent1" w:themeFillTint="66"/>
            <w:tcMar>
              <w:left w:w="28" w:type="dxa"/>
              <w:right w:w="28" w:type="dxa"/>
            </w:tcMar>
          </w:tcPr>
          <w:p w14:paraId="4E6747AF" w14:textId="77777777" w:rsidR="00B159C2" w:rsidRPr="00A74194" w:rsidRDefault="00B159C2" w:rsidP="001A0308">
            <w:pPr>
              <w:pStyle w:val="Tabletext"/>
              <w:keepNext/>
              <w:jc w:val="center"/>
            </w:pPr>
            <w:r w:rsidRPr="00A74194">
              <w:t>0.0833</w:t>
            </w:r>
          </w:p>
        </w:tc>
        <w:tc>
          <w:tcPr>
            <w:tcW w:w="425" w:type="dxa"/>
            <w:shd w:val="clear" w:color="auto" w:fill="B8CCE4" w:themeFill="accent1" w:themeFillTint="66"/>
            <w:tcMar>
              <w:left w:w="28" w:type="dxa"/>
              <w:right w:w="28" w:type="dxa"/>
            </w:tcMar>
          </w:tcPr>
          <w:p w14:paraId="6B35F185" w14:textId="77777777" w:rsidR="00B159C2" w:rsidRPr="00A74194" w:rsidRDefault="00B159C2" w:rsidP="001A0308">
            <w:pPr>
              <w:pStyle w:val="Tabletext"/>
              <w:keepNext/>
              <w:jc w:val="center"/>
            </w:pPr>
            <w:r w:rsidRPr="00A74194">
              <w:t>6</w:t>
            </w:r>
          </w:p>
        </w:tc>
        <w:tc>
          <w:tcPr>
            <w:tcW w:w="851" w:type="dxa"/>
            <w:shd w:val="clear" w:color="auto" w:fill="B8CCE4" w:themeFill="accent1" w:themeFillTint="66"/>
            <w:tcMar>
              <w:left w:w="28" w:type="dxa"/>
              <w:right w:w="28" w:type="dxa"/>
            </w:tcMar>
          </w:tcPr>
          <w:p w14:paraId="0F7F5934" w14:textId="77777777" w:rsidR="00B159C2" w:rsidRPr="00A74194" w:rsidRDefault="00B159C2" w:rsidP="001A0308">
            <w:pPr>
              <w:pStyle w:val="Tabletext"/>
              <w:keepNext/>
              <w:jc w:val="center"/>
            </w:pPr>
            <w:r w:rsidRPr="00A74194">
              <w:t>1 (17%)</w:t>
            </w:r>
          </w:p>
        </w:tc>
        <w:tc>
          <w:tcPr>
            <w:tcW w:w="709" w:type="dxa"/>
            <w:shd w:val="clear" w:color="auto" w:fill="B8CCE4" w:themeFill="accent1" w:themeFillTint="66"/>
            <w:tcMar>
              <w:left w:w="28" w:type="dxa"/>
              <w:right w:w="28" w:type="dxa"/>
            </w:tcMar>
          </w:tcPr>
          <w:p w14:paraId="238DEA4C" w14:textId="77777777" w:rsidR="00B159C2" w:rsidRPr="00A74194" w:rsidRDefault="00B159C2" w:rsidP="001A0308">
            <w:pPr>
              <w:pStyle w:val="Tabletext"/>
              <w:keepNext/>
              <w:jc w:val="center"/>
            </w:pPr>
            <w:r w:rsidRPr="00A74194">
              <w:t>0.3173</w:t>
            </w:r>
          </w:p>
        </w:tc>
      </w:tr>
      <w:tr w:rsidR="001A0308" w:rsidRPr="00A74194" w14:paraId="0DD3CFB3" w14:textId="77777777" w:rsidTr="001A0308">
        <w:trPr>
          <w:cantSplit/>
          <w:trHeight w:val="70"/>
        </w:trPr>
        <w:tc>
          <w:tcPr>
            <w:tcW w:w="3681" w:type="dxa"/>
            <w:tcBorders>
              <w:bottom w:val="single" w:sz="4" w:space="0" w:color="auto"/>
            </w:tcBorders>
            <w:shd w:val="clear" w:color="auto" w:fill="B8CCE4" w:themeFill="accent1" w:themeFillTint="66"/>
            <w:tcMar>
              <w:left w:w="28" w:type="dxa"/>
              <w:right w:w="28" w:type="dxa"/>
            </w:tcMar>
          </w:tcPr>
          <w:p w14:paraId="4E887A39" w14:textId="77777777" w:rsidR="00B159C2" w:rsidRPr="00A74194" w:rsidRDefault="00B159C2" w:rsidP="007E12FF">
            <w:pPr>
              <w:pStyle w:val="Tabletext"/>
              <w:keepNext/>
            </w:pPr>
            <w:r w:rsidRPr="00A74194">
              <w:t xml:space="preserve">UDCA use (i.e. UDCA-inadequate responders) </w:t>
            </w:r>
          </w:p>
        </w:tc>
        <w:tc>
          <w:tcPr>
            <w:tcW w:w="425" w:type="dxa"/>
            <w:tcBorders>
              <w:bottom w:val="single" w:sz="4" w:space="0" w:color="auto"/>
            </w:tcBorders>
            <w:shd w:val="clear" w:color="auto" w:fill="B8CCE4" w:themeFill="accent1" w:themeFillTint="66"/>
            <w:tcMar>
              <w:left w:w="28" w:type="dxa"/>
              <w:right w:w="28" w:type="dxa"/>
            </w:tcMar>
          </w:tcPr>
          <w:p w14:paraId="64C5AA7B" w14:textId="77777777" w:rsidR="00B159C2" w:rsidRPr="00A74194" w:rsidRDefault="00B159C2" w:rsidP="001A0308">
            <w:pPr>
              <w:pStyle w:val="Tabletext"/>
              <w:keepNext/>
              <w:jc w:val="center"/>
              <w:rPr>
                <w:b/>
              </w:rPr>
            </w:pPr>
            <w:r w:rsidRPr="00A74194">
              <w:rPr>
                <w:b/>
              </w:rPr>
              <w:t>68</w:t>
            </w:r>
          </w:p>
        </w:tc>
        <w:tc>
          <w:tcPr>
            <w:tcW w:w="851" w:type="dxa"/>
            <w:tcBorders>
              <w:bottom w:val="single" w:sz="4" w:space="0" w:color="auto"/>
            </w:tcBorders>
            <w:shd w:val="clear" w:color="auto" w:fill="B8CCE4" w:themeFill="accent1" w:themeFillTint="66"/>
            <w:tcMar>
              <w:left w:w="28" w:type="dxa"/>
              <w:right w:w="28" w:type="dxa"/>
            </w:tcMar>
          </w:tcPr>
          <w:p w14:paraId="0E2A1F5B" w14:textId="77777777" w:rsidR="00B159C2" w:rsidRPr="00A74194" w:rsidRDefault="00B159C2" w:rsidP="001A0308">
            <w:pPr>
              <w:pStyle w:val="Tabletext"/>
              <w:keepNext/>
              <w:jc w:val="center"/>
              <w:rPr>
                <w:b/>
              </w:rPr>
            </w:pPr>
            <w:r w:rsidRPr="00A74194">
              <w:rPr>
                <w:b/>
              </w:rPr>
              <w:t>7 (10%)</w:t>
            </w:r>
          </w:p>
        </w:tc>
        <w:tc>
          <w:tcPr>
            <w:tcW w:w="425" w:type="dxa"/>
            <w:tcBorders>
              <w:bottom w:val="single" w:sz="4" w:space="0" w:color="auto"/>
            </w:tcBorders>
            <w:shd w:val="clear" w:color="auto" w:fill="B8CCE4" w:themeFill="accent1" w:themeFillTint="66"/>
            <w:tcMar>
              <w:left w:w="28" w:type="dxa"/>
              <w:right w:w="28" w:type="dxa"/>
            </w:tcMar>
          </w:tcPr>
          <w:p w14:paraId="0101A467" w14:textId="77777777" w:rsidR="00B159C2" w:rsidRPr="00A74194" w:rsidRDefault="00B159C2" w:rsidP="001A0308">
            <w:pPr>
              <w:pStyle w:val="Tabletext"/>
              <w:keepNext/>
              <w:jc w:val="center"/>
              <w:rPr>
                <w:b/>
              </w:rPr>
            </w:pPr>
            <w:r w:rsidRPr="00A74194">
              <w:rPr>
                <w:b/>
              </w:rPr>
              <w:t>65</w:t>
            </w:r>
          </w:p>
        </w:tc>
        <w:tc>
          <w:tcPr>
            <w:tcW w:w="850" w:type="dxa"/>
            <w:tcBorders>
              <w:bottom w:val="single" w:sz="4" w:space="0" w:color="auto"/>
            </w:tcBorders>
            <w:shd w:val="clear" w:color="auto" w:fill="B8CCE4" w:themeFill="accent1" w:themeFillTint="66"/>
            <w:tcMar>
              <w:left w:w="28" w:type="dxa"/>
              <w:right w:w="28" w:type="dxa"/>
            </w:tcMar>
          </w:tcPr>
          <w:p w14:paraId="370CBBB1" w14:textId="77777777" w:rsidR="00B159C2" w:rsidRPr="00A74194" w:rsidRDefault="00B159C2" w:rsidP="001A0308">
            <w:pPr>
              <w:pStyle w:val="Tabletext"/>
              <w:keepNext/>
              <w:jc w:val="center"/>
              <w:rPr>
                <w:b/>
              </w:rPr>
            </w:pPr>
            <w:r w:rsidRPr="00A74194">
              <w:rPr>
                <w:b/>
              </w:rPr>
              <w:t>30 (46%)</w:t>
            </w:r>
          </w:p>
        </w:tc>
        <w:tc>
          <w:tcPr>
            <w:tcW w:w="709" w:type="dxa"/>
            <w:tcBorders>
              <w:bottom w:val="single" w:sz="4" w:space="0" w:color="auto"/>
            </w:tcBorders>
            <w:shd w:val="clear" w:color="auto" w:fill="B8CCE4" w:themeFill="accent1" w:themeFillTint="66"/>
            <w:tcMar>
              <w:left w:w="28" w:type="dxa"/>
              <w:right w:w="28" w:type="dxa"/>
            </w:tcMar>
          </w:tcPr>
          <w:p w14:paraId="7E893896" w14:textId="77777777" w:rsidR="00B159C2" w:rsidRPr="00A74194" w:rsidRDefault="00B159C2" w:rsidP="001A0308">
            <w:pPr>
              <w:pStyle w:val="Tabletext"/>
              <w:keepNext/>
              <w:jc w:val="center"/>
              <w:rPr>
                <w:b/>
              </w:rPr>
            </w:pPr>
            <w:r w:rsidRPr="00A74194">
              <w:rPr>
                <w:b/>
              </w:rPr>
              <w:t>&lt;0.0001</w:t>
            </w:r>
          </w:p>
        </w:tc>
        <w:tc>
          <w:tcPr>
            <w:tcW w:w="425" w:type="dxa"/>
            <w:tcBorders>
              <w:bottom w:val="single" w:sz="4" w:space="0" w:color="auto"/>
            </w:tcBorders>
            <w:shd w:val="clear" w:color="auto" w:fill="B8CCE4" w:themeFill="accent1" w:themeFillTint="66"/>
            <w:tcMar>
              <w:left w:w="28" w:type="dxa"/>
              <w:right w:w="28" w:type="dxa"/>
            </w:tcMar>
          </w:tcPr>
          <w:p w14:paraId="714CBC23" w14:textId="77777777" w:rsidR="00B159C2" w:rsidRPr="00A74194" w:rsidRDefault="00B159C2" w:rsidP="001A0308">
            <w:pPr>
              <w:pStyle w:val="Tabletext"/>
              <w:keepNext/>
              <w:jc w:val="center"/>
              <w:rPr>
                <w:b/>
              </w:rPr>
            </w:pPr>
            <w:r w:rsidRPr="00A74194">
              <w:rPr>
                <w:b/>
              </w:rPr>
              <w:t>67</w:t>
            </w:r>
          </w:p>
        </w:tc>
        <w:tc>
          <w:tcPr>
            <w:tcW w:w="851" w:type="dxa"/>
            <w:tcBorders>
              <w:bottom w:val="single" w:sz="4" w:space="0" w:color="auto"/>
            </w:tcBorders>
            <w:shd w:val="clear" w:color="auto" w:fill="B8CCE4" w:themeFill="accent1" w:themeFillTint="66"/>
            <w:tcMar>
              <w:left w:w="28" w:type="dxa"/>
              <w:right w:w="28" w:type="dxa"/>
            </w:tcMar>
          </w:tcPr>
          <w:p w14:paraId="27DA8F6A" w14:textId="77777777" w:rsidR="00B159C2" w:rsidRPr="00A74194" w:rsidRDefault="00B159C2" w:rsidP="001A0308">
            <w:pPr>
              <w:pStyle w:val="Tabletext"/>
              <w:keepNext/>
              <w:jc w:val="center"/>
              <w:rPr>
                <w:b/>
              </w:rPr>
            </w:pPr>
            <w:r w:rsidRPr="00A74194">
              <w:rPr>
                <w:b/>
              </w:rPr>
              <w:t>33 (49%)</w:t>
            </w:r>
          </w:p>
        </w:tc>
        <w:tc>
          <w:tcPr>
            <w:tcW w:w="709" w:type="dxa"/>
            <w:tcBorders>
              <w:bottom w:val="single" w:sz="4" w:space="0" w:color="auto"/>
            </w:tcBorders>
            <w:shd w:val="clear" w:color="auto" w:fill="B8CCE4" w:themeFill="accent1" w:themeFillTint="66"/>
            <w:tcMar>
              <w:left w:w="28" w:type="dxa"/>
              <w:right w:w="28" w:type="dxa"/>
            </w:tcMar>
          </w:tcPr>
          <w:p w14:paraId="06BCA35D" w14:textId="77777777" w:rsidR="00B159C2" w:rsidRPr="00A74194" w:rsidRDefault="00B159C2" w:rsidP="001A0308">
            <w:pPr>
              <w:pStyle w:val="Tabletext"/>
              <w:keepNext/>
              <w:jc w:val="center"/>
              <w:rPr>
                <w:b/>
              </w:rPr>
            </w:pPr>
            <w:r w:rsidRPr="00A74194">
              <w:rPr>
                <w:b/>
              </w:rPr>
              <w:t>&lt;0.0001</w:t>
            </w:r>
          </w:p>
        </w:tc>
      </w:tr>
    </w:tbl>
    <w:p w14:paraId="11D3C040" w14:textId="77777777" w:rsidR="00B159C2" w:rsidRPr="00A74194" w:rsidRDefault="00B159C2" w:rsidP="00B159C2">
      <w:pPr>
        <w:pStyle w:val="TableFooter"/>
        <w:keepNext/>
      </w:pPr>
      <w:r w:rsidRPr="00A74194">
        <w:t>ALP</w:t>
      </w:r>
      <w:r w:rsidR="001A0308" w:rsidRPr="00A74194">
        <w:t xml:space="preserve"> = alkaline phosphatase; </w:t>
      </w:r>
      <w:r w:rsidR="00F85A0A" w:rsidRPr="00A74194">
        <w:t xml:space="preserve">CMH = Cochran-Mantel-Haenszel; </w:t>
      </w:r>
      <w:r w:rsidR="001A0308" w:rsidRPr="00A74194">
        <w:t>ITT = intention to treat; LS = least square</w:t>
      </w:r>
      <w:r w:rsidR="00F85A0A" w:rsidRPr="00A74194">
        <w:t>s</w:t>
      </w:r>
      <w:r w:rsidR="001A0308" w:rsidRPr="00A74194">
        <w:t xml:space="preserve">; OCA = obeticholic acid; </w:t>
      </w:r>
      <w:r w:rsidR="007751E3" w:rsidRPr="00A74194">
        <w:t xml:space="preserve">Se = standard error; </w:t>
      </w:r>
      <w:r w:rsidR="001A0308" w:rsidRPr="00A74194">
        <w:t>UDCA = ursodeoxycholic acid; ULN =</w:t>
      </w:r>
      <w:r w:rsidRPr="00A74194">
        <w:t xml:space="preserve"> upper limit(s) of normal</w:t>
      </w:r>
    </w:p>
    <w:p w14:paraId="03830FE6" w14:textId="77777777" w:rsidR="00B159C2" w:rsidRPr="00A74194" w:rsidRDefault="00B159C2" w:rsidP="00B159C2">
      <w:pPr>
        <w:pStyle w:val="TableFooter"/>
        <w:keepNext/>
      </w:pPr>
      <w:r w:rsidRPr="00A74194">
        <w:t>Endpoint: Responder was defined as a subject obtaining ALP &lt; 1.67x ULN, total bilirubin ≤ ULN, and ALP decrease of ≥ 15% from Baseline</w:t>
      </w:r>
    </w:p>
    <w:p w14:paraId="5605AA51" w14:textId="77777777" w:rsidR="00B159C2" w:rsidRPr="00A74194" w:rsidRDefault="00B159C2" w:rsidP="00B159C2">
      <w:pPr>
        <w:pStyle w:val="TableFooter"/>
        <w:keepNext/>
      </w:pPr>
      <w:r w:rsidRPr="00A74194">
        <w:t>Analysis: p-values based on LS mean (SE) difference between OCA treatment and placebo and were obtained using CMH General Association test stratified by randomisation strata factor.</w:t>
      </w:r>
    </w:p>
    <w:p w14:paraId="3263D55F" w14:textId="77777777" w:rsidR="00B159C2" w:rsidRPr="00A74194" w:rsidRDefault="00B159C2" w:rsidP="00B159C2">
      <w:pPr>
        <w:pStyle w:val="TableFooter"/>
      </w:pPr>
      <w:r w:rsidRPr="00A74194">
        <w:rPr>
          <w:b/>
        </w:rPr>
        <w:t>Bold</w:t>
      </w:r>
      <w:r w:rsidRPr="00A74194">
        <w:t xml:space="preserve"> indicates statistical significance.</w:t>
      </w:r>
    </w:p>
    <w:p w14:paraId="3AFD5F39" w14:textId="77777777" w:rsidR="00B159C2" w:rsidRPr="00A74194" w:rsidRDefault="00B159C2" w:rsidP="00B159C2">
      <w:pPr>
        <w:pStyle w:val="TableFooter"/>
      </w:pPr>
      <w:r w:rsidRPr="00A74194">
        <w:t>Source: Table 29, p89-90 of the resubmission.</w:t>
      </w:r>
    </w:p>
    <w:p w14:paraId="253AF303" w14:textId="77777777" w:rsidR="00B159C2" w:rsidRPr="00A74194" w:rsidRDefault="00301BC8" w:rsidP="00166978">
      <w:pPr>
        <w:spacing w:after="120"/>
        <w:contextualSpacing/>
      </w:pPr>
      <w:r w:rsidRPr="00A74194">
        <w:rPr>
          <w:rFonts w:ascii="Arial Narrow" w:hAnsi="Arial Narrow"/>
          <w:sz w:val="18"/>
          <w:shd w:val="clear" w:color="auto" w:fill="B8CCE4" w:themeFill="accent1" w:themeFillTint="66"/>
        </w:rPr>
        <w:t>Blue shading indicates data previously seen by the PBAC</w:t>
      </w:r>
      <w:r w:rsidRPr="00A74194">
        <w:rPr>
          <w:rFonts w:ascii="Arial Narrow" w:hAnsi="Arial Narrow"/>
          <w:sz w:val="18"/>
        </w:rPr>
        <w:t>.</w:t>
      </w:r>
      <w:r w:rsidRPr="00A74194">
        <w:rPr>
          <w:rFonts w:ascii="Arial Narrow" w:hAnsi="Arial Narrow"/>
          <w:b/>
          <w:sz w:val="18"/>
        </w:rPr>
        <w:t xml:space="preserve"> </w:t>
      </w:r>
    </w:p>
    <w:p w14:paraId="618983BE" w14:textId="77777777" w:rsidR="00B159C2" w:rsidRPr="00A74194" w:rsidRDefault="00B159C2" w:rsidP="00B159C2">
      <w:pPr>
        <w:pStyle w:val="4-SubsectionHeading"/>
      </w:pPr>
      <w:bookmarkStart w:id="31" w:name="_Toc22897642"/>
      <w:bookmarkStart w:id="32" w:name="_Toc22898854"/>
      <w:bookmarkStart w:id="33" w:name="_Toc50371938"/>
      <w:r w:rsidRPr="00A74194">
        <w:t>Comparative harms</w:t>
      </w:r>
      <w:bookmarkEnd w:id="31"/>
      <w:bookmarkEnd w:id="32"/>
      <w:bookmarkEnd w:id="33"/>
    </w:p>
    <w:p w14:paraId="738FFF10" w14:textId="77777777" w:rsidR="00E84633" w:rsidRDefault="00B159C2" w:rsidP="00B159C2">
      <w:pPr>
        <w:pStyle w:val="ListParagraph"/>
        <w:numPr>
          <w:ilvl w:val="1"/>
          <w:numId w:val="1"/>
        </w:numPr>
        <w:spacing w:after="160"/>
        <w:rPr>
          <w:rFonts w:cs="Calibri"/>
          <w:snapToGrid/>
        </w:rPr>
      </w:pPr>
      <w:r w:rsidRPr="00A74194">
        <w:t xml:space="preserve">Table 6 presents a summary of patient-relevant harms, based on the POISE trial, </w:t>
      </w:r>
      <w:r w:rsidRPr="00A74194">
        <w:rPr>
          <w:rFonts w:cs="Calibri"/>
          <w:snapToGrid/>
        </w:rPr>
        <w:t>747</w:t>
      </w:r>
      <w:r w:rsidRPr="00A74194">
        <w:rPr>
          <w:rFonts w:cs="Calibri"/>
          <w:snapToGrid/>
        </w:rPr>
        <w:noBreakHyphen/>
        <w:t>201 trial and 747</w:t>
      </w:r>
      <w:r w:rsidRPr="00A74194">
        <w:rPr>
          <w:rFonts w:cs="Calibri"/>
          <w:snapToGrid/>
        </w:rPr>
        <w:noBreakHyphen/>
        <w:t>202 trial.</w:t>
      </w:r>
    </w:p>
    <w:p w14:paraId="7639105B" w14:textId="77777777" w:rsidR="00B159C2" w:rsidRPr="00E84633" w:rsidRDefault="00E84633" w:rsidP="00E84633">
      <w:pPr>
        <w:jc w:val="left"/>
        <w:rPr>
          <w:rStyle w:val="CommentReference"/>
          <w:rFonts w:asciiTheme="minorHAnsi" w:hAnsiTheme="minorHAnsi" w:cs="Calibri"/>
          <w:b w:val="0"/>
          <w:sz w:val="24"/>
          <w:szCs w:val="24"/>
        </w:rPr>
      </w:pPr>
      <w:r>
        <w:rPr>
          <w:rFonts w:cs="Calibri"/>
        </w:rPr>
        <w:br w:type="page"/>
      </w:r>
    </w:p>
    <w:p w14:paraId="06356388" w14:textId="77777777" w:rsidR="00B159C2" w:rsidRPr="00A74194" w:rsidRDefault="00B159C2" w:rsidP="00B159C2">
      <w:pPr>
        <w:pStyle w:val="TableFigureHeading"/>
      </w:pPr>
      <w:r w:rsidRPr="00A74194">
        <w:lastRenderedPageBreak/>
        <w:t>Table 6: Summary of key adverse events in the randomised trials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673"/>
        <w:gridCol w:w="1276"/>
        <w:gridCol w:w="1843"/>
        <w:gridCol w:w="1225"/>
      </w:tblGrid>
      <w:tr w:rsidR="00B159C2" w:rsidRPr="00A74194" w14:paraId="6D0EF4F0" w14:textId="77777777" w:rsidTr="00F85A0A">
        <w:trPr>
          <w:tblHeader/>
        </w:trPr>
        <w:tc>
          <w:tcPr>
            <w:tcW w:w="4673" w:type="dxa"/>
            <w:vAlign w:val="center"/>
          </w:tcPr>
          <w:p w14:paraId="4937FE3F" w14:textId="77777777" w:rsidR="00B159C2" w:rsidRPr="00A74194" w:rsidRDefault="00B159C2" w:rsidP="007E12FF">
            <w:pPr>
              <w:pStyle w:val="Tabletext"/>
              <w:keepNext/>
              <w:rPr>
                <w:b/>
              </w:rPr>
            </w:pPr>
            <w:r w:rsidRPr="00A74194">
              <w:rPr>
                <w:b/>
              </w:rPr>
              <w:t>Trial ID</w:t>
            </w:r>
          </w:p>
        </w:tc>
        <w:tc>
          <w:tcPr>
            <w:tcW w:w="1276" w:type="dxa"/>
            <w:vAlign w:val="center"/>
          </w:tcPr>
          <w:p w14:paraId="04218651" w14:textId="77777777" w:rsidR="00B159C2" w:rsidRPr="00A74194" w:rsidRDefault="00B159C2" w:rsidP="007E12FF">
            <w:pPr>
              <w:pStyle w:val="Tabletext"/>
              <w:keepNext/>
              <w:jc w:val="center"/>
              <w:rPr>
                <w:b/>
              </w:rPr>
            </w:pPr>
            <w:r w:rsidRPr="00A74194">
              <w:rPr>
                <w:b/>
              </w:rPr>
              <w:t>Placebo</w:t>
            </w:r>
            <w:r w:rsidR="00EF4395" w:rsidRPr="00A74194">
              <w:rPr>
                <w:b/>
              </w:rPr>
              <w:t xml:space="preserve"> </w:t>
            </w:r>
            <w:r w:rsidR="00EF4395" w:rsidRPr="00A74194">
              <w:rPr>
                <w:b/>
              </w:rPr>
              <w:br/>
            </w:r>
            <w:r w:rsidRPr="00A74194">
              <w:rPr>
                <w:b/>
              </w:rPr>
              <w:t>+/- UDCA</w:t>
            </w:r>
          </w:p>
          <w:p w14:paraId="152A7339" w14:textId="77777777" w:rsidR="00B159C2" w:rsidRPr="00A74194" w:rsidRDefault="00EF4395" w:rsidP="00EF4395">
            <w:pPr>
              <w:pStyle w:val="Tabletext"/>
              <w:keepNext/>
              <w:jc w:val="center"/>
              <w:rPr>
                <w:b/>
              </w:rPr>
            </w:pPr>
            <w:r w:rsidRPr="00A74194">
              <w:rPr>
                <w:b/>
              </w:rPr>
              <w:t>n/</w:t>
            </w:r>
            <w:r w:rsidR="00B159C2" w:rsidRPr="00A74194">
              <w:rPr>
                <w:b/>
              </w:rPr>
              <w:t>N (%)</w:t>
            </w:r>
          </w:p>
        </w:tc>
        <w:tc>
          <w:tcPr>
            <w:tcW w:w="1843" w:type="dxa"/>
            <w:vAlign w:val="center"/>
          </w:tcPr>
          <w:p w14:paraId="1893021D" w14:textId="77777777" w:rsidR="00B159C2" w:rsidRPr="00A74194" w:rsidRDefault="00B159C2" w:rsidP="007E12FF">
            <w:pPr>
              <w:pStyle w:val="Tabletext"/>
              <w:keepNext/>
              <w:jc w:val="center"/>
              <w:rPr>
                <w:b/>
              </w:rPr>
            </w:pPr>
            <w:r w:rsidRPr="00A74194">
              <w:rPr>
                <w:b/>
              </w:rPr>
              <w:t>OCA 5-10</w:t>
            </w:r>
            <w:r w:rsidR="00EF4395" w:rsidRPr="00A74194">
              <w:rPr>
                <w:b/>
              </w:rPr>
              <w:t xml:space="preserve"> </w:t>
            </w:r>
            <w:r w:rsidRPr="00A74194">
              <w:rPr>
                <w:b/>
              </w:rPr>
              <w:t>mg titration +/-</w:t>
            </w:r>
            <w:r w:rsidR="00EF4395" w:rsidRPr="00A74194">
              <w:rPr>
                <w:b/>
              </w:rPr>
              <w:t xml:space="preserve"> </w:t>
            </w:r>
            <w:r w:rsidRPr="00A74194">
              <w:rPr>
                <w:b/>
              </w:rPr>
              <w:t xml:space="preserve">UDCA </w:t>
            </w:r>
          </w:p>
          <w:p w14:paraId="5AC4D30C" w14:textId="77777777" w:rsidR="00B159C2" w:rsidRPr="00A74194" w:rsidRDefault="00EF4395" w:rsidP="00EF4395">
            <w:pPr>
              <w:pStyle w:val="Tabletext"/>
              <w:keepNext/>
              <w:jc w:val="center"/>
              <w:rPr>
                <w:b/>
              </w:rPr>
            </w:pPr>
            <w:r w:rsidRPr="00A74194">
              <w:rPr>
                <w:b/>
              </w:rPr>
              <w:t xml:space="preserve">n/N </w:t>
            </w:r>
            <w:r w:rsidR="00B159C2" w:rsidRPr="00A74194">
              <w:rPr>
                <w:b/>
              </w:rPr>
              <w:t>(%)</w:t>
            </w:r>
          </w:p>
        </w:tc>
        <w:tc>
          <w:tcPr>
            <w:tcW w:w="1225" w:type="dxa"/>
            <w:vAlign w:val="center"/>
          </w:tcPr>
          <w:p w14:paraId="4BE15C42" w14:textId="77777777" w:rsidR="00B159C2" w:rsidRPr="00A74194" w:rsidRDefault="00B159C2" w:rsidP="007E12FF">
            <w:pPr>
              <w:pStyle w:val="Tabletext"/>
              <w:keepNext/>
              <w:jc w:val="center"/>
              <w:rPr>
                <w:b/>
              </w:rPr>
            </w:pPr>
            <w:r w:rsidRPr="00A74194">
              <w:rPr>
                <w:b/>
              </w:rPr>
              <w:t xml:space="preserve">OCA 10mg </w:t>
            </w:r>
            <w:r w:rsidR="00FB4A96" w:rsidRPr="00A74194">
              <w:rPr>
                <w:b/>
              </w:rPr>
              <w:br/>
            </w:r>
            <w:r w:rsidRPr="00A74194">
              <w:rPr>
                <w:b/>
              </w:rPr>
              <w:t xml:space="preserve">+/-UDCA </w:t>
            </w:r>
          </w:p>
          <w:p w14:paraId="1F9D3535" w14:textId="77777777" w:rsidR="00B159C2" w:rsidRPr="00A74194" w:rsidRDefault="00B159C2" w:rsidP="00FB4A96">
            <w:pPr>
              <w:pStyle w:val="Tabletext"/>
              <w:keepNext/>
              <w:jc w:val="center"/>
              <w:rPr>
                <w:b/>
              </w:rPr>
            </w:pPr>
            <w:r w:rsidRPr="00A74194">
              <w:rPr>
                <w:b/>
              </w:rPr>
              <w:t>n</w:t>
            </w:r>
            <w:r w:rsidR="00FB4A96" w:rsidRPr="00A74194">
              <w:rPr>
                <w:b/>
              </w:rPr>
              <w:t>/</w:t>
            </w:r>
            <w:r w:rsidRPr="00A74194">
              <w:rPr>
                <w:b/>
              </w:rPr>
              <w:t>N (%)</w:t>
            </w:r>
          </w:p>
        </w:tc>
      </w:tr>
      <w:tr w:rsidR="00B159C2" w:rsidRPr="00A74194" w14:paraId="757CF393" w14:textId="77777777" w:rsidTr="00333E67">
        <w:tc>
          <w:tcPr>
            <w:tcW w:w="9017" w:type="dxa"/>
            <w:gridSpan w:val="4"/>
            <w:shd w:val="clear" w:color="auto" w:fill="B8CCE4" w:themeFill="accent1" w:themeFillTint="66"/>
            <w:vAlign w:val="center"/>
          </w:tcPr>
          <w:p w14:paraId="71D78E59" w14:textId="77777777" w:rsidR="00B159C2" w:rsidRPr="00A74194" w:rsidRDefault="00B159C2" w:rsidP="007E12FF">
            <w:pPr>
              <w:pStyle w:val="Tabletext"/>
              <w:keepNext/>
              <w:rPr>
                <w:b/>
              </w:rPr>
            </w:pPr>
            <w:r w:rsidRPr="00A74194">
              <w:rPr>
                <w:b/>
              </w:rPr>
              <w:t>POISE Trial</w:t>
            </w:r>
          </w:p>
        </w:tc>
      </w:tr>
      <w:tr w:rsidR="00B159C2" w:rsidRPr="00A74194" w14:paraId="0D4F449E" w14:textId="77777777" w:rsidTr="00F85A0A">
        <w:tc>
          <w:tcPr>
            <w:tcW w:w="4673" w:type="dxa"/>
            <w:shd w:val="clear" w:color="auto" w:fill="B8CCE4" w:themeFill="accent1" w:themeFillTint="66"/>
          </w:tcPr>
          <w:p w14:paraId="5599495C" w14:textId="77777777" w:rsidR="00B159C2" w:rsidRPr="00A74194" w:rsidRDefault="00B159C2" w:rsidP="007E12FF">
            <w:pPr>
              <w:pStyle w:val="Tabletext"/>
              <w:widowControl w:val="0"/>
              <w:rPr>
                <w:szCs w:val="20"/>
              </w:rPr>
            </w:pPr>
            <w:r w:rsidRPr="00A74194">
              <w:rPr>
                <w:rFonts w:cstheme="minorHAnsi"/>
                <w:szCs w:val="20"/>
              </w:rPr>
              <w:t>Any TEAE</w:t>
            </w:r>
          </w:p>
        </w:tc>
        <w:tc>
          <w:tcPr>
            <w:tcW w:w="1276" w:type="dxa"/>
            <w:shd w:val="clear" w:color="auto" w:fill="B8CCE4" w:themeFill="accent1" w:themeFillTint="66"/>
          </w:tcPr>
          <w:p w14:paraId="74A02B1B" w14:textId="77777777" w:rsidR="00B159C2" w:rsidRPr="00A74194" w:rsidRDefault="00B159C2" w:rsidP="007E12FF">
            <w:pPr>
              <w:pStyle w:val="Tabletext"/>
              <w:widowControl w:val="0"/>
              <w:jc w:val="center"/>
              <w:rPr>
                <w:szCs w:val="20"/>
              </w:rPr>
            </w:pPr>
            <w:r w:rsidRPr="00A74194">
              <w:rPr>
                <w:rFonts w:cstheme="minorHAnsi"/>
                <w:szCs w:val="20"/>
              </w:rPr>
              <w:t>66/73 (90%)</w:t>
            </w:r>
          </w:p>
        </w:tc>
        <w:tc>
          <w:tcPr>
            <w:tcW w:w="1843" w:type="dxa"/>
            <w:shd w:val="clear" w:color="auto" w:fill="B8CCE4" w:themeFill="accent1" w:themeFillTint="66"/>
          </w:tcPr>
          <w:p w14:paraId="3FA29F19" w14:textId="77777777" w:rsidR="00B159C2" w:rsidRPr="00A74194" w:rsidRDefault="00B159C2" w:rsidP="007E12FF">
            <w:pPr>
              <w:pStyle w:val="Tabletext"/>
              <w:widowControl w:val="0"/>
              <w:jc w:val="center"/>
              <w:rPr>
                <w:szCs w:val="20"/>
              </w:rPr>
            </w:pPr>
            <w:r w:rsidRPr="00A74194">
              <w:rPr>
                <w:rFonts w:cstheme="minorHAnsi"/>
                <w:szCs w:val="20"/>
              </w:rPr>
              <w:t>65/70 (93%)</w:t>
            </w:r>
          </w:p>
        </w:tc>
        <w:tc>
          <w:tcPr>
            <w:tcW w:w="1225" w:type="dxa"/>
            <w:shd w:val="clear" w:color="auto" w:fill="B8CCE4" w:themeFill="accent1" w:themeFillTint="66"/>
          </w:tcPr>
          <w:p w14:paraId="5CBE5853" w14:textId="77777777" w:rsidR="00B159C2" w:rsidRPr="00A74194" w:rsidRDefault="00B159C2" w:rsidP="007E12FF">
            <w:pPr>
              <w:pStyle w:val="Tabletext"/>
              <w:widowControl w:val="0"/>
              <w:jc w:val="center"/>
              <w:rPr>
                <w:rFonts w:cstheme="minorHAnsi"/>
                <w:szCs w:val="20"/>
              </w:rPr>
            </w:pPr>
            <w:r w:rsidRPr="00A74194">
              <w:rPr>
                <w:rFonts w:cstheme="minorHAnsi"/>
                <w:szCs w:val="20"/>
              </w:rPr>
              <w:t>69/73 (95%)</w:t>
            </w:r>
          </w:p>
        </w:tc>
      </w:tr>
      <w:tr w:rsidR="00B159C2" w:rsidRPr="00A74194" w14:paraId="22D1BAE1" w14:textId="77777777" w:rsidTr="00F85A0A">
        <w:tc>
          <w:tcPr>
            <w:tcW w:w="4673" w:type="dxa"/>
            <w:shd w:val="clear" w:color="auto" w:fill="B8CCE4" w:themeFill="accent1" w:themeFillTint="66"/>
          </w:tcPr>
          <w:p w14:paraId="35081A6B" w14:textId="77777777" w:rsidR="00B159C2" w:rsidRPr="00A74194" w:rsidRDefault="00B159C2" w:rsidP="007E12FF">
            <w:pPr>
              <w:pStyle w:val="Tabletext"/>
              <w:widowControl w:val="0"/>
              <w:rPr>
                <w:rFonts w:cstheme="minorHAnsi"/>
                <w:szCs w:val="20"/>
              </w:rPr>
            </w:pPr>
            <w:r w:rsidRPr="00A74194">
              <w:rPr>
                <w:rFonts w:cstheme="minorHAnsi"/>
                <w:szCs w:val="18"/>
              </w:rPr>
              <w:t>Total number of TEAEs</w:t>
            </w:r>
          </w:p>
        </w:tc>
        <w:tc>
          <w:tcPr>
            <w:tcW w:w="1276" w:type="dxa"/>
            <w:shd w:val="clear" w:color="auto" w:fill="B8CCE4" w:themeFill="accent1" w:themeFillTint="66"/>
          </w:tcPr>
          <w:p w14:paraId="12EA5D7B" w14:textId="77777777" w:rsidR="00B159C2" w:rsidRPr="00A74194" w:rsidRDefault="00B159C2" w:rsidP="007E12FF">
            <w:pPr>
              <w:pStyle w:val="Tabletext"/>
              <w:widowControl w:val="0"/>
              <w:jc w:val="center"/>
              <w:rPr>
                <w:rFonts w:cstheme="minorHAnsi"/>
                <w:szCs w:val="20"/>
              </w:rPr>
            </w:pPr>
            <w:r w:rsidRPr="00A74194">
              <w:rPr>
                <w:rFonts w:cstheme="minorHAnsi"/>
                <w:szCs w:val="18"/>
              </w:rPr>
              <w:t>452</w:t>
            </w:r>
          </w:p>
        </w:tc>
        <w:tc>
          <w:tcPr>
            <w:tcW w:w="1843" w:type="dxa"/>
            <w:shd w:val="clear" w:color="auto" w:fill="B8CCE4" w:themeFill="accent1" w:themeFillTint="66"/>
          </w:tcPr>
          <w:p w14:paraId="4410ECA8" w14:textId="77777777" w:rsidR="00B159C2" w:rsidRPr="00A74194" w:rsidRDefault="00B159C2" w:rsidP="007E12FF">
            <w:pPr>
              <w:pStyle w:val="Tabletext"/>
              <w:widowControl w:val="0"/>
              <w:jc w:val="center"/>
              <w:rPr>
                <w:rFonts w:cstheme="minorHAnsi"/>
                <w:szCs w:val="20"/>
              </w:rPr>
            </w:pPr>
            <w:r w:rsidRPr="00A74194">
              <w:rPr>
                <w:rFonts w:cstheme="minorHAnsi"/>
                <w:szCs w:val="18"/>
              </w:rPr>
              <w:t>471</w:t>
            </w:r>
          </w:p>
        </w:tc>
        <w:tc>
          <w:tcPr>
            <w:tcW w:w="1225" w:type="dxa"/>
            <w:shd w:val="clear" w:color="auto" w:fill="B8CCE4" w:themeFill="accent1" w:themeFillTint="66"/>
          </w:tcPr>
          <w:p w14:paraId="5853D2FB" w14:textId="77777777" w:rsidR="00B159C2" w:rsidRPr="00A74194" w:rsidRDefault="00B159C2" w:rsidP="007E12FF">
            <w:pPr>
              <w:pStyle w:val="Tabletext"/>
              <w:widowControl w:val="0"/>
              <w:jc w:val="center"/>
              <w:rPr>
                <w:rFonts w:cstheme="minorHAnsi"/>
                <w:szCs w:val="20"/>
              </w:rPr>
            </w:pPr>
            <w:r w:rsidRPr="00A74194">
              <w:rPr>
                <w:rFonts w:cstheme="minorHAnsi"/>
                <w:szCs w:val="18"/>
              </w:rPr>
              <w:t>467</w:t>
            </w:r>
          </w:p>
        </w:tc>
      </w:tr>
      <w:tr w:rsidR="00B159C2" w:rsidRPr="00A74194" w14:paraId="2A9EA13C" w14:textId="77777777" w:rsidTr="00F85A0A">
        <w:tc>
          <w:tcPr>
            <w:tcW w:w="4673" w:type="dxa"/>
            <w:shd w:val="clear" w:color="auto" w:fill="B8CCE4" w:themeFill="accent1" w:themeFillTint="66"/>
          </w:tcPr>
          <w:p w14:paraId="62FB1F74" w14:textId="77777777" w:rsidR="00B159C2" w:rsidRPr="00A74194" w:rsidRDefault="00B159C2" w:rsidP="007E12FF">
            <w:pPr>
              <w:pStyle w:val="Tabletext"/>
              <w:widowControl w:val="0"/>
              <w:rPr>
                <w:szCs w:val="20"/>
              </w:rPr>
            </w:pPr>
            <w:r w:rsidRPr="00A74194">
              <w:rPr>
                <w:rFonts w:cstheme="minorHAnsi"/>
                <w:szCs w:val="20"/>
              </w:rPr>
              <w:t>Any Related TEAE (at least “Possibly” related)</w:t>
            </w:r>
          </w:p>
        </w:tc>
        <w:tc>
          <w:tcPr>
            <w:tcW w:w="1276" w:type="dxa"/>
            <w:shd w:val="clear" w:color="auto" w:fill="B8CCE4" w:themeFill="accent1" w:themeFillTint="66"/>
          </w:tcPr>
          <w:p w14:paraId="56F29D8D" w14:textId="77777777" w:rsidR="00B159C2" w:rsidRPr="00A74194" w:rsidRDefault="00B159C2" w:rsidP="007E12FF">
            <w:pPr>
              <w:pStyle w:val="Tabletext"/>
              <w:widowControl w:val="0"/>
              <w:jc w:val="center"/>
              <w:rPr>
                <w:szCs w:val="20"/>
              </w:rPr>
            </w:pPr>
            <w:r w:rsidRPr="00A74194">
              <w:rPr>
                <w:rFonts w:cstheme="minorHAnsi"/>
                <w:szCs w:val="20"/>
              </w:rPr>
              <w:t>38/73 (52%)</w:t>
            </w:r>
          </w:p>
        </w:tc>
        <w:tc>
          <w:tcPr>
            <w:tcW w:w="1843" w:type="dxa"/>
            <w:shd w:val="clear" w:color="auto" w:fill="B8CCE4" w:themeFill="accent1" w:themeFillTint="66"/>
          </w:tcPr>
          <w:p w14:paraId="34930017" w14:textId="77777777" w:rsidR="00B159C2" w:rsidRPr="00A74194" w:rsidRDefault="00B159C2" w:rsidP="007E12FF">
            <w:pPr>
              <w:pStyle w:val="Tabletext"/>
              <w:widowControl w:val="0"/>
              <w:jc w:val="center"/>
              <w:rPr>
                <w:szCs w:val="20"/>
              </w:rPr>
            </w:pPr>
            <w:r w:rsidRPr="00A74194">
              <w:rPr>
                <w:rFonts w:cstheme="minorHAnsi"/>
                <w:szCs w:val="20"/>
              </w:rPr>
              <w:t>42 /70 (60%)</w:t>
            </w:r>
          </w:p>
        </w:tc>
        <w:tc>
          <w:tcPr>
            <w:tcW w:w="1225" w:type="dxa"/>
            <w:shd w:val="clear" w:color="auto" w:fill="B8CCE4" w:themeFill="accent1" w:themeFillTint="66"/>
          </w:tcPr>
          <w:p w14:paraId="06775258" w14:textId="77777777" w:rsidR="00B159C2" w:rsidRPr="00A74194" w:rsidRDefault="00B159C2" w:rsidP="007E12FF">
            <w:pPr>
              <w:pStyle w:val="Tabletext"/>
              <w:widowControl w:val="0"/>
              <w:jc w:val="center"/>
              <w:rPr>
                <w:rFonts w:cstheme="minorHAnsi"/>
                <w:szCs w:val="20"/>
              </w:rPr>
            </w:pPr>
            <w:r w:rsidRPr="00A74194">
              <w:rPr>
                <w:rFonts w:cstheme="minorHAnsi"/>
                <w:szCs w:val="20"/>
              </w:rPr>
              <w:t>54/73 (74%)</w:t>
            </w:r>
          </w:p>
        </w:tc>
      </w:tr>
      <w:tr w:rsidR="00B159C2" w:rsidRPr="00A74194" w14:paraId="1601A5CC" w14:textId="77777777" w:rsidTr="00F85A0A">
        <w:tc>
          <w:tcPr>
            <w:tcW w:w="4673" w:type="dxa"/>
            <w:shd w:val="clear" w:color="auto" w:fill="B8CCE4" w:themeFill="accent1" w:themeFillTint="66"/>
          </w:tcPr>
          <w:p w14:paraId="229C352B" w14:textId="77777777" w:rsidR="00B159C2" w:rsidRPr="00A74194" w:rsidRDefault="00B159C2" w:rsidP="007E12FF">
            <w:pPr>
              <w:pStyle w:val="Tabletext"/>
              <w:widowControl w:val="0"/>
              <w:rPr>
                <w:szCs w:val="20"/>
              </w:rPr>
            </w:pPr>
            <w:r w:rsidRPr="00A74194">
              <w:rPr>
                <w:rFonts w:cstheme="minorHAnsi"/>
                <w:szCs w:val="20"/>
              </w:rPr>
              <w:t>A related TEAE of pruritus</w:t>
            </w:r>
          </w:p>
        </w:tc>
        <w:tc>
          <w:tcPr>
            <w:tcW w:w="1276" w:type="dxa"/>
            <w:shd w:val="clear" w:color="auto" w:fill="B8CCE4" w:themeFill="accent1" w:themeFillTint="66"/>
          </w:tcPr>
          <w:p w14:paraId="5DB07934" w14:textId="77777777" w:rsidR="00B159C2" w:rsidRPr="00A74194" w:rsidRDefault="00B159C2" w:rsidP="007E12FF">
            <w:pPr>
              <w:pStyle w:val="Tabletext"/>
              <w:widowControl w:val="0"/>
              <w:jc w:val="center"/>
              <w:rPr>
                <w:szCs w:val="20"/>
              </w:rPr>
            </w:pPr>
            <w:r w:rsidRPr="00A74194">
              <w:rPr>
                <w:rFonts w:cstheme="minorHAnsi"/>
                <w:szCs w:val="20"/>
              </w:rPr>
              <w:t>27/73 (37%)</w:t>
            </w:r>
          </w:p>
        </w:tc>
        <w:tc>
          <w:tcPr>
            <w:tcW w:w="1843" w:type="dxa"/>
            <w:shd w:val="clear" w:color="auto" w:fill="B8CCE4" w:themeFill="accent1" w:themeFillTint="66"/>
          </w:tcPr>
          <w:p w14:paraId="56269DC6" w14:textId="77777777" w:rsidR="00B159C2" w:rsidRPr="00A74194" w:rsidRDefault="00B159C2" w:rsidP="007E12FF">
            <w:pPr>
              <w:pStyle w:val="Tabletext"/>
              <w:widowControl w:val="0"/>
              <w:jc w:val="center"/>
              <w:rPr>
                <w:szCs w:val="20"/>
              </w:rPr>
            </w:pPr>
            <w:r w:rsidRPr="00A74194">
              <w:rPr>
                <w:rFonts w:cstheme="minorHAnsi"/>
                <w:szCs w:val="20"/>
              </w:rPr>
              <w:t>35 /70 (50%)</w:t>
            </w:r>
          </w:p>
        </w:tc>
        <w:tc>
          <w:tcPr>
            <w:tcW w:w="1225" w:type="dxa"/>
            <w:shd w:val="clear" w:color="auto" w:fill="B8CCE4" w:themeFill="accent1" w:themeFillTint="66"/>
          </w:tcPr>
          <w:p w14:paraId="227FA5A0" w14:textId="77777777" w:rsidR="00B159C2" w:rsidRPr="00A74194" w:rsidRDefault="00B159C2" w:rsidP="007E12FF">
            <w:pPr>
              <w:pStyle w:val="Tabletext"/>
              <w:widowControl w:val="0"/>
              <w:jc w:val="center"/>
              <w:rPr>
                <w:rFonts w:cstheme="minorHAnsi"/>
                <w:b/>
                <w:szCs w:val="20"/>
              </w:rPr>
            </w:pPr>
            <w:r w:rsidRPr="00A74194">
              <w:rPr>
                <w:rFonts w:cstheme="minorHAnsi"/>
                <w:szCs w:val="20"/>
              </w:rPr>
              <w:t>48/73 (66%)*</w:t>
            </w:r>
          </w:p>
        </w:tc>
      </w:tr>
      <w:tr w:rsidR="00B159C2" w:rsidRPr="00A74194" w14:paraId="7A5A040E" w14:textId="77777777" w:rsidTr="00F85A0A">
        <w:tc>
          <w:tcPr>
            <w:tcW w:w="4673" w:type="dxa"/>
            <w:shd w:val="clear" w:color="auto" w:fill="B8CCE4" w:themeFill="accent1" w:themeFillTint="66"/>
          </w:tcPr>
          <w:p w14:paraId="58423F33" w14:textId="77777777" w:rsidR="00B159C2" w:rsidRPr="00A74194" w:rsidRDefault="00B159C2" w:rsidP="007E12FF">
            <w:pPr>
              <w:pStyle w:val="Tabletext"/>
              <w:widowControl w:val="0"/>
              <w:rPr>
                <w:szCs w:val="20"/>
              </w:rPr>
            </w:pPr>
            <w:r w:rsidRPr="00A74194">
              <w:rPr>
                <w:rFonts w:cstheme="minorHAnsi"/>
                <w:szCs w:val="20"/>
              </w:rPr>
              <w:t>Any SAEs</w:t>
            </w:r>
          </w:p>
        </w:tc>
        <w:tc>
          <w:tcPr>
            <w:tcW w:w="1276" w:type="dxa"/>
            <w:shd w:val="clear" w:color="auto" w:fill="B8CCE4" w:themeFill="accent1" w:themeFillTint="66"/>
          </w:tcPr>
          <w:p w14:paraId="007F7B4C" w14:textId="77777777" w:rsidR="00B159C2" w:rsidRPr="00A74194" w:rsidRDefault="00B159C2" w:rsidP="007E12FF">
            <w:pPr>
              <w:pStyle w:val="Tabletext"/>
              <w:widowControl w:val="0"/>
              <w:jc w:val="center"/>
              <w:rPr>
                <w:szCs w:val="20"/>
              </w:rPr>
            </w:pPr>
            <w:r w:rsidRPr="00A74194">
              <w:rPr>
                <w:rFonts w:cstheme="minorHAnsi"/>
                <w:szCs w:val="20"/>
              </w:rPr>
              <w:t xml:space="preserve">3/73 (4%) </w:t>
            </w:r>
          </w:p>
        </w:tc>
        <w:tc>
          <w:tcPr>
            <w:tcW w:w="1843" w:type="dxa"/>
            <w:shd w:val="clear" w:color="auto" w:fill="B8CCE4" w:themeFill="accent1" w:themeFillTint="66"/>
          </w:tcPr>
          <w:p w14:paraId="35A9B813" w14:textId="77777777" w:rsidR="00B159C2" w:rsidRPr="00A74194" w:rsidRDefault="00B159C2" w:rsidP="007E12FF">
            <w:pPr>
              <w:pStyle w:val="Tabletext"/>
              <w:widowControl w:val="0"/>
              <w:jc w:val="center"/>
              <w:rPr>
                <w:szCs w:val="20"/>
              </w:rPr>
            </w:pPr>
            <w:r w:rsidRPr="00A74194">
              <w:rPr>
                <w:rFonts w:cstheme="minorHAnsi"/>
                <w:szCs w:val="20"/>
              </w:rPr>
              <w:t>11/70 (16%)*</w:t>
            </w:r>
          </w:p>
        </w:tc>
        <w:tc>
          <w:tcPr>
            <w:tcW w:w="1225" w:type="dxa"/>
            <w:shd w:val="clear" w:color="auto" w:fill="B8CCE4" w:themeFill="accent1" w:themeFillTint="66"/>
          </w:tcPr>
          <w:p w14:paraId="4B0783D9" w14:textId="77777777" w:rsidR="00B159C2" w:rsidRPr="00A74194" w:rsidRDefault="00B159C2" w:rsidP="007E12FF">
            <w:pPr>
              <w:pStyle w:val="Tabletext"/>
              <w:widowControl w:val="0"/>
              <w:jc w:val="center"/>
              <w:rPr>
                <w:rFonts w:cstheme="minorHAnsi"/>
                <w:szCs w:val="20"/>
              </w:rPr>
            </w:pPr>
            <w:r w:rsidRPr="00A74194">
              <w:rPr>
                <w:rFonts w:cstheme="minorHAnsi"/>
                <w:szCs w:val="20"/>
              </w:rPr>
              <w:t>8/73 (11%)</w:t>
            </w:r>
          </w:p>
        </w:tc>
      </w:tr>
      <w:tr w:rsidR="00B159C2" w:rsidRPr="00A74194" w14:paraId="2D4183AF" w14:textId="77777777" w:rsidTr="00F85A0A">
        <w:tc>
          <w:tcPr>
            <w:tcW w:w="4673" w:type="dxa"/>
            <w:shd w:val="clear" w:color="auto" w:fill="B8CCE4" w:themeFill="accent1" w:themeFillTint="66"/>
          </w:tcPr>
          <w:p w14:paraId="6A5A8053" w14:textId="77777777" w:rsidR="00B159C2" w:rsidRPr="00A74194" w:rsidRDefault="00B159C2" w:rsidP="007E12FF">
            <w:pPr>
              <w:pStyle w:val="Tabletext"/>
              <w:widowControl w:val="0"/>
              <w:rPr>
                <w:szCs w:val="20"/>
              </w:rPr>
            </w:pPr>
            <w:r w:rsidRPr="00A74194">
              <w:rPr>
                <w:rFonts w:cstheme="minorHAnsi"/>
                <w:szCs w:val="20"/>
              </w:rPr>
              <w:t>Total number of SAEs</w:t>
            </w:r>
          </w:p>
        </w:tc>
        <w:tc>
          <w:tcPr>
            <w:tcW w:w="1276" w:type="dxa"/>
            <w:shd w:val="clear" w:color="auto" w:fill="B8CCE4" w:themeFill="accent1" w:themeFillTint="66"/>
          </w:tcPr>
          <w:p w14:paraId="2CF9D814" w14:textId="77777777" w:rsidR="00B159C2" w:rsidRPr="00A74194" w:rsidRDefault="00B159C2" w:rsidP="007E12FF">
            <w:pPr>
              <w:pStyle w:val="Tabletext"/>
              <w:widowControl w:val="0"/>
              <w:jc w:val="center"/>
              <w:rPr>
                <w:szCs w:val="20"/>
              </w:rPr>
            </w:pPr>
            <w:r w:rsidRPr="00A74194">
              <w:rPr>
                <w:rFonts w:cstheme="minorHAnsi"/>
                <w:szCs w:val="20"/>
              </w:rPr>
              <w:t>8</w:t>
            </w:r>
          </w:p>
        </w:tc>
        <w:tc>
          <w:tcPr>
            <w:tcW w:w="1843" w:type="dxa"/>
            <w:shd w:val="clear" w:color="auto" w:fill="B8CCE4" w:themeFill="accent1" w:themeFillTint="66"/>
          </w:tcPr>
          <w:p w14:paraId="07E34EA3" w14:textId="77777777" w:rsidR="00B159C2" w:rsidRPr="00A74194" w:rsidRDefault="00B159C2" w:rsidP="007E12FF">
            <w:pPr>
              <w:pStyle w:val="Tabletext"/>
              <w:widowControl w:val="0"/>
              <w:jc w:val="center"/>
              <w:rPr>
                <w:szCs w:val="20"/>
              </w:rPr>
            </w:pPr>
            <w:r w:rsidRPr="00A74194">
              <w:rPr>
                <w:rFonts w:cstheme="minorHAnsi"/>
                <w:szCs w:val="20"/>
              </w:rPr>
              <w:t>15</w:t>
            </w:r>
          </w:p>
        </w:tc>
        <w:tc>
          <w:tcPr>
            <w:tcW w:w="1225" w:type="dxa"/>
            <w:shd w:val="clear" w:color="auto" w:fill="B8CCE4" w:themeFill="accent1" w:themeFillTint="66"/>
          </w:tcPr>
          <w:p w14:paraId="364C6EC0" w14:textId="77777777" w:rsidR="00B159C2" w:rsidRPr="00A74194" w:rsidRDefault="00B159C2" w:rsidP="007E12FF">
            <w:pPr>
              <w:pStyle w:val="Tabletext"/>
              <w:widowControl w:val="0"/>
              <w:jc w:val="center"/>
              <w:rPr>
                <w:rFonts w:cstheme="minorHAnsi"/>
                <w:szCs w:val="20"/>
              </w:rPr>
            </w:pPr>
            <w:r w:rsidRPr="00A74194">
              <w:rPr>
                <w:rFonts w:cstheme="minorHAnsi"/>
                <w:szCs w:val="20"/>
              </w:rPr>
              <w:t>11</w:t>
            </w:r>
          </w:p>
        </w:tc>
      </w:tr>
      <w:tr w:rsidR="00B159C2" w:rsidRPr="00A74194" w14:paraId="40893F17" w14:textId="77777777" w:rsidTr="00F85A0A">
        <w:tc>
          <w:tcPr>
            <w:tcW w:w="7792" w:type="dxa"/>
            <w:gridSpan w:val="3"/>
            <w:shd w:val="clear" w:color="auto" w:fill="B8CCE4" w:themeFill="accent1" w:themeFillTint="66"/>
          </w:tcPr>
          <w:p w14:paraId="45659270" w14:textId="77777777" w:rsidR="00B159C2" w:rsidRPr="00A74194" w:rsidRDefault="00B159C2" w:rsidP="007E12FF">
            <w:pPr>
              <w:pStyle w:val="Tabletext"/>
              <w:widowControl w:val="0"/>
              <w:rPr>
                <w:szCs w:val="20"/>
              </w:rPr>
            </w:pPr>
            <w:r w:rsidRPr="00A74194">
              <w:rPr>
                <w:rFonts w:cstheme="minorHAnsi"/>
                <w:szCs w:val="20"/>
              </w:rPr>
              <w:t>TEAE by Severity:</w:t>
            </w:r>
          </w:p>
        </w:tc>
        <w:tc>
          <w:tcPr>
            <w:tcW w:w="1225" w:type="dxa"/>
            <w:shd w:val="clear" w:color="auto" w:fill="B8CCE4" w:themeFill="accent1" w:themeFillTint="66"/>
          </w:tcPr>
          <w:p w14:paraId="64AF9F90" w14:textId="77777777" w:rsidR="00B159C2" w:rsidRPr="00A74194" w:rsidRDefault="00B159C2" w:rsidP="007E12FF">
            <w:pPr>
              <w:pStyle w:val="Tabletext"/>
              <w:widowControl w:val="0"/>
              <w:rPr>
                <w:rFonts w:cstheme="minorHAnsi"/>
                <w:b/>
                <w:szCs w:val="20"/>
              </w:rPr>
            </w:pPr>
          </w:p>
        </w:tc>
      </w:tr>
      <w:tr w:rsidR="00B159C2" w:rsidRPr="00A74194" w14:paraId="348C209A" w14:textId="77777777" w:rsidTr="00F85A0A">
        <w:trPr>
          <w:trHeight w:val="123"/>
        </w:trPr>
        <w:tc>
          <w:tcPr>
            <w:tcW w:w="4673" w:type="dxa"/>
            <w:shd w:val="clear" w:color="auto" w:fill="B8CCE4" w:themeFill="accent1" w:themeFillTint="66"/>
          </w:tcPr>
          <w:p w14:paraId="6C461EC8" w14:textId="77777777" w:rsidR="00B159C2" w:rsidRPr="00A74194" w:rsidRDefault="00B159C2" w:rsidP="007E12FF">
            <w:pPr>
              <w:pStyle w:val="Tabletext"/>
              <w:widowControl w:val="0"/>
              <w:rPr>
                <w:szCs w:val="20"/>
              </w:rPr>
            </w:pPr>
            <w:r w:rsidRPr="00A74194">
              <w:rPr>
                <w:rFonts w:cstheme="minorHAnsi"/>
                <w:szCs w:val="20"/>
              </w:rPr>
              <w:t>Mild TEAEs</w:t>
            </w:r>
          </w:p>
        </w:tc>
        <w:tc>
          <w:tcPr>
            <w:tcW w:w="1276" w:type="dxa"/>
            <w:shd w:val="clear" w:color="auto" w:fill="B8CCE4" w:themeFill="accent1" w:themeFillTint="66"/>
          </w:tcPr>
          <w:p w14:paraId="5917DF28" w14:textId="77777777" w:rsidR="00B159C2" w:rsidRPr="00A74194" w:rsidRDefault="00B159C2" w:rsidP="007E12FF">
            <w:pPr>
              <w:pStyle w:val="Tabletext"/>
              <w:widowControl w:val="0"/>
              <w:jc w:val="center"/>
              <w:rPr>
                <w:szCs w:val="20"/>
              </w:rPr>
            </w:pPr>
            <w:r w:rsidRPr="00A74194">
              <w:rPr>
                <w:rFonts w:cstheme="minorHAnsi"/>
                <w:szCs w:val="20"/>
              </w:rPr>
              <w:t>29/73 (40%)</w:t>
            </w:r>
          </w:p>
        </w:tc>
        <w:tc>
          <w:tcPr>
            <w:tcW w:w="1843" w:type="dxa"/>
            <w:shd w:val="clear" w:color="auto" w:fill="B8CCE4" w:themeFill="accent1" w:themeFillTint="66"/>
          </w:tcPr>
          <w:p w14:paraId="03D8EF28" w14:textId="77777777" w:rsidR="00B159C2" w:rsidRPr="00A74194" w:rsidRDefault="00B159C2" w:rsidP="007E12FF">
            <w:pPr>
              <w:pStyle w:val="Tabletext"/>
              <w:widowControl w:val="0"/>
              <w:jc w:val="center"/>
              <w:rPr>
                <w:szCs w:val="20"/>
              </w:rPr>
            </w:pPr>
            <w:r w:rsidRPr="00A74194">
              <w:rPr>
                <w:rFonts w:cstheme="minorHAnsi"/>
                <w:szCs w:val="20"/>
              </w:rPr>
              <w:t>16/70 (23%)</w:t>
            </w:r>
          </w:p>
        </w:tc>
        <w:tc>
          <w:tcPr>
            <w:tcW w:w="1225" w:type="dxa"/>
            <w:shd w:val="clear" w:color="auto" w:fill="B8CCE4" w:themeFill="accent1" w:themeFillTint="66"/>
          </w:tcPr>
          <w:p w14:paraId="345B7B0B" w14:textId="77777777" w:rsidR="00B159C2" w:rsidRPr="00A74194" w:rsidRDefault="00B159C2" w:rsidP="007E12FF">
            <w:pPr>
              <w:pStyle w:val="Tabletext"/>
              <w:widowControl w:val="0"/>
              <w:jc w:val="center"/>
              <w:rPr>
                <w:szCs w:val="20"/>
              </w:rPr>
            </w:pPr>
            <w:r w:rsidRPr="00A74194">
              <w:rPr>
                <w:rFonts w:cstheme="minorHAnsi"/>
                <w:szCs w:val="20"/>
              </w:rPr>
              <w:t>19/73 (26%)</w:t>
            </w:r>
          </w:p>
        </w:tc>
      </w:tr>
      <w:tr w:rsidR="00B159C2" w:rsidRPr="00A74194" w14:paraId="535D3ACA" w14:textId="77777777" w:rsidTr="00F85A0A">
        <w:tc>
          <w:tcPr>
            <w:tcW w:w="4673" w:type="dxa"/>
            <w:shd w:val="clear" w:color="auto" w:fill="B8CCE4" w:themeFill="accent1" w:themeFillTint="66"/>
          </w:tcPr>
          <w:p w14:paraId="7ECB71FC" w14:textId="77777777" w:rsidR="00B159C2" w:rsidRPr="00A74194" w:rsidRDefault="00B159C2" w:rsidP="007E12FF">
            <w:pPr>
              <w:pStyle w:val="Tabletext"/>
              <w:widowControl w:val="0"/>
              <w:rPr>
                <w:szCs w:val="20"/>
              </w:rPr>
            </w:pPr>
            <w:r w:rsidRPr="00A74194">
              <w:rPr>
                <w:rFonts w:cstheme="minorHAnsi"/>
                <w:szCs w:val="20"/>
              </w:rPr>
              <w:t>Moderate TEAEs</w:t>
            </w:r>
          </w:p>
        </w:tc>
        <w:tc>
          <w:tcPr>
            <w:tcW w:w="1276" w:type="dxa"/>
            <w:shd w:val="clear" w:color="auto" w:fill="B8CCE4" w:themeFill="accent1" w:themeFillTint="66"/>
          </w:tcPr>
          <w:p w14:paraId="5DE0B9AB" w14:textId="77777777" w:rsidR="00B159C2" w:rsidRPr="00A74194" w:rsidRDefault="00B159C2" w:rsidP="007E12FF">
            <w:pPr>
              <w:pStyle w:val="Tabletext"/>
              <w:widowControl w:val="0"/>
              <w:jc w:val="center"/>
              <w:rPr>
                <w:szCs w:val="20"/>
              </w:rPr>
            </w:pPr>
            <w:r w:rsidRPr="00A74194">
              <w:rPr>
                <w:rFonts w:cstheme="minorHAnsi"/>
                <w:szCs w:val="20"/>
              </w:rPr>
              <w:t>28/73 (38%)</w:t>
            </w:r>
          </w:p>
        </w:tc>
        <w:tc>
          <w:tcPr>
            <w:tcW w:w="1843" w:type="dxa"/>
            <w:shd w:val="clear" w:color="auto" w:fill="B8CCE4" w:themeFill="accent1" w:themeFillTint="66"/>
          </w:tcPr>
          <w:p w14:paraId="113FCF55" w14:textId="77777777" w:rsidR="00B159C2" w:rsidRPr="00A74194" w:rsidRDefault="00B159C2" w:rsidP="007E12FF">
            <w:pPr>
              <w:pStyle w:val="Tabletext"/>
              <w:widowControl w:val="0"/>
              <w:jc w:val="center"/>
              <w:rPr>
                <w:szCs w:val="20"/>
              </w:rPr>
            </w:pPr>
            <w:r w:rsidRPr="00A74194">
              <w:rPr>
                <w:rFonts w:cstheme="minorHAnsi"/>
                <w:szCs w:val="20"/>
              </w:rPr>
              <w:t>27/70 (39%)</w:t>
            </w:r>
          </w:p>
        </w:tc>
        <w:tc>
          <w:tcPr>
            <w:tcW w:w="1225" w:type="dxa"/>
            <w:shd w:val="clear" w:color="auto" w:fill="B8CCE4" w:themeFill="accent1" w:themeFillTint="66"/>
          </w:tcPr>
          <w:p w14:paraId="5801AD2B" w14:textId="77777777" w:rsidR="00B159C2" w:rsidRPr="00A74194" w:rsidRDefault="00B159C2" w:rsidP="007E12FF">
            <w:pPr>
              <w:pStyle w:val="Tabletext"/>
              <w:widowControl w:val="0"/>
              <w:jc w:val="center"/>
              <w:rPr>
                <w:rFonts w:cstheme="minorHAnsi"/>
                <w:szCs w:val="20"/>
              </w:rPr>
            </w:pPr>
            <w:r w:rsidRPr="00A74194">
              <w:rPr>
                <w:rFonts w:cstheme="minorHAnsi"/>
                <w:szCs w:val="20"/>
              </w:rPr>
              <w:t>29/73 (40%)</w:t>
            </w:r>
          </w:p>
        </w:tc>
      </w:tr>
      <w:tr w:rsidR="00B159C2" w:rsidRPr="00A74194" w14:paraId="76A1001B" w14:textId="77777777" w:rsidTr="00F85A0A">
        <w:tc>
          <w:tcPr>
            <w:tcW w:w="4673" w:type="dxa"/>
            <w:shd w:val="clear" w:color="auto" w:fill="B8CCE4" w:themeFill="accent1" w:themeFillTint="66"/>
          </w:tcPr>
          <w:p w14:paraId="3AA52E00" w14:textId="77777777" w:rsidR="00B159C2" w:rsidRPr="00A74194" w:rsidRDefault="00B159C2" w:rsidP="007E12FF">
            <w:pPr>
              <w:pStyle w:val="Tabletext"/>
              <w:widowControl w:val="0"/>
              <w:rPr>
                <w:szCs w:val="20"/>
              </w:rPr>
            </w:pPr>
            <w:r w:rsidRPr="00A74194">
              <w:rPr>
                <w:rFonts w:cstheme="minorHAnsi"/>
                <w:szCs w:val="20"/>
              </w:rPr>
              <w:t>Severe TEAEs</w:t>
            </w:r>
          </w:p>
        </w:tc>
        <w:tc>
          <w:tcPr>
            <w:tcW w:w="1276" w:type="dxa"/>
            <w:shd w:val="clear" w:color="auto" w:fill="B8CCE4" w:themeFill="accent1" w:themeFillTint="66"/>
          </w:tcPr>
          <w:p w14:paraId="6DE28EF0" w14:textId="77777777" w:rsidR="00B159C2" w:rsidRPr="00A74194" w:rsidRDefault="00B159C2" w:rsidP="007E12FF">
            <w:pPr>
              <w:pStyle w:val="Tabletext"/>
              <w:widowControl w:val="0"/>
              <w:jc w:val="center"/>
              <w:rPr>
                <w:szCs w:val="20"/>
              </w:rPr>
            </w:pPr>
            <w:r w:rsidRPr="00A74194">
              <w:rPr>
                <w:rFonts w:cstheme="minorHAnsi"/>
                <w:szCs w:val="20"/>
              </w:rPr>
              <w:t>9/73 (12%)</w:t>
            </w:r>
          </w:p>
        </w:tc>
        <w:tc>
          <w:tcPr>
            <w:tcW w:w="1843" w:type="dxa"/>
            <w:shd w:val="clear" w:color="auto" w:fill="B8CCE4" w:themeFill="accent1" w:themeFillTint="66"/>
          </w:tcPr>
          <w:p w14:paraId="27927E55" w14:textId="77777777" w:rsidR="00B159C2" w:rsidRPr="00A74194" w:rsidRDefault="00B159C2" w:rsidP="007E12FF">
            <w:pPr>
              <w:pStyle w:val="Tabletext"/>
              <w:widowControl w:val="0"/>
              <w:jc w:val="center"/>
              <w:rPr>
                <w:szCs w:val="20"/>
              </w:rPr>
            </w:pPr>
            <w:r w:rsidRPr="00A74194">
              <w:rPr>
                <w:rFonts w:cstheme="minorHAnsi"/>
                <w:szCs w:val="20"/>
              </w:rPr>
              <w:t>22/70 (31%)*</w:t>
            </w:r>
          </w:p>
        </w:tc>
        <w:tc>
          <w:tcPr>
            <w:tcW w:w="1225" w:type="dxa"/>
            <w:shd w:val="clear" w:color="auto" w:fill="B8CCE4" w:themeFill="accent1" w:themeFillTint="66"/>
          </w:tcPr>
          <w:p w14:paraId="3A054125" w14:textId="77777777" w:rsidR="00B159C2" w:rsidRPr="00A74194" w:rsidRDefault="00B159C2" w:rsidP="007E12FF">
            <w:pPr>
              <w:pStyle w:val="Tabletext"/>
              <w:widowControl w:val="0"/>
              <w:jc w:val="center"/>
              <w:rPr>
                <w:rFonts w:cstheme="minorHAnsi"/>
                <w:szCs w:val="20"/>
              </w:rPr>
            </w:pPr>
            <w:r w:rsidRPr="00A74194">
              <w:rPr>
                <w:rFonts w:cstheme="minorHAnsi"/>
                <w:szCs w:val="20"/>
              </w:rPr>
              <w:t>21/73 (29%)*</w:t>
            </w:r>
          </w:p>
        </w:tc>
      </w:tr>
      <w:tr w:rsidR="00B159C2" w:rsidRPr="00A74194" w14:paraId="12BEAD94" w14:textId="77777777" w:rsidTr="00F85A0A">
        <w:tc>
          <w:tcPr>
            <w:tcW w:w="4673" w:type="dxa"/>
            <w:shd w:val="clear" w:color="auto" w:fill="B8CCE4" w:themeFill="accent1" w:themeFillTint="66"/>
          </w:tcPr>
          <w:p w14:paraId="198DF995" w14:textId="77777777" w:rsidR="00B159C2" w:rsidRPr="00A74194" w:rsidRDefault="00EF4395" w:rsidP="007E12FF">
            <w:pPr>
              <w:pStyle w:val="Tabletext"/>
              <w:widowControl w:val="0"/>
              <w:rPr>
                <w:rFonts w:cstheme="minorHAnsi"/>
                <w:szCs w:val="20"/>
              </w:rPr>
            </w:pPr>
            <w:r w:rsidRPr="00A74194">
              <w:rPr>
                <w:rFonts w:cstheme="minorHAnsi"/>
                <w:szCs w:val="20"/>
              </w:rPr>
              <w:t>Any TEAE leading to study d</w:t>
            </w:r>
            <w:r w:rsidR="00B159C2" w:rsidRPr="00A74194">
              <w:rPr>
                <w:rFonts w:cstheme="minorHAnsi"/>
                <w:szCs w:val="20"/>
              </w:rPr>
              <w:t>iscontinuation</w:t>
            </w:r>
          </w:p>
        </w:tc>
        <w:tc>
          <w:tcPr>
            <w:tcW w:w="1276" w:type="dxa"/>
            <w:shd w:val="clear" w:color="auto" w:fill="B8CCE4" w:themeFill="accent1" w:themeFillTint="66"/>
          </w:tcPr>
          <w:p w14:paraId="76AC80A6" w14:textId="77777777" w:rsidR="00B159C2" w:rsidRPr="00A74194" w:rsidRDefault="00B159C2" w:rsidP="007E12FF">
            <w:pPr>
              <w:pStyle w:val="Tabletext"/>
              <w:widowControl w:val="0"/>
              <w:jc w:val="center"/>
              <w:rPr>
                <w:rFonts w:cstheme="minorHAnsi"/>
                <w:szCs w:val="20"/>
              </w:rPr>
            </w:pPr>
            <w:r w:rsidRPr="00A74194">
              <w:rPr>
                <w:rFonts w:cstheme="minorHAnsi"/>
                <w:szCs w:val="20"/>
              </w:rPr>
              <w:t>2/73 (3%)</w:t>
            </w:r>
            <w:r w:rsidRPr="00A74194">
              <w:rPr>
                <w:rFonts w:cstheme="minorHAnsi"/>
                <w:szCs w:val="20"/>
                <w:vertAlign w:val="superscript"/>
              </w:rPr>
              <w:t>a</w:t>
            </w:r>
          </w:p>
        </w:tc>
        <w:tc>
          <w:tcPr>
            <w:tcW w:w="1843" w:type="dxa"/>
            <w:shd w:val="clear" w:color="auto" w:fill="B8CCE4" w:themeFill="accent1" w:themeFillTint="66"/>
          </w:tcPr>
          <w:p w14:paraId="52D050FF" w14:textId="77777777" w:rsidR="00B159C2" w:rsidRPr="00A74194" w:rsidRDefault="00B159C2" w:rsidP="007E12FF">
            <w:pPr>
              <w:pStyle w:val="Tabletext"/>
              <w:widowControl w:val="0"/>
              <w:jc w:val="center"/>
              <w:rPr>
                <w:rFonts w:cstheme="minorHAnsi"/>
                <w:szCs w:val="20"/>
              </w:rPr>
            </w:pPr>
            <w:r w:rsidRPr="00A74194">
              <w:rPr>
                <w:rFonts w:cstheme="minorHAnsi"/>
                <w:szCs w:val="20"/>
              </w:rPr>
              <w:t>5/70 (7%)</w:t>
            </w:r>
            <w:r w:rsidRPr="00A74194">
              <w:rPr>
                <w:rFonts w:cstheme="minorHAnsi"/>
                <w:szCs w:val="20"/>
                <w:vertAlign w:val="superscript"/>
              </w:rPr>
              <w:t>b</w:t>
            </w:r>
          </w:p>
        </w:tc>
        <w:tc>
          <w:tcPr>
            <w:tcW w:w="1225" w:type="dxa"/>
            <w:shd w:val="clear" w:color="auto" w:fill="B8CCE4" w:themeFill="accent1" w:themeFillTint="66"/>
          </w:tcPr>
          <w:p w14:paraId="1CC027AC" w14:textId="77777777" w:rsidR="00B159C2" w:rsidRPr="00A74194" w:rsidRDefault="00B159C2" w:rsidP="007E12FF">
            <w:pPr>
              <w:pStyle w:val="Tabletext"/>
              <w:widowControl w:val="0"/>
              <w:jc w:val="center"/>
              <w:rPr>
                <w:rFonts w:cstheme="minorHAnsi"/>
                <w:szCs w:val="20"/>
              </w:rPr>
            </w:pPr>
            <w:r w:rsidRPr="00A74194">
              <w:rPr>
                <w:rFonts w:cstheme="minorHAnsi"/>
                <w:szCs w:val="20"/>
              </w:rPr>
              <w:t>8/73 (11%)</w:t>
            </w:r>
            <w:r w:rsidRPr="00A74194">
              <w:rPr>
                <w:rFonts w:cstheme="minorHAnsi"/>
                <w:szCs w:val="20"/>
                <w:vertAlign w:val="superscript"/>
              </w:rPr>
              <w:t>c</w:t>
            </w:r>
          </w:p>
        </w:tc>
      </w:tr>
      <w:tr w:rsidR="00B159C2" w:rsidRPr="00A74194" w14:paraId="542362FD" w14:textId="77777777" w:rsidTr="00F85A0A">
        <w:tc>
          <w:tcPr>
            <w:tcW w:w="4673" w:type="dxa"/>
            <w:shd w:val="clear" w:color="auto" w:fill="B8CCE4" w:themeFill="accent1" w:themeFillTint="66"/>
          </w:tcPr>
          <w:p w14:paraId="3815D42B" w14:textId="77777777" w:rsidR="00B159C2" w:rsidRPr="00A74194" w:rsidRDefault="00B159C2" w:rsidP="007E12FF">
            <w:pPr>
              <w:pStyle w:val="Tabletext"/>
              <w:widowControl w:val="0"/>
              <w:rPr>
                <w:rFonts w:cstheme="minorHAnsi"/>
                <w:szCs w:val="20"/>
              </w:rPr>
            </w:pPr>
            <w:r w:rsidRPr="00A74194">
              <w:rPr>
                <w:rFonts w:cstheme="minorHAnsi"/>
                <w:szCs w:val="20"/>
              </w:rPr>
              <w:t>Study Discontinuation due to a TEAE of pruritus</w:t>
            </w:r>
          </w:p>
        </w:tc>
        <w:tc>
          <w:tcPr>
            <w:tcW w:w="1276" w:type="dxa"/>
            <w:shd w:val="clear" w:color="auto" w:fill="B8CCE4" w:themeFill="accent1" w:themeFillTint="66"/>
          </w:tcPr>
          <w:p w14:paraId="38794173" w14:textId="77777777" w:rsidR="00B159C2" w:rsidRPr="00A74194" w:rsidRDefault="00B159C2" w:rsidP="007E12FF">
            <w:pPr>
              <w:pStyle w:val="Tabletext"/>
              <w:widowControl w:val="0"/>
              <w:jc w:val="center"/>
              <w:rPr>
                <w:rFonts w:cstheme="minorHAnsi"/>
                <w:szCs w:val="20"/>
              </w:rPr>
            </w:pPr>
            <w:r w:rsidRPr="00A74194">
              <w:rPr>
                <w:rFonts w:cstheme="minorHAnsi"/>
                <w:szCs w:val="20"/>
              </w:rPr>
              <w:t>0/73 (0%)</w:t>
            </w:r>
          </w:p>
        </w:tc>
        <w:tc>
          <w:tcPr>
            <w:tcW w:w="1843" w:type="dxa"/>
            <w:shd w:val="clear" w:color="auto" w:fill="B8CCE4" w:themeFill="accent1" w:themeFillTint="66"/>
          </w:tcPr>
          <w:p w14:paraId="1ED0ABBA" w14:textId="77777777" w:rsidR="00B159C2" w:rsidRPr="00A74194" w:rsidRDefault="00B159C2" w:rsidP="007E12FF">
            <w:pPr>
              <w:pStyle w:val="Tabletext"/>
              <w:widowControl w:val="0"/>
              <w:jc w:val="center"/>
              <w:rPr>
                <w:rFonts w:cstheme="minorHAnsi"/>
                <w:szCs w:val="20"/>
              </w:rPr>
            </w:pPr>
            <w:r w:rsidRPr="00A74194">
              <w:rPr>
                <w:rFonts w:cstheme="minorHAnsi"/>
                <w:szCs w:val="20"/>
              </w:rPr>
              <w:t>1/70 (1%)</w:t>
            </w:r>
          </w:p>
        </w:tc>
        <w:tc>
          <w:tcPr>
            <w:tcW w:w="1225" w:type="dxa"/>
            <w:shd w:val="clear" w:color="auto" w:fill="B8CCE4" w:themeFill="accent1" w:themeFillTint="66"/>
          </w:tcPr>
          <w:p w14:paraId="4658B4F8" w14:textId="77777777" w:rsidR="00B159C2" w:rsidRPr="00A74194" w:rsidRDefault="00B159C2" w:rsidP="007E12FF">
            <w:pPr>
              <w:pStyle w:val="Tabletext"/>
              <w:widowControl w:val="0"/>
              <w:jc w:val="center"/>
              <w:rPr>
                <w:rFonts w:cstheme="minorHAnsi"/>
                <w:szCs w:val="20"/>
              </w:rPr>
            </w:pPr>
            <w:r w:rsidRPr="00A74194">
              <w:rPr>
                <w:rFonts w:cstheme="minorHAnsi"/>
                <w:szCs w:val="20"/>
              </w:rPr>
              <w:t>7/73 (10%)*</w:t>
            </w:r>
          </w:p>
        </w:tc>
      </w:tr>
      <w:tr w:rsidR="00B159C2" w:rsidRPr="00A74194" w14:paraId="59D1DB55" w14:textId="77777777" w:rsidTr="00F85A0A">
        <w:tc>
          <w:tcPr>
            <w:tcW w:w="4673" w:type="dxa"/>
            <w:shd w:val="clear" w:color="auto" w:fill="B8CCE4" w:themeFill="accent1" w:themeFillTint="66"/>
          </w:tcPr>
          <w:p w14:paraId="6C995607" w14:textId="77777777" w:rsidR="00B159C2" w:rsidRPr="00A74194" w:rsidRDefault="00B159C2" w:rsidP="007E12FF">
            <w:pPr>
              <w:pStyle w:val="Tabletext"/>
              <w:widowControl w:val="0"/>
              <w:rPr>
                <w:rFonts w:cstheme="minorHAnsi"/>
                <w:szCs w:val="20"/>
              </w:rPr>
            </w:pPr>
            <w:r w:rsidRPr="00A74194">
              <w:rPr>
                <w:rFonts w:cstheme="minorHAnsi"/>
                <w:szCs w:val="20"/>
              </w:rPr>
              <w:t>Deaths</w:t>
            </w:r>
          </w:p>
        </w:tc>
        <w:tc>
          <w:tcPr>
            <w:tcW w:w="1276" w:type="dxa"/>
            <w:shd w:val="clear" w:color="auto" w:fill="B8CCE4" w:themeFill="accent1" w:themeFillTint="66"/>
          </w:tcPr>
          <w:p w14:paraId="51864DBE" w14:textId="77777777" w:rsidR="00B159C2" w:rsidRPr="00A74194" w:rsidRDefault="00B159C2" w:rsidP="007E12FF">
            <w:pPr>
              <w:pStyle w:val="Tabletext"/>
              <w:widowControl w:val="0"/>
              <w:jc w:val="center"/>
              <w:rPr>
                <w:rFonts w:cstheme="minorHAnsi"/>
                <w:szCs w:val="20"/>
              </w:rPr>
            </w:pPr>
            <w:r w:rsidRPr="00A74194">
              <w:rPr>
                <w:rFonts w:cstheme="minorHAnsi"/>
                <w:szCs w:val="20"/>
              </w:rPr>
              <w:t>0/73 (0%)</w:t>
            </w:r>
          </w:p>
        </w:tc>
        <w:tc>
          <w:tcPr>
            <w:tcW w:w="1843" w:type="dxa"/>
            <w:shd w:val="clear" w:color="auto" w:fill="B8CCE4" w:themeFill="accent1" w:themeFillTint="66"/>
          </w:tcPr>
          <w:p w14:paraId="28614DF6" w14:textId="77777777" w:rsidR="00B159C2" w:rsidRPr="00A74194" w:rsidRDefault="00B159C2" w:rsidP="007E12FF">
            <w:pPr>
              <w:pStyle w:val="Tabletext"/>
              <w:widowControl w:val="0"/>
              <w:jc w:val="center"/>
              <w:rPr>
                <w:rFonts w:cstheme="minorHAnsi"/>
                <w:szCs w:val="20"/>
              </w:rPr>
            </w:pPr>
            <w:r w:rsidRPr="00A74194">
              <w:rPr>
                <w:rFonts w:cstheme="minorHAnsi"/>
                <w:szCs w:val="20"/>
              </w:rPr>
              <w:t>1/70 (1%)</w:t>
            </w:r>
          </w:p>
        </w:tc>
        <w:tc>
          <w:tcPr>
            <w:tcW w:w="1225" w:type="dxa"/>
            <w:shd w:val="clear" w:color="auto" w:fill="B8CCE4" w:themeFill="accent1" w:themeFillTint="66"/>
          </w:tcPr>
          <w:p w14:paraId="37F8AB56" w14:textId="77777777" w:rsidR="00B159C2" w:rsidRPr="00A74194" w:rsidRDefault="00B159C2" w:rsidP="007E12FF">
            <w:pPr>
              <w:pStyle w:val="Tabletext"/>
              <w:widowControl w:val="0"/>
              <w:jc w:val="center"/>
              <w:rPr>
                <w:rFonts w:cstheme="minorHAnsi"/>
                <w:szCs w:val="20"/>
              </w:rPr>
            </w:pPr>
            <w:r w:rsidRPr="00A74194">
              <w:rPr>
                <w:rFonts w:cstheme="minorHAnsi"/>
                <w:szCs w:val="20"/>
              </w:rPr>
              <w:t>0/73 (0%)</w:t>
            </w:r>
          </w:p>
        </w:tc>
      </w:tr>
      <w:tr w:rsidR="00B159C2" w:rsidRPr="00A74194" w14:paraId="1900B775" w14:textId="77777777" w:rsidTr="00333E67">
        <w:tc>
          <w:tcPr>
            <w:tcW w:w="0" w:type="auto"/>
            <w:gridSpan w:val="4"/>
            <w:shd w:val="clear" w:color="auto" w:fill="B8CCE4" w:themeFill="accent1" w:themeFillTint="66"/>
          </w:tcPr>
          <w:p w14:paraId="62D82498" w14:textId="77777777" w:rsidR="00B159C2" w:rsidRPr="00A74194" w:rsidRDefault="00B159C2" w:rsidP="007E12FF">
            <w:pPr>
              <w:pStyle w:val="Tabletext"/>
              <w:widowControl w:val="0"/>
              <w:rPr>
                <w:rFonts w:cstheme="minorHAnsi"/>
                <w:szCs w:val="20"/>
              </w:rPr>
            </w:pPr>
            <w:r w:rsidRPr="00A74194">
              <w:rPr>
                <w:rFonts w:cstheme="minorHAnsi"/>
                <w:b/>
                <w:szCs w:val="20"/>
              </w:rPr>
              <w:t>747-201 Trial (OCA monotherapy)</w:t>
            </w:r>
          </w:p>
        </w:tc>
      </w:tr>
      <w:tr w:rsidR="00B159C2" w:rsidRPr="00A74194" w14:paraId="73F4F4E5" w14:textId="77777777" w:rsidTr="00F85A0A">
        <w:tc>
          <w:tcPr>
            <w:tcW w:w="4673" w:type="dxa"/>
            <w:shd w:val="clear" w:color="auto" w:fill="B8CCE4" w:themeFill="accent1" w:themeFillTint="66"/>
          </w:tcPr>
          <w:p w14:paraId="4B8ACDFB" w14:textId="77777777" w:rsidR="00B159C2" w:rsidRPr="00A74194" w:rsidRDefault="00B159C2" w:rsidP="007E12FF">
            <w:pPr>
              <w:pStyle w:val="Tabletext"/>
              <w:widowControl w:val="0"/>
              <w:rPr>
                <w:rFonts w:cstheme="minorHAnsi"/>
                <w:szCs w:val="20"/>
              </w:rPr>
            </w:pPr>
            <w:r w:rsidRPr="00A74194">
              <w:rPr>
                <w:rFonts w:cstheme="minorHAnsi"/>
                <w:szCs w:val="20"/>
              </w:rPr>
              <w:t>Subjects reporting at least 1 TEAE</w:t>
            </w:r>
          </w:p>
        </w:tc>
        <w:tc>
          <w:tcPr>
            <w:tcW w:w="1276" w:type="dxa"/>
            <w:shd w:val="clear" w:color="auto" w:fill="B8CCE4" w:themeFill="accent1" w:themeFillTint="66"/>
          </w:tcPr>
          <w:p w14:paraId="270D0527" w14:textId="77777777" w:rsidR="00B159C2" w:rsidRPr="00A74194" w:rsidRDefault="00B159C2" w:rsidP="007E12FF">
            <w:pPr>
              <w:pStyle w:val="Tabletext"/>
              <w:widowControl w:val="0"/>
              <w:jc w:val="center"/>
              <w:rPr>
                <w:rFonts w:cstheme="minorHAnsi"/>
                <w:szCs w:val="20"/>
              </w:rPr>
            </w:pPr>
            <w:r w:rsidRPr="00A74194">
              <w:rPr>
                <w:rFonts w:cstheme="minorHAnsi"/>
                <w:szCs w:val="20"/>
              </w:rPr>
              <w:t>21/23 (91.3%)</w:t>
            </w:r>
          </w:p>
        </w:tc>
        <w:tc>
          <w:tcPr>
            <w:tcW w:w="1843" w:type="dxa"/>
            <w:shd w:val="clear" w:color="auto" w:fill="B8CCE4" w:themeFill="accent1" w:themeFillTint="66"/>
          </w:tcPr>
          <w:p w14:paraId="398B8362" w14:textId="77777777" w:rsidR="00B159C2" w:rsidRPr="00A74194" w:rsidRDefault="00B159C2" w:rsidP="007E12FF">
            <w:pPr>
              <w:pStyle w:val="Tabletext"/>
              <w:widowControl w:val="0"/>
              <w:jc w:val="center"/>
              <w:rPr>
                <w:rFonts w:cstheme="minorHAnsi"/>
                <w:szCs w:val="20"/>
              </w:rPr>
            </w:pPr>
            <w:r w:rsidRPr="00A74194">
              <w:rPr>
                <w:rFonts w:cstheme="minorHAnsi"/>
                <w:szCs w:val="20"/>
              </w:rPr>
              <w:t>-</w:t>
            </w:r>
          </w:p>
        </w:tc>
        <w:tc>
          <w:tcPr>
            <w:tcW w:w="1225" w:type="dxa"/>
            <w:shd w:val="clear" w:color="auto" w:fill="B8CCE4" w:themeFill="accent1" w:themeFillTint="66"/>
          </w:tcPr>
          <w:p w14:paraId="383C14C1" w14:textId="77777777" w:rsidR="00B159C2" w:rsidRPr="00A74194" w:rsidRDefault="00B159C2" w:rsidP="007E12FF">
            <w:pPr>
              <w:pStyle w:val="Tabletext"/>
              <w:widowControl w:val="0"/>
              <w:jc w:val="center"/>
              <w:rPr>
                <w:rFonts w:cstheme="minorHAnsi"/>
                <w:szCs w:val="20"/>
              </w:rPr>
            </w:pPr>
            <w:r w:rsidRPr="00A74194">
              <w:rPr>
                <w:rFonts w:cstheme="minorHAnsi"/>
                <w:szCs w:val="20"/>
              </w:rPr>
              <w:t>18/20 (90.0%)</w:t>
            </w:r>
          </w:p>
        </w:tc>
      </w:tr>
      <w:tr w:rsidR="00B159C2" w:rsidRPr="00A74194" w14:paraId="6D6A3B63" w14:textId="77777777" w:rsidTr="00F85A0A">
        <w:tc>
          <w:tcPr>
            <w:tcW w:w="4673" w:type="dxa"/>
            <w:shd w:val="clear" w:color="auto" w:fill="B8CCE4" w:themeFill="accent1" w:themeFillTint="66"/>
          </w:tcPr>
          <w:p w14:paraId="1763EBA8" w14:textId="77777777" w:rsidR="00B159C2" w:rsidRPr="00A74194" w:rsidRDefault="00B159C2" w:rsidP="007E12FF">
            <w:pPr>
              <w:pStyle w:val="Tabletext"/>
              <w:widowControl w:val="0"/>
              <w:rPr>
                <w:rFonts w:cstheme="minorHAnsi"/>
                <w:szCs w:val="20"/>
              </w:rPr>
            </w:pPr>
            <w:r w:rsidRPr="00A74194">
              <w:rPr>
                <w:rFonts w:cstheme="minorHAnsi"/>
                <w:szCs w:val="20"/>
              </w:rPr>
              <w:t>Subjects with TEAE of pruritus or pruritus generalised</w:t>
            </w:r>
          </w:p>
        </w:tc>
        <w:tc>
          <w:tcPr>
            <w:tcW w:w="1276" w:type="dxa"/>
            <w:shd w:val="clear" w:color="auto" w:fill="B8CCE4" w:themeFill="accent1" w:themeFillTint="66"/>
          </w:tcPr>
          <w:p w14:paraId="6F54463F" w14:textId="77777777" w:rsidR="00B159C2" w:rsidRPr="00A74194" w:rsidRDefault="00B159C2" w:rsidP="007E12FF">
            <w:pPr>
              <w:pStyle w:val="Tabletext"/>
              <w:widowControl w:val="0"/>
              <w:jc w:val="center"/>
              <w:rPr>
                <w:rFonts w:cstheme="minorHAnsi"/>
                <w:szCs w:val="20"/>
              </w:rPr>
            </w:pPr>
            <w:r w:rsidRPr="00A74194">
              <w:rPr>
                <w:rFonts w:cstheme="minorHAnsi"/>
                <w:szCs w:val="20"/>
              </w:rPr>
              <w:t>8/23 (34.8%)</w:t>
            </w:r>
          </w:p>
        </w:tc>
        <w:tc>
          <w:tcPr>
            <w:tcW w:w="1843" w:type="dxa"/>
            <w:shd w:val="clear" w:color="auto" w:fill="B8CCE4" w:themeFill="accent1" w:themeFillTint="66"/>
          </w:tcPr>
          <w:p w14:paraId="0F17E443" w14:textId="77777777" w:rsidR="00B159C2" w:rsidRPr="00A74194" w:rsidRDefault="00B159C2" w:rsidP="007E12FF">
            <w:pPr>
              <w:pStyle w:val="Tabletext"/>
              <w:widowControl w:val="0"/>
              <w:jc w:val="center"/>
              <w:rPr>
                <w:rFonts w:cstheme="minorHAnsi"/>
                <w:szCs w:val="20"/>
              </w:rPr>
            </w:pPr>
            <w:r w:rsidRPr="00A74194">
              <w:rPr>
                <w:rFonts w:cstheme="minorHAnsi"/>
                <w:szCs w:val="20"/>
              </w:rPr>
              <w:t>-</w:t>
            </w:r>
          </w:p>
        </w:tc>
        <w:tc>
          <w:tcPr>
            <w:tcW w:w="1225" w:type="dxa"/>
            <w:shd w:val="clear" w:color="auto" w:fill="B8CCE4" w:themeFill="accent1" w:themeFillTint="66"/>
          </w:tcPr>
          <w:p w14:paraId="229C9E1B" w14:textId="77777777" w:rsidR="00B159C2" w:rsidRPr="00A74194" w:rsidRDefault="00B159C2" w:rsidP="007E12FF">
            <w:pPr>
              <w:pStyle w:val="Tabletext"/>
              <w:widowControl w:val="0"/>
              <w:jc w:val="center"/>
              <w:rPr>
                <w:rFonts w:cstheme="minorHAnsi"/>
                <w:szCs w:val="20"/>
              </w:rPr>
            </w:pPr>
            <w:r w:rsidRPr="00A74194">
              <w:rPr>
                <w:rFonts w:cstheme="minorHAnsi"/>
                <w:szCs w:val="20"/>
              </w:rPr>
              <w:t>14/20 (70.0%)</w:t>
            </w:r>
          </w:p>
        </w:tc>
      </w:tr>
      <w:tr w:rsidR="00B159C2" w:rsidRPr="00A74194" w14:paraId="6DC37F30" w14:textId="77777777" w:rsidTr="00F85A0A">
        <w:tc>
          <w:tcPr>
            <w:tcW w:w="4673" w:type="dxa"/>
            <w:shd w:val="clear" w:color="auto" w:fill="B8CCE4" w:themeFill="accent1" w:themeFillTint="66"/>
          </w:tcPr>
          <w:p w14:paraId="1F752D0B" w14:textId="77777777" w:rsidR="00B159C2" w:rsidRPr="00A74194" w:rsidRDefault="00B159C2" w:rsidP="007E12FF">
            <w:pPr>
              <w:pStyle w:val="Tabletext"/>
              <w:widowControl w:val="0"/>
              <w:rPr>
                <w:rFonts w:cstheme="minorHAnsi"/>
                <w:szCs w:val="20"/>
              </w:rPr>
            </w:pPr>
            <w:r w:rsidRPr="00A74194">
              <w:rPr>
                <w:rFonts w:cstheme="minorHAnsi"/>
                <w:szCs w:val="20"/>
              </w:rPr>
              <w:t>Subjects with related TEAE</w:t>
            </w:r>
          </w:p>
        </w:tc>
        <w:tc>
          <w:tcPr>
            <w:tcW w:w="1276" w:type="dxa"/>
            <w:shd w:val="clear" w:color="auto" w:fill="B8CCE4" w:themeFill="accent1" w:themeFillTint="66"/>
          </w:tcPr>
          <w:p w14:paraId="6D4DBE02" w14:textId="77777777" w:rsidR="00B159C2" w:rsidRPr="00A74194" w:rsidRDefault="00B159C2" w:rsidP="007E12FF">
            <w:pPr>
              <w:pStyle w:val="Tabletext"/>
              <w:widowControl w:val="0"/>
              <w:jc w:val="center"/>
              <w:rPr>
                <w:rFonts w:cstheme="minorHAnsi"/>
                <w:szCs w:val="20"/>
              </w:rPr>
            </w:pPr>
            <w:r w:rsidRPr="00A74194">
              <w:rPr>
                <w:rFonts w:cstheme="minorHAnsi"/>
                <w:szCs w:val="20"/>
              </w:rPr>
              <w:t xml:space="preserve">11/23 (47.8%) </w:t>
            </w:r>
          </w:p>
        </w:tc>
        <w:tc>
          <w:tcPr>
            <w:tcW w:w="1843" w:type="dxa"/>
            <w:shd w:val="clear" w:color="auto" w:fill="B8CCE4" w:themeFill="accent1" w:themeFillTint="66"/>
          </w:tcPr>
          <w:p w14:paraId="5A7F49B6" w14:textId="77777777" w:rsidR="00B159C2" w:rsidRPr="00A74194" w:rsidRDefault="00B159C2" w:rsidP="007E12FF">
            <w:pPr>
              <w:pStyle w:val="Tabletext"/>
              <w:widowControl w:val="0"/>
              <w:jc w:val="center"/>
              <w:rPr>
                <w:rFonts w:cstheme="minorHAnsi"/>
                <w:szCs w:val="20"/>
              </w:rPr>
            </w:pPr>
            <w:r w:rsidRPr="00A74194">
              <w:rPr>
                <w:rFonts w:cstheme="minorHAnsi"/>
                <w:szCs w:val="20"/>
              </w:rPr>
              <w:t>-</w:t>
            </w:r>
          </w:p>
        </w:tc>
        <w:tc>
          <w:tcPr>
            <w:tcW w:w="1225" w:type="dxa"/>
            <w:shd w:val="clear" w:color="auto" w:fill="B8CCE4" w:themeFill="accent1" w:themeFillTint="66"/>
          </w:tcPr>
          <w:p w14:paraId="603BB60A" w14:textId="77777777" w:rsidR="00B159C2" w:rsidRPr="00A74194" w:rsidRDefault="00B159C2" w:rsidP="007E12FF">
            <w:pPr>
              <w:pStyle w:val="Tabletext"/>
              <w:widowControl w:val="0"/>
              <w:jc w:val="center"/>
              <w:rPr>
                <w:rFonts w:cstheme="minorHAnsi"/>
                <w:szCs w:val="20"/>
              </w:rPr>
            </w:pPr>
            <w:r w:rsidRPr="00A74194">
              <w:rPr>
                <w:rFonts w:cstheme="minorHAnsi"/>
                <w:szCs w:val="20"/>
              </w:rPr>
              <w:t>15/20 (75.0%)</w:t>
            </w:r>
          </w:p>
        </w:tc>
      </w:tr>
      <w:tr w:rsidR="00B159C2" w:rsidRPr="00A74194" w14:paraId="0704117C" w14:textId="77777777" w:rsidTr="00F85A0A">
        <w:tc>
          <w:tcPr>
            <w:tcW w:w="4673" w:type="dxa"/>
            <w:shd w:val="clear" w:color="auto" w:fill="B8CCE4" w:themeFill="accent1" w:themeFillTint="66"/>
          </w:tcPr>
          <w:p w14:paraId="7FF3414E" w14:textId="77777777" w:rsidR="00B159C2" w:rsidRPr="00A74194" w:rsidRDefault="00B159C2" w:rsidP="007E12FF">
            <w:pPr>
              <w:pStyle w:val="Tabletext"/>
              <w:widowControl w:val="0"/>
              <w:rPr>
                <w:rFonts w:cstheme="minorHAnsi"/>
                <w:szCs w:val="20"/>
              </w:rPr>
            </w:pPr>
            <w:r w:rsidRPr="00A74194">
              <w:rPr>
                <w:rFonts w:cstheme="minorHAnsi"/>
                <w:szCs w:val="20"/>
              </w:rPr>
              <w:t>Subjects with related TEAEs of pruritus or pruritus generalised</w:t>
            </w:r>
          </w:p>
        </w:tc>
        <w:tc>
          <w:tcPr>
            <w:tcW w:w="1276" w:type="dxa"/>
            <w:shd w:val="clear" w:color="auto" w:fill="B8CCE4" w:themeFill="accent1" w:themeFillTint="66"/>
          </w:tcPr>
          <w:p w14:paraId="321D4AB1" w14:textId="77777777" w:rsidR="00B159C2" w:rsidRPr="00A74194" w:rsidRDefault="00B159C2" w:rsidP="007E12FF">
            <w:pPr>
              <w:pStyle w:val="Tabletext"/>
              <w:widowControl w:val="0"/>
              <w:jc w:val="center"/>
              <w:rPr>
                <w:rFonts w:cstheme="minorHAnsi"/>
                <w:szCs w:val="20"/>
              </w:rPr>
            </w:pPr>
            <w:r w:rsidRPr="00A74194">
              <w:rPr>
                <w:rFonts w:cstheme="minorHAnsi"/>
                <w:szCs w:val="20"/>
              </w:rPr>
              <w:t xml:space="preserve">7/23 (30.4%) </w:t>
            </w:r>
          </w:p>
        </w:tc>
        <w:tc>
          <w:tcPr>
            <w:tcW w:w="1843" w:type="dxa"/>
            <w:shd w:val="clear" w:color="auto" w:fill="B8CCE4" w:themeFill="accent1" w:themeFillTint="66"/>
          </w:tcPr>
          <w:p w14:paraId="28C73DCC" w14:textId="77777777" w:rsidR="00B159C2" w:rsidRPr="00A74194" w:rsidRDefault="00B159C2" w:rsidP="007E12FF">
            <w:pPr>
              <w:pStyle w:val="Tabletext"/>
              <w:widowControl w:val="0"/>
              <w:jc w:val="center"/>
              <w:rPr>
                <w:rFonts w:cstheme="minorHAnsi"/>
                <w:szCs w:val="20"/>
              </w:rPr>
            </w:pPr>
            <w:r w:rsidRPr="00A74194">
              <w:rPr>
                <w:rFonts w:cstheme="minorHAnsi"/>
                <w:szCs w:val="20"/>
              </w:rPr>
              <w:t>-</w:t>
            </w:r>
          </w:p>
        </w:tc>
        <w:tc>
          <w:tcPr>
            <w:tcW w:w="1225" w:type="dxa"/>
            <w:shd w:val="clear" w:color="auto" w:fill="B8CCE4" w:themeFill="accent1" w:themeFillTint="66"/>
          </w:tcPr>
          <w:p w14:paraId="7E9A783F" w14:textId="77777777" w:rsidR="00B159C2" w:rsidRPr="00A74194" w:rsidRDefault="00B159C2" w:rsidP="007E12FF">
            <w:pPr>
              <w:pStyle w:val="Tabletext"/>
              <w:widowControl w:val="0"/>
              <w:jc w:val="center"/>
              <w:rPr>
                <w:rFonts w:cstheme="minorHAnsi"/>
                <w:szCs w:val="20"/>
              </w:rPr>
            </w:pPr>
            <w:r w:rsidRPr="00A74194">
              <w:rPr>
                <w:rFonts w:cstheme="minorHAnsi"/>
                <w:szCs w:val="20"/>
              </w:rPr>
              <w:t>14/20 (70.0%)</w:t>
            </w:r>
          </w:p>
        </w:tc>
      </w:tr>
      <w:tr w:rsidR="00B159C2" w:rsidRPr="00A74194" w14:paraId="0AC56031" w14:textId="77777777" w:rsidTr="00F85A0A">
        <w:tc>
          <w:tcPr>
            <w:tcW w:w="4673" w:type="dxa"/>
            <w:shd w:val="clear" w:color="auto" w:fill="B8CCE4" w:themeFill="accent1" w:themeFillTint="66"/>
          </w:tcPr>
          <w:p w14:paraId="421F7A9E" w14:textId="77777777" w:rsidR="00B159C2" w:rsidRPr="00A74194" w:rsidRDefault="00B159C2" w:rsidP="007E12FF">
            <w:pPr>
              <w:pStyle w:val="Tabletext"/>
              <w:widowControl w:val="0"/>
              <w:rPr>
                <w:rFonts w:cstheme="minorHAnsi"/>
                <w:szCs w:val="20"/>
              </w:rPr>
            </w:pPr>
            <w:r w:rsidRPr="00A74194">
              <w:rPr>
                <w:rFonts w:cstheme="minorHAnsi"/>
                <w:szCs w:val="20"/>
              </w:rPr>
              <w:t>Subjects with SAE</w:t>
            </w:r>
          </w:p>
        </w:tc>
        <w:tc>
          <w:tcPr>
            <w:tcW w:w="1276" w:type="dxa"/>
            <w:shd w:val="clear" w:color="auto" w:fill="B8CCE4" w:themeFill="accent1" w:themeFillTint="66"/>
          </w:tcPr>
          <w:p w14:paraId="4CAFDE8F" w14:textId="77777777" w:rsidR="00B159C2" w:rsidRPr="00A74194" w:rsidRDefault="00B159C2" w:rsidP="007E12FF">
            <w:pPr>
              <w:pStyle w:val="Tabletext"/>
              <w:widowControl w:val="0"/>
              <w:jc w:val="center"/>
              <w:rPr>
                <w:rFonts w:cstheme="minorHAnsi"/>
                <w:szCs w:val="20"/>
              </w:rPr>
            </w:pPr>
            <w:r w:rsidRPr="00A74194">
              <w:rPr>
                <w:rFonts w:cstheme="minorHAnsi"/>
                <w:szCs w:val="20"/>
              </w:rPr>
              <w:t>1/23 (4.3%)</w:t>
            </w:r>
          </w:p>
        </w:tc>
        <w:tc>
          <w:tcPr>
            <w:tcW w:w="1843" w:type="dxa"/>
            <w:shd w:val="clear" w:color="auto" w:fill="B8CCE4" w:themeFill="accent1" w:themeFillTint="66"/>
          </w:tcPr>
          <w:p w14:paraId="11F9E1A7" w14:textId="77777777" w:rsidR="00B159C2" w:rsidRPr="00A74194" w:rsidRDefault="00B159C2" w:rsidP="007E12FF">
            <w:pPr>
              <w:pStyle w:val="Tabletext"/>
              <w:widowControl w:val="0"/>
              <w:jc w:val="center"/>
              <w:rPr>
                <w:rFonts w:cstheme="minorHAnsi"/>
                <w:szCs w:val="20"/>
              </w:rPr>
            </w:pPr>
            <w:r w:rsidRPr="00A74194">
              <w:rPr>
                <w:rFonts w:cstheme="minorHAnsi"/>
                <w:szCs w:val="20"/>
              </w:rPr>
              <w:t>-</w:t>
            </w:r>
          </w:p>
        </w:tc>
        <w:tc>
          <w:tcPr>
            <w:tcW w:w="1225" w:type="dxa"/>
            <w:shd w:val="clear" w:color="auto" w:fill="B8CCE4" w:themeFill="accent1" w:themeFillTint="66"/>
          </w:tcPr>
          <w:p w14:paraId="3A528502" w14:textId="77777777" w:rsidR="00B159C2" w:rsidRPr="00A74194" w:rsidRDefault="00B159C2" w:rsidP="007E12FF">
            <w:pPr>
              <w:pStyle w:val="Tabletext"/>
              <w:widowControl w:val="0"/>
              <w:jc w:val="center"/>
              <w:rPr>
                <w:rFonts w:cstheme="minorHAnsi"/>
                <w:szCs w:val="20"/>
              </w:rPr>
            </w:pPr>
            <w:r w:rsidRPr="00A74194">
              <w:rPr>
                <w:rFonts w:cstheme="minorHAnsi"/>
                <w:szCs w:val="20"/>
              </w:rPr>
              <w:t>0/20 (0.0%)</w:t>
            </w:r>
          </w:p>
        </w:tc>
      </w:tr>
      <w:tr w:rsidR="00B159C2" w:rsidRPr="00A74194" w14:paraId="32E6976F" w14:textId="77777777" w:rsidTr="00F85A0A">
        <w:tc>
          <w:tcPr>
            <w:tcW w:w="4673" w:type="dxa"/>
            <w:shd w:val="clear" w:color="auto" w:fill="B8CCE4" w:themeFill="accent1" w:themeFillTint="66"/>
          </w:tcPr>
          <w:p w14:paraId="5107EFB2" w14:textId="77777777" w:rsidR="00B159C2" w:rsidRPr="00A74194" w:rsidRDefault="00B159C2" w:rsidP="007E12FF">
            <w:pPr>
              <w:pStyle w:val="Tabletext"/>
              <w:widowControl w:val="0"/>
              <w:rPr>
                <w:rFonts w:cstheme="minorHAnsi"/>
                <w:szCs w:val="20"/>
              </w:rPr>
            </w:pPr>
            <w:r w:rsidRPr="00A74194">
              <w:rPr>
                <w:rFonts w:cstheme="minorHAnsi"/>
                <w:szCs w:val="20"/>
              </w:rPr>
              <w:t>Subjects with Mild TEAEs</w:t>
            </w:r>
          </w:p>
        </w:tc>
        <w:tc>
          <w:tcPr>
            <w:tcW w:w="1276" w:type="dxa"/>
            <w:shd w:val="clear" w:color="auto" w:fill="B8CCE4" w:themeFill="accent1" w:themeFillTint="66"/>
          </w:tcPr>
          <w:p w14:paraId="38836CD6" w14:textId="77777777" w:rsidR="00B159C2" w:rsidRPr="00A74194" w:rsidRDefault="00B159C2" w:rsidP="007E12FF">
            <w:pPr>
              <w:pStyle w:val="Tabletext"/>
              <w:widowControl w:val="0"/>
              <w:jc w:val="center"/>
              <w:rPr>
                <w:rFonts w:cstheme="minorHAnsi"/>
                <w:szCs w:val="20"/>
              </w:rPr>
            </w:pPr>
            <w:r w:rsidRPr="00A74194">
              <w:rPr>
                <w:rFonts w:cstheme="minorHAnsi"/>
                <w:szCs w:val="20"/>
              </w:rPr>
              <w:t xml:space="preserve">18/23 (78.3%) </w:t>
            </w:r>
          </w:p>
        </w:tc>
        <w:tc>
          <w:tcPr>
            <w:tcW w:w="1843" w:type="dxa"/>
            <w:shd w:val="clear" w:color="auto" w:fill="B8CCE4" w:themeFill="accent1" w:themeFillTint="66"/>
          </w:tcPr>
          <w:p w14:paraId="24F31A2C" w14:textId="77777777" w:rsidR="00B159C2" w:rsidRPr="00A74194" w:rsidRDefault="00B159C2" w:rsidP="007E12FF">
            <w:pPr>
              <w:pStyle w:val="Tabletext"/>
              <w:widowControl w:val="0"/>
              <w:jc w:val="center"/>
              <w:rPr>
                <w:rFonts w:cstheme="minorHAnsi"/>
                <w:szCs w:val="20"/>
              </w:rPr>
            </w:pPr>
            <w:r w:rsidRPr="00A74194">
              <w:rPr>
                <w:rFonts w:cstheme="minorHAnsi"/>
                <w:szCs w:val="20"/>
              </w:rPr>
              <w:t>-</w:t>
            </w:r>
          </w:p>
        </w:tc>
        <w:tc>
          <w:tcPr>
            <w:tcW w:w="1225" w:type="dxa"/>
            <w:shd w:val="clear" w:color="auto" w:fill="B8CCE4" w:themeFill="accent1" w:themeFillTint="66"/>
          </w:tcPr>
          <w:p w14:paraId="1D3FC7F4" w14:textId="77777777" w:rsidR="00B159C2" w:rsidRPr="00A74194" w:rsidRDefault="00B159C2" w:rsidP="007E12FF">
            <w:pPr>
              <w:pStyle w:val="Tabletext"/>
              <w:widowControl w:val="0"/>
              <w:jc w:val="center"/>
              <w:rPr>
                <w:rFonts w:cstheme="minorHAnsi"/>
                <w:szCs w:val="20"/>
              </w:rPr>
            </w:pPr>
            <w:r w:rsidRPr="00A74194">
              <w:rPr>
                <w:rFonts w:cstheme="minorHAnsi"/>
                <w:szCs w:val="20"/>
              </w:rPr>
              <w:t>16/20 (80.0%)</w:t>
            </w:r>
          </w:p>
        </w:tc>
      </w:tr>
      <w:tr w:rsidR="00B159C2" w:rsidRPr="00A74194" w14:paraId="16A37E65" w14:textId="77777777" w:rsidTr="00F85A0A">
        <w:tc>
          <w:tcPr>
            <w:tcW w:w="4673" w:type="dxa"/>
            <w:shd w:val="clear" w:color="auto" w:fill="B8CCE4" w:themeFill="accent1" w:themeFillTint="66"/>
          </w:tcPr>
          <w:p w14:paraId="534C5537" w14:textId="77777777" w:rsidR="00B159C2" w:rsidRPr="00A74194" w:rsidRDefault="00B159C2" w:rsidP="007E12FF">
            <w:pPr>
              <w:pStyle w:val="Tabletext"/>
              <w:widowControl w:val="0"/>
              <w:rPr>
                <w:rFonts w:cstheme="minorHAnsi"/>
                <w:szCs w:val="20"/>
              </w:rPr>
            </w:pPr>
            <w:r w:rsidRPr="00A74194">
              <w:rPr>
                <w:rFonts w:cstheme="minorHAnsi"/>
                <w:szCs w:val="20"/>
              </w:rPr>
              <w:t>Subjects with Moderate TEAEs</w:t>
            </w:r>
          </w:p>
        </w:tc>
        <w:tc>
          <w:tcPr>
            <w:tcW w:w="1276" w:type="dxa"/>
            <w:shd w:val="clear" w:color="auto" w:fill="B8CCE4" w:themeFill="accent1" w:themeFillTint="66"/>
          </w:tcPr>
          <w:p w14:paraId="326DFB4B" w14:textId="77777777" w:rsidR="00B159C2" w:rsidRPr="00A74194" w:rsidRDefault="00B159C2" w:rsidP="007E12FF">
            <w:pPr>
              <w:pStyle w:val="Tabletext"/>
              <w:widowControl w:val="0"/>
              <w:jc w:val="center"/>
              <w:rPr>
                <w:rFonts w:cstheme="minorHAnsi"/>
                <w:szCs w:val="20"/>
              </w:rPr>
            </w:pPr>
            <w:r w:rsidRPr="00A74194">
              <w:rPr>
                <w:rFonts w:cstheme="minorHAnsi"/>
                <w:szCs w:val="20"/>
              </w:rPr>
              <w:t xml:space="preserve">8/23 (34.8%) </w:t>
            </w:r>
          </w:p>
        </w:tc>
        <w:tc>
          <w:tcPr>
            <w:tcW w:w="1843" w:type="dxa"/>
            <w:shd w:val="clear" w:color="auto" w:fill="B8CCE4" w:themeFill="accent1" w:themeFillTint="66"/>
          </w:tcPr>
          <w:p w14:paraId="404E3DB2" w14:textId="77777777" w:rsidR="00B159C2" w:rsidRPr="00A74194" w:rsidRDefault="00B159C2" w:rsidP="007E12FF">
            <w:pPr>
              <w:pStyle w:val="Tabletext"/>
              <w:widowControl w:val="0"/>
              <w:jc w:val="center"/>
              <w:rPr>
                <w:rFonts w:cstheme="minorHAnsi"/>
                <w:szCs w:val="20"/>
              </w:rPr>
            </w:pPr>
            <w:r w:rsidRPr="00A74194">
              <w:rPr>
                <w:rFonts w:cstheme="minorHAnsi"/>
                <w:szCs w:val="20"/>
              </w:rPr>
              <w:t>-</w:t>
            </w:r>
          </w:p>
        </w:tc>
        <w:tc>
          <w:tcPr>
            <w:tcW w:w="1225" w:type="dxa"/>
            <w:shd w:val="clear" w:color="auto" w:fill="B8CCE4" w:themeFill="accent1" w:themeFillTint="66"/>
          </w:tcPr>
          <w:p w14:paraId="14A19A27" w14:textId="77777777" w:rsidR="00B159C2" w:rsidRPr="00A74194" w:rsidRDefault="00B159C2" w:rsidP="007E12FF">
            <w:pPr>
              <w:pStyle w:val="Tabletext"/>
              <w:widowControl w:val="0"/>
              <w:jc w:val="center"/>
              <w:rPr>
                <w:rFonts w:cstheme="minorHAnsi"/>
                <w:szCs w:val="20"/>
              </w:rPr>
            </w:pPr>
            <w:r w:rsidRPr="00A74194">
              <w:rPr>
                <w:rFonts w:cstheme="minorHAnsi"/>
                <w:szCs w:val="20"/>
              </w:rPr>
              <w:t>9/20 (45.0%)</w:t>
            </w:r>
          </w:p>
        </w:tc>
      </w:tr>
      <w:tr w:rsidR="00B159C2" w:rsidRPr="00A74194" w14:paraId="02210FE7" w14:textId="77777777" w:rsidTr="00F85A0A">
        <w:tc>
          <w:tcPr>
            <w:tcW w:w="4673" w:type="dxa"/>
            <w:shd w:val="clear" w:color="auto" w:fill="B8CCE4" w:themeFill="accent1" w:themeFillTint="66"/>
          </w:tcPr>
          <w:p w14:paraId="1934B353" w14:textId="77777777" w:rsidR="00B159C2" w:rsidRPr="00A74194" w:rsidRDefault="00B159C2" w:rsidP="007E12FF">
            <w:pPr>
              <w:pStyle w:val="Tabletext"/>
              <w:widowControl w:val="0"/>
              <w:rPr>
                <w:rFonts w:cstheme="minorHAnsi"/>
                <w:szCs w:val="20"/>
              </w:rPr>
            </w:pPr>
            <w:r w:rsidRPr="00A74194">
              <w:rPr>
                <w:rFonts w:cstheme="minorHAnsi"/>
                <w:szCs w:val="20"/>
              </w:rPr>
              <w:t>Subjects with Severe TEAEs</w:t>
            </w:r>
          </w:p>
        </w:tc>
        <w:tc>
          <w:tcPr>
            <w:tcW w:w="1276" w:type="dxa"/>
            <w:shd w:val="clear" w:color="auto" w:fill="B8CCE4" w:themeFill="accent1" w:themeFillTint="66"/>
          </w:tcPr>
          <w:p w14:paraId="15D02756" w14:textId="77777777" w:rsidR="00B159C2" w:rsidRPr="00A74194" w:rsidRDefault="00B159C2" w:rsidP="007E12FF">
            <w:pPr>
              <w:pStyle w:val="Tabletext"/>
              <w:widowControl w:val="0"/>
              <w:jc w:val="center"/>
              <w:rPr>
                <w:rFonts w:cstheme="minorHAnsi"/>
                <w:szCs w:val="20"/>
              </w:rPr>
            </w:pPr>
            <w:r w:rsidRPr="00A74194">
              <w:rPr>
                <w:rFonts w:cstheme="minorHAnsi"/>
                <w:szCs w:val="20"/>
              </w:rPr>
              <w:t xml:space="preserve">5/23 (22.7%) </w:t>
            </w:r>
          </w:p>
        </w:tc>
        <w:tc>
          <w:tcPr>
            <w:tcW w:w="1843" w:type="dxa"/>
            <w:shd w:val="clear" w:color="auto" w:fill="B8CCE4" w:themeFill="accent1" w:themeFillTint="66"/>
          </w:tcPr>
          <w:p w14:paraId="6D81B9D9" w14:textId="77777777" w:rsidR="00B159C2" w:rsidRPr="00A74194" w:rsidRDefault="00B159C2" w:rsidP="007E12FF">
            <w:pPr>
              <w:pStyle w:val="Tabletext"/>
              <w:widowControl w:val="0"/>
              <w:jc w:val="center"/>
              <w:rPr>
                <w:rFonts w:cstheme="minorHAnsi"/>
                <w:szCs w:val="20"/>
              </w:rPr>
            </w:pPr>
            <w:r w:rsidRPr="00A74194">
              <w:rPr>
                <w:rFonts w:cstheme="minorHAnsi"/>
                <w:szCs w:val="20"/>
              </w:rPr>
              <w:t>-</w:t>
            </w:r>
          </w:p>
        </w:tc>
        <w:tc>
          <w:tcPr>
            <w:tcW w:w="1225" w:type="dxa"/>
            <w:shd w:val="clear" w:color="auto" w:fill="B8CCE4" w:themeFill="accent1" w:themeFillTint="66"/>
          </w:tcPr>
          <w:p w14:paraId="24C3AF19" w14:textId="77777777" w:rsidR="00B159C2" w:rsidRPr="00A74194" w:rsidRDefault="00B159C2" w:rsidP="007E12FF">
            <w:pPr>
              <w:pStyle w:val="Tabletext"/>
              <w:widowControl w:val="0"/>
              <w:jc w:val="center"/>
              <w:rPr>
                <w:rFonts w:cstheme="minorHAnsi"/>
                <w:szCs w:val="20"/>
              </w:rPr>
            </w:pPr>
            <w:r w:rsidRPr="00A74194">
              <w:rPr>
                <w:rFonts w:cstheme="minorHAnsi"/>
                <w:szCs w:val="20"/>
              </w:rPr>
              <w:t>7/20 (35.0%)</w:t>
            </w:r>
          </w:p>
        </w:tc>
      </w:tr>
      <w:tr w:rsidR="00B159C2" w:rsidRPr="00A74194" w14:paraId="71C62BE9" w14:textId="77777777" w:rsidTr="00F85A0A">
        <w:tc>
          <w:tcPr>
            <w:tcW w:w="4673" w:type="dxa"/>
            <w:shd w:val="clear" w:color="auto" w:fill="B8CCE4" w:themeFill="accent1" w:themeFillTint="66"/>
          </w:tcPr>
          <w:p w14:paraId="496BBEC6" w14:textId="77777777" w:rsidR="00B159C2" w:rsidRPr="00A74194" w:rsidRDefault="00B159C2" w:rsidP="007E12FF">
            <w:pPr>
              <w:pStyle w:val="Tabletext"/>
              <w:widowControl w:val="0"/>
              <w:rPr>
                <w:rFonts w:cstheme="minorHAnsi"/>
                <w:szCs w:val="20"/>
              </w:rPr>
            </w:pPr>
            <w:r w:rsidRPr="00A74194">
              <w:rPr>
                <w:rFonts w:cstheme="minorHAnsi"/>
                <w:szCs w:val="20"/>
              </w:rPr>
              <w:t>Subjects who withdrew due to a TEAE</w:t>
            </w:r>
          </w:p>
        </w:tc>
        <w:tc>
          <w:tcPr>
            <w:tcW w:w="1276" w:type="dxa"/>
            <w:shd w:val="clear" w:color="auto" w:fill="B8CCE4" w:themeFill="accent1" w:themeFillTint="66"/>
          </w:tcPr>
          <w:p w14:paraId="45829211" w14:textId="77777777" w:rsidR="00B159C2" w:rsidRPr="00A74194" w:rsidRDefault="00B159C2" w:rsidP="007E12FF">
            <w:pPr>
              <w:pStyle w:val="Tabletext"/>
              <w:widowControl w:val="0"/>
              <w:jc w:val="center"/>
              <w:rPr>
                <w:rFonts w:cstheme="minorHAnsi"/>
                <w:szCs w:val="20"/>
              </w:rPr>
            </w:pPr>
            <w:r w:rsidRPr="00A74194">
              <w:rPr>
                <w:rFonts w:cstheme="minorHAnsi"/>
                <w:szCs w:val="20"/>
              </w:rPr>
              <w:t>0/23 (0.0%)</w:t>
            </w:r>
          </w:p>
        </w:tc>
        <w:tc>
          <w:tcPr>
            <w:tcW w:w="1843" w:type="dxa"/>
            <w:shd w:val="clear" w:color="auto" w:fill="B8CCE4" w:themeFill="accent1" w:themeFillTint="66"/>
          </w:tcPr>
          <w:p w14:paraId="3D2A6261" w14:textId="77777777" w:rsidR="00B159C2" w:rsidRPr="00A74194" w:rsidRDefault="00B159C2" w:rsidP="007E12FF">
            <w:pPr>
              <w:pStyle w:val="Tabletext"/>
              <w:widowControl w:val="0"/>
              <w:jc w:val="center"/>
              <w:rPr>
                <w:rFonts w:cstheme="minorHAnsi"/>
                <w:szCs w:val="20"/>
              </w:rPr>
            </w:pPr>
            <w:r w:rsidRPr="00A74194">
              <w:rPr>
                <w:rFonts w:cstheme="minorHAnsi"/>
                <w:szCs w:val="20"/>
              </w:rPr>
              <w:t>-</w:t>
            </w:r>
          </w:p>
        </w:tc>
        <w:tc>
          <w:tcPr>
            <w:tcW w:w="1225" w:type="dxa"/>
            <w:shd w:val="clear" w:color="auto" w:fill="B8CCE4" w:themeFill="accent1" w:themeFillTint="66"/>
          </w:tcPr>
          <w:p w14:paraId="1E0CF2AA" w14:textId="77777777" w:rsidR="00B159C2" w:rsidRPr="00A74194" w:rsidRDefault="00B159C2" w:rsidP="007E12FF">
            <w:pPr>
              <w:pStyle w:val="Tabletext"/>
              <w:widowControl w:val="0"/>
              <w:jc w:val="center"/>
              <w:rPr>
                <w:rFonts w:cstheme="minorHAnsi"/>
                <w:szCs w:val="20"/>
              </w:rPr>
            </w:pPr>
            <w:r w:rsidRPr="00A74194">
              <w:rPr>
                <w:rFonts w:cstheme="minorHAnsi"/>
                <w:szCs w:val="20"/>
              </w:rPr>
              <w:t>3/20 (15.0%)</w:t>
            </w:r>
          </w:p>
        </w:tc>
      </w:tr>
      <w:tr w:rsidR="00B159C2" w:rsidRPr="00A74194" w14:paraId="46704A22" w14:textId="77777777" w:rsidTr="00F85A0A">
        <w:tc>
          <w:tcPr>
            <w:tcW w:w="4673" w:type="dxa"/>
            <w:shd w:val="clear" w:color="auto" w:fill="B8CCE4" w:themeFill="accent1" w:themeFillTint="66"/>
          </w:tcPr>
          <w:p w14:paraId="5A8F86C6" w14:textId="77777777" w:rsidR="00B159C2" w:rsidRPr="00A74194" w:rsidRDefault="00B159C2" w:rsidP="007E12FF">
            <w:pPr>
              <w:pStyle w:val="Tabletext"/>
              <w:widowControl w:val="0"/>
              <w:rPr>
                <w:rFonts w:cstheme="minorHAnsi"/>
                <w:szCs w:val="20"/>
              </w:rPr>
            </w:pPr>
            <w:r w:rsidRPr="00A74194">
              <w:rPr>
                <w:rFonts w:cstheme="minorHAnsi"/>
                <w:szCs w:val="20"/>
              </w:rPr>
              <w:t>Discontinuation due to pruritus</w:t>
            </w:r>
          </w:p>
        </w:tc>
        <w:tc>
          <w:tcPr>
            <w:tcW w:w="1276" w:type="dxa"/>
            <w:shd w:val="clear" w:color="auto" w:fill="B8CCE4" w:themeFill="accent1" w:themeFillTint="66"/>
          </w:tcPr>
          <w:p w14:paraId="4F3240F5" w14:textId="77777777" w:rsidR="00B159C2" w:rsidRPr="00A74194" w:rsidRDefault="00B159C2" w:rsidP="007E12FF">
            <w:pPr>
              <w:pStyle w:val="Tabletext"/>
              <w:widowControl w:val="0"/>
              <w:jc w:val="center"/>
              <w:rPr>
                <w:rFonts w:cstheme="minorHAnsi"/>
                <w:szCs w:val="20"/>
              </w:rPr>
            </w:pPr>
            <w:r w:rsidRPr="00A74194">
              <w:rPr>
                <w:rFonts w:cstheme="minorHAnsi"/>
                <w:szCs w:val="20"/>
              </w:rPr>
              <w:t>0/23 (0.0%)</w:t>
            </w:r>
          </w:p>
        </w:tc>
        <w:tc>
          <w:tcPr>
            <w:tcW w:w="1843" w:type="dxa"/>
            <w:shd w:val="clear" w:color="auto" w:fill="B8CCE4" w:themeFill="accent1" w:themeFillTint="66"/>
          </w:tcPr>
          <w:p w14:paraId="55F2C77A" w14:textId="77777777" w:rsidR="00B159C2" w:rsidRPr="00A74194" w:rsidRDefault="00B159C2" w:rsidP="007E12FF">
            <w:pPr>
              <w:pStyle w:val="Tabletext"/>
              <w:widowControl w:val="0"/>
              <w:jc w:val="center"/>
              <w:rPr>
                <w:rFonts w:cstheme="minorHAnsi"/>
                <w:szCs w:val="20"/>
              </w:rPr>
            </w:pPr>
            <w:r w:rsidRPr="00A74194">
              <w:rPr>
                <w:rFonts w:cstheme="minorHAnsi"/>
                <w:szCs w:val="20"/>
              </w:rPr>
              <w:t>-</w:t>
            </w:r>
          </w:p>
        </w:tc>
        <w:tc>
          <w:tcPr>
            <w:tcW w:w="1225" w:type="dxa"/>
            <w:shd w:val="clear" w:color="auto" w:fill="B8CCE4" w:themeFill="accent1" w:themeFillTint="66"/>
          </w:tcPr>
          <w:p w14:paraId="5DDB704E" w14:textId="77777777" w:rsidR="00B159C2" w:rsidRPr="00A74194" w:rsidRDefault="00B159C2" w:rsidP="007E12FF">
            <w:pPr>
              <w:pStyle w:val="Tabletext"/>
              <w:widowControl w:val="0"/>
              <w:jc w:val="center"/>
              <w:rPr>
                <w:rFonts w:cstheme="minorHAnsi"/>
                <w:szCs w:val="20"/>
              </w:rPr>
            </w:pPr>
            <w:r w:rsidRPr="00A74194">
              <w:rPr>
                <w:rFonts w:cstheme="minorHAnsi"/>
                <w:szCs w:val="20"/>
              </w:rPr>
              <w:t>3/20 (15.0%)</w:t>
            </w:r>
          </w:p>
        </w:tc>
      </w:tr>
      <w:tr w:rsidR="00B159C2" w:rsidRPr="00A74194" w14:paraId="080E8DEC" w14:textId="77777777" w:rsidTr="00333E67">
        <w:tc>
          <w:tcPr>
            <w:tcW w:w="0" w:type="auto"/>
            <w:gridSpan w:val="4"/>
            <w:shd w:val="clear" w:color="auto" w:fill="B8CCE4" w:themeFill="accent1" w:themeFillTint="66"/>
          </w:tcPr>
          <w:p w14:paraId="5CD8E679" w14:textId="77777777" w:rsidR="00B159C2" w:rsidRPr="00A74194" w:rsidRDefault="00B159C2" w:rsidP="007E12FF">
            <w:pPr>
              <w:pStyle w:val="Tabletext"/>
              <w:widowControl w:val="0"/>
              <w:rPr>
                <w:rFonts w:cstheme="minorHAnsi"/>
                <w:szCs w:val="20"/>
              </w:rPr>
            </w:pPr>
            <w:r w:rsidRPr="00A74194">
              <w:rPr>
                <w:rFonts w:cstheme="minorHAnsi"/>
                <w:b/>
                <w:szCs w:val="20"/>
              </w:rPr>
              <w:t>747-202 Trial (OCA combination)</w:t>
            </w:r>
          </w:p>
        </w:tc>
      </w:tr>
      <w:tr w:rsidR="00B159C2" w:rsidRPr="00A74194" w14:paraId="02A3B6B9" w14:textId="77777777" w:rsidTr="00F85A0A">
        <w:tc>
          <w:tcPr>
            <w:tcW w:w="4673" w:type="dxa"/>
            <w:shd w:val="clear" w:color="auto" w:fill="B8CCE4" w:themeFill="accent1" w:themeFillTint="66"/>
          </w:tcPr>
          <w:p w14:paraId="316741AB" w14:textId="77777777" w:rsidR="00B159C2" w:rsidRPr="00A74194" w:rsidRDefault="00B159C2" w:rsidP="007E12FF">
            <w:pPr>
              <w:pStyle w:val="Tabletext"/>
              <w:widowControl w:val="0"/>
              <w:rPr>
                <w:rFonts w:cstheme="minorHAnsi"/>
                <w:szCs w:val="20"/>
              </w:rPr>
            </w:pPr>
            <w:r w:rsidRPr="00A74194">
              <w:rPr>
                <w:rFonts w:cstheme="minorHAnsi"/>
                <w:szCs w:val="20"/>
              </w:rPr>
              <w:t>Subjects reporting at least 1 TEAE</w:t>
            </w:r>
          </w:p>
        </w:tc>
        <w:tc>
          <w:tcPr>
            <w:tcW w:w="1276" w:type="dxa"/>
            <w:shd w:val="clear" w:color="auto" w:fill="B8CCE4" w:themeFill="accent1" w:themeFillTint="66"/>
          </w:tcPr>
          <w:p w14:paraId="614F1A08" w14:textId="77777777" w:rsidR="00B159C2" w:rsidRPr="00A74194" w:rsidRDefault="00B159C2" w:rsidP="007E12FF">
            <w:pPr>
              <w:pStyle w:val="Tabletext"/>
              <w:widowControl w:val="0"/>
              <w:jc w:val="center"/>
              <w:rPr>
                <w:rFonts w:cstheme="minorHAnsi"/>
                <w:szCs w:val="20"/>
              </w:rPr>
            </w:pPr>
            <w:r w:rsidRPr="00A74194">
              <w:rPr>
                <w:rFonts w:cstheme="minorHAnsi"/>
                <w:szCs w:val="20"/>
              </w:rPr>
              <w:t xml:space="preserve">32/38 (84%) </w:t>
            </w:r>
          </w:p>
        </w:tc>
        <w:tc>
          <w:tcPr>
            <w:tcW w:w="1843" w:type="dxa"/>
            <w:shd w:val="clear" w:color="auto" w:fill="B8CCE4" w:themeFill="accent1" w:themeFillTint="66"/>
          </w:tcPr>
          <w:p w14:paraId="32A687BD" w14:textId="77777777" w:rsidR="00B159C2" w:rsidRPr="00A74194" w:rsidRDefault="00B159C2" w:rsidP="007E12FF">
            <w:pPr>
              <w:pStyle w:val="Tabletext"/>
              <w:widowControl w:val="0"/>
              <w:jc w:val="center"/>
              <w:rPr>
                <w:rFonts w:cstheme="minorHAnsi"/>
                <w:szCs w:val="20"/>
              </w:rPr>
            </w:pPr>
            <w:r w:rsidRPr="00A74194">
              <w:rPr>
                <w:rFonts w:cstheme="minorHAnsi"/>
                <w:szCs w:val="20"/>
              </w:rPr>
              <w:t>-</w:t>
            </w:r>
          </w:p>
        </w:tc>
        <w:tc>
          <w:tcPr>
            <w:tcW w:w="1225" w:type="dxa"/>
            <w:shd w:val="clear" w:color="auto" w:fill="B8CCE4" w:themeFill="accent1" w:themeFillTint="66"/>
          </w:tcPr>
          <w:p w14:paraId="39B2278A" w14:textId="77777777" w:rsidR="00B159C2" w:rsidRPr="00A74194" w:rsidRDefault="00B159C2" w:rsidP="007E12FF">
            <w:pPr>
              <w:pStyle w:val="Tabletext"/>
              <w:widowControl w:val="0"/>
              <w:jc w:val="center"/>
              <w:rPr>
                <w:rFonts w:cstheme="minorHAnsi"/>
                <w:szCs w:val="20"/>
              </w:rPr>
            </w:pPr>
            <w:r w:rsidRPr="00A74194">
              <w:rPr>
                <w:rFonts w:cstheme="minorHAnsi"/>
                <w:szCs w:val="20"/>
              </w:rPr>
              <w:t>34 /38 (89%)</w:t>
            </w:r>
          </w:p>
        </w:tc>
      </w:tr>
      <w:tr w:rsidR="00B159C2" w:rsidRPr="00A74194" w14:paraId="46FF8F48" w14:textId="77777777" w:rsidTr="00F85A0A">
        <w:tc>
          <w:tcPr>
            <w:tcW w:w="4673" w:type="dxa"/>
            <w:shd w:val="clear" w:color="auto" w:fill="B8CCE4" w:themeFill="accent1" w:themeFillTint="66"/>
          </w:tcPr>
          <w:p w14:paraId="5DA585A9" w14:textId="77777777" w:rsidR="00B159C2" w:rsidRPr="00A74194" w:rsidRDefault="00B159C2" w:rsidP="007E12FF">
            <w:pPr>
              <w:pStyle w:val="Tabletext"/>
              <w:widowControl w:val="0"/>
              <w:rPr>
                <w:rFonts w:cstheme="minorHAnsi"/>
                <w:szCs w:val="20"/>
              </w:rPr>
            </w:pPr>
            <w:r w:rsidRPr="00A74194">
              <w:rPr>
                <w:rFonts w:cstheme="minorHAnsi"/>
                <w:szCs w:val="20"/>
              </w:rPr>
              <w:t>Subjects with TEAE of pruritus or pruritus generalised</w:t>
            </w:r>
          </w:p>
        </w:tc>
        <w:tc>
          <w:tcPr>
            <w:tcW w:w="1276" w:type="dxa"/>
            <w:shd w:val="clear" w:color="auto" w:fill="B8CCE4" w:themeFill="accent1" w:themeFillTint="66"/>
          </w:tcPr>
          <w:p w14:paraId="320595EA" w14:textId="77777777" w:rsidR="00B159C2" w:rsidRPr="00A74194" w:rsidRDefault="00B159C2" w:rsidP="007E12FF">
            <w:pPr>
              <w:pStyle w:val="Tabletext"/>
              <w:widowControl w:val="0"/>
              <w:jc w:val="center"/>
              <w:rPr>
                <w:rFonts w:cstheme="minorHAnsi"/>
                <w:szCs w:val="20"/>
              </w:rPr>
            </w:pPr>
            <w:r w:rsidRPr="00A74194">
              <w:rPr>
                <w:rFonts w:cstheme="minorHAnsi"/>
                <w:szCs w:val="20"/>
              </w:rPr>
              <w:t xml:space="preserve">19/38 (50%) </w:t>
            </w:r>
          </w:p>
        </w:tc>
        <w:tc>
          <w:tcPr>
            <w:tcW w:w="1843" w:type="dxa"/>
            <w:shd w:val="clear" w:color="auto" w:fill="B8CCE4" w:themeFill="accent1" w:themeFillTint="66"/>
          </w:tcPr>
          <w:p w14:paraId="1B55039B" w14:textId="77777777" w:rsidR="00B159C2" w:rsidRPr="00A74194" w:rsidRDefault="00B159C2" w:rsidP="007E12FF">
            <w:pPr>
              <w:pStyle w:val="Tabletext"/>
              <w:widowControl w:val="0"/>
              <w:jc w:val="center"/>
              <w:rPr>
                <w:rFonts w:cstheme="minorHAnsi"/>
                <w:szCs w:val="20"/>
              </w:rPr>
            </w:pPr>
            <w:r w:rsidRPr="00A74194">
              <w:rPr>
                <w:rFonts w:cstheme="minorHAnsi"/>
                <w:szCs w:val="20"/>
              </w:rPr>
              <w:t>-</w:t>
            </w:r>
          </w:p>
        </w:tc>
        <w:tc>
          <w:tcPr>
            <w:tcW w:w="1225" w:type="dxa"/>
            <w:shd w:val="clear" w:color="auto" w:fill="B8CCE4" w:themeFill="accent1" w:themeFillTint="66"/>
          </w:tcPr>
          <w:p w14:paraId="277823BB" w14:textId="77777777" w:rsidR="00B159C2" w:rsidRPr="00A74194" w:rsidRDefault="00B159C2" w:rsidP="007E12FF">
            <w:pPr>
              <w:pStyle w:val="Tabletext"/>
              <w:widowControl w:val="0"/>
              <w:jc w:val="center"/>
              <w:rPr>
                <w:rFonts w:cstheme="minorHAnsi"/>
                <w:szCs w:val="20"/>
              </w:rPr>
            </w:pPr>
            <w:r w:rsidRPr="00A74194">
              <w:rPr>
                <w:rFonts w:cstheme="minorHAnsi"/>
                <w:szCs w:val="20"/>
              </w:rPr>
              <w:t>18 /38 (47%)</w:t>
            </w:r>
          </w:p>
        </w:tc>
      </w:tr>
      <w:tr w:rsidR="00B159C2" w:rsidRPr="00A74194" w14:paraId="4355CFAA" w14:textId="77777777" w:rsidTr="00F85A0A">
        <w:tc>
          <w:tcPr>
            <w:tcW w:w="4673" w:type="dxa"/>
            <w:shd w:val="clear" w:color="auto" w:fill="B8CCE4" w:themeFill="accent1" w:themeFillTint="66"/>
          </w:tcPr>
          <w:p w14:paraId="55288888" w14:textId="77777777" w:rsidR="00B159C2" w:rsidRPr="00A74194" w:rsidRDefault="00B159C2" w:rsidP="007E12FF">
            <w:pPr>
              <w:pStyle w:val="Tabletext"/>
              <w:widowControl w:val="0"/>
              <w:rPr>
                <w:rFonts w:cstheme="minorHAnsi"/>
                <w:szCs w:val="20"/>
              </w:rPr>
            </w:pPr>
            <w:r w:rsidRPr="00A74194">
              <w:rPr>
                <w:rFonts w:cstheme="minorHAnsi"/>
                <w:szCs w:val="20"/>
              </w:rPr>
              <w:t>Subjects with related TEAE</w:t>
            </w:r>
          </w:p>
        </w:tc>
        <w:tc>
          <w:tcPr>
            <w:tcW w:w="1276" w:type="dxa"/>
            <w:shd w:val="clear" w:color="auto" w:fill="B8CCE4" w:themeFill="accent1" w:themeFillTint="66"/>
          </w:tcPr>
          <w:p w14:paraId="0F0ABF46" w14:textId="77777777" w:rsidR="00B159C2" w:rsidRPr="00A74194" w:rsidRDefault="00B159C2" w:rsidP="007E12FF">
            <w:pPr>
              <w:pStyle w:val="Tabletext"/>
              <w:widowControl w:val="0"/>
              <w:jc w:val="center"/>
              <w:rPr>
                <w:rFonts w:cstheme="minorHAnsi"/>
                <w:szCs w:val="20"/>
              </w:rPr>
            </w:pPr>
            <w:r w:rsidRPr="00A74194">
              <w:rPr>
                <w:rFonts w:cstheme="minorHAnsi"/>
                <w:szCs w:val="20"/>
              </w:rPr>
              <w:t xml:space="preserve">22/38 (58%) </w:t>
            </w:r>
          </w:p>
        </w:tc>
        <w:tc>
          <w:tcPr>
            <w:tcW w:w="1843" w:type="dxa"/>
            <w:shd w:val="clear" w:color="auto" w:fill="B8CCE4" w:themeFill="accent1" w:themeFillTint="66"/>
          </w:tcPr>
          <w:p w14:paraId="2A588931" w14:textId="77777777" w:rsidR="00B159C2" w:rsidRPr="00A74194" w:rsidRDefault="00B159C2" w:rsidP="007E12FF">
            <w:pPr>
              <w:pStyle w:val="Tabletext"/>
              <w:widowControl w:val="0"/>
              <w:jc w:val="center"/>
              <w:rPr>
                <w:rFonts w:cstheme="minorHAnsi"/>
                <w:szCs w:val="20"/>
              </w:rPr>
            </w:pPr>
            <w:r w:rsidRPr="00A74194">
              <w:rPr>
                <w:rFonts w:cstheme="minorHAnsi"/>
                <w:szCs w:val="20"/>
              </w:rPr>
              <w:t>-</w:t>
            </w:r>
          </w:p>
        </w:tc>
        <w:tc>
          <w:tcPr>
            <w:tcW w:w="1225" w:type="dxa"/>
            <w:shd w:val="clear" w:color="auto" w:fill="B8CCE4" w:themeFill="accent1" w:themeFillTint="66"/>
          </w:tcPr>
          <w:p w14:paraId="2193EF73" w14:textId="77777777" w:rsidR="00B159C2" w:rsidRPr="00A74194" w:rsidRDefault="00B159C2" w:rsidP="007E12FF">
            <w:pPr>
              <w:pStyle w:val="Tabletext"/>
              <w:widowControl w:val="0"/>
              <w:jc w:val="center"/>
              <w:rPr>
                <w:rFonts w:cstheme="minorHAnsi"/>
                <w:szCs w:val="20"/>
              </w:rPr>
            </w:pPr>
            <w:r w:rsidRPr="00A74194">
              <w:rPr>
                <w:rFonts w:cstheme="minorHAnsi"/>
                <w:szCs w:val="20"/>
              </w:rPr>
              <w:t>28/38 (74%)</w:t>
            </w:r>
          </w:p>
        </w:tc>
      </w:tr>
      <w:tr w:rsidR="00B159C2" w:rsidRPr="00A74194" w14:paraId="57174F6F" w14:textId="77777777" w:rsidTr="00F85A0A">
        <w:tc>
          <w:tcPr>
            <w:tcW w:w="4673" w:type="dxa"/>
            <w:shd w:val="clear" w:color="auto" w:fill="B8CCE4" w:themeFill="accent1" w:themeFillTint="66"/>
          </w:tcPr>
          <w:p w14:paraId="4E0C9223" w14:textId="77777777" w:rsidR="00B159C2" w:rsidRPr="00A74194" w:rsidRDefault="00B159C2" w:rsidP="007E12FF">
            <w:pPr>
              <w:pStyle w:val="Tabletext"/>
              <w:widowControl w:val="0"/>
              <w:rPr>
                <w:rFonts w:cstheme="minorHAnsi"/>
                <w:szCs w:val="20"/>
              </w:rPr>
            </w:pPr>
            <w:r w:rsidRPr="00A74194">
              <w:rPr>
                <w:rFonts w:cstheme="minorHAnsi"/>
                <w:szCs w:val="20"/>
              </w:rPr>
              <w:t>Subjects with related TEAEs of pruritus or pruritus generalised</w:t>
            </w:r>
          </w:p>
        </w:tc>
        <w:tc>
          <w:tcPr>
            <w:tcW w:w="1276" w:type="dxa"/>
            <w:shd w:val="clear" w:color="auto" w:fill="B8CCE4" w:themeFill="accent1" w:themeFillTint="66"/>
          </w:tcPr>
          <w:p w14:paraId="534F1956" w14:textId="77777777" w:rsidR="00B159C2" w:rsidRPr="00A74194" w:rsidRDefault="00B159C2" w:rsidP="007E12FF">
            <w:pPr>
              <w:pStyle w:val="Tabletext"/>
              <w:widowControl w:val="0"/>
              <w:jc w:val="center"/>
              <w:rPr>
                <w:rFonts w:cstheme="minorHAnsi"/>
                <w:szCs w:val="20"/>
              </w:rPr>
            </w:pPr>
            <w:r w:rsidRPr="00A74194">
              <w:rPr>
                <w:rFonts w:cstheme="minorHAnsi"/>
                <w:szCs w:val="20"/>
              </w:rPr>
              <w:t xml:space="preserve">17/38 (45%) </w:t>
            </w:r>
          </w:p>
        </w:tc>
        <w:tc>
          <w:tcPr>
            <w:tcW w:w="1843" w:type="dxa"/>
            <w:shd w:val="clear" w:color="auto" w:fill="B8CCE4" w:themeFill="accent1" w:themeFillTint="66"/>
          </w:tcPr>
          <w:p w14:paraId="1C8BE32B" w14:textId="77777777" w:rsidR="00B159C2" w:rsidRPr="00A74194" w:rsidRDefault="00B159C2" w:rsidP="007E12FF">
            <w:pPr>
              <w:pStyle w:val="Tabletext"/>
              <w:widowControl w:val="0"/>
              <w:jc w:val="center"/>
              <w:rPr>
                <w:rFonts w:cstheme="minorHAnsi"/>
                <w:szCs w:val="20"/>
              </w:rPr>
            </w:pPr>
            <w:r w:rsidRPr="00A74194">
              <w:rPr>
                <w:rFonts w:cstheme="minorHAnsi"/>
                <w:szCs w:val="20"/>
              </w:rPr>
              <w:t>-</w:t>
            </w:r>
          </w:p>
        </w:tc>
        <w:tc>
          <w:tcPr>
            <w:tcW w:w="1225" w:type="dxa"/>
            <w:shd w:val="clear" w:color="auto" w:fill="B8CCE4" w:themeFill="accent1" w:themeFillTint="66"/>
          </w:tcPr>
          <w:p w14:paraId="3D96A3D1" w14:textId="77777777" w:rsidR="00B159C2" w:rsidRPr="00A74194" w:rsidRDefault="00B159C2" w:rsidP="007E12FF">
            <w:pPr>
              <w:pStyle w:val="Tabletext"/>
              <w:widowControl w:val="0"/>
              <w:jc w:val="center"/>
              <w:rPr>
                <w:rFonts w:cstheme="minorHAnsi"/>
                <w:szCs w:val="20"/>
              </w:rPr>
            </w:pPr>
            <w:r w:rsidRPr="00A74194">
              <w:rPr>
                <w:rFonts w:cstheme="minorHAnsi"/>
                <w:szCs w:val="20"/>
              </w:rPr>
              <w:t>18/38 (47%)</w:t>
            </w:r>
          </w:p>
        </w:tc>
      </w:tr>
      <w:tr w:rsidR="00B159C2" w:rsidRPr="00A74194" w14:paraId="18B2E699" w14:textId="77777777" w:rsidTr="00F85A0A">
        <w:tc>
          <w:tcPr>
            <w:tcW w:w="4673" w:type="dxa"/>
            <w:shd w:val="clear" w:color="auto" w:fill="B8CCE4" w:themeFill="accent1" w:themeFillTint="66"/>
          </w:tcPr>
          <w:p w14:paraId="344F2C3E" w14:textId="77777777" w:rsidR="00B159C2" w:rsidRPr="00A74194" w:rsidRDefault="00B159C2" w:rsidP="007E12FF">
            <w:pPr>
              <w:pStyle w:val="Tabletext"/>
              <w:widowControl w:val="0"/>
              <w:rPr>
                <w:rFonts w:cstheme="minorHAnsi"/>
                <w:szCs w:val="20"/>
              </w:rPr>
            </w:pPr>
            <w:r w:rsidRPr="00A74194">
              <w:rPr>
                <w:rFonts w:cstheme="minorHAnsi"/>
                <w:szCs w:val="20"/>
              </w:rPr>
              <w:t>Subjects with SAE</w:t>
            </w:r>
          </w:p>
        </w:tc>
        <w:tc>
          <w:tcPr>
            <w:tcW w:w="1276" w:type="dxa"/>
            <w:shd w:val="clear" w:color="auto" w:fill="B8CCE4" w:themeFill="accent1" w:themeFillTint="66"/>
          </w:tcPr>
          <w:p w14:paraId="5C6114F9" w14:textId="77777777" w:rsidR="00B159C2" w:rsidRPr="00A74194" w:rsidRDefault="00B159C2" w:rsidP="007E12FF">
            <w:pPr>
              <w:pStyle w:val="Tabletext"/>
              <w:widowControl w:val="0"/>
              <w:jc w:val="center"/>
              <w:rPr>
                <w:rFonts w:cstheme="minorHAnsi"/>
                <w:szCs w:val="20"/>
              </w:rPr>
            </w:pPr>
            <w:r w:rsidRPr="00A74194">
              <w:rPr>
                <w:rFonts w:cstheme="minorHAnsi"/>
                <w:szCs w:val="20"/>
              </w:rPr>
              <w:t xml:space="preserve">1/38 (3%) </w:t>
            </w:r>
          </w:p>
        </w:tc>
        <w:tc>
          <w:tcPr>
            <w:tcW w:w="1843" w:type="dxa"/>
            <w:shd w:val="clear" w:color="auto" w:fill="B8CCE4" w:themeFill="accent1" w:themeFillTint="66"/>
          </w:tcPr>
          <w:p w14:paraId="136E751E" w14:textId="77777777" w:rsidR="00B159C2" w:rsidRPr="00A74194" w:rsidRDefault="00B159C2" w:rsidP="007E12FF">
            <w:pPr>
              <w:pStyle w:val="Tabletext"/>
              <w:widowControl w:val="0"/>
              <w:jc w:val="center"/>
              <w:rPr>
                <w:rFonts w:cstheme="minorHAnsi"/>
                <w:szCs w:val="20"/>
              </w:rPr>
            </w:pPr>
            <w:r w:rsidRPr="00A74194">
              <w:rPr>
                <w:rFonts w:cstheme="minorHAnsi"/>
                <w:szCs w:val="20"/>
              </w:rPr>
              <w:t>-</w:t>
            </w:r>
          </w:p>
        </w:tc>
        <w:tc>
          <w:tcPr>
            <w:tcW w:w="1225" w:type="dxa"/>
            <w:shd w:val="clear" w:color="auto" w:fill="B8CCE4" w:themeFill="accent1" w:themeFillTint="66"/>
          </w:tcPr>
          <w:p w14:paraId="0F8FBF84" w14:textId="77777777" w:rsidR="00B159C2" w:rsidRPr="00A74194" w:rsidRDefault="00B159C2" w:rsidP="007E12FF">
            <w:pPr>
              <w:pStyle w:val="Tabletext"/>
              <w:widowControl w:val="0"/>
              <w:jc w:val="center"/>
              <w:rPr>
                <w:rFonts w:cstheme="minorHAnsi"/>
                <w:szCs w:val="20"/>
              </w:rPr>
            </w:pPr>
            <w:r w:rsidRPr="00A74194">
              <w:rPr>
                <w:rFonts w:cstheme="minorHAnsi"/>
                <w:szCs w:val="20"/>
              </w:rPr>
              <w:t>0/38 (0%)</w:t>
            </w:r>
          </w:p>
        </w:tc>
      </w:tr>
      <w:tr w:rsidR="00B159C2" w:rsidRPr="00A74194" w14:paraId="069B25A5" w14:textId="77777777" w:rsidTr="00F85A0A">
        <w:tc>
          <w:tcPr>
            <w:tcW w:w="4673" w:type="dxa"/>
            <w:shd w:val="clear" w:color="auto" w:fill="B8CCE4" w:themeFill="accent1" w:themeFillTint="66"/>
          </w:tcPr>
          <w:p w14:paraId="2245458A" w14:textId="77777777" w:rsidR="00B159C2" w:rsidRPr="00A74194" w:rsidRDefault="00B159C2" w:rsidP="007E12FF">
            <w:pPr>
              <w:pStyle w:val="Tabletext"/>
              <w:widowControl w:val="0"/>
              <w:rPr>
                <w:rFonts w:cstheme="minorHAnsi"/>
                <w:szCs w:val="20"/>
              </w:rPr>
            </w:pPr>
            <w:r w:rsidRPr="00A74194">
              <w:rPr>
                <w:rFonts w:cstheme="minorHAnsi"/>
                <w:szCs w:val="20"/>
              </w:rPr>
              <w:t>Deaths</w:t>
            </w:r>
          </w:p>
        </w:tc>
        <w:tc>
          <w:tcPr>
            <w:tcW w:w="1276" w:type="dxa"/>
            <w:shd w:val="clear" w:color="auto" w:fill="B8CCE4" w:themeFill="accent1" w:themeFillTint="66"/>
          </w:tcPr>
          <w:p w14:paraId="56897D52" w14:textId="77777777" w:rsidR="00B159C2" w:rsidRPr="00A74194" w:rsidRDefault="00B159C2" w:rsidP="007E12FF">
            <w:pPr>
              <w:pStyle w:val="Tabletext"/>
              <w:widowControl w:val="0"/>
              <w:jc w:val="center"/>
              <w:rPr>
                <w:rFonts w:cstheme="minorHAnsi"/>
                <w:szCs w:val="20"/>
              </w:rPr>
            </w:pPr>
            <w:r w:rsidRPr="00A74194">
              <w:rPr>
                <w:rFonts w:cstheme="minorHAnsi"/>
                <w:szCs w:val="20"/>
              </w:rPr>
              <w:t>0/38 (0%)</w:t>
            </w:r>
          </w:p>
        </w:tc>
        <w:tc>
          <w:tcPr>
            <w:tcW w:w="1843" w:type="dxa"/>
            <w:shd w:val="clear" w:color="auto" w:fill="B8CCE4" w:themeFill="accent1" w:themeFillTint="66"/>
          </w:tcPr>
          <w:p w14:paraId="7399A9D9" w14:textId="77777777" w:rsidR="00B159C2" w:rsidRPr="00A74194" w:rsidRDefault="00B159C2" w:rsidP="007E12FF">
            <w:pPr>
              <w:pStyle w:val="Tabletext"/>
              <w:widowControl w:val="0"/>
              <w:jc w:val="center"/>
              <w:rPr>
                <w:rFonts w:cstheme="minorHAnsi"/>
                <w:szCs w:val="20"/>
              </w:rPr>
            </w:pPr>
            <w:r w:rsidRPr="00A74194">
              <w:rPr>
                <w:rFonts w:cstheme="minorHAnsi"/>
                <w:szCs w:val="20"/>
              </w:rPr>
              <w:t>-</w:t>
            </w:r>
          </w:p>
        </w:tc>
        <w:tc>
          <w:tcPr>
            <w:tcW w:w="1225" w:type="dxa"/>
            <w:shd w:val="clear" w:color="auto" w:fill="B8CCE4" w:themeFill="accent1" w:themeFillTint="66"/>
          </w:tcPr>
          <w:p w14:paraId="6915DBB9" w14:textId="77777777" w:rsidR="00B159C2" w:rsidRPr="00A74194" w:rsidRDefault="00B159C2" w:rsidP="007E12FF">
            <w:pPr>
              <w:pStyle w:val="Tabletext"/>
              <w:widowControl w:val="0"/>
              <w:jc w:val="center"/>
              <w:rPr>
                <w:rFonts w:cstheme="minorHAnsi"/>
                <w:szCs w:val="20"/>
              </w:rPr>
            </w:pPr>
            <w:r w:rsidRPr="00A74194">
              <w:rPr>
                <w:rFonts w:cstheme="minorHAnsi"/>
                <w:szCs w:val="20"/>
              </w:rPr>
              <w:t>0/38 (0%)</w:t>
            </w:r>
          </w:p>
        </w:tc>
      </w:tr>
      <w:tr w:rsidR="00B159C2" w:rsidRPr="00A74194" w14:paraId="2B4FD5A0" w14:textId="77777777" w:rsidTr="00F85A0A">
        <w:tc>
          <w:tcPr>
            <w:tcW w:w="4673" w:type="dxa"/>
            <w:shd w:val="clear" w:color="auto" w:fill="B8CCE4" w:themeFill="accent1" w:themeFillTint="66"/>
          </w:tcPr>
          <w:p w14:paraId="08FFF1D4" w14:textId="77777777" w:rsidR="00B159C2" w:rsidRPr="00A74194" w:rsidRDefault="00B159C2" w:rsidP="007E12FF">
            <w:pPr>
              <w:pStyle w:val="Tabletext"/>
              <w:widowControl w:val="0"/>
              <w:rPr>
                <w:rFonts w:cstheme="minorHAnsi"/>
                <w:szCs w:val="20"/>
              </w:rPr>
            </w:pPr>
            <w:r w:rsidRPr="00A74194">
              <w:rPr>
                <w:rFonts w:cstheme="minorHAnsi"/>
                <w:szCs w:val="20"/>
              </w:rPr>
              <w:t>Subjects with Mild TEAEs</w:t>
            </w:r>
          </w:p>
        </w:tc>
        <w:tc>
          <w:tcPr>
            <w:tcW w:w="1276" w:type="dxa"/>
            <w:shd w:val="clear" w:color="auto" w:fill="B8CCE4" w:themeFill="accent1" w:themeFillTint="66"/>
          </w:tcPr>
          <w:p w14:paraId="5DECFF0C" w14:textId="77777777" w:rsidR="00B159C2" w:rsidRPr="00A74194" w:rsidRDefault="00B159C2" w:rsidP="007E12FF">
            <w:pPr>
              <w:pStyle w:val="Tabletext"/>
              <w:widowControl w:val="0"/>
              <w:jc w:val="center"/>
              <w:rPr>
                <w:rFonts w:cstheme="minorHAnsi"/>
                <w:szCs w:val="20"/>
              </w:rPr>
            </w:pPr>
            <w:r w:rsidRPr="00A74194">
              <w:rPr>
                <w:rFonts w:cstheme="minorHAnsi"/>
                <w:szCs w:val="20"/>
              </w:rPr>
              <w:t xml:space="preserve">31/38 (82%) </w:t>
            </w:r>
          </w:p>
        </w:tc>
        <w:tc>
          <w:tcPr>
            <w:tcW w:w="1843" w:type="dxa"/>
            <w:shd w:val="clear" w:color="auto" w:fill="B8CCE4" w:themeFill="accent1" w:themeFillTint="66"/>
          </w:tcPr>
          <w:p w14:paraId="68014F91" w14:textId="77777777" w:rsidR="00B159C2" w:rsidRPr="00A74194" w:rsidRDefault="00B159C2" w:rsidP="007E12FF">
            <w:pPr>
              <w:pStyle w:val="Tabletext"/>
              <w:widowControl w:val="0"/>
              <w:jc w:val="center"/>
              <w:rPr>
                <w:rFonts w:cstheme="minorHAnsi"/>
                <w:szCs w:val="20"/>
              </w:rPr>
            </w:pPr>
            <w:r w:rsidRPr="00A74194">
              <w:rPr>
                <w:rFonts w:cstheme="minorHAnsi"/>
                <w:szCs w:val="20"/>
              </w:rPr>
              <w:t>-</w:t>
            </w:r>
          </w:p>
        </w:tc>
        <w:tc>
          <w:tcPr>
            <w:tcW w:w="1225" w:type="dxa"/>
            <w:shd w:val="clear" w:color="auto" w:fill="B8CCE4" w:themeFill="accent1" w:themeFillTint="66"/>
          </w:tcPr>
          <w:p w14:paraId="15565036" w14:textId="77777777" w:rsidR="00B159C2" w:rsidRPr="00A74194" w:rsidRDefault="00B159C2" w:rsidP="007E12FF">
            <w:pPr>
              <w:pStyle w:val="Tabletext"/>
              <w:widowControl w:val="0"/>
              <w:jc w:val="center"/>
              <w:rPr>
                <w:rFonts w:cstheme="minorHAnsi"/>
                <w:szCs w:val="20"/>
              </w:rPr>
            </w:pPr>
            <w:r w:rsidRPr="00A74194">
              <w:rPr>
                <w:rFonts w:cstheme="minorHAnsi"/>
                <w:szCs w:val="20"/>
              </w:rPr>
              <w:t>25/38 (66%)</w:t>
            </w:r>
          </w:p>
        </w:tc>
      </w:tr>
      <w:tr w:rsidR="00B159C2" w:rsidRPr="00A74194" w14:paraId="7856560D" w14:textId="77777777" w:rsidTr="00F85A0A">
        <w:tc>
          <w:tcPr>
            <w:tcW w:w="4673" w:type="dxa"/>
            <w:shd w:val="clear" w:color="auto" w:fill="B8CCE4" w:themeFill="accent1" w:themeFillTint="66"/>
          </w:tcPr>
          <w:p w14:paraId="30C322D5" w14:textId="77777777" w:rsidR="00B159C2" w:rsidRPr="00A74194" w:rsidRDefault="00B159C2" w:rsidP="007E12FF">
            <w:pPr>
              <w:pStyle w:val="Tabletext"/>
              <w:widowControl w:val="0"/>
              <w:rPr>
                <w:rFonts w:cstheme="minorHAnsi"/>
                <w:szCs w:val="20"/>
              </w:rPr>
            </w:pPr>
            <w:r w:rsidRPr="00A74194">
              <w:rPr>
                <w:rFonts w:cstheme="minorHAnsi"/>
                <w:szCs w:val="20"/>
              </w:rPr>
              <w:t>Subjects with Moderate TEAEs</w:t>
            </w:r>
          </w:p>
        </w:tc>
        <w:tc>
          <w:tcPr>
            <w:tcW w:w="1276" w:type="dxa"/>
            <w:shd w:val="clear" w:color="auto" w:fill="B8CCE4" w:themeFill="accent1" w:themeFillTint="66"/>
          </w:tcPr>
          <w:p w14:paraId="491C18B3" w14:textId="77777777" w:rsidR="00B159C2" w:rsidRPr="00A74194" w:rsidRDefault="00B159C2" w:rsidP="007E12FF">
            <w:pPr>
              <w:pStyle w:val="Tabletext"/>
              <w:widowControl w:val="0"/>
              <w:jc w:val="center"/>
              <w:rPr>
                <w:rFonts w:cstheme="minorHAnsi"/>
                <w:szCs w:val="20"/>
              </w:rPr>
            </w:pPr>
            <w:r w:rsidRPr="00A74194">
              <w:rPr>
                <w:rFonts w:cstheme="minorHAnsi"/>
                <w:szCs w:val="20"/>
              </w:rPr>
              <w:t xml:space="preserve">15/38 (39%) </w:t>
            </w:r>
          </w:p>
        </w:tc>
        <w:tc>
          <w:tcPr>
            <w:tcW w:w="1843" w:type="dxa"/>
            <w:shd w:val="clear" w:color="auto" w:fill="B8CCE4" w:themeFill="accent1" w:themeFillTint="66"/>
          </w:tcPr>
          <w:p w14:paraId="55EC6444" w14:textId="77777777" w:rsidR="00B159C2" w:rsidRPr="00A74194" w:rsidRDefault="00B159C2" w:rsidP="007E12FF">
            <w:pPr>
              <w:pStyle w:val="Tabletext"/>
              <w:widowControl w:val="0"/>
              <w:jc w:val="center"/>
              <w:rPr>
                <w:rFonts w:cstheme="minorHAnsi"/>
                <w:szCs w:val="20"/>
              </w:rPr>
            </w:pPr>
            <w:r w:rsidRPr="00A74194">
              <w:rPr>
                <w:rFonts w:cstheme="minorHAnsi"/>
                <w:szCs w:val="20"/>
              </w:rPr>
              <w:t>-</w:t>
            </w:r>
          </w:p>
        </w:tc>
        <w:tc>
          <w:tcPr>
            <w:tcW w:w="1225" w:type="dxa"/>
            <w:shd w:val="clear" w:color="auto" w:fill="B8CCE4" w:themeFill="accent1" w:themeFillTint="66"/>
          </w:tcPr>
          <w:p w14:paraId="68CF6B5A" w14:textId="77777777" w:rsidR="00B159C2" w:rsidRPr="00A74194" w:rsidRDefault="00B159C2" w:rsidP="007E12FF">
            <w:pPr>
              <w:pStyle w:val="Tabletext"/>
              <w:widowControl w:val="0"/>
              <w:jc w:val="center"/>
              <w:rPr>
                <w:rFonts w:cstheme="minorHAnsi"/>
                <w:szCs w:val="20"/>
              </w:rPr>
            </w:pPr>
            <w:r w:rsidRPr="00A74194">
              <w:rPr>
                <w:rFonts w:cstheme="minorHAnsi"/>
                <w:szCs w:val="20"/>
              </w:rPr>
              <w:t>17/38 (45%)</w:t>
            </w:r>
          </w:p>
        </w:tc>
      </w:tr>
      <w:tr w:rsidR="00B159C2" w:rsidRPr="00A74194" w14:paraId="7DF78E3A" w14:textId="77777777" w:rsidTr="00F85A0A">
        <w:tc>
          <w:tcPr>
            <w:tcW w:w="4673" w:type="dxa"/>
            <w:shd w:val="clear" w:color="auto" w:fill="B8CCE4" w:themeFill="accent1" w:themeFillTint="66"/>
          </w:tcPr>
          <w:p w14:paraId="23302251" w14:textId="77777777" w:rsidR="00B159C2" w:rsidRPr="00A74194" w:rsidRDefault="00B159C2" w:rsidP="007E12FF">
            <w:pPr>
              <w:pStyle w:val="Tabletext"/>
              <w:widowControl w:val="0"/>
              <w:rPr>
                <w:rFonts w:cstheme="minorHAnsi"/>
                <w:szCs w:val="20"/>
              </w:rPr>
            </w:pPr>
            <w:r w:rsidRPr="00A74194">
              <w:rPr>
                <w:rFonts w:cstheme="minorHAnsi"/>
                <w:szCs w:val="20"/>
              </w:rPr>
              <w:t>Subjects with Severe TEAEs</w:t>
            </w:r>
          </w:p>
        </w:tc>
        <w:tc>
          <w:tcPr>
            <w:tcW w:w="1276" w:type="dxa"/>
            <w:shd w:val="clear" w:color="auto" w:fill="B8CCE4" w:themeFill="accent1" w:themeFillTint="66"/>
          </w:tcPr>
          <w:p w14:paraId="08A13EFE" w14:textId="77777777" w:rsidR="00B159C2" w:rsidRPr="00A74194" w:rsidRDefault="00B159C2" w:rsidP="007E12FF">
            <w:pPr>
              <w:pStyle w:val="Tabletext"/>
              <w:widowControl w:val="0"/>
              <w:jc w:val="center"/>
              <w:rPr>
                <w:rFonts w:cstheme="minorHAnsi"/>
                <w:szCs w:val="20"/>
              </w:rPr>
            </w:pPr>
            <w:r w:rsidRPr="00A74194">
              <w:rPr>
                <w:rFonts w:cstheme="minorHAnsi"/>
                <w:szCs w:val="20"/>
              </w:rPr>
              <w:t xml:space="preserve">3/38 (8%) </w:t>
            </w:r>
          </w:p>
        </w:tc>
        <w:tc>
          <w:tcPr>
            <w:tcW w:w="1843" w:type="dxa"/>
            <w:shd w:val="clear" w:color="auto" w:fill="B8CCE4" w:themeFill="accent1" w:themeFillTint="66"/>
          </w:tcPr>
          <w:p w14:paraId="2CFA4747" w14:textId="77777777" w:rsidR="00B159C2" w:rsidRPr="00A74194" w:rsidRDefault="00B159C2" w:rsidP="007E12FF">
            <w:pPr>
              <w:pStyle w:val="Tabletext"/>
              <w:widowControl w:val="0"/>
              <w:jc w:val="center"/>
              <w:rPr>
                <w:rFonts w:cstheme="minorHAnsi"/>
                <w:szCs w:val="20"/>
              </w:rPr>
            </w:pPr>
            <w:r w:rsidRPr="00A74194">
              <w:rPr>
                <w:rFonts w:cstheme="minorHAnsi"/>
                <w:szCs w:val="20"/>
              </w:rPr>
              <w:t>-</w:t>
            </w:r>
          </w:p>
        </w:tc>
        <w:tc>
          <w:tcPr>
            <w:tcW w:w="1225" w:type="dxa"/>
            <w:shd w:val="clear" w:color="auto" w:fill="B8CCE4" w:themeFill="accent1" w:themeFillTint="66"/>
          </w:tcPr>
          <w:p w14:paraId="188D40B1" w14:textId="77777777" w:rsidR="00B159C2" w:rsidRPr="00A74194" w:rsidRDefault="00B159C2" w:rsidP="007E12FF">
            <w:pPr>
              <w:pStyle w:val="Tabletext"/>
              <w:widowControl w:val="0"/>
              <w:jc w:val="center"/>
              <w:rPr>
                <w:rFonts w:cstheme="minorHAnsi"/>
                <w:szCs w:val="20"/>
              </w:rPr>
            </w:pPr>
            <w:r w:rsidRPr="00A74194">
              <w:rPr>
                <w:rFonts w:cstheme="minorHAnsi"/>
                <w:szCs w:val="20"/>
              </w:rPr>
              <w:t>6/38 (16%)</w:t>
            </w:r>
          </w:p>
        </w:tc>
      </w:tr>
      <w:tr w:rsidR="00B159C2" w:rsidRPr="00A74194" w14:paraId="3D817FE6" w14:textId="77777777" w:rsidTr="00F85A0A">
        <w:tc>
          <w:tcPr>
            <w:tcW w:w="4673" w:type="dxa"/>
            <w:shd w:val="clear" w:color="auto" w:fill="B8CCE4" w:themeFill="accent1" w:themeFillTint="66"/>
          </w:tcPr>
          <w:p w14:paraId="1D1855A9" w14:textId="77777777" w:rsidR="00B159C2" w:rsidRPr="00A74194" w:rsidRDefault="00B159C2" w:rsidP="007E12FF">
            <w:pPr>
              <w:pStyle w:val="Tabletext"/>
              <w:widowControl w:val="0"/>
              <w:rPr>
                <w:rFonts w:cstheme="minorHAnsi"/>
                <w:szCs w:val="20"/>
              </w:rPr>
            </w:pPr>
            <w:r w:rsidRPr="00A74194">
              <w:rPr>
                <w:rFonts w:cstheme="minorHAnsi"/>
                <w:szCs w:val="20"/>
              </w:rPr>
              <w:t>Subjects who withdrew due to a TEAE</w:t>
            </w:r>
          </w:p>
        </w:tc>
        <w:tc>
          <w:tcPr>
            <w:tcW w:w="1276" w:type="dxa"/>
            <w:shd w:val="clear" w:color="auto" w:fill="B8CCE4" w:themeFill="accent1" w:themeFillTint="66"/>
          </w:tcPr>
          <w:p w14:paraId="499B0158" w14:textId="77777777" w:rsidR="00B159C2" w:rsidRPr="00A74194" w:rsidRDefault="00B159C2" w:rsidP="007E12FF">
            <w:pPr>
              <w:pStyle w:val="Tabletext"/>
              <w:widowControl w:val="0"/>
              <w:jc w:val="center"/>
              <w:rPr>
                <w:rFonts w:cstheme="minorHAnsi"/>
                <w:szCs w:val="20"/>
              </w:rPr>
            </w:pPr>
            <w:r w:rsidRPr="00A74194">
              <w:rPr>
                <w:rFonts w:cstheme="minorHAnsi"/>
                <w:szCs w:val="20"/>
              </w:rPr>
              <w:t xml:space="preserve">1/38 (3%) </w:t>
            </w:r>
          </w:p>
        </w:tc>
        <w:tc>
          <w:tcPr>
            <w:tcW w:w="1843" w:type="dxa"/>
            <w:shd w:val="clear" w:color="auto" w:fill="B8CCE4" w:themeFill="accent1" w:themeFillTint="66"/>
          </w:tcPr>
          <w:p w14:paraId="5A8F7BB6" w14:textId="77777777" w:rsidR="00B159C2" w:rsidRPr="00A74194" w:rsidRDefault="00B159C2" w:rsidP="007E12FF">
            <w:pPr>
              <w:pStyle w:val="Tabletext"/>
              <w:widowControl w:val="0"/>
              <w:jc w:val="center"/>
              <w:rPr>
                <w:rFonts w:cstheme="minorHAnsi"/>
                <w:szCs w:val="20"/>
              </w:rPr>
            </w:pPr>
            <w:r w:rsidRPr="00A74194">
              <w:rPr>
                <w:rFonts w:cstheme="minorHAnsi"/>
                <w:szCs w:val="20"/>
              </w:rPr>
              <w:t>-</w:t>
            </w:r>
          </w:p>
        </w:tc>
        <w:tc>
          <w:tcPr>
            <w:tcW w:w="1225" w:type="dxa"/>
            <w:shd w:val="clear" w:color="auto" w:fill="B8CCE4" w:themeFill="accent1" w:themeFillTint="66"/>
          </w:tcPr>
          <w:p w14:paraId="4D89E0CA" w14:textId="77777777" w:rsidR="00B159C2" w:rsidRPr="00A74194" w:rsidRDefault="00B159C2" w:rsidP="007E12FF">
            <w:pPr>
              <w:pStyle w:val="Tabletext"/>
              <w:widowControl w:val="0"/>
              <w:jc w:val="center"/>
              <w:rPr>
                <w:rFonts w:cstheme="minorHAnsi"/>
                <w:szCs w:val="20"/>
              </w:rPr>
            </w:pPr>
            <w:r w:rsidRPr="00A74194">
              <w:rPr>
                <w:rFonts w:cstheme="minorHAnsi"/>
                <w:szCs w:val="20"/>
              </w:rPr>
              <w:t>6/38 (16%)</w:t>
            </w:r>
          </w:p>
        </w:tc>
      </w:tr>
      <w:tr w:rsidR="00B159C2" w:rsidRPr="00A74194" w14:paraId="6502F2EE" w14:textId="77777777" w:rsidTr="00F85A0A">
        <w:tc>
          <w:tcPr>
            <w:tcW w:w="4673" w:type="dxa"/>
            <w:shd w:val="clear" w:color="auto" w:fill="B8CCE4" w:themeFill="accent1" w:themeFillTint="66"/>
          </w:tcPr>
          <w:p w14:paraId="2C145E37" w14:textId="77777777" w:rsidR="00B159C2" w:rsidRPr="00A74194" w:rsidRDefault="00B159C2" w:rsidP="007E12FF">
            <w:pPr>
              <w:pStyle w:val="Tabletext"/>
              <w:widowControl w:val="0"/>
              <w:rPr>
                <w:rFonts w:cstheme="minorHAnsi"/>
                <w:szCs w:val="20"/>
              </w:rPr>
            </w:pPr>
            <w:r w:rsidRPr="00A74194">
              <w:rPr>
                <w:rFonts w:cstheme="minorHAnsi"/>
                <w:szCs w:val="20"/>
              </w:rPr>
              <w:t>Discontinuation due to pruritus</w:t>
            </w:r>
          </w:p>
        </w:tc>
        <w:tc>
          <w:tcPr>
            <w:tcW w:w="1276" w:type="dxa"/>
            <w:shd w:val="clear" w:color="auto" w:fill="B8CCE4" w:themeFill="accent1" w:themeFillTint="66"/>
          </w:tcPr>
          <w:p w14:paraId="246F3EA5" w14:textId="77777777" w:rsidR="00B159C2" w:rsidRPr="00A74194" w:rsidRDefault="00B159C2" w:rsidP="007E12FF">
            <w:pPr>
              <w:pStyle w:val="Tabletext"/>
              <w:widowControl w:val="0"/>
              <w:jc w:val="center"/>
              <w:rPr>
                <w:rFonts w:cstheme="minorHAnsi"/>
                <w:szCs w:val="20"/>
              </w:rPr>
            </w:pPr>
            <w:r w:rsidRPr="00A74194">
              <w:rPr>
                <w:rFonts w:cstheme="minorHAnsi"/>
                <w:szCs w:val="20"/>
              </w:rPr>
              <w:t xml:space="preserve">0/38 (0%) </w:t>
            </w:r>
          </w:p>
        </w:tc>
        <w:tc>
          <w:tcPr>
            <w:tcW w:w="1843" w:type="dxa"/>
            <w:shd w:val="clear" w:color="auto" w:fill="B8CCE4" w:themeFill="accent1" w:themeFillTint="66"/>
          </w:tcPr>
          <w:p w14:paraId="5AC31189" w14:textId="77777777" w:rsidR="00B159C2" w:rsidRPr="00A74194" w:rsidRDefault="00B159C2" w:rsidP="007E12FF">
            <w:pPr>
              <w:pStyle w:val="Tabletext"/>
              <w:widowControl w:val="0"/>
              <w:jc w:val="center"/>
              <w:rPr>
                <w:rFonts w:cstheme="minorHAnsi"/>
                <w:szCs w:val="20"/>
              </w:rPr>
            </w:pPr>
            <w:r w:rsidRPr="00A74194">
              <w:rPr>
                <w:rFonts w:cstheme="minorHAnsi"/>
                <w:szCs w:val="20"/>
              </w:rPr>
              <w:t>-</w:t>
            </w:r>
          </w:p>
        </w:tc>
        <w:tc>
          <w:tcPr>
            <w:tcW w:w="1225" w:type="dxa"/>
            <w:shd w:val="clear" w:color="auto" w:fill="B8CCE4" w:themeFill="accent1" w:themeFillTint="66"/>
          </w:tcPr>
          <w:p w14:paraId="0884AD8F" w14:textId="77777777" w:rsidR="00B159C2" w:rsidRPr="00A74194" w:rsidRDefault="00B159C2" w:rsidP="007E12FF">
            <w:pPr>
              <w:pStyle w:val="Tabletext"/>
              <w:widowControl w:val="0"/>
              <w:jc w:val="center"/>
              <w:rPr>
                <w:rFonts w:cstheme="minorHAnsi"/>
                <w:szCs w:val="20"/>
              </w:rPr>
            </w:pPr>
            <w:r w:rsidRPr="00A74194">
              <w:rPr>
                <w:rFonts w:cstheme="minorHAnsi"/>
                <w:szCs w:val="20"/>
              </w:rPr>
              <w:t>3/38 (8%)</w:t>
            </w:r>
          </w:p>
        </w:tc>
      </w:tr>
    </w:tbl>
    <w:p w14:paraId="3D2E8634" w14:textId="77777777" w:rsidR="00B159C2" w:rsidRPr="00A74194" w:rsidRDefault="00F85A0A" w:rsidP="00B159C2">
      <w:pPr>
        <w:rPr>
          <w:rFonts w:ascii="Arial Narrow" w:hAnsi="Arial Narrow"/>
          <w:sz w:val="18"/>
        </w:rPr>
      </w:pPr>
      <w:r w:rsidRPr="00A74194">
        <w:rPr>
          <w:rFonts w:ascii="Arial Narrow" w:hAnsi="Arial Narrow"/>
          <w:sz w:val="18"/>
        </w:rPr>
        <w:t xml:space="preserve">OCA = obeticholic acid; SAE = serious adverse event; </w:t>
      </w:r>
      <w:r w:rsidR="00B159C2" w:rsidRPr="00A74194">
        <w:rPr>
          <w:rFonts w:ascii="Arial Narrow" w:hAnsi="Arial Narrow"/>
          <w:sz w:val="18"/>
        </w:rPr>
        <w:t>TEAE</w:t>
      </w:r>
      <w:r w:rsidRPr="00A74194">
        <w:rPr>
          <w:rFonts w:ascii="Arial Narrow" w:hAnsi="Arial Narrow"/>
          <w:sz w:val="18"/>
        </w:rPr>
        <w:t xml:space="preserve"> =</w:t>
      </w:r>
      <w:r w:rsidR="00B159C2" w:rsidRPr="00A74194">
        <w:rPr>
          <w:rFonts w:ascii="Arial Narrow" w:hAnsi="Arial Narrow"/>
          <w:sz w:val="18"/>
        </w:rPr>
        <w:t xml:space="preserve"> treatment emergent adverse event; UDCA</w:t>
      </w:r>
      <w:r w:rsidRPr="00A74194">
        <w:rPr>
          <w:rFonts w:ascii="Arial Narrow" w:hAnsi="Arial Narrow"/>
          <w:sz w:val="18"/>
        </w:rPr>
        <w:t xml:space="preserve"> =</w:t>
      </w:r>
      <w:r w:rsidR="00B159C2" w:rsidRPr="00A74194">
        <w:t xml:space="preserve"> </w:t>
      </w:r>
      <w:r w:rsidR="00B159C2" w:rsidRPr="00A74194">
        <w:rPr>
          <w:rFonts w:ascii="Arial Narrow" w:hAnsi="Arial Narrow"/>
          <w:sz w:val="18"/>
        </w:rPr>
        <w:t>ursodeoxycholic acid.</w:t>
      </w:r>
    </w:p>
    <w:p w14:paraId="3CDF4864" w14:textId="77777777" w:rsidR="00B159C2" w:rsidRPr="00A74194" w:rsidRDefault="00B159C2" w:rsidP="00B159C2">
      <w:pPr>
        <w:rPr>
          <w:rFonts w:ascii="Arial Narrow" w:hAnsi="Arial Narrow"/>
          <w:sz w:val="18"/>
        </w:rPr>
      </w:pPr>
      <w:r w:rsidRPr="00A74194">
        <w:rPr>
          <w:rFonts w:ascii="Arial Narrow" w:hAnsi="Arial Narrow"/>
          <w:sz w:val="18"/>
        </w:rPr>
        <w:t>a One subject additional experienced a TEAE of osteoarthritis that resulted in withdrawal of investigational product.</w:t>
      </w:r>
      <w:r w:rsidR="00A23A22" w:rsidRPr="00A74194">
        <w:rPr>
          <w:rFonts w:ascii="Arial Narrow" w:hAnsi="Arial Narrow"/>
          <w:sz w:val="18"/>
        </w:rPr>
        <w:t xml:space="preserve"> </w:t>
      </w:r>
      <w:r w:rsidRPr="00A74194">
        <w:rPr>
          <w:rFonts w:ascii="Arial Narrow" w:hAnsi="Arial Narrow"/>
          <w:sz w:val="18"/>
        </w:rPr>
        <w:t>The subject was discontinued from the study, which was determined by the Investigator to be withdrawal of consent.</w:t>
      </w:r>
    </w:p>
    <w:p w14:paraId="5CE8F373" w14:textId="77777777" w:rsidR="00B159C2" w:rsidRPr="00A74194" w:rsidRDefault="00B159C2" w:rsidP="00B159C2">
      <w:pPr>
        <w:rPr>
          <w:rFonts w:ascii="Arial Narrow" w:hAnsi="Arial Narrow"/>
          <w:sz w:val="18"/>
        </w:rPr>
      </w:pPr>
      <w:r w:rsidRPr="00A74194">
        <w:rPr>
          <w:rFonts w:ascii="Arial Narrow" w:hAnsi="Arial Narrow"/>
          <w:sz w:val="18"/>
        </w:rPr>
        <w:t xml:space="preserve">b Four subjects in the titration group discontinued from the study due to a TEAE prior to being uptitrated to OCA 10 mg. </w:t>
      </w:r>
    </w:p>
    <w:p w14:paraId="6FD07BC9" w14:textId="77777777" w:rsidR="00B159C2" w:rsidRPr="00A74194" w:rsidRDefault="00B159C2" w:rsidP="00B159C2">
      <w:pPr>
        <w:rPr>
          <w:rFonts w:ascii="Arial Narrow" w:hAnsi="Arial Narrow"/>
          <w:sz w:val="18"/>
        </w:rPr>
      </w:pPr>
      <w:r w:rsidRPr="00A74194">
        <w:rPr>
          <w:rFonts w:ascii="Arial Narrow" w:hAnsi="Arial Narrow"/>
          <w:sz w:val="18"/>
        </w:rPr>
        <w:t xml:space="preserve">c One Subject experienced a TEAE of fatigue, which was recorded as a discontinuation on the AE eCRF, however the subject remained in the study and investigational product was not changed. </w:t>
      </w:r>
    </w:p>
    <w:p w14:paraId="2C29B546" w14:textId="77777777" w:rsidR="00B159C2" w:rsidRPr="00A74194" w:rsidRDefault="00B159C2" w:rsidP="00B159C2">
      <w:pPr>
        <w:rPr>
          <w:rFonts w:ascii="Arial Narrow" w:hAnsi="Arial Narrow"/>
          <w:sz w:val="18"/>
        </w:rPr>
      </w:pPr>
      <w:r w:rsidRPr="00A74194">
        <w:rPr>
          <w:rFonts w:ascii="Arial Narrow" w:hAnsi="Arial Narrow"/>
          <w:sz w:val="18"/>
        </w:rPr>
        <w:t>* P ≤ 0.05 vs placebo group using a Chi-squared test, or Fisher’s Exact test where n ≤ 5 in either group</w:t>
      </w:r>
    </w:p>
    <w:p w14:paraId="571BFD98" w14:textId="77777777" w:rsidR="00E00807" w:rsidRPr="00A74194" w:rsidRDefault="00B159C2" w:rsidP="00E00807">
      <w:pPr>
        <w:spacing w:after="120"/>
        <w:contextualSpacing/>
        <w:rPr>
          <w:rFonts w:ascii="Arial Narrow" w:hAnsi="Arial Narrow"/>
          <w:sz w:val="18"/>
          <w:szCs w:val="18"/>
        </w:rPr>
      </w:pPr>
      <w:r w:rsidRPr="00A74194">
        <w:rPr>
          <w:rFonts w:ascii="Arial Narrow" w:hAnsi="Arial Narrow"/>
          <w:sz w:val="18"/>
          <w:szCs w:val="18"/>
        </w:rPr>
        <w:t>Source: Table 33, p92-92 of the resubmission, and</w:t>
      </w:r>
      <w:r w:rsidR="003A7D8E" w:rsidRPr="00A74194">
        <w:rPr>
          <w:rFonts w:ascii="Arial Narrow" w:hAnsi="Arial Narrow"/>
          <w:sz w:val="18"/>
          <w:szCs w:val="18"/>
        </w:rPr>
        <w:t xml:space="preserve"> </w:t>
      </w:r>
      <w:r w:rsidRPr="00A74194">
        <w:rPr>
          <w:rFonts w:ascii="Arial Narrow" w:hAnsi="Arial Narrow"/>
          <w:sz w:val="18"/>
          <w:szCs w:val="18"/>
        </w:rPr>
        <w:t>Table 2.5.23, p81, Table 2.5.24, p81 of Appendix 01-02</w:t>
      </w:r>
      <w:r w:rsidR="003A7D8E" w:rsidRPr="00A74194">
        <w:rPr>
          <w:rFonts w:ascii="Arial Narrow" w:hAnsi="Arial Narrow"/>
          <w:sz w:val="18"/>
          <w:szCs w:val="18"/>
        </w:rPr>
        <w:t xml:space="preserve"> of</w:t>
      </w:r>
      <w:r w:rsidRPr="00A74194">
        <w:rPr>
          <w:rFonts w:ascii="Arial Narrow" w:hAnsi="Arial Narrow"/>
          <w:sz w:val="18"/>
          <w:szCs w:val="18"/>
        </w:rPr>
        <w:t xml:space="preserve"> the resubmission</w:t>
      </w:r>
      <w:r w:rsidR="00E00807" w:rsidRPr="00A74194">
        <w:rPr>
          <w:rFonts w:ascii="Arial Narrow" w:hAnsi="Arial Narrow"/>
          <w:sz w:val="18"/>
          <w:szCs w:val="18"/>
        </w:rPr>
        <w:t xml:space="preserve">. </w:t>
      </w:r>
    </w:p>
    <w:p w14:paraId="67DC8EC7" w14:textId="77777777" w:rsidR="00E00807" w:rsidRPr="00A74194" w:rsidRDefault="00E00807" w:rsidP="00E00807">
      <w:pPr>
        <w:spacing w:after="120"/>
        <w:contextualSpacing/>
        <w:rPr>
          <w:rFonts w:ascii="Arial Narrow" w:hAnsi="Arial Narrow"/>
          <w:b/>
          <w:sz w:val="18"/>
        </w:rPr>
      </w:pPr>
      <w:r w:rsidRPr="00A74194">
        <w:rPr>
          <w:rFonts w:ascii="Arial Narrow" w:hAnsi="Arial Narrow"/>
          <w:sz w:val="18"/>
          <w:shd w:val="clear" w:color="auto" w:fill="B8CCE4" w:themeFill="accent1" w:themeFillTint="66"/>
        </w:rPr>
        <w:t>Blue shading indicates data previously seen by the PBAC</w:t>
      </w:r>
      <w:r w:rsidRPr="00A74194">
        <w:rPr>
          <w:rFonts w:ascii="Arial Narrow" w:hAnsi="Arial Narrow"/>
          <w:sz w:val="18"/>
        </w:rPr>
        <w:t>.</w:t>
      </w:r>
      <w:r w:rsidRPr="00A74194">
        <w:rPr>
          <w:rFonts w:ascii="Arial Narrow" w:hAnsi="Arial Narrow"/>
          <w:b/>
          <w:sz w:val="18"/>
        </w:rPr>
        <w:t xml:space="preserve"> </w:t>
      </w:r>
    </w:p>
    <w:p w14:paraId="135E4AFA" w14:textId="77777777" w:rsidR="00B159C2" w:rsidRPr="00A74194" w:rsidRDefault="00B159C2" w:rsidP="00B159C2">
      <w:pPr>
        <w:rPr>
          <w:rFonts w:ascii="Arial Narrow" w:hAnsi="Arial Narrow"/>
          <w:sz w:val="18"/>
          <w:szCs w:val="18"/>
        </w:rPr>
      </w:pPr>
    </w:p>
    <w:p w14:paraId="236F14C4" w14:textId="77777777" w:rsidR="00B159C2" w:rsidRPr="00A74194" w:rsidRDefault="00B159C2" w:rsidP="00B159C2">
      <w:pPr>
        <w:pStyle w:val="4-SubsectionHeading"/>
      </w:pPr>
      <w:bookmarkStart w:id="34" w:name="_Toc22897643"/>
      <w:bookmarkStart w:id="35" w:name="_Toc22898855"/>
      <w:bookmarkStart w:id="36" w:name="_Toc50371939"/>
      <w:r w:rsidRPr="00A74194">
        <w:lastRenderedPageBreak/>
        <w:t>Benefits/harms</w:t>
      </w:r>
      <w:bookmarkEnd w:id="34"/>
      <w:bookmarkEnd w:id="35"/>
      <w:bookmarkEnd w:id="36"/>
    </w:p>
    <w:p w14:paraId="777C62AA" w14:textId="77777777" w:rsidR="00B159C2" w:rsidRPr="00A74194" w:rsidRDefault="00B159C2" w:rsidP="00B159C2">
      <w:pPr>
        <w:pStyle w:val="ListParagraph"/>
        <w:numPr>
          <w:ilvl w:val="1"/>
          <w:numId w:val="1"/>
        </w:numPr>
        <w:spacing w:after="160"/>
      </w:pPr>
      <w:r w:rsidRPr="00A74194">
        <w:t>A summary of the comparative benefits and harms for OCA 5-10 mg titration +/- UDCA or OCA 10mg +/- UDCA versus UDCA +/- placebo is presented in Table 7.</w:t>
      </w:r>
    </w:p>
    <w:p w14:paraId="79E20E30" w14:textId="77777777" w:rsidR="00B159C2" w:rsidRPr="00A74194" w:rsidRDefault="00B159C2" w:rsidP="00FC62BD">
      <w:pPr>
        <w:rPr>
          <w:rStyle w:val="CommentReference"/>
        </w:rPr>
      </w:pPr>
      <w:r w:rsidRPr="00A74194">
        <w:rPr>
          <w:rStyle w:val="CommentReference"/>
        </w:rPr>
        <w:t xml:space="preserve">Table 7: Summary of comparative benefits and harms for </w:t>
      </w:r>
      <w:r w:rsidRPr="00A74194">
        <w:rPr>
          <w:rFonts w:ascii="Arial Narrow" w:hAnsi="Arial Narrow"/>
          <w:b/>
          <w:color w:val="000000"/>
          <w:sz w:val="20"/>
          <w:szCs w:val="18"/>
        </w:rPr>
        <w:t>OCA 10mg +/- UDCA</w:t>
      </w:r>
      <w:r w:rsidRPr="00A74194" w:rsidDel="00F907AE">
        <w:rPr>
          <w:rFonts w:ascii="Arial Narrow" w:hAnsi="Arial Narrow"/>
          <w:b/>
          <w:color w:val="000000"/>
          <w:sz w:val="20"/>
          <w:szCs w:val="18"/>
        </w:rPr>
        <w:t xml:space="preserve"> </w:t>
      </w:r>
      <w:r w:rsidRPr="00A74194">
        <w:rPr>
          <w:rStyle w:val="CommentReference"/>
        </w:rPr>
        <w:t>and Placebo +/-UDCA</w:t>
      </w:r>
    </w:p>
    <w:tbl>
      <w:tblPr>
        <w:tblW w:w="0" w:type="auto"/>
        <w:tblCellMar>
          <w:left w:w="28" w:type="dxa"/>
          <w:right w:w="28" w:type="dxa"/>
        </w:tblCellMar>
        <w:tblLook w:val="04A0" w:firstRow="1" w:lastRow="0" w:firstColumn="1" w:lastColumn="0" w:noHBand="0" w:noVBand="1"/>
      </w:tblPr>
      <w:tblGrid>
        <w:gridCol w:w="2732"/>
        <w:gridCol w:w="524"/>
        <w:gridCol w:w="671"/>
        <w:gridCol w:w="604"/>
        <w:gridCol w:w="440"/>
        <w:gridCol w:w="411"/>
        <w:gridCol w:w="530"/>
        <w:gridCol w:w="992"/>
        <w:gridCol w:w="179"/>
        <w:gridCol w:w="736"/>
        <w:gridCol w:w="1198"/>
      </w:tblGrid>
      <w:tr w:rsidR="00B159C2" w:rsidRPr="00A74194" w14:paraId="161ACB35" w14:textId="77777777" w:rsidTr="00E222B9">
        <w:trPr>
          <w:trHeight w:val="15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474025" w14:textId="77777777" w:rsidR="00B159C2" w:rsidRPr="00A74194" w:rsidRDefault="00B159C2" w:rsidP="00FC62BD">
            <w:pPr>
              <w:rPr>
                <w:rFonts w:ascii="Arial Narrow" w:hAnsi="Arial Narrow"/>
                <w:b/>
                <w:color w:val="000000"/>
                <w:sz w:val="20"/>
                <w:szCs w:val="18"/>
              </w:rPr>
            </w:pPr>
            <w:r w:rsidRPr="00A74194">
              <w:rPr>
                <w:rFonts w:ascii="Arial Narrow" w:hAnsi="Arial Narrow"/>
                <w:b/>
                <w:color w:val="000000"/>
                <w:sz w:val="20"/>
                <w:szCs w:val="18"/>
              </w:rPr>
              <w:t>Trial</w:t>
            </w:r>
          </w:p>
        </w:tc>
        <w:tc>
          <w:tcPr>
            <w:tcW w:w="1195" w:type="dxa"/>
            <w:gridSpan w:val="2"/>
            <w:vMerge w:val="restart"/>
            <w:tcBorders>
              <w:top w:val="single" w:sz="4" w:space="0" w:color="auto"/>
              <w:left w:val="single" w:sz="4" w:space="0" w:color="auto"/>
              <w:bottom w:val="single" w:sz="4" w:space="0" w:color="auto"/>
              <w:right w:val="single" w:sz="4" w:space="0" w:color="auto"/>
            </w:tcBorders>
            <w:vAlign w:val="center"/>
          </w:tcPr>
          <w:p w14:paraId="7874BD41" w14:textId="77777777" w:rsidR="00B159C2" w:rsidRPr="00A74194" w:rsidRDefault="00B159C2" w:rsidP="00FC62BD">
            <w:pPr>
              <w:jc w:val="center"/>
              <w:rPr>
                <w:rFonts w:ascii="Arial Narrow" w:hAnsi="Arial Narrow"/>
                <w:b/>
                <w:color w:val="000000"/>
                <w:sz w:val="20"/>
                <w:szCs w:val="18"/>
              </w:rPr>
            </w:pPr>
            <w:r w:rsidRPr="00A74194">
              <w:rPr>
                <w:rFonts w:ascii="Arial Narrow" w:hAnsi="Arial Narrow"/>
                <w:b/>
                <w:color w:val="000000"/>
                <w:sz w:val="20"/>
                <w:szCs w:val="18"/>
              </w:rPr>
              <w:t xml:space="preserve">OCA +/- </w:t>
            </w:r>
            <w:r w:rsidR="00E222B9" w:rsidRPr="00A74194">
              <w:rPr>
                <w:rFonts w:ascii="Arial Narrow" w:hAnsi="Arial Narrow"/>
                <w:b/>
                <w:color w:val="000000"/>
                <w:sz w:val="20"/>
                <w:szCs w:val="18"/>
              </w:rPr>
              <w:br/>
            </w:r>
            <w:r w:rsidRPr="00A74194">
              <w:rPr>
                <w:rFonts w:ascii="Arial Narrow" w:hAnsi="Arial Narrow"/>
                <w:b/>
                <w:color w:val="000000"/>
                <w:sz w:val="20"/>
                <w:szCs w:val="18"/>
              </w:rPr>
              <w:t>UDCA</w:t>
            </w:r>
          </w:p>
          <w:p w14:paraId="318D6385" w14:textId="77777777" w:rsidR="00B159C2" w:rsidRPr="00A74194" w:rsidRDefault="00B159C2" w:rsidP="00FC62BD">
            <w:pPr>
              <w:jc w:val="center"/>
              <w:rPr>
                <w:rFonts w:ascii="Arial Narrow" w:hAnsi="Arial Narrow"/>
                <w:b/>
                <w:color w:val="000000"/>
                <w:sz w:val="20"/>
                <w:szCs w:val="18"/>
              </w:rPr>
            </w:pPr>
            <w:r w:rsidRPr="00A74194">
              <w:rPr>
                <w:rFonts w:ascii="Arial Narrow" w:hAnsi="Arial Narrow"/>
                <w:b/>
                <w:color w:val="000000"/>
                <w:sz w:val="20"/>
                <w:szCs w:val="18"/>
              </w:rPr>
              <w:t>n/N</w:t>
            </w:r>
          </w:p>
        </w:tc>
        <w:tc>
          <w:tcPr>
            <w:tcW w:w="1044" w:type="dxa"/>
            <w:gridSpan w:val="2"/>
            <w:vMerge w:val="restart"/>
            <w:tcBorders>
              <w:top w:val="single" w:sz="4" w:space="0" w:color="auto"/>
              <w:left w:val="single" w:sz="4" w:space="0" w:color="auto"/>
              <w:bottom w:val="single" w:sz="4" w:space="0" w:color="auto"/>
              <w:right w:val="single" w:sz="4" w:space="0" w:color="auto"/>
            </w:tcBorders>
            <w:vAlign w:val="center"/>
          </w:tcPr>
          <w:p w14:paraId="182FB75E" w14:textId="77777777" w:rsidR="00B159C2" w:rsidRPr="00A74194" w:rsidRDefault="00B159C2" w:rsidP="00FC62BD">
            <w:pPr>
              <w:jc w:val="center"/>
              <w:rPr>
                <w:rFonts w:ascii="Arial Narrow" w:hAnsi="Arial Narrow"/>
                <w:b/>
                <w:color w:val="000000"/>
                <w:sz w:val="20"/>
                <w:szCs w:val="18"/>
              </w:rPr>
            </w:pPr>
            <w:r w:rsidRPr="00A74194">
              <w:rPr>
                <w:rFonts w:ascii="Arial Narrow" w:hAnsi="Arial Narrow"/>
                <w:b/>
                <w:color w:val="000000"/>
                <w:sz w:val="20"/>
                <w:szCs w:val="18"/>
              </w:rPr>
              <w:t>Placebo</w:t>
            </w:r>
            <w:r w:rsidR="00E222B9" w:rsidRPr="00A74194">
              <w:rPr>
                <w:rFonts w:ascii="Arial Narrow" w:hAnsi="Arial Narrow"/>
                <w:b/>
                <w:color w:val="000000"/>
                <w:sz w:val="20"/>
                <w:szCs w:val="18"/>
              </w:rPr>
              <w:t xml:space="preserve"> </w:t>
            </w:r>
            <w:r w:rsidRPr="00A74194">
              <w:rPr>
                <w:rFonts w:ascii="Arial Narrow" w:hAnsi="Arial Narrow"/>
                <w:b/>
                <w:color w:val="000000"/>
                <w:sz w:val="20"/>
                <w:szCs w:val="18"/>
              </w:rPr>
              <w:t>+/-UDCA</w:t>
            </w:r>
          </w:p>
          <w:p w14:paraId="799A40A6" w14:textId="77777777" w:rsidR="00B159C2" w:rsidRPr="00A74194" w:rsidRDefault="00B159C2" w:rsidP="00FC62BD">
            <w:pPr>
              <w:jc w:val="center"/>
              <w:rPr>
                <w:rFonts w:ascii="Arial Narrow" w:hAnsi="Arial Narrow"/>
                <w:b/>
                <w:color w:val="000000"/>
                <w:sz w:val="20"/>
                <w:szCs w:val="18"/>
              </w:rPr>
            </w:pPr>
            <w:r w:rsidRPr="00A74194">
              <w:rPr>
                <w:rFonts w:ascii="Arial Narrow" w:hAnsi="Arial Narrow"/>
                <w:b/>
                <w:color w:val="000000"/>
                <w:sz w:val="20"/>
                <w:szCs w:val="18"/>
              </w:rPr>
              <w:t>n/N</w:t>
            </w:r>
          </w:p>
        </w:tc>
        <w:tc>
          <w:tcPr>
            <w:tcW w:w="0" w:type="auto"/>
            <w:gridSpan w:val="2"/>
            <w:vMerge w:val="restart"/>
            <w:tcBorders>
              <w:top w:val="single" w:sz="4" w:space="0" w:color="auto"/>
              <w:left w:val="single" w:sz="4" w:space="0" w:color="auto"/>
              <w:bottom w:val="single" w:sz="4" w:space="0" w:color="auto"/>
              <w:right w:val="single" w:sz="4" w:space="0" w:color="auto"/>
            </w:tcBorders>
            <w:vAlign w:val="center"/>
          </w:tcPr>
          <w:p w14:paraId="2DAF26A7" w14:textId="77777777" w:rsidR="00B159C2" w:rsidRPr="00A74194" w:rsidRDefault="00B159C2" w:rsidP="00FC62BD">
            <w:pPr>
              <w:jc w:val="center"/>
              <w:rPr>
                <w:rFonts w:ascii="Arial Narrow" w:hAnsi="Arial Narrow"/>
                <w:b/>
                <w:color w:val="000000"/>
                <w:sz w:val="20"/>
                <w:szCs w:val="18"/>
              </w:rPr>
            </w:pPr>
            <w:r w:rsidRPr="00A74194">
              <w:rPr>
                <w:rFonts w:ascii="Arial Narrow" w:hAnsi="Arial Narrow"/>
                <w:b/>
                <w:color w:val="000000"/>
                <w:sz w:val="20"/>
                <w:szCs w:val="18"/>
              </w:rPr>
              <w:t>RR</w:t>
            </w:r>
          </w:p>
          <w:p w14:paraId="336AA25F" w14:textId="77777777" w:rsidR="00B159C2" w:rsidRPr="00A74194" w:rsidRDefault="00B159C2" w:rsidP="00FC62BD">
            <w:pPr>
              <w:jc w:val="center"/>
              <w:rPr>
                <w:rFonts w:ascii="Arial Narrow" w:hAnsi="Arial Narrow"/>
                <w:b/>
                <w:color w:val="000000"/>
                <w:sz w:val="20"/>
                <w:szCs w:val="18"/>
              </w:rPr>
            </w:pPr>
            <w:r w:rsidRPr="00A74194">
              <w:rPr>
                <w:rFonts w:ascii="Arial Narrow" w:hAnsi="Arial Narrow"/>
                <w:b/>
                <w:color w:val="000000"/>
                <w:sz w:val="20"/>
                <w:szCs w:val="18"/>
              </w:rPr>
              <w:t>(95% CI)</w:t>
            </w:r>
          </w:p>
        </w:tc>
        <w:tc>
          <w:tcPr>
            <w:tcW w:w="0" w:type="auto"/>
            <w:gridSpan w:val="3"/>
            <w:tcBorders>
              <w:top w:val="single" w:sz="4" w:space="0" w:color="auto"/>
              <w:left w:val="single" w:sz="4" w:space="0" w:color="auto"/>
              <w:bottom w:val="single" w:sz="4" w:space="0" w:color="auto"/>
              <w:right w:val="single" w:sz="4" w:space="0" w:color="auto"/>
            </w:tcBorders>
            <w:vAlign w:val="center"/>
          </w:tcPr>
          <w:p w14:paraId="1CE3D7DA" w14:textId="77777777" w:rsidR="00B159C2" w:rsidRPr="00A74194" w:rsidRDefault="00B159C2" w:rsidP="00FC62BD">
            <w:pPr>
              <w:jc w:val="center"/>
              <w:rPr>
                <w:rFonts w:ascii="Arial Narrow" w:hAnsi="Arial Narrow"/>
                <w:b/>
                <w:color w:val="000000"/>
                <w:sz w:val="20"/>
                <w:szCs w:val="18"/>
              </w:rPr>
            </w:pPr>
            <w:r w:rsidRPr="00A74194">
              <w:rPr>
                <w:rFonts w:ascii="Arial Narrow" w:hAnsi="Arial Narrow"/>
                <w:b/>
                <w:color w:val="000000"/>
                <w:sz w:val="20"/>
                <w:szCs w:val="18"/>
              </w:rPr>
              <w:t xml:space="preserve">Event rate/100 patients* </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6BDC88A8" w14:textId="77777777" w:rsidR="00B159C2" w:rsidRPr="00A74194" w:rsidRDefault="00B159C2" w:rsidP="00FC62BD">
            <w:pPr>
              <w:jc w:val="center"/>
              <w:rPr>
                <w:rFonts w:ascii="Arial Narrow" w:hAnsi="Arial Narrow"/>
                <w:b/>
                <w:color w:val="000000"/>
                <w:sz w:val="20"/>
                <w:szCs w:val="18"/>
              </w:rPr>
            </w:pPr>
            <w:r w:rsidRPr="00A74194">
              <w:rPr>
                <w:rFonts w:ascii="Arial Narrow" w:hAnsi="Arial Narrow"/>
                <w:b/>
                <w:color w:val="000000"/>
                <w:sz w:val="20"/>
                <w:szCs w:val="18"/>
              </w:rPr>
              <w:t>RD</w:t>
            </w:r>
          </w:p>
          <w:p w14:paraId="0673734B" w14:textId="77777777" w:rsidR="00B159C2" w:rsidRPr="00A74194" w:rsidRDefault="00B159C2" w:rsidP="00FC62BD">
            <w:pPr>
              <w:jc w:val="center"/>
              <w:rPr>
                <w:rFonts w:ascii="Arial Narrow" w:hAnsi="Arial Narrow"/>
                <w:b/>
                <w:color w:val="000000"/>
                <w:sz w:val="20"/>
                <w:szCs w:val="18"/>
              </w:rPr>
            </w:pPr>
            <w:r w:rsidRPr="00A74194">
              <w:rPr>
                <w:rFonts w:ascii="Arial Narrow" w:hAnsi="Arial Narrow"/>
                <w:b/>
                <w:color w:val="000000"/>
                <w:sz w:val="20"/>
                <w:szCs w:val="18"/>
              </w:rPr>
              <w:t>(95% CI)</w:t>
            </w:r>
          </w:p>
        </w:tc>
      </w:tr>
      <w:tr w:rsidR="00B159C2" w:rsidRPr="00A74194" w14:paraId="6486CB35" w14:textId="77777777" w:rsidTr="00E222B9">
        <w:trPr>
          <w:trHeight w:val="31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CF26442" w14:textId="77777777" w:rsidR="00B159C2" w:rsidRPr="00A74194" w:rsidRDefault="00B159C2" w:rsidP="00FC62BD">
            <w:pPr>
              <w:rPr>
                <w:rFonts w:ascii="Arial Narrow" w:hAnsi="Arial Narrow"/>
                <w:b/>
                <w:color w:val="000000"/>
                <w:sz w:val="20"/>
                <w:szCs w:val="18"/>
              </w:rPr>
            </w:pPr>
          </w:p>
        </w:tc>
        <w:tc>
          <w:tcPr>
            <w:tcW w:w="1195" w:type="dxa"/>
            <w:gridSpan w:val="2"/>
            <w:vMerge/>
            <w:tcBorders>
              <w:top w:val="single" w:sz="4" w:space="0" w:color="auto"/>
              <w:left w:val="single" w:sz="4" w:space="0" w:color="auto"/>
              <w:bottom w:val="single" w:sz="4" w:space="0" w:color="auto"/>
              <w:right w:val="single" w:sz="4" w:space="0" w:color="auto"/>
            </w:tcBorders>
            <w:vAlign w:val="center"/>
          </w:tcPr>
          <w:p w14:paraId="19FCEDB4" w14:textId="77777777" w:rsidR="00B159C2" w:rsidRPr="00A74194" w:rsidRDefault="00B159C2" w:rsidP="00FC62BD">
            <w:pPr>
              <w:jc w:val="center"/>
              <w:rPr>
                <w:rFonts w:ascii="Arial Narrow" w:hAnsi="Arial Narrow"/>
                <w:b/>
                <w:color w:val="000000"/>
                <w:sz w:val="20"/>
                <w:szCs w:val="18"/>
              </w:rPr>
            </w:pPr>
          </w:p>
        </w:tc>
        <w:tc>
          <w:tcPr>
            <w:tcW w:w="1044" w:type="dxa"/>
            <w:gridSpan w:val="2"/>
            <w:vMerge/>
            <w:tcBorders>
              <w:top w:val="single" w:sz="4" w:space="0" w:color="auto"/>
              <w:left w:val="single" w:sz="4" w:space="0" w:color="auto"/>
              <w:bottom w:val="single" w:sz="4" w:space="0" w:color="auto"/>
              <w:right w:val="single" w:sz="4" w:space="0" w:color="auto"/>
            </w:tcBorders>
            <w:vAlign w:val="center"/>
          </w:tcPr>
          <w:p w14:paraId="1737CEEF" w14:textId="77777777" w:rsidR="00B159C2" w:rsidRPr="00A74194" w:rsidRDefault="00B159C2" w:rsidP="00FC62BD">
            <w:pPr>
              <w:jc w:val="center"/>
              <w:rPr>
                <w:rFonts w:ascii="Arial Narrow" w:hAnsi="Arial Narrow"/>
                <w:b/>
                <w:color w:val="000000"/>
                <w:sz w:val="20"/>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530A77AC" w14:textId="77777777" w:rsidR="00B159C2" w:rsidRPr="00A74194" w:rsidRDefault="00B159C2" w:rsidP="00FC62BD">
            <w:pPr>
              <w:jc w:val="center"/>
              <w:rPr>
                <w:rFonts w:ascii="Arial Narrow" w:hAnsi="Arial Narrow"/>
                <w:b/>
                <w:color w:val="000000"/>
                <w:sz w:val="20"/>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539DDAF3" w14:textId="77777777" w:rsidR="00B159C2" w:rsidRPr="00A74194" w:rsidRDefault="00B159C2" w:rsidP="00FC62BD">
            <w:pPr>
              <w:jc w:val="center"/>
              <w:rPr>
                <w:rFonts w:ascii="Arial Narrow" w:hAnsi="Arial Narrow"/>
                <w:b/>
                <w:color w:val="000000"/>
                <w:sz w:val="20"/>
                <w:szCs w:val="18"/>
              </w:rPr>
            </w:pPr>
            <w:r w:rsidRPr="00A74194">
              <w:rPr>
                <w:rFonts w:ascii="Arial Narrow" w:hAnsi="Arial Narrow"/>
                <w:b/>
                <w:color w:val="000000"/>
                <w:sz w:val="20"/>
                <w:szCs w:val="18"/>
              </w:rPr>
              <w:t xml:space="preserve">OCA </w:t>
            </w:r>
            <w:r w:rsidR="001A3A98" w:rsidRPr="00A74194">
              <w:rPr>
                <w:rFonts w:ascii="Arial Narrow" w:hAnsi="Arial Narrow"/>
                <w:b/>
                <w:color w:val="000000"/>
                <w:sz w:val="20"/>
                <w:szCs w:val="18"/>
              </w:rPr>
              <w:br/>
            </w:r>
            <w:r w:rsidRPr="00A74194">
              <w:rPr>
                <w:rFonts w:ascii="Arial Narrow" w:hAnsi="Arial Narrow"/>
                <w:b/>
                <w:color w:val="000000"/>
                <w:sz w:val="20"/>
                <w:szCs w:val="18"/>
              </w:rPr>
              <w:t>(10</w:t>
            </w:r>
            <w:r w:rsidR="001A3A98" w:rsidRPr="00A74194">
              <w:rPr>
                <w:rFonts w:ascii="Arial Narrow" w:hAnsi="Arial Narrow"/>
                <w:b/>
                <w:color w:val="000000"/>
                <w:sz w:val="20"/>
                <w:szCs w:val="18"/>
              </w:rPr>
              <w:t xml:space="preserve"> </w:t>
            </w:r>
            <w:r w:rsidRPr="00A74194">
              <w:rPr>
                <w:rFonts w:ascii="Arial Narrow" w:hAnsi="Arial Narrow"/>
                <w:b/>
                <w:color w:val="000000"/>
                <w:sz w:val="20"/>
                <w:szCs w:val="18"/>
              </w:rPr>
              <w:t>mg) +/- UDCA</w:t>
            </w:r>
          </w:p>
        </w:tc>
        <w:tc>
          <w:tcPr>
            <w:tcW w:w="915" w:type="dxa"/>
            <w:gridSpan w:val="2"/>
            <w:tcBorders>
              <w:top w:val="single" w:sz="4" w:space="0" w:color="auto"/>
              <w:left w:val="single" w:sz="4" w:space="0" w:color="auto"/>
              <w:bottom w:val="single" w:sz="4" w:space="0" w:color="auto"/>
              <w:right w:val="single" w:sz="4" w:space="0" w:color="auto"/>
            </w:tcBorders>
            <w:vAlign w:val="center"/>
          </w:tcPr>
          <w:p w14:paraId="69E57178" w14:textId="77777777" w:rsidR="00B159C2" w:rsidRPr="00A74194" w:rsidRDefault="00B159C2" w:rsidP="00FC62BD">
            <w:pPr>
              <w:jc w:val="center"/>
              <w:rPr>
                <w:rFonts w:ascii="Arial Narrow" w:hAnsi="Arial Narrow"/>
                <w:b/>
                <w:color w:val="000000"/>
                <w:sz w:val="20"/>
                <w:szCs w:val="18"/>
              </w:rPr>
            </w:pPr>
            <w:r w:rsidRPr="00A74194">
              <w:rPr>
                <w:rFonts w:ascii="Arial Narrow" w:hAnsi="Arial Narrow"/>
                <w:b/>
                <w:color w:val="000000"/>
                <w:sz w:val="20"/>
                <w:szCs w:val="18"/>
              </w:rPr>
              <w:t xml:space="preserve">PBO +/- UCDA </w:t>
            </w:r>
          </w:p>
        </w:tc>
        <w:tc>
          <w:tcPr>
            <w:tcW w:w="0" w:type="auto"/>
            <w:vMerge/>
            <w:tcBorders>
              <w:top w:val="single" w:sz="4" w:space="0" w:color="auto"/>
              <w:left w:val="single" w:sz="4" w:space="0" w:color="auto"/>
              <w:bottom w:val="single" w:sz="4" w:space="0" w:color="auto"/>
              <w:right w:val="single" w:sz="4" w:space="0" w:color="auto"/>
            </w:tcBorders>
            <w:vAlign w:val="center"/>
          </w:tcPr>
          <w:p w14:paraId="223EF697" w14:textId="77777777" w:rsidR="00B159C2" w:rsidRPr="00A74194" w:rsidRDefault="00B159C2" w:rsidP="00FC62BD">
            <w:pPr>
              <w:jc w:val="center"/>
              <w:rPr>
                <w:rFonts w:ascii="Arial Narrow" w:hAnsi="Arial Narrow"/>
                <w:b/>
                <w:color w:val="000000"/>
                <w:sz w:val="20"/>
                <w:szCs w:val="18"/>
              </w:rPr>
            </w:pPr>
          </w:p>
        </w:tc>
      </w:tr>
      <w:tr w:rsidR="00B159C2" w:rsidRPr="00A74194" w14:paraId="6EFBA64F" w14:textId="77777777" w:rsidTr="002D0936">
        <w:tc>
          <w:tcPr>
            <w:tcW w:w="0" w:type="auto"/>
            <w:gridSpan w:val="11"/>
            <w:tcBorders>
              <w:top w:val="single" w:sz="4" w:space="0" w:color="auto"/>
              <w:left w:val="single" w:sz="4" w:space="0" w:color="auto"/>
              <w:bottom w:val="double" w:sz="4" w:space="0" w:color="auto"/>
              <w:right w:val="single" w:sz="4" w:space="0" w:color="auto"/>
            </w:tcBorders>
            <w:shd w:val="clear" w:color="auto" w:fill="B8CCE4" w:themeFill="accent1" w:themeFillTint="66"/>
            <w:vAlign w:val="center"/>
          </w:tcPr>
          <w:p w14:paraId="222E8D9E" w14:textId="77777777" w:rsidR="00B159C2" w:rsidRPr="00A74194" w:rsidRDefault="00B159C2" w:rsidP="00FC62BD">
            <w:pPr>
              <w:rPr>
                <w:rFonts w:ascii="Arial Narrow" w:hAnsi="Arial Narrow"/>
                <w:b/>
                <w:color w:val="000000"/>
                <w:sz w:val="20"/>
                <w:szCs w:val="18"/>
              </w:rPr>
            </w:pPr>
            <w:r w:rsidRPr="00A74194">
              <w:rPr>
                <w:rFonts w:ascii="Arial Narrow" w:hAnsi="Arial Narrow"/>
                <w:b/>
                <w:color w:val="000000"/>
                <w:sz w:val="20"/>
                <w:szCs w:val="18"/>
              </w:rPr>
              <w:t>Benefits</w:t>
            </w:r>
          </w:p>
        </w:tc>
      </w:tr>
      <w:tr w:rsidR="00B159C2" w:rsidRPr="00A74194" w14:paraId="086A3EA3" w14:textId="77777777" w:rsidTr="002D0936">
        <w:tc>
          <w:tcPr>
            <w:tcW w:w="0" w:type="auto"/>
            <w:gridSpan w:val="11"/>
            <w:tcBorders>
              <w:top w:val="double" w:sz="4" w:space="0" w:color="auto"/>
              <w:left w:val="single" w:sz="4" w:space="0" w:color="auto"/>
              <w:bottom w:val="single" w:sz="4" w:space="0" w:color="auto"/>
              <w:right w:val="single" w:sz="4" w:space="0" w:color="auto"/>
            </w:tcBorders>
            <w:shd w:val="clear" w:color="auto" w:fill="B8CCE4" w:themeFill="accent1" w:themeFillTint="66"/>
            <w:vAlign w:val="center"/>
          </w:tcPr>
          <w:p w14:paraId="47282294" w14:textId="77777777" w:rsidR="00B159C2" w:rsidRPr="00A74194" w:rsidRDefault="00B159C2" w:rsidP="00FC62BD">
            <w:pPr>
              <w:rPr>
                <w:rFonts w:ascii="Arial Narrow" w:hAnsi="Arial Narrow"/>
                <w:b/>
                <w:color w:val="000000"/>
                <w:sz w:val="20"/>
                <w:szCs w:val="18"/>
              </w:rPr>
            </w:pPr>
            <w:r w:rsidRPr="00A74194">
              <w:rPr>
                <w:rFonts w:ascii="Arial Narrow" w:hAnsi="Arial Narrow"/>
                <w:b/>
                <w:color w:val="000000"/>
                <w:sz w:val="20"/>
                <w:szCs w:val="18"/>
              </w:rPr>
              <w:t>Primary outcome</w:t>
            </w:r>
          </w:p>
          <w:p w14:paraId="69C36799" w14:textId="77777777" w:rsidR="00B159C2" w:rsidRPr="00A74194" w:rsidRDefault="00B159C2" w:rsidP="00FC62BD">
            <w:pPr>
              <w:rPr>
                <w:rFonts w:ascii="Arial Narrow" w:hAnsi="Arial Narrow"/>
                <w:b/>
                <w:color w:val="000000"/>
                <w:sz w:val="20"/>
                <w:szCs w:val="18"/>
              </w:rPr>
            </w:pPr>
            <w:r w:rsidRPr="00A74194">
              <w:rPr>
                <w:rFonts w:ascii="Arial Narrow" w:hAnsi="Arial Narrow"/>
                <w:b/>
                <w:color w:val="000000"/>
                <w:sz w:val="20"/>
                <w:szCs w:val="18"/>
              </w:rPr>
              <w:t>Composite endpoints: ALP &lt; 1.67x ULN with ≥ 15% decrease from baseline in ALP, and total bilirubin &lt; ULN</w:t>
            </w:r>
          </w:p>
        </w:tc>
      </w:tr>
      <w:tr w:rsidR="00B159C2" w:rsidRPr="00A74194" w14:paraId="37E02936" w14:textId="77777777" w:rsidTr="00E222B9">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EF1B5D3" w14:textId="77777777" w:rsidR="00B159C2" w:rsidRPr="00A74194" w:rsidRDefault="00B159C2" w:rsidP="00FC62BD">
            <w:pPr>
              <w:jc w:val="left"/>
              <w:rPr>
                <w:rFonts w:ascii="Arial Narrow" w:hAnsi="Arial Narrow"/>
                <w:color w:val="000000"/>
                <w:sz w:val="20"/>
                <w:szCs w:val="18"/>
              </w:rPr>
            </w:pPr>
            <w:r w:rsidRPr="00A74194">
              <w:rPr>
                <w:rFonts w:ascii="Arial Narrow" w:hAnsi="Arial Narrow"/>
                <w:color w:val="000000"/>
                <w:sz w:val="20"/>
                <w:szCs w:val="18"/>
              </w:rPr>
              <w:t>POISE (OCA 5-10mg titration), no UDCA use (i.e. UDCA-intolerant patients)</w:t>
            </w:r>
          </w:p>
        </w:tc>
        <w:tc>
          <w:tcPr>
            <w:tcW w:w="119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9D94BD9"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2/5</w:t>
            </w:r>
          </w:p>
        </w:tc>
        <w:tc>
          <w:tcPr>
            <w:tcW w:w="104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03FA8C3"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0/5</w:t>
            </w:r>
          </w:p>
        </w:tc>
        <w:tc>
          <w:tcPr>
            <w:tcW w:w="0" w:type="auto"/>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53A0E05"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5.0</w:t>
            </w:r>
          </w:p>
          <w:p w14:paraId="6F388CBC"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(0.3, 83.7)**</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77C0DF8"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40.0</w:t>
            </w:r>
          </w:p>
        </w:tc>
        <w:tc>
          <w:tcPr>
            <w:tcW w:w="91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D30BEBC"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0.0</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211EB64"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40.0</w:t>
            </w:r>
          </w:p>
          <w:p w14:paraId="348044E7"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(-2.9, 82.9)**</w:t>
            </w:r>
          </w:p>
        </w:tc>
      </w:tr>
      <w:tr w:rsidR="00B159C2" w:rsidRPr="00A74194" w14:paraId="7BA61181" w14:textId="77777777" w:rsidTr="00E222B9">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D99C78C" w14:textId="77777777" w:rsidR="00B159C2" w:rsidRPr="00A74194" w:rsidRDefault="00B159C2" w:rsidP="00FC62BD">
            <w:pPr>
              <w:jc w:val="left"/>
              <w:rPr>
                <w:rFonts w:ascii="Arial Narrow" w:hAnsi="Arial Narrow"/>
                <w:color w:val="000000"/>
                <w:sz w:val="20"/>
                <w:szCs w:val="18"/>
              </w:rPr>
            </w:pPr>
            <w:r w:rsidRPr="00A74194">
              <w:rPr>
                <w:rFonts w:ascii="Arial Narrow" w:hAnsi="Arial Narrow"/>
                <w:color w:val="000000"/>
                <w:sz w:val="20"/>
                <w:szCs w:val="18"/>
              </w:rPr>
              <w:t>POISE (OC</w:t>
            </w:r>
            <w:r w:rsidR="00732C37" w:rsidRPr="00A74194">
              <w:rPr>
                <w:rFonts w:ascii="Arial Narrow" w:hAnsi="Arial Narrow"/>
                <w:color w:val="000000"/>
                <w:sz w:val="20"/>
                <w:szCs w:val="18"/>
              </w:rPr>
              <w:t>A 10mg), no UDCA use (i.e. UDCA</w:t>
            </w:r>
            <w:r w:rsidRPr="00A74194">
              <w:rPr>
                <w:rFonts w:ascii="Arial Narrow" w:hAnsi="Arial Narrow"/>
                <w:color w:val="000000"/>
                <w:sz w:val="20"/>
                <w:szCs w:val="18"/>
              </w:rPr>
              <w:t>-intolerant patients)</w:t>
            </w:r>
          </w:p>
        </w:tc>
        <w:tc>
          <w:tcPr>
            <w:tcW w:w="119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F8911E8"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1/6</w:t>
            </w:r>
          </w:p>
        </w:tc>
        <w:tc>
          <w:tcPr>
            <w:tcW w:w="104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880FF7F"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0/5</w:t>
            </w:r>
          </w:p>
        </w:tc>
        <w:tc>
          <w:tcPr>
            <w:tcW w:w="0" w:type="auto"/>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7D67BB0"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2.6</w:t>
            </w:r>
          </w:p>
          <w:p w14:paraId="1A53CC88"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(0.1, 52.1)**</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BDA3CB9"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16.7</w:t>
            </w:r>
          </w:p>
        </w:tc>
        <w:tc>
          <w:tcPr>
            <w:tcW w:w="91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E584B58"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0.0</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C4F230B"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16.7</w:t>
            </w:r>
          </w:p>
          <w:p w14:paraId="4300400D"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(-13.2, 46.5)**</w:t>
            </w:r>
          </w:p>
        </w:tc>
      </w:tr>
      <w:tr w:rsidR="00B159C2" w:rsidRPr="00A74194" w14:paraId="016F2E95" w14:textId="77777777" w:rsidTr="00E222B9">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CFA7973" w14:textId="77777777" w:rsidR="00B159C2" w:rsidRPr="00A74194" w:rsidRDefault="00B159C2" w:rsidP="00FC62BD">
            <w:pPr>
              <w:jc w:val="left"/>
              <w:rPr>
                <w:rFonts w:ascii="Arial Narrow" w:hAnsi="Arial Narrow"/>
                <w:color w:val="000000"/>
                <w:sz w:val="20"/>
                <w:szCs w:val="18"/>
              </w:rPr>
            </w:pPr>
            <w:r w:rsidRPr="00A74194">
              <w:rPr>
                <w:rFonts w:ascii="Arial Narrow" w:hAnsi="Arial Narrow"/>
                <w:color w:val="000000"/>
                <w:sz w:val="20"/>
                <w:szCs w:val="18"/>
              </w:rPr>
              <w:t xml:space="preserve">POISE (OCA 5-10mg </w:t>
            </w:r>
            <w:r w:rsidR="00732C37" w:rsidRPr="00A74194">
              <w:rPr>
                <w:rFonts w:ascii="Arial Narrow" w:hAnsi="Arial Narrow"/>
                <w:color w:val="000000"/>
                <w:sz w:val="20"/>
                <w:szCs w:val="18"/>
              </w:rPr>
              <w:t>titration), UDCA use (i.e. UDCA</w:t>
            </w:r>
            <w:r w:rsidRPr="00A74194">
              <w:rPr>
                <w:rFonts w:ascii="Arial Narrow" w:hAnsi="Arial Narrow"/>
                <w:color w:val="000000"/>
                <w:sz w:val="20"/>
                <w:szCs w:val="18"/>
              </w:rPr>
              <w:t>-inadequate responders)</w:t>
            </w:r>
          </w:p>
        </w:tc>
        <w:tc>
          <w:tcPr>
            <w:tcW w:w="119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01206B9"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30/65</w:t>
            </w:r>
          </w:p>
        </w:tc>
        <w:tc>
          <w:tcPr>
            <w:tcW w:w="104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E98A7CB"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7/68</w:t>
            </w:r>
          </w:p>
        </w:tc>
        <w:tc>
          <w:tcPr>
            <w:tcW w:w="0" w:type="auto"/>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16A069D" w14:textId="77777777" w:rsidR="00B159C2" w:rsidRPr="00A74194" w:rsidRDefault="00B159C2" w:rsidP="00FC62BD">
            <w:pPr>
              <w:jc w:val="center"/>
              <w:rPr>
                <w:rFonts w:ascii="Arial Narrow" w:hAnsi="Arial Narrow"/>
                <w:b/>
                <w:color w:val="000000"/>
                <w:sz w:val="20"/>
                <w:szCs w:val="18"/>
              </w:rPr>
            </w:pPr>
            <w:r w:rsidRPr="00A74194">
              <w:rPr>
                <w:rFonts w:ascii="Arial Narrow" w:hAnsi="Arial Narrow"/>
                <w:b/>
                <w:color w:val="000000"/>
                <w:sz w:val="20"/>
                <w:szCs w:val="18"/>
              </w:rPr>
              <w:t>4.5</w:t>
            </w:r>
          </w:p>
          <w:p w14:paraId="0B8C9638" w14:textId="77777777" w:rsidR="00B159C2" w:rsidRPr="00A74194" w:rsidRDefault="00B159C2" w:rsidP="00FC62BD">
            <w:pPr>
              <w:jc w:val="center"/>
              <w:rPr>
                <w:rFonts w:ascii="Arial Narrow" w:hAnsi="Arial Narrow"/>
                <w:b/>
                <w:color w:val="000000"/>
                <w:sz w:val="20"/>
                <w:szCs w:val="18"/>
              </w:rPr>
            </w:pPr>
            <w:r w:rsidRPr="00A74194">
              <w:rPr>
                <w:rFonts w:ascii="Arial Narrow" w:hAnsi="Arial Narrow"/>
                <w:b/>
                <w:color w:val="000000"/>
                <w:sz w:val="20"/>
                <w:szCs w:val="18"/>
              </w:rPr>
              <w:t>(2.1, 9.5)</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B6BAC73"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46.2</w:t>
            </w:r>
          </w:p>
        </w:tc>
        <w:tc>
          <w:tcPr>
            <w:tcW w:w="91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CC383E7"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10.3</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3A823BC" w14:textId="77777777" w:rsidR="00B159C2" w:rsidRPr="00A74194" w:rsidRDefault="00B159C2" w:rsidP="00FC62BD">
            <w:pPr>
              <w:jc w:val="center"/>
              <w:rPr>
                <w:rFonts w:ascii="Arial Narrow" w:hAnsi="Arial Narrow"/>
                <w:b/>
                <w:color w:val="000000"/>
                <w:sz w:val="20"/>
                <w:szCs w:val="18"/>
              </w:rPr>
            </w:pPr>
            <w:r w:rsidRPr="00A74194">
              <w:rPr>
                <w:rFonts w:ascii="Arial Narrow" w:hAnsi="Arial Narrow"/>
                <w:b/>
                <w:color w:val="000000"/>
                <w:sz w:val="20"/>
                <w:szCs w:val="18"/>
              </w:rPr>
              <w:t>35.9</w:t>
            </w:r>
          </w:p>
          <w:p w14:paraId="746FD5EF" w14:textId="77777777" w:rsidR="00B159C2" w:rsidRPr="00A74194" w:rsidRDefault="00B159C2" w:rsidP="00FC62BD">
            <w:pPr>
              <w:jc w:val="center"/>
              <w:rPr>
                <w:rFonts w:ascii="Arial Narrow" w:hAnsi="Arial Narrow"/>
                <w:b/>
                <w:color w:val="000000"/>
                <w:sz w:val="20"/>
                <w:szCs w:val="18"/>
              </w:rPr>
            </w:pPr>
            <w:r w:rsidRPr="00A74194">
              <w:rPr>
                <w:rFonts w:ascii="Arial Narrow" w:hAnsi="Arial Narrow"/>
                <w:b/>
                <w:color w:val="000000"/>
                <w:sz w:val="20"/>
                <w:szCs w:val="18"/>
              </w:rPr>
              <w:t>(21.8, 50.0)</w:t>
            </w:r>
          </w:p>
        </w:tc>
      </w:tr>
      <w:tr w:rsidR="00B159C2" w:rsidRPr="00A74194" w14:paraId="12BBDE5C" w14:textId="77777777" w:rsidTr="00E222B9">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15ACE3E" w14:textId="77777777" w:rsidR="00B159C2" w:rsidRPr="00A74194" w:rsidRDefault="00B159C2" w:rsidP="00FC62BD">
            <w:pPr>
              <w:jc w:val="left"/>
              <w:rPr>
                <w:rFonts w:ascii="Arial Narrow" w:hAnsi="Arial Narrow"/>
                <w:color w:val="000000"/>
                <w:sz w:val="20"/>
                <w:szCs w:val="18"/>
              </w:rPr>
            </w:pPr>
            <w:r w:rsidRPr="00A74194">
              <w:rPr>
                <w:rFonts w:ascii="Arial Narrow" w:hAnsi="Arial Narrow"/>
                <w:color w:val="000000"/>
                <w:sz w:val="20"/>
                <w:szCs w:val="18"/>
              </w:rPr>
              <w:t xml:space="preserve">POISE </w:t>
            </w:r>
            <w:r w:rsidR="00732C37" w:rsidRPr="00A74194">
              <w:rPr>
                <w:rFonts w:ascii="Arial Narrow" w:hAnsi="Arial Narrow"/>
                <w:color w:val="000000"/>
                <w:sz w:val="20"/>
                <w:szCs w:val="18"/>
              </w:rPr>
              <w:t>(OCA 10mg), UDCA use (i.e. UDCA</w:t>
            </w:r>
            <w:r w:rsidRPr="00A74194">
              <w:rPr>
                <w:rFonts w:ascii="Arial Narrow" w:hAnsi="Arial Narrow"/>
                <w:color w:val="000000"/>
                <w:sz w:val="20"/>
                <w:szCs w:val="18"/>
              </w:rPr>
              <w:t>-inadequate responders)</w:t>
            </w:r>
          </w:p>
        </w:tc>
        <w:tc>
          <w:tcPr>
            <w:tcW w:w="119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3A6D846"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33/67</w:t>
            </w:r>
          </w:p>
        </w:tc>
        <w:tc>
          <w:tcPr>
            <w:tcW w:w="104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2C3B9CE"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7/68</w:t>
            </w:r>
          </w:p>
        </w:tc>
        <w:tc>
          <w:tcPr>
            <w:tcW w:w="0" w:type="auto"/>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9BBD0CA" w14:textId="77777777" w:rsidR="00B159C2" w:rsidRPr="00A74194" w:rsidRDefault="00B159C2" w:rsidP="00FC62BD">
            <w:pPr>
              <w:jc w:val="center"/>
              <w:rPr>
                <w:rFonts w:ascii="Arial Narrow" w:hAnsi="Arial Narrow"/>
                <w:b/>
                <w:color w:val="000000"/>
                <w:sz w:val="20"/>
                <w:szCs w:val="18"/>
              </w:rPr>
            </w:pPr>
            <w:r w:rsidRPr="00A74194">
              <w:rPr>
                <w:rFonts w:ascii="Arial Narrow" w:hAnsi="Arial Narrow"/>
                <w:b/>
                <w:color w:val="000000"/>
                <w:sz w:val="20"/>
                <w:szCs w:val="18"/>
              </w:rPr>
              <w:t>4.8</w:t>
            </w:r>
          </w:p>
          <w:p w14:paraId="4545B960" w14:textId="77777777" w:rsidR="00B159C2" w:rsidRPr="00A74194" w:rsidRDefault="00B159C2" w:rsidP="00FC62BD">
            <w:pPr>
              <w:jc w:val="center"/>
              <w:rPr>
                <w:rFonts w:ascii="Arial Narrow" w:hAnsi="Arial Narrow"/>
                <w:b/>
                <w:color w:val="000000"/>
                <w:sz w:val="20"/>
                <w:szCs w:val="18"/>
              </w:rPr>
            </w:pPr>
            <w:r w:rsidRPr="00A74194">
              <w:rPr>
                <w:rFonts w:ascii="Arial Narrow" w:hAnsi="Arial Narrow"/>
                <w:b/>
                <w:color w:val="000000"/>
                <w:sz w:val="20"/>
                <w:szCs w:val="18"/>
              </w:rPr>
              <w:t>(2.3, 10.1)</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EE56DE5"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49.3</w:t>
            </w:r>
          </w:p>
        </w:tc>
        <w:tc>
          <w:tcPr>
            <w:tcW w:w="91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2B5B1BF"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10.3</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F70D822" w14:textId="77777777" w:rsidR="00B159C2" w:rsidRPr="00A74194" w:rsidRDefault="00B159C2" w:rsidP="00FC62BD">
            <w:pPr>
              <w:jc w:val="center"/>
              <w:rPr>
                <w:rFonts w:ascii="Arial Narrow" w:hAnsi="Arial Narrow"/>
                <w:b/>
                <w:color w:val="000000"/>
                <w:sz w:val="20"/>
                <w:szCs w:val="18"/>
              </w:rPr>
            </w:pPr>
            <w:r w:rsidRPr="00A74194">
              <w:rPr>
                <w:rFonts w:ascii="Arial Narrow" w:hAnsi="Arial Narrow"/>
                <w:b/>
                <w:color w:val="000000"/>
                <w:sz w:val="20"/>
                <w:szCs w:val="18"/>
              </w:rPr>
              <w:t>39.0</w:t>
            </w:r>
          </w:p>
          <w:p w14:paraId="572071D5" w14:textId="77777777" w:rsidR="00B159C2" w:rsidRPr="00A74194" w:rsidRDefault="00B159C2" w:rsidP="00FC62BD">
            <w:pPr>
              <w:jc w:val="center"/>
              <w:rPr>
                <w:rFonts w:ascii="Arial Narrow" w:hAnsi="Arial Narrow"/>
                <w:b/>
                <w:color w:val="000000"/>
                <w:sz w:val="20"/>
                <w:szCs w:val="18"/>
              </w:rPr>
            </w:pPr>
            <w:r w:rsidRPr="00A74194">
              <w:rPr>
                <w:rFonts w:ascii="Arial Narrow" w:hAnsi="Arial Narrow"/>
                <w:b/>
                <w:color w:val="000000"/>
                <w:sz w:val="20"/>
                <w:szCs w:val="18"/>
              </w:rPr>
              <w:t>(25.0, 52.9)</w:t>
            </w:r>
          </w:p>
        </w:tc>
      </w:tr>
      <w:tr w:rsidR="00B159C2" w:rsidRPr="00A74194" w14:paraId="6A86D78A" w14:textId="77777777" w:rsidTr="002D0936">
        <w:tc>
          <w:tcPr>
            <w:tcW w:w="0" w:type="auto"/>
            <w:gridSpan w:val="11"/>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C4E2B10" w14:textId="77777777" w:rsidR="00B159C2" w:rsidRPr="00A74194" w:rsidRDefault="00B159C2" w:rsidP="00FC62BD">
            <w:pPr>
              <w:rPr>
                <w:rFonts w:ascii="Arial Narrow" w:hAnsi="Arial Narrow"/>
                <w:b/>
                <w:color w:val="000000"/>
                <w:sz w:val="20"/>
                <w:szCs w:val="18"/>
              </w:rPr>
            </w:pPr>
            <w:r w:rsidRPr="00A74194">
              <w:rPr>
                <w:rFonts w:ascii="Arial Narrow" w:hAnsi="Arial Narrow"/>
                <w:b/>
                <w:color w:val="000000"/>
                <w:sz w:val="20"/>
                <w:szCs w:val="18"/>
              </w:rPr>
              <w:t>Primary outcome</w:t>
            </w:r>
          </w:p>
          <w:p w14:paraId="6DD6F521" w14:textId="77777777" w:rsidR="00B159C2" w:rsidRPr="00A74194" w:rsidRDefault="00B159C2" w:rsidP="00FC62BD">
            <w:pPr>
              <w:rPr>
                <w:rFonts w:ascii="Arial Narrow" w:hAnsi="Arial Narrow"/>
                <w:b/>
                <w:color w:val="000000"/>
                <w:sz w:val="20"/>
                <w:szCs w:val="18"/>
              </w:rPr>
            </w:pPr>
            <w:r w:rsidRPr="00A74194">
              <w:rPr>
                <w:rFonts w:ascii="Arial Narrow" w:hAnsi="Arial Narrow"/>
                <w:b/>
                <w:color w:val="000000"/>
                <w:sz w:val="20"/>
                <w:szCs w:val="18"/>
              </w:rPr>
              <w:t>Composite endpoint: Percentage change in serum ALP from baseline to the end of trial</w:t>
            </w:r>
          </w:p>
        </w:tc>
      </w:tr>
      <w:tr w:rsidR="00B159C2" w:rsidRPr="00A74194" w14:paraId="72225EFA" w14:textId="77777777" w:rsidTr="005318A6">
        <w:trPr>
          <w:trHeight w:val="225"/>
        </w:trPr>
        <w:tc>
          <w:tcPr>
            <w:tcW w:w="0" w:type="auto"/>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207C058" w14:textId="77777777" w:rsidR="00B159C2" w:rsidRPr="00A74194" w:rsidRDefault="00B159C2" w:rsidP="00FC62BD">
            <w:pPr>
              <w:rPr>
                <w:rFonts w:ascii="Arial Narrow" w:hAnsi="Arial Narrow"/>
                <w:color w:val="000000"/>
                <w:sz w:val="20"/>
                <w:szCs w:val="18"/>
              </w:rPr>
            </w:pPr>
          </w:p>
        </w:tc>
        <w:tc>
          <w:tcPr>
            <w:tcW w:w="265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E6AC970"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b/>
                <w:color w:val="000000"/>
                <w:sz w:val="20"/>
                <w:szCs w:val="18"/>
              </w:rPr>
              <w:t>OCA 10mg +/- UDCA</w:t>
            </w:r>
          </w:p>
        </w:tc>
        <w:tc>
          <w:tcPr>
            <w:tcW w:w="2437"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1BE7C85"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b/>
                <w:color w:val="000000"/>
                <w:sz w:val="20"/>
                <w:szCs w:val="18"/>
              </w:rPr>
              <w:t>Placebo</w:t>
            </w:r>
            <w:r w:rsidR="00E222B9" w:rsidRPr="00A74194">
              <w:rPr>
                <w:rFonts w:ascii="Arial Narrow" w:hAnsi="Arial Narrow"/>
                <w:b/>
                <w:color w:val="000000"/>
                <w:sz w:val="20"/>
                <w:szCs w:val="18"/>
              </w:rPr>
              <w:t xml:space="preserve"> </w:t>
            </w:r>
            <w:r w:rsidRPr="00A74194">
              <w:rPr>
                <w:rFonts w:ascii="Arial Narrow" w:hAnsi="Arial Narrow"/>
                <w:b/>
                <w:color w:val="000000"/>
                <w:sz w:val="20"/>
                <w:szCs w:val="18"/>
              </w:rPr>
              <w:t>+/-</w:t>
            </w:r>
            <w:r w:rsidR="00E222B9" w:rsidRPr="00A74194">
              <w:rPr>
                <w:rFonts w:ascii="Arial Narrow" w:hAnsi="Arial Narrow"/>
                <w:b/>
                <w:color w:val="000000"/>
                <w:sz w:val="20"/>
                <w:szCs w:val="18"/>
              </w:rPr>
              <w:t xml:space="preserve"> </w:t>
            </w:r>
            <w:r w:rsidRPr="00A74194">
              <w:rPr>
                <w:rFonts w:ascii="Arial Narrow" w:hAnsi="Arial Narrow"/>
                <w:b/>
                <w:color w:val="000000"/>
                <w:sz w:val="20"/>
                <w:szCs w:val="18"/>
              </w:rPr>
              <w:t>UDCA</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3BBC1F2" w14:textId="77777777" w:rsidR="00B159C2" w:rsidRPr="00A74194" w:rsidRDefault="00B159C2" w:rsidP="00FC62BD">
            <w:pPr>
              <w:jc w:val="center"/>
              <w:rPr>
                <w:rFonts w:ascii="Arial Narrow" w:hAnsi="Arial Narrow"/>
                <w:b/>
                <w:sz w:val="20"/>
                <w:szCs w:val="18"/>
              </w:rPr>
            </w:pPr>
            <w:r w:rsidRPr="00A74194">
              <w:rPr>
                <w:rFonts w:ascii="Arial Narrow" w:hAnsi="Arial Narrow"/>
                <w:b/>
                <w:sz w:val="20"/>
                <w:szCs w:val="18"/>
              </w:rPr>
              <w:t xml:space="preserve">Mean difference*: </w:t>
            </w:r>
          </w:p>
          <w:p w14:paraId="050C53A2" w14:textId="77777777" w:rsidR="00B159C2" w:rsidRPr="00A74194" w:rsidRDefault="00B159C2" w:rsidP="00FC62BD">
            <w:pPr>
              <w:jc w:val="center"/>
              <w:rPr>
                <w:rFonts w:ascii="Arial Narrow" w:hAnsi="Arial Narrow"/>
                <w:b/>
                <w:sz w:val="20"/>
                <w:szCs w:val="18"/>
              </w:rPr>
            </w:pPr>
            <w:r w:rsidRPr="00A74194">
              <w:rPr>
                <w:rFonts w:ascii="Arial Narrow" w:hAnsi="Arial Narrow"/>
                <w:b/>
                <w:color w:val="000000"/>
                <w:sz w:val="20"/>
                <w:szCs w:val="18"/>
              </w:rPr>
              <w:t>OCA 10mg +/- UDCA</w:t>
            </w:r>
            <w:r w:rsidRPr="00A74194">
              <w:rPr>
                <w:rFonts w:ascii="Arial Narrow" w:hAnsi="Arial Narrow"/>
                <w:b/>
                <w:sz w:val="20"/>
                <w:szCs w:val="18"/>
              </w:rPr>
              <w:t xml:space="preserve"> vs. </w:t>
            </w:r>
            <w:r w:rsidRPr="00A74194">
              <w:rPr>
                <w:rFonts w:ascii="Arial Narrow" w:hAnsi="Arial Narrow"/>
                <w:b/>
                <w:color w:val="000000"/>
                <w:sz w:val="20"/>
                <w:szCs w:val="18"/>
              </w:rPr>
              <w:t>P</w:t>
            </w:r>
            <w:r w:rsidR="00E222B9" w:rsidRPr="00A74194">
              <w:rPr>
                <w:rFonts w:ascii="Arial Narrow" w:hAnsi="Arial Narrow"/>
                <w:b/>
                <w:color w:val="000000"/>
                <w:sz w:val="20"/>
                <w:szCs w:val="18"/>
              </w:rPr>
              <w:t xml:space="preserve">BO </w:t>
            </w:r>
            <w:r w:rsidRPr="00A74194">
              <w:rPr>
                <w:rFonts w:ascii="Arial Narrow" w:hAnsi="Arial Narrow"/>
                <w:b/>
                <w:color w:val="000000"/>
                <w:sz w:val="20"/>
                <w:szCs w:val="18"/>
              </w:rPr>
              <w:t>+/-UDCA</w:t>
            </w:r>
          </w:p>
          <w:p w14:paraId="44F124ED" w14:textId="77777777" w:rsidR="00B159C2" w:rsidRPr="00A74194" w:rsidRDefault="00B159C2" w:rsidP="00FC62BD">
            <w:pPr>
              <w:jc w:val="center"/>
              <w:rPr>
                <w:rFonts w:ascii="Arial Narrow" w:hAnsi="Arial Narrow"/>
                <w:b/>
                <w:sz w:val="20"/>
                <w:szCs w:val="18"/>
              </w:rPr>
            </w:pPr>
            <w:r w:rsidRPr="00A74194">
              <w:rPr>
                <w:rFonts w:ascii="Arial Narrow" w:hAnsi="Arial Narrow"/>
                <w:b/>
                <w:sz w:val="20"/>
                <w:szCs w:val="18"/>
              </w:rPr>
              <w:t>(95% CI)</w:t>
            </w:r>
          </w:p>
        </w:tc>
      </w:tr>
      <w:tr w:rsidR="005318A6" w:rsidRPr="00A74194" w14:paraId="00BD0F83" w14:textId="77777777" w:rsidTr="005318A6">
        <w:trPr>
          <w:trHeight w:val="225"/>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BA29695" w14:textId="77777777" w:rsidR="00B159C2" w:rsidRPr="00A74194" w:rsidRDefault="00B159C2" w:rsidP="00FC62BD">
            <w:pPr>
              <w:rPr>
                <w:rFonts w:ascii="Arial Narrow" w:hAnsi="Arial Narrow"/>
                <w:color w:val="000000"/>
                <w:sz w:val="20"/>
                <w:szCs w:val="18"/>
              </w:rPr>
            </w:pPr>
          </w:p>
        </w:tc>
        <w:tc>
          <w:tcPr>
            <w:tcW w:w="52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7778C0D" w14:textId="77777777" w:rsidR="00B159C2" w:rsidRPr="00A74194" w:rsidRDefault="00B159C2" w:rsidP="00FC62BD">
            <w:pPr>
              <w:jc w:val="center"/>
              <w:rPr>
                <w:rFonts w:ascii="Arial Narrow" w:hAnsi="Arial Narrow"/>
                <w:b/>
                <w:color w:val="000000"/>
                <w:sz w:val="20"/>
                <w:szCs w:val="18"/>
              </w:rPr>
            </w:pPr>
            <w:r w:rsidRPr="00A74194">
              <w:rPr>
                <w:rFonts w:ascii="Arial Narrow" w:hAnsi="Arial Narrow"/>
                <w:b/>
                <w:color w:val="000000"/>
                <w:sz w:val="20"/>
                <w:szCs w:val="18"/>
              </w:rPr>
              <w:t>N</w:t>
            </w:r>
          </w:p>
        </w:tc>
        <w:tc>
          <w:tcPr>
            <w:tcW w:w="127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04491DB" w14:textId="77777777" w:rsidR="00B159C2" w:rsidRPr="00A74194" w:rsidRDefault="00B159C2" w:rsidP="00FC62BD">
            <w:pPr>
              <w:jc w:val="center"/>
              <w:rPr>
                <w:rFonts w:ascii="Arial Narrow" w:hAnsi="Arial Narrow"/>
                <w:b/>
                <w:sz w:val="20"/>
                <w:szCs w:val="18"/>
              </w:rPr>
            </w:pPr>
            <w:r w:rsidRPr="00A74194">
              <w:rPr>
                <w:rFonts w:ascii="Arial Narrow" w:hAnsi="Arial Narrow"/>
                <w:b/>
                <w:sz w:val="20"/>
                <w:szCs w:val="18"/>
              </w:rPr>
              <w:t>Mean ∆ baseline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19C752C" w14:textId="77777777" w:rsidR="00B159C2" w:rsidRPr="00A74194" w:rsidRDefault="00B159C2" w:rsidP="00FC62BD">
            <w:pPr>
              <w:jc w:val="center"/>
              <w:rPr>
                <w:rFonts w:ascii="Arial Narrow" w:hAnsi="Arial Narrow"/>
                <w:b/>
                <w:sz w:val="20"/>
                <w:szCs w:val="18"/>
              </w:rPr>
            </w:pPr>
            <w:r w:rsidRPr="00A74194">
              <w:rPr>
                <w:rFonts w:ascii="Arial Narrow" w:hAnsi="Arial Narrow"/>
                <w:b/>
                <w:sz w:val="20"/>
                <w:szCs w:val="18"/>
              </w:rPr>
              <w:t>SD</w:t>
            </w:r>
          </w:p>
        </w:tc>
        <w:tc>
          <w:tcPr>
            <w:tcW w:w="53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A47E111" w14:textId="77777777" w:rsidR="00B159C2" w:rsidRPr="00A74194" w:rsidRDefault="00B159C2" w:rsidP="00FC62BD">
            <w:pPr>
              <w:jc w:val="center"/>
              <w:rPr>
                <w:rFonts w:ascii="Arial Narrow" w:hAnsi="Arial Narrow"/>
                <w:b/>
                <w:color w:val="000000"/>
                <w:sz w:val="20"/>
                <w:szCs w:val="18"/>
              </w:rPr>
            </w:pPr>
            <w:r w:rsidRPr="00A74194">
              <w:rPr>
                <w:rFonts w:ascii="Arial Narrow" w:hAnsi="Arial Narrow"/>
                <w:b/>
                <w:color w:val="000000"/>
                <w:sz w:val="20"/>
                <w:szCs w:val="18"/>
              </w:rPr>
              <w:t>N</w:t>
            </w:r>
          </w:p>
        </w:tc>
        <w:tc>
          <w:tcPr>
            <w:tcW w:w="1171"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29218FA" w14:textId="77777777" w:rsidR="00B159C2" w:rsidRPr="00A74194" w:rsidRDefault="00B159C2" w:rsidP="00FC62BD">
            <w:pPr>
              <w:jc w:val="center"/>
              <w:rPr>
                <w:rFonts w:ascii="Arial Narrow" w:hAnsi="Arial Narrow"/>
                <w:b/>
                <w:sz w:val="20"/>
                <w:szCs w:val="18"/>
              </w:rPr>
            </w:pPr>
            <w:r w:rsidRPr="00A74194">
              <w:rPr>
                <w:rFonts w:ascii="Arial Narrow" w:hAnsi="Arial Narrow"/>
                <w:b/>
                <w:sz w:val="20"/>
                <w:szCs w:val="18"/>
              </w:rPr>
              <w:t>Mean ∆ baseline (%)</w:t>
            </w:r>
          </w:p>
        </w:tc>
        <w:tc>
          <w:tcPr>
            <w:tcW w:w="73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9D4F374" w14:textId="77777777" w:rsidR="00B159C2" w:rsidRPr="00A74194" w:rsidRDefault="00B159C2" w:rsidP="00FC62BD">
            <w:pPr>
              <w:jc w:val="center"/>
              <w:rPr>
                <w:rFonts w:ascii="Arial Narrow" w:hAnsi="Arial Narrow"/>
                <w:b/>
                <w:sz w:val="20"/>
                <w:szCs w:val="18"/>
              </w:rPr>
            </w:pPr>
            <w:r w:rsidRPr="00A74194">
              <w:rPr>
                <w:rFonts w:ascii="Arial Narrow" w:hAnsi="Arial Narrow"/>
                <w:b/>
                <w:sz w:val="20"/>
                <w:szCs w:val="18"/>
              </w:rPr>
              <w:t>SD</w:t>
            </w:r>
          </w:p>
        </w:tc>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98C91AA" w14:textId="77777777" w:rsidR="00B159C2" w:rsidRPr="00A74194" w:rsidRDefault="00B159C2" w:rsidP="00FC62BD">
            <w:pPr>
              <w:jc w:val="center"/>
              <w:rPr>
                <w:rFonts w:ascii="Arial Narrow" w:hAnsi="Arial Narrow"/>
                <w:b/>
                <w:sz w:val="20"/>
                <w:szCs w:val="18"/>
              </w:rPr>
            </w:pPr>
          </w:p>
        </w:tc>
      </w:tr>
      <w:tr w:rsidR="005318A6" w:rsidRPr="00A74194" w14:paraId="376D01C7" w14:textId="77777777" w:rsidTr="005318A6">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008C584" w14:textId="77777777" w:rsidR="00B159C2" w:rsidRPr="00A74194" w:rsidRDefault="00B159C2" w:rsidP="00FC62BD">
            <w:pPr>
              <w:jc w:val="left"/>
              <w:rPr>
                <w:rFonts w:ascii="Arial Narrow" w:hAnsi="Arial Narrow"/>
                <w:color w:val="000000"/>
                <w:sz w:val="20"/>
                <w:szCs w:val="18"/>
              </w:rPr>
            </w:pPr>
            <w:r w:rsidRPr="00A74194">
              <w:rPr>
                <w:rFonts w:ascii="Arial Narrow" w:hAnsi="Arial Narrow"/>
                <w:color w:val="000000"/>
                <w:sz w:val="20"/>
                <w:szCs w:val="18"/>
              </w:rPr>
              <w:t>747-201 trial (OCA monotherapy)</w:t>
            </w:r>
          </w:p>
        </w:tc>
        <w:tc>
          <w:tcPr>
            <w:tcW w:w="52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B8E4A40"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20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CC32A7A"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-44.5</w:t>
            </w:r>
          </w:p>
        </w:tc>
        <w:tc>
          <w:tcPr>
            <w:tcW w:w="851"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6417120"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24.4</w:t>
            </w:r>
          </w:p>
        </w:tc>
        <w:tc>
          <w:tcPr>
            <w:tcW w:w="53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79D9432"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23</w:t>
            </w:r>
          </w:p>
        </w:tc>
        <w:tc>
          <w:tcPr>
            <w:tcW w:w="1171"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34B0527"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0.4</w:t>
            </w:r>
          </w:p>
        </w:tc>
        <w:tc>
          <w:tcPr>
            <w:tcW w:w="73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0116B7A"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15.3</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7551E02" w14:textId="77777777" w:rsidR="00B159C2" w:rsidRPr="00A74194" w:rsidRDefault="00732C37" w:rsidP="00FC62BD">
            <w:pPr>
              <w:jc w:val="center"/>
              <w:rPr>
                <w:rFonts w:ascii="Arial Narrow" w:hAnsi="Arial Narrow"/>
                <w:sz w:val="20"/>
                <w:szCs w:val="18"/>
              </w:rPr>
            </w:pPr>
            <w:r w:rsidRPr="00A74194">
              <w:rPr>
                <w:rFonts w:ascii="Arial Narrow" w:hAnsi="Arial Narrow"/>
                <w:sz w:val="20"/>
                <w:szCs w:val="18"/>
              </w:rPr>
              <w:t>NR (p</w:t>
            </w:r>
            <w:r w:rsidR="00B159C2" w:rsidRPr="00A74194">
              <w:rPr>
                <w:rFonts w:ascii="Arial Narrow" w:hAnsi="Arial Narrow"/>
                <w:sz w:val="20"/>
                <w:szCs w:val="18"/>
              </w:rPr>
              <w:t>&lt;0.0001)</w:t>
            </w:r>
          </w:p>
        </w:tc>
      </w:tr>
      <w:tr w:rsidR="005318A6" w:rsidRPr="00A74194" w14:paraId="108C9B61" w14:textId="77777777" w:rsidTr="005318A6">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BE9FAF8" w14:textId="77777777" w:rsidR="00B159C2" w:rsidRPr="00A74194" w:rsidRDefault="00B159C2" w:rsidP="00FC62BD">
            <w:pPr>
              <w:jc w:val="left"/>
              <w:rPr>
                <w:rFonts w:ascii="Arial Narrow" w:hAnsi="Arial Narrow"/>
                <w:color w:val="000000"/>
                <w:sz w:val="20"/>
                <w:szCs w:val="18"/>
              </w:rPr>
            </w:pPr>
            <w:r w:rsidRPr="00A74194">
              <w:rPr>
                <w:rFonts w:ascii="Arial Narrow" w:hAnsi="Arial Narrow"/>
                <w:color w:val="000000"/>
                <w:sz w:val="20"/>
                <w:szCs w:val="18"/>
              </w:rPr>
              <w:t xml:space="preserve">747-202 trial (OCA combination) </w:t>
            </w:r>
          </w:p>
        </w:tc>
        <w:tc>
          <w:tcPr>
            <w:tcW w:w="52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A4DE778"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38</w:t>
            </w:r>
          </w:p>
        </w:tc>
        <w:tc>
          <w:tcPr>
            <w:tcW w:w="127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9B5A54E"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 xml:space="preserve">-23.7 </w:t>
            </w:r>
          </w:p>
        </w:tc>
        <w:tc>
          <w:tcPr>
            <w:tcW w:w="851"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893A2CF"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17.8</w:t>
            </w:r>
          </w:p>
        </w:tc>
        <w:tc>
          <w:tcPr>
            <w:tcW w:w="53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2D9DA9B"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38</w:t>
            </w:r>
          </w:p>
        </w:tc>
        <w:tc>
          <w:tcPr>
            <w:tcW w:w="1171"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AA44C72"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-2.6</w:t>
            </w:r>
          </w:p>
        </w:tc>
        <w:tc>
          <w:tcPr>
            <w:tcW w:w="73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C15669D"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12.5</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C0E6D87" w14:textId="77777777" w:rsidR="00B159C2" w:rsidRPr="00A74194" w:rsidRDefault="00732C37" w:rsidP="00FC62BD">
            <w:pPr>
              <w:jc w:val="center"/>
              <w:rPr>
                <w:rFonts w:ascii="Arial Narrow" w:hAnsi="Arial Narrow"/>
                <w:sz w:val="20"/>
                <w:szCs w:val="18"/>
              </w:rPr>
            </w:pPr>
            <w:r w:rsidRPr="00A74194">
              <w:rPr>
                <w:rFonts w:ascii="Arial Narrow" w:hAnsi="Arial Narrow"/>
                <w:sz w:val="20"/>
                <w:szCs w:val="18"/>
              </w:rPr>
              <w:t>NR (p</w:t>
            </w:r>
            <w:r w:rsidR="00B159C2" w:rsidRPr="00A74194">
              <w:rPr>
                <w:rFonts w:ascii="Arial Narrow" w:hAnsi="Arial Narrow"/>
                <w:sz w:val="20"/>
                <w:szCs w:val="18"/>
              </w:rPr>
              <w:t>&lt;0.0001)</w:t>
            </w:r>
          </w:p>
        </w:tc>
      </w:tr>
      <w:tr w:rsidR="00B159C2" w:rsidRPr="00A74194" w14:paraId="7056C253" w14:textId="77777777" w:rsidTr="002D0936">
        <w:tc>
          <w:tcPr>
            <w:tcW w:w="0" w:type="auto"/>
            <w:gridSpan w:val="11"/>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D3188B7" w14:textId="77777777" w:rsidR="00B159C2" w:rsidRPr="00A74194" w:rsidRDefault="00B159C2" w:rsidP="00FC62BD">
            <w:pPr>
              <w:rPr>
                <w:rFonts w:ascii="Arial Narrow" w:hAnsi="Arial Narrow"/>
                <w:b/>
                <w:color w:val="000000"/>
                <w:sz w:val="20"/>
                <w:szCs w:val="18"/>
              </w:rPr>
            </w:pPr>
            <w:r w:rsidRPr="00A74194">
              <w:rPr>
                <w:rFonts w:ascii="Arial Narrow" w:hAnsi="Arial Narrow"/>
                <w:b/>
                <w:color w:val="000000"/>
                <w:sz w:val="20"/>
                <w:szCs w:val="18"/>
              </w:rPr>
              <w:t xml:space="preserve">Harms </w:t>
            </w:r>
          </w:p>
        </w:tc>
      </w:tr>
      <w:tr w:rsidR="00B159C2" w:rsidRPr="00A74194" w14:paraId="7502A9CE" w14:textId="77777777" w:rsidTr="005318A6">
        <w:trPr>
          <w:trHeight w:val="70"/>
        </w:trPr>
        <w:tc>
          <w:tcPr>
            <w:tcW w:w="273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B69CF15" w14:textId="77777777" w:rsidR="00B159C2" w:rsidRPr="00A74194" w:rsidRDefault="00B159C2" w:rsidP="00FC62BD">
            <w:pPr>
              <w:rPr>
                <w:rFonts w:ascii="Arial Narrow" w:hAnsi="Arial Narrow"/>
                <w:b/>
                <w:color w:val="000000"/>
                <w:sz w:val="20"/>
                <w:szCs w:val="18"/>
              </w:rPr>
            </w:pPr>
          </w:p>
        </w:tc>
        <w:tc>
          <w:tcPr>
            <w:tcW w:w="1195" w:type="dxa"/>
            <w:gridSpan w:val="2"/>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53A25E2" w14:textId="77777777" w:rsidR="00B159C2" w:rsidRPr="00A74194" w:rsidRDefault="00B159C2" w:rsidP="00FC62BD">
            <w:pPr>
              <w:jc w:val="center"/>
              <w:rPr>
                <w:rFonts w:ascii="Arial Narrow" w:hAnsi="Arial Narrow"/>
                <w:b/>
                <w:color w:val="000000"/>
                <w:sz w:val="20"/>
                <w:szCs w:val="18"/>
              </w:rPr>
            </w:pPr>
            <w:r w:rsidRPr="00A74194">
              <w:rPr>
                <w:rFonts w:ascii="Arial Narrow" w:hAnsi="Arial Narrow"/>
                <w:b/>
                <w:color w:val="000000"/>
                <w:sz w:val="20"/>
                <w:szCs w:val="18"/>
              </w:rPr>
              <w:t>OCA +/- UDCA</w:t>
            </w:r>
          </w:p>
          <w:p w14:paraId="12CC0CFF" w14:textId="77777777" w:rsidR="00B159C2" w:rsidRPr="00A74194" w:rsidRDefault="00B159C2" w:rsidP="00FC62BD">
            <w:pPr>
              <w:jc w:val="center"/>
              <w:rPr>
                <w:rFonts w:ascii="Arial Narrow" w:hAnsi="Arial Narrow"/>
                <w:b/>
                <w:color w:val="000000"/>
                <w:sz w:val="20"/>
                <w:szCs w:val="18"/>
              </w:rPr>
            </w:pPr>
            <w:r w:rsidRPr="00A74194">
              <w:rPr>
                <w:rFonts w:ascii="Arial Narrow" w:hAnsi="Arial Narrow"/>
                <w:b/>
                <w:color w:val="000000"/>
                <w:sz w:val="20"/>
                <w:szCs w:val="18"/>
              </w:rPr>
              <w:t>n/N</w:t>
            </w:r>
          </w:p>
        </w:tc>
        <w:tc>
          <w:tcPr>
            <w:tcW w:w="1044" w:type="dxa"/>
            <w:gridSpan w:val="2"/>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91B4776" w14:textId="77777777" w:rsidR="00B159C2" w:rsidRPr="00A74194" w:rsidRDefault="00B159C2" w:rsidP="00FC62BD">
            <w:pPr>
              <w:jc w:val="center"/>
              <w:rPr>
                <w:rFonts w:ascii="Arial Narrow" w:hAnsi="Arial Narrow"/>
                <w:b/>
                <w:color w:val="000000"/>
                <w:sz w:val="20"/>
                <w:szCs w:val="18"/>
              </w:rPr>
            </w:pPr>
            <w:r w:rsidRPr="00A74194">
              <w:rPr>
                <w:rFonts w:ascii="Arial Narrow" w:hAnsi="Arial Narrow"/>
                <w:b/>
                <w:color w:val="000000"/>
                <w:sz w:val="20"/>
                <w:szCs w:val="18"/>
              </w:rPr>
              <w:t>Placebo +/- UDCA</w:t>
            </w:r>
          </w:p>
          <w:p w14:paraId="669155E1" w14:textId="77777777" w:rsidR="00B159C2" w:rsidRPr="00A74194" w:rsidRDefault="00B159C2" w:rsidP="00FC62BD">
            <w:pPr>
              <w:jc w:val="center"/>
              <w:rPr>
                <w:rFonts w:ascii="Arial Narrow" w:hAnsi="Arial Narrow"/>
                <w:b/>
                <w:color w:val="000000"/>
                <w:sz w:val="20"/>
                <w:szCs w:val="18"/>
              </w:rPr>
            </w:pPr>
            <w:r w:rsidRPr="00A74194">
              <w:rPr>
                <w:rFonts w:ascii="Arial Narrow" w:hAnsi="Arial Narrow"/>
                <w:b/>
                <w:color w:val="000000"/>
                <w:sz w:val="20"/>
                <w:szCs w:val="18"/>
              </w:rPr>
              <w:t>n/N</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09874AC" w14:textId="77777777" w:rsidR="00B159C2" w:rsidRPr="00A74194" w:rsidRDefault="00B159C2" w:rsidP="00FC62BD">
            <w:pPr>
              <w:jc w:val="center"/>
              <w:rPr>
                <w:rFonts w:ascii="Arial Narrow" w:hAnsi="Arial Narrow"/>
                <w:b/>
                <w:color w:val="000000"/>
                <w:sz w:val="20"/>
                <w:szCs w:val="18"/>
              </w:rPr>
            </w:pPr>
            <w:r w:rsidRPr="00A74194">
              <w:rPr>
                <w:rFonts w:ascii="Arial Narrow" w:hAnsi="Arial Narrow"/>
                <w:b/>
                <w:color w:val="000000"/>
                <w:sz w:val="20"/>
                <w:szCs w:val="18"/>
              </w:rPr>
              <w:t>RR</w:t>
            </w:r>
          </w:p>
          <w:p w14:paraId="23C0E5D2" w14:textId="77777777" w:rsidR="00B159C2" w:rsidRPr="00A74194" w:rsidRDefault="00B159C2" w:rsidP="00FC62BD">
            <w:pPr>
              <w:jc w:val="center"/>
              <w:rPr>
                <w:rFonts w:ascii="Arial Narrow" w:hAnsi="Arial Narrow"/>
                <w:b/>
                <w:color w:val="000000"/>
                <w:sz w:val="20"/>
                <w:szCs w:val="18"/>
              </w:rPr>
            </w:pPr>
            <w:r w:rsidRPr="00A74194">
              <w:rPr>
                <w:rFonts w:ascii="Arial Narrow" w:hAnsi="Arial Narrow"/>
                <w:b/>
                <w:color w:val="000000"/>
                <w:sz w:val="20"/>
                <w:szCs w:val="18"/>
              </w:rPr>
              <w:t>(95% CI)</w:t>
            </w:r>
          </w:p>
        </w:tc>
        <w:tc>
          <w:tcPr>
            <w:tcW w:w="0" w:type="auto"/>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A3D5C2B" w14:textId="77777777" w:rsidR="00B159C2" w:rsidRPr="00A74194" w:rsidRDefault="00B159C2" w:rsidP="00FC62BD">
            <w:pPr>
              <w:jc w:val="center"/>
              <w:rPr>
                <w:rFonts w:ascii="Arial Narrow" w:hAnsi="Arial Narrow"/>
                <w:b/>
                <w:color w:val="000000"/>
                <w:sz w:val="20"/>
                <w:szCs w:val="18"/>
              </w:rPr>
            </w:pPr>
            <w:r w:rsidRPr="00A74194">
              <w:rPr>
                <w:rFonts w:ascii="Arial Narrow" w:hAnsi="Arial Narrow"/>
                <w:b/>
                <w:color w:val="000000"/>
                <w:sz w:val="20"/>
                <w:szCs w:val="18"/>
              </w:rPr>
              <w:t xml:space="preserve">Event rate/100 patients*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F059DE8" w14:textId="77777777" w:rsidR="00B159C2" w:rsidRPr="00A74194" w:rsidRDefault="00B159C2" w:rsidP="00FC62BD">
            <w:pPr>
              <w:jc w:val="center"/>
              <w:rPr>
                <w:rFonts w:ascii="Arial Narrow" w:hAnsi="Arial Narrow"/>
                <w:b/>
                <w:color w:val="000000"/>
                <w:sz w:val="20"/>
                <w:szCs w:val="18"/>
              </w:rPr>
            </w:pPr>
            <w:r w:rsidRPr="00A74194">
              <w:rPr>
                <w:rFonts w:ascii="Arial Narrow" w:hAnsi="Arial Narrow"/>
                <w:b/>
                <w:color w:val="000000"/>
                <w:sz w:val="20"/>
                <w:szCs w:val="18"/>
              </w:rPr>
              <w:t>RD</w:t>
            </w:r>
          </w:p>
          <w:p w14:paraId="7587C7A3" w14:textId="77777777" w:rsidR="00B159C2" w:rsidRPr="00A74194" w:rsidRDefault="00B159C2" w:rsidP="00FC62BD">
            <w:pPr>
              <w:jc w:val="center"/>
              <w:rPr>
                <w:rFonts w:ascii="Arial Narrow" w:hAnsi="Arial Narrow"/>
                <w:b/>
                <w:color w:val="000000"/>
                <w:sz w:val="20"/>
                <w:szCs w:val="18"/>
              </w:rPr>
            </w:pPr>
            <w:r w:rsidRPr="00A74194">
              <w:rPr>
                <w:rFonts w:ascii="Arial Narrow" w:hAnsi="Arial Narrow"/>
                <w:b/>
                <w:color w:val="000000"/>
                <w:sz w:val="20"/>
                <w:szCs w:val="18"/>
              </w:rPr>
              <w:t>(95% CI)</w:t>
            </w:r>
          </w:p>
        </w:tc>
      </w:tr>
      <w:tr w:rsidR="00B159C2" w:rsidRPr="00A74194" w14:paraId="30086D78" w14:textId="77777777" w:rsidTr="005318A6">
        <w:trPr>
          <w:trHeight w:val="390"/>
        </w:trPr>
        <w:tc>
          <w:tcPr>
            <w:tcW w:w="2732"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2392BC4" w14:textId="77777777" w:rsidR="00B159C2" w:rsidRPr="00A74194" w:rsidRDefault="00B159C2" w:rsidP="00FC62BD">
            <w:pPr>
              <w:rPr>
                <w:rFonts w:ascii="Arial Narrow" w:hAnsi="Arial Narrow"/>
                <w:b/>
                <w:color w:val="000000"/>
                <w:sz w:val="20"/>
                <w:szCs w:val="18"/>
              </w:rPr>
            </w:pPr>
          </w:p>
        </w:tc>
        <w:tc>
          <w:tcPr>
            <w:tcW w:w="1195" w:type="dxa"/>
            <w:gridSpan w:val="2"/>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650AF47" w14:textId="77777777" w:rsidR="00B159C2" w:rsidRPr="00A74194" w:rsidRDefault="00B159C2" w:rsidP="00FC62BD">
            <w:pPr>
              <w:jc w:val="center"/>
              <w:rPr>
                <w:rFonts w:ascii="Arial Narrow" w:hAnsi="Arial Narrow"/>
                <w:b/>
                <w:color w:val="000000"/>
                <w:sz w:val="20"/>
                <w:szCs w:val="18"/>
              </w:rPr>
            </w:pPr>
          </w:p>
        </w:tc>
        <w:tc>
          <w:tcPr>
            <w:tcW w:w="1044" w:type="dxa"/>
            <w:gridSpan w:val="2"/>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0613606" w14:textId="77777777" w:rsidR="00B159C2" w:rsidRPr="00A74194" w:rsidRDefault="00B159C2" w:rsidP="00FC62BD">
            <w:pPr>
              <w:jc w:val="center"/>
              <w:rPr>
                <w:rFonts w:ascii="Arial Narrow" w:hAnsi="Arial Narrow"/>
                <w:b/>
                <w:color w:val="000000"/>
                <w:sz w:val="20"/>
                <w:szCs w:val="18"/>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C625EFE" w14:textId="77777777" w:rsidR="00B159C2" w:rsidRPr="00A74194" w:rsidRDefault="00B159C2" w:rsidP="00FC62BD">
            <w:pPr>
              <w:jc w:val="center"/>
              <w:rPr>
                <w:rFonts w:ascii="Arial Narrow" w:hAnsi="Arial Narrow"/>
                <w:b/>
                <w:color w:val="000000"/>
                <w:sz w:val="20"/>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4E315CF" w14:textId="77777777" w:rsidR="00B159C2" w:rsidRPr="00A74194" w:rsidRDefault="00B159C2" w:rsidP="00FC62BD">
            <w:pPr>
              <w:jc w:val="center"/>
              <w:rPr>
                <w:rFonts w:ascii="Arial Narrow" w:hAnsi="Arial Narrow"/>
                <w:b/>
                <w:color w:val="000000"/>
                <w:sz w:val="20"/>
                <w:szCs w:val="18"/>
              </w:rPr>
            </w:pPr>
            <w:r w:rsidRPr="00A74194">
              <w:rPr>
                <w:rFonts w:ascii="Arial Narrow" w:hAnsi="Arial Narrow"/>
                <w:b/>
                <w:color w:val="000000"/>
                <w:sz w:val="20"/>
                <w:szCs w:val="18"/>
              </w:rPr>
              <w:t>OCA +/- UDCA</w:t>
            </w:r>
          </w:p>
        </w:tc>
        <w:tc>
          <w:tcPr>
            <w:tcW w:w="91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6C87073" w14:textId="77777777" w:rsidR="00B159C2" w:rsidRPr="00A74194" w:rsidRDefault="00B159C2" w:rsidP="00FC62BD">
            <w:pPr>
              <w:jc w:val="center"/>
              <w:rPr>
                <w:rFonts w:ascii="Arial Narrow" w:hAnsi="Arial Narrow"/>
                <w:b/>
                <w:color w:val="000000"/>
                <w:sz w:val="20"/>
                <w:szCs w:val="18"/>
              </w:rPr>
            </w:pPr>
            <w:r w:rsidRPr="00A74194">
              <w:rPr>
                <w:rFonts w:ascii="Arial Narrow" w:hAnsi="Arial Narrow"/>
                <w:b/>
                <w:color w:val="000000"/>
                <w:sz w:val="20"/>
                <w:szCs w:val="18"/>
              </w:rPr>
              <w:t>Placebo +/- UDCA</w:t>
            </w:r>
          </w:p>
        </w:tc>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28EEC35" w14:textId="77777777" w:rsidR="00B159C2" w:rsidRPr="00A74194" w:rsidRDefault="00B159C2" w:rsidP="00FC62BD">
            <w:pPr>
              <w:jc w:val="center"/>
              <w:rPr>
                <w:rFonts w:ascii="Arial Narrow" w:hAnsi="Arial Narrow"/>
                <w:b/>
                <w:color w:val="000000"/>
                <w:sz w:val="20"/>
                <w:szCs w:val="18"/>
              </w:rPr>
            </w:pPr>
          </w:p>
        </w:tc>
      </w:tr>
      <w:tr w:rsidR="00B159C2" w:rsidRPr="00A74194" w14:paraId="4919E01C" w14:textId="77777777" w:rsidTr="002D0936">
        <w:tc>
          <w:tcPr>
            <w:tcW w:w="0" w:type="auto"/>
            <w:gridSpan w:val="11"/>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E5C619F" w14:textId="77777777" w:rsidR="00B159C2" w:rsidRPr="00A74194" w:rsidRDefault="00B159C2" w:rsidP="00FC62BD">
            <w:pPr>
              <w:rPr>
                <w:rFonts w:ascii="Arial Narrow" w:hAnsi="Arial Narrow"/>
                <w:b/>
                <w:color w:val="000000"/>
                <w:sz w:val="20"/>
                <w:szCs w:val="18"/>
              </w:rPr>
            </w:pPr>
            <w:r w:rsidRPr="00A74194">
              <w:rPr>
                <w:rFonts w:ascii="Arial Narrow" w:hAnsi="Arial Narrow"/>
                <w:b/>
                <w:color w:val="000000"/>
                <w:sz w:val="20"/>
                <w:szCs w:val="18"/>
              </w:rPr>
              <w:t>Pruritus</w:t>
            </w:r>
          </w:p>
        </w:tc>
      </w:tr>
      <w:tr w:rsidR="00B159C2" w:rsidRPr="00A74194" w14:paraId="54745E4D" w14:textId="77777777" w:rsidTr="005318A6">
        <w:tc>
          <w:tcPr>
            <w:tcW w:w="273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0B779BA" w14:textId="77777777" w:rsidR="00B159C2" w:rsidRPr="00A74194" w:rsidRDefault="00B159C2" w:rsidP="00FC62BD">
            <w:pPr>
              <w:jc w:val="left"/>
              <w:rPr>
                <w:rFonts w:ascii="Arial Narrow" w:hAnsi="Arial Narrow"/>
                <w:color w:val="000000"/>
                <w:sz w:val="20"/>
                <w:szCs w:val="18"/>
              </w:rPr>
            </w:pPr>
            <w:r w:rsidRPr="00A74194">
              <w:rPr>
                <w:rFonts w:ascii="Arial Narrow" w:hAnsi="Arial Narrow"/>
                <w:color w:val="000000"/>
                <w:sz w:val="20"/>
                <w:szCs w:val="18"/>
              </w:rPr>
              <w:t>POISE (OCA 5-10mg titration)</w:t>
            </w:r>
          </w:p>
        </w:tc>
        <w:tc>
          <w:tcPr>
            <w:tcW w:w="119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9C58919"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39/70</w:t>
            </w:r>
          </w:p>
        </w:tc>
        <w:tc>
          <w:tcPr>
            <w:tcW w:w="104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A294439"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28/73</w:t>
            </w:r>
          </w:p>
        </w:tc>
        <w:tc>
          <w:tcPr>
            <w:tcW w:w="0" w:type="auto"/>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C2B1045" w14:textId="77777777" w:rsidR="00B159C2" w:rsidRPr="00A74194" w:rsidRDefault="00B159C2" w:rsidP="00FC62BD">
            <w:pPr>
              <w:jc w:val="center"/>
              <w:rPr>
                <w:rFonts w:ascii="Arial Narrow" w:hAnsi="Arial Narrow"/>
                <w:b/>
                <w:color w:val="000000"/>
                <w:sz w:val="20"/>
                <w:szCs w:val="18"/>
              </w:rPr>
            </w:pPr>
            <w:r w:rsidRPr="00A74194">
              <w:rPr>
                <w:rFonts w:ascii="Arial Narrow" w:hAnsi="Arial Narrow"/>
                <w:b/>
                <w:color w:val="000000"/>
                <w:sz w:val="20"/>
                <w:szCs w:val="18"/>
              </w:rPr>
              <w:t>1.45</w:t>
            </w:r>
          </w:p>
          <w:p w14:paraId="0B1BE2DD"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b/>
                <w:color w:val="000000"/>
                <w:sz w:val="20"/>
                <w:szCs w:val="18"/>
              </w:rPr>
              <w:t>(1.02, 2.08)</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7DAE9D0"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55.7</w:t>
            </w:r>
          </w:p>
        </w:tc>
        <w:tc>
          <w:tcPr>
            <w:tcW w:w="91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448ACE0"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38.4</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31CDED2" w14:textId="77777777" w:rsidR="00B159C2" w:rsidRPr="00A74194" w:rsidRDefault="00B159C2" w:rsidP="00FC62BD">
            <w:pPr>
              <w:jc w:val="center"/>
              <w:rPr>
                <w:rFonts w:ascii="Arial Narrow" w:hAnsi="Arial Narrow"/>
                <w:b/>
                <w:color w:val="000000"/>
                <w:sz w:val="20"/>
                <w:szCs w:val="18"/>
              </w:rPr>
            </w:pPr>
            <w:r w:rsidRPr="00A74194">
              <w:rPr>
                <w:rFonts w:ascii="Arial Narrow" w:hAnsi="Arial Narrow"/>
                <w:b/>
                <w:color w:val="000000"/>
                <w:sz w:val="20"/>
                <w:szCs w:val="18"/>
              </w:rPr>
              <w:t>17.4</w:t>
            </w:r>
          </w:p>
          <w:p w14:paraId="659D0923" w14:textId="77777777" w:rsidR="00B159C2" w:rsidRPr="00A74194" w:rsidRDefault="00B159C2" w:rsidP="00FC62BD">
            <w:pPr>
              <w:jc w:val="center"/>
              <w:rPr>
                <w:rFonts w:ascii="Arial Narrow" w:hAnsi="Arial Narrow"/>
                <w:b/>
                <w:color w:val="000000"/>
                <w:sz w:val="20"/>
                <w:szCs w:val="18"/>
              </w:rPr>
            </w:pPr>
            <w:r w:rsidRPr="00A74194">
              <w:rPr>
                <w:rFonts w:ascii="Arial Narrow" w:hAnsi="Arial Narrow"/>
                <w:b/>
                <w:color w:val="000000"/>
                <w:sz w:val="20"/>
                <w:szCs w:val="18"/>
              </w:rPr>
              <w:t>(1.2, 33.5)</w:t>
            </w:r>
          </w:p>
        </w:tc>
      </w:tr>
      <w:tr w:rsidR="00B159C2" w:rsidRPr="00A74194" w14:paraId="12346D65" w14:textId="77777777" w:rsidTr="005318A6">
        <w:tc>
          <w:tcPr>
            <w:tcW w:w="273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F52A0F8" w14:textId="77777777" w:rsidR="00B159C2" w:rsidRPr="00A74194" w:rsidRDefault="00B159C2" w:rsidP="00FC62BD">
            <w:pPr>
              <w:jc w:val="left"/>
              <w:rPr>
                <w:rFonts w:ascii="Arial Narrow" w:hAnsi="Arial Narrow"/>
                <w:color w:val="000000"/>
                <w:sz w:val="20"/>
                <w:szCs w:val="18"/>
              </w:rPr>
            </w:pPr>
            <w:r w:rsidRPr="00A74194">
              <w:rPr>
                <w:rFonts w:ascii="Arial Narrow" w:hAnsi="Arial Narrow"/>
                <w:color w:val="000000"/>
                <w:sz w:val="20"/>
                <w:szCs w:val="18"/>
              </w:rPr>
              <w:t>POISE (OCA 10mg)</w:t>
            </w:r>
          </w:p>
        </w:tc>
        <w:tc>
          <w:tcPr>
            <w:tcW w:w="119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FF5FA45"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50/73</w:t>
            </w:r>
          </w:p>
        </w:tc>
        <w:tc>
          <w:tcPr>
            <w:tcW w:w="104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A8F2167"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28/73</w:t>
            </w:r>
          </w:p>
        </w:tc>
        <w:tc>
          <w:tcPr>
            <w:tcW w:w="0" w:type="auto"/>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0013B77" w14:textId="77777777" w:rsidR="00B159C2" w:rsidRPr="00A74194" w:rsidRDefault="00B159C2" w:rsidP="00FC62BD">
            <w:pPr>
              <w:jc w:val="center"/>
              <w:rPr>
                <w:rFonts w:ascii="Arial Narrow" w:hAnsi="Arial Narrow"/>
                <w:b/>
                <w:color w:val="000000"/>
                <w:sz w:val="20"/>
                <w:szCs w:val="18"/>
              </w:rPr>
            </w:pPr>
            <w:r w:rsidRPr="00A74194">
              <w:rPr>
                <w:rFonts w:ascii="Arial Narrow" w:hAnsi="Arial Narrow"/>
                <w:b/>
                <w:color w:val="000000"/>
                <w:sz w:val="20"/>
                <w:szCs w:val="18"/>
              </w:rPr>
              <w:t>1.79</w:t>
            </w:r>
          </w:p>
          <w:p w14:paraId="7A533645"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b/>
                <w:color w:val="000000"/>
                <w:sz w:val="20"/>
                <w:szCs w:val="18"/>
              </w:rPr>
              <w:t>(1.28, 2.48)</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555E096"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68.5</w:t>
            </w:r>
          </w:p>
        </w:tc>
        <w:tc>
          <w:tcPr>
            <w:tcW w:w="91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A95CD82"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38.4</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FF9C719" w14:textId="77777777" w:rsidR="00B159C2" w:rsidRPr="00A74194" w:rsidRDefault="00B159C2" w:rsidP="00FC62BD">
            <w:pPr>
              <w:jc w:val="center"/>
              <w:rPr>
                <w:rFonts w:ascii="Arial Narrow" w:hAnsi="Arial Narrow"/>
                <w:b/>
                <w:color w:val="000000"/>
                <w:sz w:val="20"/>
                <w:szCs w:val="18"/>
              </w:rPr>
            </w:pPr>
            <w:r w:rsidRPr="00A74194">
              <w:rPr>
                <w:rFonts w:ascii="Arial Narrow" w:hAnsi="Arial Narrow"/>
                <w:b/>
                <w:color w:val="000000"/>
                <w:sz w:val="20"/>
                <w:szCs w:val="18"/>
              </w:rPr>
              <w:t>30.1</w:t>
            </w:r>
          </w:p>
          <w:p w14:paraId="3C57DFE0" w14:textId="77777777" w:rsidR="00B159C2" w:rsidRPr="00A74194" w:rsidRDefault="00B159C2" w:rsidP="00FC62BD">
            <w:pPr>
              <w:jc w:val="center"/>
              <w:rPr>
                <w:rFonts w:ascii="Arial Narrow" w:hAnsi="Arial Narrow"/>
                <w:b/>
                <w:color w:val="000000"/>
                <w:sz w:val="20"/>
                <w:szCs w:val="18"/>
              </w:rPr>
            </w:pPr>
            <w:r w:rsidRPr="00A74194">
              <w:rPr>
                <w:rFonts w:ascii="Arial Narrow" w:hAnsi="Arial Narrow"/>
                <w:b/>
                <w:color w:val="000000"/>
                <w:sz w:val="20"/>
                <w:szCs w:val="18"/>
              </w:rPr>
              <w:t>(14.7, 45.6)</w:t>
            </w:r>
          </w:p>
        </w:tc>
      </w:tr>
      <w:tr w:rsidR="00B159C2" w:rsidRPr="00A74194" w14:paraId="015E9F65" w14:textId="77777777" w:rsidTr="005318A6">
        <w:tc>
          <w:tcPr>
            <w:tcW w:w="273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0556714" w14:textId="77777777" w:rsidR="00B159C2" w:rsidRPr="00A74194" w:rsidRDefault="00B159C2" w:rsidP="00FC62BD">
            <w:pPr>
              <w:jc w:val="left"/>
              <w:rPr>
                <w:rFonts w:ascii="Arial Narrow" w:hAnsi="Arial Narrow"/>
                <w:color w:val="000000"/>
                <w:sz w:val="20"/>
                <w:szCs w:val="18"/>
              </w:rPr>
            </w:pPr>
            <w:r w:rsidRPr="00A74194">
              <w:rPr>
                <w:rFonts w:ascii="Arial Narrow" w:hAnsi="Arial Narrow"/>
                <w:color w:val="000000"/>
                <w:sz w:val="20"/>
                <w:szCs w:val="18"/>
              </w:rPr>
              <w:t>747-201 trial(OCA monotherapy)</w:t>
            </w:r>
          </w:p>
        </w:tc>
        <w:tc>
          <w:tcPr>
            <w:tcW w:w="119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7602442"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14/20</w:t>
            </w:r>
          </w:p>
        </w:tc>
        <w:tc>
          <w:tcPr>
            <w:tcW w:w="104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E5BE871"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8/23</w:t>
            </w:r>
          </w:p>
        </w:tc>
        <w:tc>
          <w:tcPr>
            <w:tcW w:w="0" w:type="auto"/>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6F137ED" w14:textId="77777777" w:rsidR="00B159C2" w:rsidRPr="00A74194" w:rsidRDefault="00B159C2" w:rsidP="00FC62BD">
            <w:pPr>
              <w:jc w:val="center"/>
              <w:rPr>
                <w:rFonts w:ascii="Arial Narrow" w:hAnsi="Arial Narrow"/>
                <w:b/>
                <w:color w:val="000000"/>
                <w:sz w:val="20"/>
                <w:szCs w:val="18"/>
              </w:rPr>
            </w:pPr>
            <w:r w:rsidRPr="00A74194">
              <w:rPr>
                <w:rFonts w:ascii="Arial Narrow" w:hAnsi="Arial Narrow"/>
                <w:b/>
                <w:color w:val="000000"/>
                <w:sz w:val="20"/>
                <w:szCs w:val="18"/>
              </w:rPr>
              <w:t>2.01</w:t>
            </w:r>
          </w:p>
          <w:p w14:paraId="7EFB691E"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b/>
                <w:color w:val="000000"/>
                <w:sz w:val="20"/>
                <w:szCs w:val="18"/>
              </w:rPr>
              <w:t>(1.07, 3.77)</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DFCA4EE"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70.0</w:t>
            </w:r>
          </w:p>
        </w:tc>
        <w:tc>
          <w:tcPr>
            <w:tcW w:w="91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04FE9D9"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34.8</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4CAE3D5" w14:textId="77777777" w:rsidR="00B159C2" w:rsidRPr="00A74194" w:rsidRDefault="00B159C2" w:rsidP="00FC62BD">
            <w:pPr>
              <w:jc w:val="center"/>
              <w:rPr>
                <w:rFonts w:ascii="Arial Narrow" w:hAnsi="Arial Narrow"/>
                <w:b/>
                <w:color w:val="000000"/>
                <w:sz w:val="20"/>
                <w:szCs w:val="18"/>
              </w:rPr>
            </w:pPr>
            <w:r w:rsidRPr="00A74194">
              <w:rPr>
                <w:rFonts w:ascii="Arial Narrow" w:hAnsi="Arial Narrow"/>
                <w:b/>
                <w:color w:val="000000"/>
                <w:sz w:val="20"/>
                <w:szCs w:val="18"/>
              </w:rPr>
              <w:t>35.2</w:t>
            </w:r>
          </w:p>
          <w:p w14:paraId="7693061E" w14:textId="77777777" w:rsidR="00B159C2" w:rsidRPr="00A74194" w:rsidRDefault="00B159C2" w:rsidP="00FC62BD">
            <w:pPr>
              <w:jc w:val="center"/>
              <w:rPr>
                <w:rFonts w:ascii="Arial Narrow" w:hAnsi="Arial Narrow"/>
                <w:b/>
                <w:color w:val="000000"/>
                <w:sz w:val="20"/>
                <w:szCs w:val="18"/>
              </w:rPr>
            </w:pPr>
            <w:r w:rsidRPr="00A74194">
              <w:rPr>
                <w:rFonts w:ascii="Arial Narrow" w:hAnsi="Arial Narrow"/>
                <w:b/>
                <w:color w:val="000000"/>
                <w:sz w:val="20"/>
                <w:szCs w:val="18"/>
              </w:rPr>
              <w:t>(7.2, 63.2)</w:t>
            </w:r>
          </w:p>
        </w:tc>
      </w:tr>
      <w:tr w:rsidR="00B159C2" w:rsidRPr="00A74194" w14:paraId="4039467E" w14:textId="77777777" w:rsidTr="005318A6">
        <w:tc>
          <w:tcPr>
            <w:tcW w:w="273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61587C9" w14:textId="77777777" w:rsidR="00B159C2" w:rsidRPr="00A74194" w:rsidRDefault="00B159C2" w:rsidP="00FC62BD">
            <w:pPr>
              <w:jc w:val="left"/>
              <w:rPr>
                <w:rFonts w:ascii="Arial Narrow" w:hAnsi="Arial Narrow"/>
                <w:color w:val="000000"/>
                <w:sz w:val="20"/>
                <w:szCs w:val="18"/>
              </w:rPr>
            </w:pPr>
            <w:r w:rsidRPr="00A74194">
              <w:rPr>
                <w:rFonts w:ascii="Arial Narrow" w:hAnsi="Arial Narrow"/>
                <w:color w:val="000000"/>
                <w:sz w:val="20"/>
                <w:szCs w:val="18"/>
              </w:rPr>
              <w:t xml:space="preserve">747-202 trial (OCA combination) </w:t>
            </w:r>
          </w:p>
        </w:tc>
        <w:tc>
          <w:tcPr>
            <w:tcW w:w="119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306F64D"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18/38</w:t>
            </w:r>
          </w:p>
        </w:tc>
        <w:tc>
          <w:tcPr>
            <w:tcW w:w="104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D23A380"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19/38</w:t>
            </w:r>
          </w:p>
        </w:tc>
        <w:tc>
          <w:tcPr>
            <w:tcW w:w="0" w:type="auto"/>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B445E8C"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0.95</w:t>
            </w:r>
          </w:p>
          <w:p w14:paraId="48EBF860"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(0.60, 1.50)</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FA45AB6"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47.4</w:t>
            </w:r>
          </w:p>
        </w:tc>
        <w:tc>
          <w:tcPr>
            <w:tcW w:w="91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F38B7CD"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50.0</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DF042D0"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-2.6</w:t>
            </w:r>
          </w:p>
          <w:p w14:paraId="453FEB78"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(-25.1, 19.8)</w:t>
            </w:r>
          </w:p>
        </w:tc>
      </w:tr>
      <w:tr w:rsidR="00B159C2" w:rsidRPr="00A74194" w14:paraId="188F5AAE" w14:textId="77777777" w:rsidTr="002D0936">
        <w:tc>
          <w:tcPr>
            <w:tcW w:w="0" w:type="auto"/>
            <w:gridSpan w:val="11"/>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05218D3" w14:textId="77777777" w:rsidR="00B159C2" w:rsidRPr="00A74194" w:rsidRDefault="00B159C2" w:rsidP="00FC62BD">
            <w:pPr>
              <w:rPr>
                <w:rFonts w:ascii="Arial Narrow" w:hAnsi="Arial Narrow"/>
                <w:b/>
                <w:color w:val="000000"/>
                <w:sz w:val="20"/>
                <w:szCs w:val="18"/>
              </w:rPr>
            </w:pPr>
            <w:r w:rsidRPr="00A74194">
              <w:rPr>
                <w:rFonts w:ascii="Arial Narrow" w:hAnsi="Arial Narrow"/>
                <w:b/>
                <w:color w:val="000000"/>
                <w:sz w:val="20"/>
                <w:szCs w:val="18"/>
              </w:rPr>
              <w:t>TEAEs</w:t>
            </w:r>
          </w:p>
        </w:tc>
      </w:tr>
      <w:tr w:rsidR="00B159C2" w:rsidRPr="00A74194" w14:paraId="24730E55" w14:textId="77777777" w:rsidTr="005318A6">
        <w:tc>
          <w:tcPr>
            <w:tcW w:w="273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E967AC9" w14:textId="77777777" w:rsidR="00B159C2" w:rsidRPr="00A74194" w:rsidRDefault="00B159C2" w:rsidP="00FC62BD">
            <w:pPr>
              <w:jc w:val="left"/>
              <w:rPr>
                <w:u w:val="single"/>
              </w:rPr>
            </w:pPr>
            <w:r w:rsidRPr="00A74194">
              <w:rPr>
                <w:rFonts w:ascii="Arial Narrow" w:hAnsi="Arial Narrow"/>
                <w:color w:val="000000"/>
                <w:sz w:val="20"/>
                <w:szCs w:val="18"/>
              </w:rPr>
              <w:t>POISE (OCA 5-10mg titration)</w:t>
            </w:r>
          </w:p>
        </w:tc>
        <w:tc>
          <w:tcPr>
            <w:tcW w:w="119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DF145FC"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65/70</w:t>
            </w:r>
          </w:p>
        </w:tc>
        <w:tc>
          <w:tcPr>
            <w:tcW w:w="104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C16D400"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66/73</w:t>
            </w:r>
          </w:p>
        </w:tc>
        <w:tc>
          <w:tcPr>
            <w:tcW w:w="0" w:type="auto"/>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2CFDCCB"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1.03</w:t>
            </w:r>
          </w:p>
          <w:p w14:paraId="7B561496"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(0.93,0.80)</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060AB37"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92.9</w:t>
            </w:r>
          </w:p>
        </w:tc>
        <w:tc>
          <w:tcPr>
            <w:tcW w:w="91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7953CF8"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90.4</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3509D5C"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2.5</w:t>
            </w:r>
          </w:p>
          <w:p w14:paraId="46B18CCA"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(-6.6, 11.5)</w:t>
            </w:r>
          </w:p>
        </w:tc>
      </w:tr>
      <w:tr w:rsidR="00B159C2" w:rsidRPr="00A74194" w14:paraId="34ECBB66" w14:textId="77777777" w:rsidTr="005318A6">
        <w:tc>
          <w:tcPr>
            <w:tcW w:w="273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CF9A167" w14:textId="77777777" w:rsidR="00B159C2" w:rsidRPr="00A74194" w:rsidRDefault="00B159C2" w:rsidP="00FC62BD">
            <w:pPr>
              <w:jc w:val="left"/>
              <w:rPr>
                <w:rFonts w:ascii="Arial Narrow" w:hAnsi="Arial Narrow"/>
                <w:color w:val="000000"/>
                <w:sz w:val="20"/>
                <w:szCs w:val="18"/>
              </w:rPr>
            </w:pPr>
            <w:r w:rsidRPr="00A74194">
              <w:rPr>
                <w:rFonts w:ascii="Arial Narrow" w:hAnsi="Arial Narrow"/>
                <w:color w:val="000000"/>
                <w:sz w:val="20"/>
                <w:szCs w:val="18"/>
              </w:rPr>
              <w:t>POISE (OCA 10mg)</w:t>
            </w:r>
          </w:p>
        </w:tc>
        <w:tc>
          <w:tcPr>
            <w:tcW w:w="119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FB1D40B"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69/73</w:t>
            </w:r>
          </w:p>
        </w:tc>
        <w:tc>
          <w:tcPr>
            <w:tcW w:w="104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4208BEE"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66/73</w:t>
            </w:r>
          </w:p>
        </w:tc>
        <w:tc>
          <w:tcPr>
            <w:tcW w:w="0" w:type="auto"/>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FA4EC73"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1.04</w:t>
            </w:r>
          </w:p>
          <w:p w14:paraId="450FBA17"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(0.95, 1.15)</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762D4AF"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94.5</w:t>
            </w:r>
          </w:p>
        </w:tc>
        <w:tc>
          <w:tcPr>
            <w:tcW w:w="91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585E642"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90.4</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CDF6405"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4.1</w:t>
            </w:r>
          </w:p>
          <w:p w14:paraId="110CD8FA"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(-4.4, 12.6)</w:t>
            </w:r>
          </w:p>
        </w:tc>
      </w:tr>
      <w:tr w:rsidR="00B159C2" w:rsidRPr="00A74194" w14:paraId="19B8F351" w14:textId="77777777" w:rsidTr="005318A6">
        <w:tc>
          <w:tcPr>
            <w:tcW w:w="273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8DE03F4" w14:textId="77777777" w:rsidR="00B159C2" w:rsidRPr="00A74194" w:rsidRDefault="00B159C2" w:rsidP="00FC62BD">
            <w:pPr>
              <w:jc w:val="left"/>
              <w:rPr>
                <w:rFonts w:ascii="Arial Narrow" w:hAnsi="Arial Narrow"/>
                <w:color w:val="000000"/>
                <w:sz w:val="20"/>
                <w:szCs w:val="18"/>
              </w:rPr>
            </w:pPr>
            <w:r w:rsidRPr="00A74194">
              <w:rPr>
                <w:rFonts w:ascii="Arial Narrow" w:hAnsi="Arial Narrow"/>
                <w:color w:val="000000"/>
                <w:sz w:val="20"/>
                <w:szCs w:val="18"/>
              </w:rPr>
              <w:t>747-201 trial (OCA monotherapy)</w:t>
            </w:r>
          </w:p>
        </w:tc>
        <w:tc>
          <w:tcPr>
            <w:tcW w:w="119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84AA7EA"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18/20</w:t>
            </w:r>
          </w:p>
        </w:tc>
        <w:tc>
          <w:tcPr>
            <w:tcW w:w="104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318BB02"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21/23</w:t>
            </w:r>
          </w:p>
        </w:tc>
        <w:tc>
          <w:tcPr>
            <w:tcW w:w="0" w:type="auto"/>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6CB376F"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0.99</w:t>
            </w:r>
          </w:p>
          <w:p w14:paraId="7D1A72E4"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(0.81,1.20)</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AB67F4C"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90</w:t>
            </w:r>
          </w:p>
        </w:tc>
        <w:tc>
          <w:tcPr>
            <w:tcW w:w="91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63E8B28"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91.3</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86D63CE"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-1.3</w:t>
            </w:r>
          </w:p>
          <w:p w14:paraId="479AD3B7"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(-18.8, 16.2)</w:t>
            </w:r>
          </w:p>
        </w:tc>
      </w:tr>
      <w:tr w:rsidR="00B159C2" w:rsidRPr="00A74194" w14:paraId="397D47F6" w14:textId="77777777" w:rsidTr="005318A6">
        <w:tc>
          <w:tcPr>
            <w:tcW w:w="273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75B2A1D" w14:textId="77777777" w:rsidR="00B159C2" w:rsidRPr="00A74194" w:rsidRDefault="00B159C2" w:rsidP="00FC62BD">
            <w:pPr>
              <w:jc w:val="left"/>
              <w:rPr>
                <w:rFonts w:ascii="Arial Narrow" w:hAnsi="Arial Narrow"/>
                <w:color w:val="000000"/>
                <w:sz w:val="20"/>
                <w:szCs w:val="18"/>
              </w:rPr>
            </w:pPr>
            <w:r w:rsidRPr="00A74194">
              <w:rPr>
                <w:rFonts w:ascii="Arial Narrow" w:hAnsi="Arial Narrow"/>
                <w:color w:val="000000"/>
                <w:sz w:val="20"/>
                <w:szCs w:val="18"/>
              </w:rPr>
              <w:lastRenderedPageBreak/>
              <w:t xml:space="preserve">747-202 trial (OCA combination) </w:t>
            </w:r>
          </w:p>
        </w:tc>
        <w:tc>
          <w:tcPr>
            <w:tcW w:w="119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F6B8383"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34/38</w:t>
            </w:r>
          </w:p>
        </w:tc>
        <w:tc>
          <w:tcPr>
            <w:tcW w:w="104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AA0FE6C"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32/38</w:t>
            </w:r>
          </w:p>
        </w:tc>
        <w:tc>
          <w:tcPr>
            <w:tcW w:w="0" w:type="auto"/>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D4D5A2A"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1.06</w:t>
            </w:r>
          </w:p>
          <w:p w14:paraId="3B88CA6F"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(0.89,1.27)</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9CAE19D"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89</w:t>
            </w:r>
          </w:p>
        </w:tc>
        <w:tc>
          <w:tcPr>
            <w:tcW w:w="91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73DFCFB"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84</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01F04D2"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5.3</w:t>
            </w:r>
          </w:p>
          <w:p w14:paraId="3108CBC0"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(-9.9, 20.4)</w:t>
            </w:r>
          </w:p>
        </w:tc>
      </w:tr>
      <w:tr w:rsidR="00B159C2" w:rsidRPr="00A74194" w14:paraId="76B16173" w14:textId="77777777" w:rsidTr="002D0936">
        <w:tc>
          <w:tcPr>
            <w:tcW w:w="0" w:type="auto"/>
            <w:gridSpan w:val="11"/>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63E7F96" w14:textId="77777777" w:rsidR="00B159C2" w:rsidRPr="00A74194" w:rsidRDefault="00B159C2" w:rsidP="00FC62BD">
            <w:pPr>
              <w:rPr>
                <w:rFonts w:ascii="Arial Narrow" w:hAnsi="Arial Narrow"/>
                <w:color w:val="000000"/>
                <w:sz w:val="20"/>
                <w:szCs w:val="18"/>
              </w:rPr>
            </w:pPr>
            <w:r w:rsidRPr="00A74194">
              <w:rPr>
                <w:rFonts w:ascii="Arial Narrow" w:hAnsi="Arial Narrow"/>
                <w:b/>
                <w:color w:val="000000"/>
                <w:sz w:val="20"/>
                <w:szCs w:val="18"/>
              </w:rPr>
              <w:t>SAEs</w:t>
            </w:r>
          </w:p>
        </w:tc>
      </w:tr>
      <w:tr w:rsidR="00B159C2" w:rsidRPr="00A74194" w14:paraId="0D7CB1D0" w14:textId="77777777" w:rsidTr="005318A6">
        <w:tc>
          <w:tcPr>
            <w:tcW w:w="273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DF46F51" w14:textId="77777777" w:rsidR="00B159C2" w:rsidRPr="00A74194" w:rsidRDefault="00B159C2" w:rsidP="00FC62BD">
            <w:pPr>
              <w:jc w:val="left"/>
              <w:rPr>
                <w:rFonts w:ascii="Arial Narrow" w:hAnsi="Arial Narrow"/>
                <w:color w:val="000000"/>
                <w:sz w:val="20"/>
                <w:szCs w:val="18"/>
              </w:rPr>
            </w:pPr>
            <w:r w:rsidRPr="00A74194">
              <w:rPr>
                <w:rFonts w:ascii="Arial Narrow" w:hAnsi="Arial Narrow"/>
                <w:color w:val="000000"/>
                <w:sz w:val="20"/>
                <w:szCs w:val="18"/>
              </w:rPr>
              <w:t>POISE (OCA 5-10mg titration)</w:t>
            </w:r>
          </w:p>
        </w:tc>
        <w:tc>
          <w:tcPr>
            <w:tcW w:w="119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55F37AF" w14:textId="77777777" w:rsidR="00B159C2" w:rsidRPr="00A74194" w:rsidRDefault="00B159C2" w:rsidP="00FC62BD">
            <w:pPr>
              <w:jc w:val="center"/>
              <w:rPr>
                <w:rFonts w:ascii="Arial Narrow" w:hAnsi="Arial Narrow"/>
                <w:color w:val="000000"/>
                <w:sz w:val="20"/>
              </w:rPr>
            </w:pPr>
            <w:r w:rsidRPr="00A74194">
              <w:rPr>
                <w:rFonts w:ascii="Arial Narrow" w:hAnsi="Arial Narrow"/>
                <w:color w:val="000000"/>
                <w:sz w:val="20"/>
              </w:rPr>
              <w:t>11/70</w:t>
            </w:r>
          </w:p>
        </w:tc>
        <w:tc>
          <w:tcPr>
            <w:tcW w:w="104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0E83CCB" w14:textId="77777777" w:rsidR="00B159C2" w:rsidRPr="00A74194" w:rsidRDefault="00B159C2" w:rsidP="00FC62BD">
            <w:pPr>
              <w:jc w:val="center"/>
              <w:rPr>
                <w:rFonts w:ascii="Arial Narrow" w:hAnsi="Arial Narrow"/>
                <w:color w:val="000000"/>
                <w:sz w:val="20"/>
              </w:rPr>
            </w:pPr>
            <w:r w:rsidRPr="00A74194">
              <w:rPr>
                <w:rFonts w:ascii="Arial Narrow" w:hAnsi="Arial Narrow"/>
                <w:color w:val="000000"/>
                <w:sz w:val="20"/>
              </w:rPr>
              <w:t>3/73</w:t>
            </w:r>
          </w:p>
        </w:tc>
        <w:tc>
          <w:tcPr>
            <w:tcW w:w="0" w:type="auto"/>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8711A47" w14:textId="77777777" w:rsidR="00B159C2" w:rsidRPr="00A74194" w:rsidRDefault="00B159C2" w:rsidP="00FC62BD">
            <w:pPr>
              <w:jc w:val="center"/>
              <w:rPr>
                <w:rFonts w:ascii="Arial Narrow" w:hAnsi="Arial Narrow"/>
                <w:b/>
                <w:color w:val="000000"/>
                <w:sz w:val="20"/>
              </w:rPr>
            </w:pPr>
            <w:r w:rsidRPr="00A74194">
              <w:rPr>
                <w:rFonts w:ascii="Arial Narrow" w:hAnsi="Arial Narrow"/>
                <w:b/>
                <w:color w:val="000000"/>
                <w:sz w:val="20"/>
              </w:rPr>
              <w:t>3.82</w:t>
            </w:r>
          </w:p>
          <w:p w14:paraId="3609EA2A" w14:textId="77777777" w:rsidR="00B159C2" w:rsidRPr="00A74194" w:rsidRDefault="00B159C2" w:rsidP="00FC62BD">
            <w:pPr>
              <w:jc w:val="center"/>
              <w:rPr>
                <w:rFonts w:ascii="Arial Narrow" w:hAnsi="Arial Narrow"/>
                <w:color w:val="000000"/>
                <w:sz w:val="20"/>
              </w:rPr>
            </w:pPr>
            <w:r w:rsidRPr="00A74194">
              <w:rPr>
                <w:rFonts w:ascii="Arial Narrow" w:hAnsi="Arial Narrow"/>
                <w:b/>
                <w:color w:val="000000"/>
                <w:sz w:val="20"/>
              </w:rPr>
              <w:t>(1.11,13.13)</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56914F7" w14:textId="77777777" w:rsidR="00B159C2" w:rsidRPr="00A74194" w:rsidRDefault="00B159C2" w:rsidP="00FC62BD">
            <w:pPr>
              <w:jc w:val="center"/>
              <w:rPr>
                <w:rFonts w:ascii="Arial Narrow" w:hAnsi="Arial Narrow"/>
                <w:color w:val="000000"/>
                <w:sz w:val="20"/>
              </w:rPr>
            </w:pPr>
            <w:r w:rsidRPr="00A74194">
              <w:rPr>
                <w:rFonts w:ascii="Arial Narrow" w:hAnsi="Arial Narrow"/>
                <w:color w:val="000000"/>
                <w:sz w:val="20"/>
              </w:rPr>
              <w:t>15.7</w:t>
            </w:r>
          </w:p>
        </w:tc>
        <w:tc>
          <w:tcPr>
            <w:tcW w:w="91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B561B0E" w14:textId="77777777" w:rsidR="00B159C2" w:rsidRPr="00A74194" w:rsidRDefault="00B159C2" w:rsidP="00FC62BD">
            <w:pPr>
              <w:jc w:val="center"/>
              <w:rPr>
                <w:rFonts w:ascii="Arial Narrow" w:hAnsi="Arial Narrow"/>
                <w:color w:val="000000"/>
                <w:sz w:val="20"/>
              </w:rPr>
            </w:pPr>
            <w:r w:rsidRPr="00A74194">
              <w:rPr>
                <w:rFonts w:ascii="Arial Narrow" w:hAnsi="Arial Narrow"/>
                <w:color w:val="000000"/>
                <w:sz w:val="20"/>
              </w:rPr>
              <w:t>4.1</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1589AF6" w14:textId="77777777" w:rsidR="00B159C2" w:rsidRPr="00A74194" w:rsidRDefault="00B159C2" w:rsidP="00FC62BD">
            <w:pPr>
              <w:jc w:val="center"/>
              <w:rPr>
                <w:rFonts w:ascii="Arial Narrow" w:hAnsi="Arial Narrow"/>
                <w:b/>
                <w:color w:val="000000"/>
                <w:sz w:val="20"/>
              </w:rPr>
            </w:pPr>
            <w:r w:rsidRPr="00A74194">
              <w:rPr>
                <w:rFonts w:ascii="Arial Narrow" w:hAnsi="Arial Narrow"/>
                <w:b/>
                <w:color w:val="000000"/>
                <w:sz w:val="20"/>
              </w:rPr>
              <w:t>11.6</w:t>
            </w:r>
          </w:p>
          <w:p w14:paraId="4F3DB605" w14:textId="77777777" w:rsidR="00B159C2" w:rsidRPr="00A74194" w:rsidRDefault="00B159C2" w:rsidP="00FC62BD">
            <w:pPr>
              <w:jc w:val="center"/>
              <w:rPr>
                <w:rFonts w:ascii="Arial Narrow" w:hAnsi="Arial Narrow"/>
                <w:color w:val="000000"/>
                <w:sz w:val="20"/>
              </w:rPr>
            </w:pPr>
            <w:r w:rsidRPr="00A74194">
              <w:rPr>
                <w:rFonts w:ascii="Arial Narrow" w:hAnsi="Arial Narrow"/>
                <w:b/>
                <w:color w:val="000000"/>
                <w:sz w:val="20"/>
              </w:rPr>
              <w:t>(1.9, 21.3)</w:t>
            </w:r>
          </w:p>
        </w:tc>
      </w:tr>
      <w:tr w:rsidR="00B159C2" w:rsidRPr="00A74194" w14:paraId="7939F843" w14:textId="77777777" w:rsidTr="005318A6">
        <w:tc>
          <w:tcPr>
            <w:tcW w:w="273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3BE43CB" w14:textId="77777777" w:rsidR="00B159C2" w:rsidRPr="00A74194" w:rsidRDefault="00B159C2" w:rsidP="00FC62BD">
            <w:pPr>
              <w:jc w:val="left"/>
              <w:rPr>
                <w:rFonts w:ascii="Arial Narrow" w:hAnsi="Arial Narrow"/>
                <w:color w:val="000000"/>
                <w:sz w:val="20"/>
                <w:szCs w:val="18"/>
              </w:rPr>
            </w:pPr>
            <w:r w:rsidRPr="00A74194">
              <w:rPr>
                <w:rFonts w:ascii="Arial Narrow" w:hAnsi="Arial Narrow"/>
                <w:color w:val="000000"/>
                <w:sz w:val="20"/>
                <w:szCs w:val="18"/>
              </w:rPr>
              <w:t>POISE (OCA 10mg)</w:t>
            </w:r>
          </w:p>
        </w:tc>
        <w:tc>
          <w:tcPr>
            <w:tcW w:w="119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53B844F" w14:textId="77777777" w:rsidR="00B159C2" w:rsidRPr="00A74194" w:rsidRDefault="00B159C2" w:rsidP="00FC62BD">
            <w:pPr>
              <w:jc w:val="center"/>
              <w:rPr>
                <w:rFonts w:ascii="Arial Narrow" w:hAnsi="Arial Narrow"/>
                <w:color w:val="000000"/>
                <w:sz w:val="20"/>
              </w:rPr>
            </w:pPr>
            <w:r w:rsidRPr="00A74194">
              <w:rPr>
                <w:rFonts w:ascii="Arial Narrow" w:hAnsi="Arial Narrow"/>
                <w:color w:val="000000"/>
                <w:sz w:val="20"/>
                <w:szCs w:val="18"/>
              </w:rPr>
              <w:t>8/73</w:t>
            </w:r>
          </w:p>
        </w:tc>
        <w:tc>
          <w:tcPr>
            <w:tcW w:w="104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74FA211" w14:textId="77777777" w:rsidR="00B159C2" w:rsidRPr="00A74194" w:rsidRDefault="00B159C2" w:rsidP="00FC62BD">
            <w:pPr>
              <w:jc w:val="center"/>
              <w:rPr>
                <w:rFonts w:ascii="Arial Narrow" w:hAnsi="Arial Narrow"/>
                <w:color w:val="000000"/>
                <w:sz w:val="20"/>
              </w:rPr>
            </w:pPr>
            <w:r w:rsidRPr="00A74194">
              <w:rPr>
                <w:rFonts w:ascii="Arial Narrow" w:hAnsi="Arial Narrow"/>
                <w:color w:val="000000"/>
                <w:sz w:val="20"/>
                <w:szCs w:val="18"/>
              </w:rPr>
              <w:t>3/73</w:t>
            </w:r>
          </w:p>
        </w:tc>
        <w:tc>
          <w:tcPr>
            <w:tcW w:w="0" w:type="auto"/>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5093812" w14:textId="77777777" w:rsidR="00B159C2" w:rsidRPr="00A74194" w:rsidRDefault="00B159C2" w:rsidP="00FC62BD">
            <w:pPr>
              <w:jc w:val="center"/>
              <w:rPr>
                <w:rFonts w:ascii="Arial Narrow" w:hAnsi="Arial Narrow"/>
                <w:color w:val="000000"/>
                <w:sz w:val="20"/>
                <w:szCs w:val="18"/>
              </w:rPr>
            </w:pPr>
            <w:r w:rsidRPr="00A74194">
              <w:rPr>
                <w:rFonts w:ascii="Arial Narrow" w:hAnsi="Arial Narrow"/>
                <w:color w:val="000000"/>
                <w:sz w:val="20"/>
                <w:szCs w:val="18"/>
              </w:rPr>
              <w:t>2.67</w:t>
            </w:r>
          </w:p>
          <w:p w14:paraId="5DB8F8D5" w14:textId="77777777" w:rsidR="00B159C2" w:rsidRPr="00A74194" w:rsidRDefault="00B159C2" w:rsidP="00FC62BD">
            <w:pPr>
              <w:jc w:val="center"/>
              <w:rPr>
                <w:rFonts w:ascii="Arial Narrow" w:hAnsi="Arial Narrow"/>
                <w:color w:val="000000"/>
                <w:sz w:val="20"/>
              </w:rPr>
            </w:pPr>
            <w:r w:rsidRPr="00A74194">
              <w:rPr>
                <w:rFonts w:ascii="Arial Narrow" w:hAnsi="Arial Narrow"/>
                <w:color w:val="000000"/>
                <w:sz w:val="20"/>
                <w:szCs w:val="18"/>
              </w:rPr>
              <w:t>(0.74, 9.66)</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C2EEB9B" w14:textId="77777777" w:rsidR="00B159C2" w:rsidRPr="00A74194" w:rsidRDefault="00B159C2" w:rsidP="00FC62BD">
            <w:pPr>
              <w:jc w:val="center"/>
              <w:rPr>
                <w:rFonts w:ascii="Arial Narrow" w:hAnsi="Arial Narrow"/>
                <w:color w:val="000000"/>
                <w:sz w:val="20"/>
              </w:rPr>
            </w:pPr>
            <w:r w:rsidRPr="00A74194">
              <w:rPr>
                <w:rFonts w:ascii="Arial Narrow" w:hAnsi="Arial Narrow"/>
                <w:color w:val="000000"/>
                <w:sz w:val="20"/>
                <w:szCs w:val="18"/>
              </w:rPr>
              <w:t>11.0</w:t>
            </w:r>
          </w:p>
        </w:tc>
        <w:tc>
          <w:tcPr>
            <w:tcW w:w="91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F11662F" w14:textId="77777777" w:rsidR="00B159C2" w:rsidRPr="00A74194" w:rsidRDefault="00B159C2" w:rsidP="00FC62BD">
            <w:pPr>
              <w:jc w:val="center"/>
              <w:rPr>
                <w:rFonts w:ascii="Arial Narrow" w:hAnsi="Arial Narrow"/>
                <w:color w:val="000000"/>
                <w:sz w:val="20"/>
              </w:rPr>
            </w:pPr>
            <w:r w:rsidRPr="00A74194">
              <w:rPr>
                <w:rFonts w:ascii="Arial Narrow" w:hAnsi="Arial Narrow"/>
                <w:color w:val="000000"/>
                <w:sz w:val="20"/>
                <w:szCs w:val="18"/>
              </w:rPr>
              <w:t>4.2</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98A00D9" w14:textId="77777777" w:rsidR="00B159C2" w:rsidRPr="00A74194" w:rsidRDefault="00B159C2" w:rsidP="00FC62BD">
            <w:pPr>
              <w:jc w:val="center"/>
              <w:rPr>
                <w:rFonts w:ascii="Arial Narrow" w:hAnsi="Arial Narrow"/>
                <w:color w:val="000000"/>
                <w:sz w:val="20"/>
              </w:rPr>
            </w:pPr>
            <w:r w:rsidRPr="00A74194">
              <w:rPr>
                <w:rFonts w:ascii="Arial Narrow" w:hAnsi="Arial Narrow"/>
                <w:color w:val="000000"/>
                <w:sz w:val="20"/>
              </w:rPr>
              <w:t>6.8</w:t>
            </w:r>
          </w:p>
          <w:p w14:paraId="6E4F749F" w14:textId="77777777" w:rsidR="00B159C2" w:rsidRPr="00A74194" w:rsidRDefault="00B159C2" w:rsidP="00FC62BD">
            <w:pPr>
              <w:jc w:val="center"/>
              <w:rPr>
                <w:rFonts w:ascii="Arial Narrow" w:hAnsi="Arial Narrow"/>
                <w:color w:val="000000"/>
                <w:sz w:val="20"/>
              </w:rPr>
            </w:pPr>
            <w:r w:rsidRPr="00A74194">
              <w:rPr>
                <w:rFonts w:ascii="Arial Narrow" w:hAnsi="Arial Narrow"/>
                <w:color w:val="000000"/>
                <w:sz w:val="20"/>
              </w:rPr>
              <w:t>(-1.6, 15.3)</w:t>
            </w:r>
          </w:p>
        </w:tc>
      </w:tr>
      <w:tr w:rsidR="00B159C2" w:rsidRPr="00A74194" w14:paraId="7724373D" w14:textId="77777777" w:rsidTr="005318A6">
        <w:tc>
          <w:tcPr>
            <w:tcW w:w="273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FF60FF6" w14:textId="77777777" w:rsidR="00B159C2" w:rsidRPr="00A74194" w:rsidRDefault="00B159C2" w:rsidP="00FC62BD">
            <w:pPr>
              <w:jc w:val="left"/>
              <w:rPr>
                <w:rFonts w:ascii="Arial Narrow" w:hAnsi="Arial Narrow"/>
                <w:color w:val="000000"/>
                <w:sz w:val="20"/>
                <w:szCs w:val="18"/>
              </w:rPr>
            </w:pPr>
            <w:r w:rsidRPr="00A74194">
              <w:rPr>
                <w:rFonts w:ascii="Arial Narrow" w:hAnsi="Arial Narrow"/>
                <w:color w:val="000000"/>
                <w:sz w:val="20"/>
                <w:szCs w:val="18"/>
              </w:rPr>
              <w:t>747-201 trial (OCA monotherapy)</w:t>
            </w:r>
          </w:p>
        </w:tc>
        <w:tc>
          <w:tcPr>
            <w:tcW w:w="119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DCF2050" w14:textId="77777777" w:rsidR="00B159C2" w:rsidRPr="00A74194" w:rsidRDefault="00B159C2" w:rsidP="00FC62BD">
            <w:pPr>
              <w:jc w:val="center"/>
              <w:rPr>
                <w:rFonts w:ascii="Arial Narrow" w:hAnsi="Arial Narrow"/>
                <w:color w:val="000000"/>
                <w:sz w:val="20"/>
              </w:rPr>
            </w:pPr>
            <w:r w:rsidRPr="00A74194">
              <w:rPr>
                <w:rFonts w:ascii="Arial Narrow" w:hAnsi="Arial Narrow"/>
                <w:color w:val="000000"/>
                <w:sz w:val="20"/>
              </w:rPr>
              <w:t>0/20</w:t>
            </w:r>
          </w:p>
        </w:tc>
        <w:tc>
          <w:tcPr>
            <w:tcW w:w="104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E1795FF" w14:textId="77777777" w:rsidR="00B159C2" w:rsidRPr="00A74194" w:rsidRDefault="00B159C2" w:rsidP="00FC62BD">
            <w:pPr>
              <w:jc w:val="center"/>
              <w:rPr>
                <w:rFonts w:ascii="Arial Narrow" w:hAnsi="Arial Narrow"/>
                <w:color w:val="000000"/>
                <w:sz w:val="20"/>
              </w:rPr>
            </w:pPr>
            <w:r w:rsidRPr="00A74194">
              <w:rPr>
                <w:rFonts w:ascii="Arial Narrow" w:hAnsi="Arial Narrow"/>
                <w:color w:val="000000"/>
                <w:sz w:val="20"/>
              </w:rPr>
              <w:t>1/23</w:t>
            </w:r>
          </w:p>
        </w:tc>
        <w:tc>
          <w:tcPr>
            <w:tcW w:w="0" w:type="auto"/>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9E237EC" w14:textId="77777777" w:rsidR="00B159C2" w:rsidRPr="00A74194" w:rsidRDefault="00B159C2" w:rsidP="00FC62BD">
            <w:pPr>
              <w:jc w:val="center"/>
              <w:rPr>
                <w:rFonts w:ascii="Arial Narrow" w:hAnsi="Arial Narrow"/>
                <w:color w:val="000000"/>
                <w:sz w:val="20"/>
              </w:rPr>
            </w:pPr>
            <w:r w:rsidRPr="00A74194">
              <w:rPr>
                <w:rFonts w:ascii="Arial Narrow" w:hAnsi="Arial Narrow"/>
                <w:color w:val="000000"/>
                <w:sz w:val="20"/>
              </w:rPr>
              <w:t>0.38</w:t>
            </w:r>
          </w:p>
          <w:p w14:paraId="16881BF3" w14:textId="77777777" w:rsidR="00B159C2" w:rsidRPr="00A74194" w:rsidRDefault="00B159C2" w:rsidP="00FC62BD">
            <w:pPr>
              <w:jc w:val="center"/>
              <w:rPr>
                <w:rFonts w:ascii="Arial Narrow" w:hAnsi="Arial Narrow"/>
                <w:color w:val="000000"/>
                <w:sz w:val="20"/>
              </w:rPr>
            </w:pPr>
            <w:r w:rsidRPr="00A74194">
              <w:rPr>
                <w:rFonts w:ascii="Arial Narrow" w:hAnsi="Arial Narrow"/>
                <w:color w:val="000000"/>
                <w:sz w:val="20"/>
              </w:rPr>
              <w:t>(0.02, 8.86)</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EA4EA21" w14:textId="77777777" w:rsidR="00B159C2" w:rsidRPr="00A74194" w:rsidRDefault="00B159C2" w:rsidP="00FC62BD">
            <w:pPr>
              <w:jc w:val="center"/>
              <w:rPr>
                <w:rFonts w:ascii="Arial Narrow" w:hAnsi="Arial Narrow"/>
                <w:color w:val="000000"/>
                <w:sz w:val="20"/>
              </w:rPr>
            </w:pPr>
            <w:r w:rsidRPr="00A74194">
              <w:rPr>
                <w:rFonts w:ascii="Arial Narrow" w:hAnsi="Arial Narrow"/>
                <w:color w:val="000000"/>
                <w:sz w:val="20"/>
              </w:rPr>
              <w:t>0.0</w:t>
            </w:r>
          </w:p>
        </w:tc>
        <w:tc>
          <w:tcPr>
            <w:tcW w:w="91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7B6DE50" w14:textId="77777777" w:rsidR="00B159C2" w:rsidRPr="00A74194" w:rsidRDefault="00B159C2" w:rsidP="00FC62BD">
            <w:pPr>
              <w:jc w:val="center"/>
              <w:rPr>
                <w:rFonts w:ascii="Arial Narrow" w:hAnsi="Arial Narrow"/>
                <w:color w:val="000000"/>
                <w:sz w:val="20"/>
              </w:rPr>
            </w:pPr>
            <w:r w:rsidRPr="00A74194">
              <w:rPr>
                <w:rFonts w:ascii="Arial Narrow" w:hAnsi="Arial Narrow"/>
                <w:color w:val="000000"/>
                <w:sz w:val="20"/>
              </w:rPr>
              <w:t>0.04</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D7B734F" w14:textId="77777777" w:rsidR="00B159C2" w:rsidRPr="00A74194" w:rsidRDefault="00B159C2" w:rsidP="00FC62BD">
            <w:pPr>
              <w:jc w:val="center"/>
              <w:rPr>
                <w:rFonts w:ascii="Arial Narrow" w:hAnsi="Arial Narrow"/>
                <w:color w:val="000000"/>
                <w:sz w:val="20"/>
              </w:rPr>
            </w:pPr>
            <w:r w:rsidRPr="00A74194">
              <w:rPr>
                <w:rFonts w:ascii="Arial Narrow" w:hAnsi="Arial Narrow"/>
                <w:color w:val="000000"/>
                <w:sz w:val="20"/>
              </w:rPr>
              <w:t>-0.04</w:t>
            </w:r>
          </w:p>
          <w:p w14:paraId="64038C24" w14:textId="77777777" w:rsidR="00B159C2" w:rsidRPr="00A74194" w:rsidRDefault="00B159C2" w:rsidP="00FC62BD">
            <w:pPr>
              <w:jc w:val="center"/>
              <w:rPr>
                <w:rFonts w:ascii="Arial Narrow" w:hAnsi="Arial Narrow"/>
                <w:color w:val="000000"/>
                <w:sz w:val="20"/>
              </w:rPr>
            </w:pPr>
            <w:r w:rsidRPr="00A74194">
              <w:rPr>
                <w:rFonts w:ascii="Arial Narrow" w:hAnsi="Arial Narrow"/>
                <w:color w:val="000000"/>
                <w:sz w:val="20"/>
              </w:rPr>
              <w:t>(-0.13,0.04)</w:t>
            </w:r>
          </w:p>
        </w:tc>
      </w:tr>
      <w:tr w:rsidR="00B159C2" w:rsidRPr="00A74194" w14:paraId="22BF1574" w14:textId="77777777" w:rsidTr="005318A6">
        <w:tc>
          <w:tcPr>
            <w:tcW w:w="273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3680A28" w14:textId="77777777" w:rsidR="00B159C2" w:rsidRPr="00A74194" w:rsidRDefault="00B159C2" w:rsidP="00FC62BD">
            <w:pPr>
              <w:jc w:val="left"/>
              <w:rPr>
                <w:rFonts w:ascii="Arial Narrow" w:hAnsi="Arial Narrow"/>
                <w:color w:val="000000"/>
                <w:sz w:val="20"/>
                <w:szCs w:val="18"/>
              </w:rPr>
            </w:pPr>
            <w:r w:rsidRPr="00A74194">
              <w:rPr>
                <w:rFonts w:ascii="Arial Narrow" w:hAnsi="Arial Narrow"/>
                <w:color w:val="000000"/>
                <w:sz w:val="20"/>
                <w:szCs w:val="18"/>
              </w:rPr>
              <w:t xml:space="preserve">747-202 trial (OCA combination) </w:t>
            </w:r>
          </w:p>
        </w:tc>
        <w:tc>
          <w:tcPr>
            <w:tcW w:w="119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95A890F" w14:textId="77777777" w:rsidR="00B159C2" w:rsidRPr="00A74194" w:rsidRDefault="00B159C2" w:rsidP="00FC62BD">
            <w:pPr>
              <w:jc w:val="center"/>
              <w:rPr>
                <w:rFonts w:ascii="Arial Narrow" w:hAnsi="Arial Narrow"/>
                <w:color w:val="000000"/>
                <w:sz w:val="20"/>
              </w:rPr>
            </w:pPr>
            <w:r w:rsidRPr="00A74194">
              <w:rPr>
                <w:rFonts w:ascii="Arial Narrow" w:hAnsi="Arial Narrow"/>
                <w:color w:val="000000"/>
                <w:sz w:val="20"/>
              </w:rPr>
              <w:t>0/38</w:t>
            </w:r>
          </w:p>
        </w:tc>
        <w:tc>
          <w:tcPr>
            <w:tcW w:w="104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148C6D5" w14:textId="77777777" w:rsidR="00B159C2" w:rsidRPr="00A74194" w:rsidRDefault="00B159C2" w:rsidP="00FC62BD">
            <w:pPr>
              <w:jc w:val="center"/>
              <w:rPr>
                <w:rFonts w:ascii="Arial Narrow" w:hAnsi="Arial Narrow"/>
                <w:color w:val="000000"/>
                <w:sz w:val="20"/>
              </w:rPr>
            </w:pPr>
            <w:r w:rsidRPr="00A74194">
              <w:rPr>
                <w:rFonts w:ascii="Arial Narrow" w:hAnsi="Arial Narrow"/>
                <w:color w:val="000000"/>
                <w:sz w:val="20"/>
              </w:rPr>
              <w:t>1/38</w:t>
            </w:r>
          </w:p>
        </w:tc>
        <w:tc>
          <w:tcPr>
            <w:tcW w:w="0" w:type="auto"/>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000D709" w14:textId="77777777" w:rsidR="00B159C2" w:rsidRPr="00A74194" w:rsidRDefault="00B159C2" w:rsidP="00FC62BD">
            <w:pPr>
              <w:jc w:val="center"/>
              <w:rPr>
                <w:rFonts w:ascii="Arial Narrow" w:hAnsi="Arial Narrow"/>
                <w:color w:val="000000"/>
                <w:sz w:val="20"/>
              </w:rPr>
            </w:pPr>
            <w:r w:rsidRPr="00A74194">
              <w:rPr>
                <w:rFonts w:ascii="Arial Narrow" w:hAnsi="Arial Narrow"/>
                <w:color w:val="000000"/>
                <w:sz w:val="20"/>
              </w:rPr>
              <w:t>0.33</w:t>
            </w:r>
          </w:p>
          <w:p w14:paraId="0B463F47" w14:textId="77777777" w:rsidR="00B159C2" w:rsidRPr="00A74194" w:rsidRDefault="00B159C2" w:rsidP="00FC62BD">
            <w:pPr>
              <w:jc w:val="center"/>
              <w:rPr>
                <w:rFonts w:ascii="Arial Narrow" w:hAnsi="Arial Narrow"/>
                <w:color w:val="000000"/>
                <w:sz w:val="20"/>
              </w:rPr>
            </w:pPr>
            <w:r w:rsidRPr="00A74194">
              <w:rPr>
                <w:rFonts w:ascii="Arial Narrow" w:hAnsi="Arial Narrow"/>
                <w:color w:val="000000"/>
                <w:sz w:val="20"/>
              </w:rPr>
              <w:t>(0.01, 7.93)</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0F63374" w14:textId="77777777" w:rsidR="00B159C2" w:rsidRPr="00A74194" w:rsidRDefault="00B159C2" w:rsidP="00FC62BD">
            <w:pPr>
              <w:jc w:val="center"/>
              <w:rPr>
                <w:rFonts w:ascii="Arial Narrow" w:hAnsi="Arial Narrow"/>
                <w:color w:val="000000"/>
                <w:sz w:val="20"/>
              </w:rPr>
            </w:pPr>
            <w:r w:rsidRPr="00A74194">
              <w:rPr>
                <w:rFonts w:ascii="Arial Narrow" w:hAnsi="Arial Narrow"/>
                <w:color w:val="000000"/>
                <w:sz w:val="20"/>
              </w:rPr>
              <w:t>0.0</w:t>
            </w:r>
          </w:p>
        </w:tc>
        <w:tc>
          <w:tcPr>
            <w:tcW w:w="91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020A682" w14:textId="77777777" w:rsidR="00B159C2" w:rsidRPr="00A74194" w:rsidRDefault="00B159C2" w:rsidP="00FC62BD">
            <w:pPr>
              <w:jc w:val="center"/>
              <w:rPr>
                <w:rFonts w:ascii="Arial Narrow" w:hAnsi="Arial Narrow"/>
                <w:color w:val="000000"/>
                <w:sz w:val="20"/>
              </w:rPr>
            </w:pPr>
            <w:r w:rsidRPr="00A74194">
              <w:rPr>
                <w:rFonts w:ascii="Arial Narrow" w:hAnsi="Arial Narrow"/>
                <w:color w:val="000000"/>
                <w:sz w:val="20"/>
              </w:rPr>
              <w:t>0.03</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FA09A00" w14:textId="77777777" w:rsidR="00B159C2" w:rsidRPr="00A74194" w:rsidRDefault="00B159C2" w:rsidP="00FC62BD">
            <w:pPr>
              <w:jc w:val="center"/>
              <w:rPr>
                <w:rFonts w:ascii="Arial Narrow" w:hAnsi="Arial Narrow"/>
                <w:color w:val="000000"/>
                <w:sz w:val="20"/>
              </w:rPr>
            </w:pPr>
            <w:r w:rsidRPr="00A74194">
              <w:rPr>
                <w:rFonts w:ascii="Arial Narrow" w:hAnsi="Arial Narrow"/>
                <w:color w:val="000000"/>
                <w:sz w:val="20"/>
              </w:rPr>
              <w:t>-0.03</w:t>
            </w:r>
          </w:p>
          <w:p w14:paraId="6F40C47E" w14:textId="77777777" w:rsidR="00B159C2" w:rsidRPr="00A74194" w:rsidRDefault="00B159C2" w:rsidP="00FC62BD">
            <w:pPr>
              <w:jc w:val="center"/>
              <w:rPr>
                <w:rFonts w:ascii="Arial Narrow" w:hAnsi="Arial Narrow"/>
                <w:color w:val="000000"/>
                <w:sz w:val="20"/>
              </w:rPr>
            </w:pPr>
            <w:r w:rsidRPr="00A74194">
              <w:rPr>
                <w:rFonts w:ascii="Arial Narrow" w:hAnsi="Arial Narrow"/>
                <w:color w:val="000000"/>
                <w:sz w:val="20"/>
              </w:rPr>
              <w:t>(-0.08, 0.02)</w:t>
            </w:r>
          </w:p>
        </w:tc>
      </w:tr>
    </w:tbl>
    <w:p w14:paraId="17A6CA66" w14:textId="77777777" w:rsidR="00F85A0A" w:rsidRPr="00A74194" w:rsidRDefault="00732C37" w:rsidP="00F85A0A">
      <w:pPr>
        <w:pStyle w:val="TableFooter"/>
      </w:pPr>
      <w:r w:rsidRPr="00A74194">
        <w:rPr>
          <w:rFonts w:cstheme="minorHAnsi"/>
        </w:rPr>
        <w:t xml:space="preserve">ALP = alkaline phosphatase; NR = not reported; </w:t>
      </w:r>
      <w:r w:rsidR="00F85A0A" w:rsidRPr="00A74194">
        <w:rPr>
          <w:rFonts w:cstheme="minorHAnsi"/>
        </w:rPr>
        <w:t xml:space="preserve">OCA = obeticholic acid; </w:t>
      </w:r>
      <w:r w:rsidR="00F85A0A" w:rsidRPr="00A74194">
        <w:t xml:space="preserve">RD = risk difference; RR = risk ratio; SAE = serious adverse event; </w:t>
      </w:r>
      <w:r w:rsidRPr="00A74194">
        <w:t xml:space="preserve">SD = standard deviation; </w:t>
      </w:r>
      <w:r w:rsidR="00F85A0A" w:rsidRPr="00A74194">
        <w:t xml:space="preserve">TEAE = treatment emergent adverse event; </w:t>
      </w:r>
      <w:r w:rsidR="00F85A0A" w:rsidRPr="00A74194">
        <w:rPr>
          <w:rFonts w:cstheme="minorHAnsi"/>
        </w:rPr>
        <w:t>UDCA = ursodeoxycholic acid</w:t>
      </w:r>
      <w:r w:rsidRPr="00A74194">
        <w:rPr>
          <w:rFonts w:cstheme="minorHAnsi"/>
        </w:rPr>
        <w:t>; ULN = upper limit of normal</w:t>
      </w:r>
      <w:r w:rsidR="00F85A0A" w:rsidRPr="00A74194">
        <w:t>.</w:t>
      </w:r>
    </w:p>
    <w:p w14:paraId="74AF7AED" w14:textId="77777777" w:rsidR="00F85A0A" w:rsidRPr="00A74194" w:rsidRDefault="00F85A0A" w:rsidP="00F85A0A">
      <w:pPr>
        <w:pStyle w:val="TableFooter"/>
      </w:pPr>
      <w:r w:rsidRPr="00A74194">
        <w:rPr>
          <w:b/>
        </w:rPr>
        <w:t>Bold</w:t>
      </w:r>
      <w:r w:rsidRPr="00A74194">
        <w:t xml:space="preserve"> indicates statistical significance.</w:t>
      </w:r>
    </w:p>
    <w:p w14:paraId="0B0BC811" w14:textId="77777777" w:rsidR="00B159C2" w:rsidRPr="00A74194" w:rsidRDefault="00B159C2" w:rsidP="00B159C2">
      <w:pPr>
        <w:pStyle w:val="TableFooter"/>
      </w:pPr>
      <w:r w:rsidRPr="00A74194">
        <w:t>*Maximum duration of follow-up: POISE</w:t>
      </w:r>
      <w:r w:rsidR="00732C37" w:rsidRPr="00A74194">
        <w:t xml:space="preserve"> </w:t>
      </w:r>
      <w:r w:rsidRPr="00A74194">
        <w:t>=</w:t>
      </w:r>
      <w:r w:rsidR="00732C37" w:rsidRPr="00A74194">
        <w:t xml:space="preserve"> </w:t>
      </w:r>
      <w:r w:rsidRPr="00A74194">
        <w:t>12 months, 747-201 trial</w:t>
      </w:r>
      <w:r w:rsidR="00732C37" w:rsidRPr="00A74194">
        <w:t xml:space="preserve"> </w:t>
      </w:r>
      <w:r w:rsidRPr="00A74194">
        <w:t>= 14 weeks; 747-202 trial</w:t>
      </w:r>
      <w:r w:rsidR="00732C37" w:rsidRPr="00A74194">
        <w:t xml:space="preserve"> </w:t>
      </w:r>
      <w:r w:rsidRPr="00A74194">
        <w:t>= 14 weeks</w:t>
      </w:r>
    </w:p>
    <w:p w14:paraId="5E06F24A" w14:textId="77777777" w:rsidR="00B159C2" w:rsidRPr="00A74194" w:rsidRDefault="00B159C2" w:rsidP="00B159C2">
      <w:pPr>
        <w:pStyle w:val="TableFooter"/>
      </w:pPr>
      <w:r w:rsidRPr="00A74194">
        <w:t>** Added 0.5 patients.</w:t>
      </w:r>
    </w:p>
    <w:p w14:paraId="4B89F0FA" w14:textId="77777777" w:rsidR="00820E3A" w:rsidRPr="00A74194" w:rsidRDefault="00B159C2" w:rsidP="00B159C2">
      <w:pPr>
        <w:pStyle w:val="TableFooter"/>
        <w:rPr>
          <w:szCs w:val="18"/>
        </w:rPr>
      </w:pPr>
      <w:r w:rsidRPr="00A74194">
        <w:t xml:space="preserve">Source: Complied during the evaluation based on Table 29 </w:t>
      </w:r>
      <w:r w:rsidRPr="00A74194">
        <w:rPr>
          <w:rFonts w:cstheme="minorHAnsi"/>
          <w:szCs w:val="18"/>
        </w:rPr>
        <w:t>of the resubmission</w:t>
      </w:r>
      <w:r w:rsidRPr="00A74194">
        <w:t xml:space="preserve">, p89-90, Table 33 of the resubmission, p92-93, and, </w:t>
      </w:r>
      <w:r w:rsidRPr="00A74194">
        <w:rPr>
          <w:szCs w:val="18"/>
        </w:rPr>
        <w:t>Table 2.5.23, p81, Table 2.5.24, p81 of Appendix 01-02 the resubmission</w:t>
      </w:r>
      <w:r w:rsidR="00820E3A" w:rsidRPr="00A74194">
        <w:rPr>
          <w:szCs w:val="18"/>
        </w:rPr>
        <w:t>.</w:t>
      </w:r>
    </w:p>
    <w:p w14:paraId="05EE7679" w14:textId="77777777" w:rsidR="00B159C2" w:rsidRPr="00A74194" w:rsidRDefault="00820E3A" w:rsidP="00B159C2">
      <w:pPr>
        <w:pStyle w:val="TableFooter"/>
        <w:rPr>
          <w:rFonts w:cstheme="minorHAnsi"/>
          <w:szCs w:val="18"/>
        </w:rPr>
      </w:pPr>
      <w:r w:rsidRPr="00A74194">
        <w:rPr>
          <w:szCs w:val="18"/>
          <w:shd w:val="clear" w:color="auto" w:fill="B8CCE4" w:themeFill="accent1" w:themeFillTint="66"/>
        </w:rPr>
        <w:t>Blue shading indicates data previously seen by the PBAC.</w:t>
      </w:r>
    </w:p>
    <w:p w14:paraId="2843B6A8" w14:textId="77777777" w:rsidR="00B159C2" w:rsidRPr="00A74194" w:rsidRDefault="00B159C2" w:rsidP="00F22259"/>
    <w:p w14:paraId="48C3156F" w14:textId="77777777" w:rsidR="00B159C2" w:rsidRPr="00A74194" w:rsidRDefault="00B159C2" w:rsidP="00B159C2">
      <w:pPr>
        <w:pStyle w:val="3-BodyText"/>
      </w:pPr>
      <w:r w:rsidRPr="00A74194">
        <w:t xml:space="preserve">On the basis of direct evidence presented by the </w:t>
      </w:r>
      <w:r w:rsidR="0019716A" w:rsidRPr="00A74194">
        <w:t>re</w:t>
      </w:r>
      <w:r w:rsidRPr="00A74194">
        <w:t xml:space="preserve">submission (POISE trial), for every 100 patients treated with OCA 5-10 mg titration +/- UDCA in comparison to placebo +/- UDCA and over a maximum duration of follow-up of 12 months: </w:t>
      </w:r>
    </w:p>
    <w:p w14:paraId="7F1A2B52" w14:textId="77777777" w:rsidR="00B159C2" w:rsidRPr="00A74194" w:rsidRDefault="00B159C2" w:rsidP="00164D71">
      <w:pPr>
        <w:pStyle w:val="3-BodyText"/>
        <w:numPr>
          <w:ilvl w:val="0"/>
          <w:numId w:val="14"/>
        </w:numPr>
        <w:ind w:left="1077" w:hanging="357"/>
      </w:pPr>
      <w:r w:rsidRPr="00A74194">
        <w:t>Approximately 36 additional UDCA-inadequate responders would not experience PBC disease progression;</w:t>
      </w:r>
    </w:p>
    <w:p w14:paraId="29FCED7D" w14:textId="77777777" w:rsidR="00B159C2" w:rsidRPr="00A74194" w:rsidRDefault="00B159C2" w:rsidP="00164D71">
      <w:pPr>
        <w:pStyle w:val="3-BodyText"/>
        <w:numPr>
          <w:ilvl w:val="0"/>
          <w:numId w:val="14"/>
        </w:numPr>
        <w:ind w:left="1077" w:hanging="357"/>
      </w:pPr>
      <w:r w:rsidRPr="00A74194">
        <w:t>Approximately 17 additional patients would experience pruritus; and</w:t>
      </w:r>
    </w:p>
    <w:p w14:paraId="672FA242" w14:textId="77777777" w:rsidR="00B159C2" w:rsidRPr="00A74194" w:rsidRDefault="00B159C2" w:rsidP="00164D71">
      <w:pPr>
        <w:pStyle w:val="3-BodyText"/>
        <w:numPr>
          <w:ilvl w:val="0"/>
          <w:numId w:val="14"/>
        </w:numPr>
        <w:ind w:left="1077" w:hanging="357"/>
      </w:pPr>
      <w:r w:rsidRPr="00A74194">
        <w:t>Approximately 12 additional patients would experience at least one SAE.</w:t>
      </w:r>
    </w:p>
    <w:p w14:paraId="2970B39E" w14:textId="77777777" w:rsidR="00B159C2" w:rsidRPr="00A74194" w:rsidRDefault="00B159C2" w:rsidP="00B159C2">
      <w:pPr>
        <w:pStyle w:val="3-BodyText"/>
      </w:pPr>
      <w:r w:rsidRPr="00A74194">
        <w:t xml:space="preserve">On the basis of direct evidence presented by the </w:t>
      </w:r>
      <w:r w:rsidR="0019716A" w:rsidRPr="00A74194">
        <w:t>re</w:t>
      </w:r>
      <w:r w:rsidRPr="00A74194">
        <w:t>submission (POISE trial), for every 100 patients treated with OCA 10</w:t>
      </w:r>
      <w:r w:rsidR="00763C91" w:rsidRPr="00A74194">
        <w:t xml:space="preserve"> </w:t>
      </w:r>
      <w:r w:rsidRPr="00A74194">
        <w:t>mg</w:t>
      </w:r>
      <w:r w:rsidR="00763C91" w:rsidRPr="00A74194">
        <w:t xml:space="preserve"> </w:t>
      </w:r>
      <w:r w:rsidRPr="00A74194">
        <w:t xml:space="preserve">+/- UDCA in comparison to placebo +/- UDCA and over a maximum duration of follow-up of 12 months: </w:t>
      </w:r>
    </w:p>
    <w:p w14:paraId="63A76E9E" w14:textId="77777777" w:rsidR="00B159C2" w:rsidRPr="00A74194" w:rsidRDefault="00B159C2" w:rsidP="00164D71">
      <w:pPr>
        <w:pStyle w:val="3-BodyText"/>
        <w:numPr>
          <w:ilvl w:val="0"/>
          <w:numId w:val="15"/>
        </w:numPr>
        <w:ind w:left="1077" w:hanging="357"/>
        <w:jc w:val="left"/>
      </w:pPr>
      <w:r w:rsidRPr="00A74194">
        <w:t>Approximately 39 additional UDCA-inadequate responders would not experience PBC disease progression;</w:t>
      </w:r>
    </w:p>
    <w:p w14:paraId="294B8269" w14:textId="77777777" w:rsidR="00B159C2" w:rsidRPr="00A74194" w:rsidRDefault="00B159C2" w:rsidP="00164D71">
      <w:pPr>
        <w:pStyle w:val="3-BodyText"/>
        <w:numPr>
          <w:ilvl w:val="0"/>
          <w:numId w:val="15"/>
        </w:numPr>
        <w:ind w:left="1077" w:hanging="357"/>
        <w:jc w:val="left"/>
      </w:pPr>
      <w:r w:rsidRPr="00A74194">
        <w:t>Approximately 30 additional patients would experience pruritus.</w:t>
      </w:r>
    </w:p>
    <w:p w14:paraId="50D6B5E8" w14:textId="77777777" w:rsidR="00B159C2" w:rsidRPr="00A74194" w:rsidRDefault="00B159C2" w:rsidP="00B159C2">
      <w:pPr>
        <w:pStyle w:val="3-BodyText"/>
      </w:pPr>
      <w:r w:rsidRPr="00A74194">
        <w:t xml:space="preserve">On the basis of direct evidence presented by the </w:t>
      </w:r>
      <w:r w:rsidR="0019716A" w:rsidRPr="00A74194">
        <w:t>re</w:t>
      </w:r>
      <w:r w:rsidRPr="00A74194">
        <w:t xml:space="preserve">submission (747-201 trial), the comparison of OCA 10mg monotherapy and placebo resulted in a significant reduction in the percentage change in ALP from baseline to the end of the trial. </w:t>
      </w:r>
    </w:p>
    <w:p w14:paraId="580D7539" w14:textId="77777777" w:rsidR="00B159C2" w:rsidRPr="00A74194" w:rsidRDefault="00B159C2" w:rsidP="00B159C2">
      <w:pPr>
        <w:pStyle w:val="3-BodyText"/>
      </w:pPr>
      <w:r w:rsidRPr="00A74194">
        <w:t xml:space="preserve">On the basis of direct evidence presented by the </w:t>
      </w:r>
      <w:r w:rsidR="0019716A" w:rsidRPr="00A74194">
        <w:t>re</w:t>
      </w:r>
      <w:r w:rsidRPr="00A74194">
        <w:t>submission (747-202 trial), the comparison of OCA 10mg +</w:t>
      </w:r>
      <w:r w:rsidR="005A06D1" w:rsidRPr="00A74194">
        <w:t xml:space="preserve"> </w:t>
      </w:r>
      <w:r w:rsidRPr="00A74194">
        <w:t>UDCA and placebo +</w:t>
      </w:r>
      <w:r w:rsidR="005A06D1" w:rsidRPr="00A74194">
        <w:t xml:space="preserve"> </w:t>
      </w:r>
      <w:r w:rsidRPr="00A74194">
        <w:t>UDCA resulted in a significant reduction in the percentage change in ALP from baseline to the end of the trial.</w:t>
      </w:r>
    </w:p>
    <w:p w14:paraId="1756F3C9" w14:textId="77777777" w:rsidR="00B159C2" w:rsidRPr="00A74194" w:rsidRDefault="00B159C2" w:rsidP="00B159C2">
      <w:pPr>
        <w:pStyle w:val="4-SubsectionHeading"/>
      </w:pPr>
      <w:bookmarkStart w:id="37" w:name="_Toc22897644"/>
      <w:bookmarkStart w:id="38" w:name="_Toc22898856"/>
      <w:bookmarkStart w:id="39" w:name="_Toc50371940"/>
      <w:r w:rsidRPr="00A74194">
        <w:t>Clinical claim</w:t>
      </w:r>
      <w:bookmarkEnd w:id="37"/>
      <w:bookmarkEnd w:id="38"/>
      <w:bookmarkEnd w:id="39"/>
    </w:p>
    <w:p w14:paraId="7DD324F5" w14:textId="77777777" w:rsidR="009F4782" w:rsidRPr="009F4782" w:rsidRDefault="00B159C2" w:rsidP="009F4782">
      <w:pPr>
        <w:pStyle w:val="3-BodyText"/>
        <w:spacing w:after="160"/>
      </w:pPr>
      <w:r w:rsidRPr="00A74194">
        <w:t xml:space="preserve">The resubmission described OCA 5-10 mg titration dosing as superior in terms of effectiveness compared with best supportive care when used as combination therapy </w:t>
      </w:r>
      <w:r w:rsidRPr="00A74194">
        <w:lastRenderedPageBreak/>
        <w:t>with UDCA for patients with prior inadequate response to UDCA.</w:t>
      </w:r>
      <w:r w:rsidR="009F4782">
        <w:t xml:space="preserve"> </w:t>
      </w:r>
      <w:r w:rsidRPr="009F4782">
        <w:rPr>
          <w:color w:val="000000" w:themeColor="text1"/>
        </w:rPr>
        <w:t xml:space="preserve">This claim is unchanged from the previous submission. The PBAC previously considered that the magnitude of the clinical benefit </w:t>
      </w:r>
      <w:r w:rsidR="007070B0" w:rsidRPr="009F4782">
        <w:rPr>
          <w:color w:val="000000" w:themeColor="text1"/>
        </w:rPr>
        <w:t xml:space="preserve">was </w:t>
      </w:r>
      <w:r w:rsidRPr="009F4782">
        <w:rPr>
          <w:color w:val="000000" w:themeColor="text1"/>
        </w:rPr>
        <w:t xml:space="preserve">uncertain given the relatively small sample size in </w:t>
      </w:r>
      <w:r w:rsidR="0010229D" w:rsidRPr="009F4782">
        <w:rPr>
          <w:color w:val="000000" w:themeColor="text1"/>
        </w:rPr>
        <w:t xml:space="preserve">the </w:t>
      </w:r>
      <w:r w:rsidRPr="009F4782">
        <w:rPr>
          <w:color w:val="000000" w:themeColor="text1"/>
        </w:rPr>
        <w:t>POISE</w:t>
      </w:r>
      <w:r w:rsidR="0010229D" w:rsidRPr="009F4782">
        <w:rPr>
          <w:color w:val="000000" w:themeColor="text1"/>
        </w:rPr>
        <w:t xml:space="preserve"> trial</w:t>
      </w:r>
      <w:r w:rsidRPr="009F4782">
        <w:rPr>
          <w:color w:val="000000" w:themeColor="text1"/>
        </w:rPr>
        <w:t xml:space="preserve"> (n = 200) and as over 50% of patients failed to meet the primary end point at 12 months (paragraph 7.6, obeticholic acid PSD, July 2019).</w:t>
      </w:r>
      <w:r w:rsidR="00FB2203" w:rsidRPr="009F4782">
        <w:rPr>
          <w:i/>
        </w:rPr>
        <w:t xml:space="preserve"> </w:t>
      </w:r>
    </w:p>
    <w:p w14:paraId="283DBB06" w14:textId="77777777" w:rsidR="009F4782" w:rsidRPr="009F4782" w:rsidRDefault="00B159C2" w:rsidP="009F4782">
      <w:pPr>
        <w:pStyle w:val="ListParagraph"/>
        <w:numPr>
          <w:ilvl w:val="1"/>
          <w:numId w:val="1"/>
        </w:numPr>
        <w:spacing w:after="160"/>
      </w:pPr>
      <w:r w:rsidRPr="00A74194">
        <w:t>The resubmission described OCA 5-10 mg titration dosing as superior in terms of effectiveness compared with placebo when used as monotherapy for patients who are intolerant to UDCA.</w:t>
      </w:r>
      <w:r w:rsidR="009F4782">
        <w:t xml:space="preserve"> </w:t>
      </w:r>
      <w:r w:rsidRPr="009F4782">
        <w:rPr>
          <w:color w:val="000000" w:themeColor="text1"/>
        </w:rPr>
        <w:t>This claim is unchanged from the previous submission. T</w:t>
      </w:r>
      <w:r w:rsidRPr="009F4782">
        <w:rPr>
          <w:iCs/>
          <w:color w:val="000000" w:themeColor="text1"/>
        </w:rPr>
        <w:t xml:space="preserve">he PBAC previously considered that the clinical claim was not adequately supported by the data </w:t>
      </w:r>
      <w:r w:rsidRPr="009F4782">
        <w:rPr>
          <w:color w:val="000000" w:themeColor="text1"/>
        </w:rPr>
        <w:t xml:space="preserve">(paragraph 7.8, obeticholic acid PSD, July 2019). </w:t>
      </w:r>
    </w:p>
    <w:p w14:paraId="633C9DEF" w14:textId="77777777" w:rsidR="00B159C2" w:rsidRPr="009F4782" w:rsidRDefault="00B159C2" w:rsidP="009F4782">
      <w:pPr>
        <w:pStyle w:val="ListParagraph"/>
        <w:numPr>
          <w:ilvl w:val="1"/>
          <w:numId w:val="1"/>
        </w:numPr>
        <w:spacing w:after="160"/>
      </w:pPr>
      <w:r w:rsidRPr="00A74194">
        <w:t>The resubmission described OCA 5-10 mg titration dosing as inferior in terms of safety compared with placebo/best supportive care when used as combination therapy with UDCA for patients with prior inadequate response to UDCA and as monotherapy for patients who are intolerant to UDCA.</w:t>
      </w:r>
      <w:r w:rsidR="009F4782">
        <w:t xml:space="preserve"> </w:t>
      </w:r>
      <w:r w:rsidRPr="009F4782">
        <w:rPr>
          <w:color w:val="000000" w:themeColor="text1"/>
        </w:rPr>
        <w:t>This claim is unchanged from the previous submission. The PBAC previously considered that this was reasonable (paragraph 7.7, obeticholic acid PSD, July 2019).</w:t>
      </w:r>
    </w:p>
    <w:p w14:paraId="2783C1FA" w14:textId="77777777" w:rsidR="00164D71" w:rsidRPr="00A74194" w:rsidRDefault="00164D71" w:rsidP="00164D71">
      <w:pPr>
        <w:pStyle w:val="4-SubsectionHeading"/>
      </w:pPr>
      <w:bookmarkStart w:id="40" w:name="_Toc22897645"/>
      <w:bookmarkStart w:id="41" w:name="_Toc22898857"/>
      <w:bookmarkStart w:id="42" w:name="_Toc50371941"/>
      <w:r w:rsidRPr="00A74194">
        <w:t>Economic analysis</w:t>
      </w:r>
      <w:bookmarkEnd w:id="40"/>
      <w:bookmarkEnd w:id="41"/>
      <w:bookmarkEnd w:id="42"/>
      <w:r w:rsidRPr="00A74194">
        <w:t xml:space="preserve"> </w:t>
      </w:r>
    </w:p>
    <w:p w14:paraId="04B559BB" w14:textId="77777777" w:rsidR="00164D71" w:rsidRPr="00A74194" w:rsidRDefault="00164D71" w:rsidP="00164D71">
      <w:pPr>
        <w:pStyle w:val="ListParagraph"/>
        <w:numPr>
          <w:ilvl w:val="1"/>
          <w:numId w:val="1"/>
        </w:numPr>
        <w:spacing w:after="160"/>
        <w:rPr>
          <w:rFonts w:cs="Calibri"/>
          <w:iCs/>
          <w:snapToGrid/>
        </w:rPr>
      </w:pPr>
      <w:r w:rsidRPr="00A74194">
        <w:rPr>
          <w:rFonts w:cs="Calibri"/>
          <w:snapToGrid/>
        </w:rPr>
        <w:t xml:space="preserve">The resubmission presented a stepped economic evaluation based on a direct RCT (the POISE trial), other published studies, and implemented a modelled evaluation. The types of economic evaluation presented were cost-utility and cost-effectiveness (per responder and per life year gained) analyses. The model used calibration to derive a number of transitions. </w:t>
      </w:r>
      <w:r w:rsidRPr="00A74194">
        <w:rPr>
          <w:rFonts w:cs="Calibri"/>
          <w:iCs/>
          <w:snapToGrid/>
        </w:rPr>
        <w:t xml:space="preserve">This is unchanged from the previous submission. </w:t>
      </w:r>
    </w:p>
    <w:p w14:paraId="3C402078" w14:textId="77777777" w:rsidR="00B159C2" w:rsidRPr="00A74194" w:rsidRDefault="0002358E" w:rsidP="00B159C2">
      <w:pPr>
        <w:pStyle w:val="ListParagraph"/>
        <w:numPr>
          <w:ilvl w:val="1"/>
          <w:numId w:val="1"/>
        </w:numPr>
        <w:spacing w:after="160"/>
      </w:pPr>
      <w:r w:rsidRPr="00A74194">
        <w:t>The PBAC noted that t</w:t>
      </w:r>
      <w:r w:rsidR="00B159C2" w:rsidRPr="00A74194">
        <w:t>he resubmission no longer present</w:t>
      </w:r>
      <w:r w:rsidRPr="00A74194">
        <w:t>ed</w:t>
      </w:r>
      <w:r w:rsidR="00B159C2" w:rsidRPr="00A74194">
        <w:t xml:space="preserve"> an ICER for patients who are UDCA intolerant. </w:t>
      </w:r>
    </w:p>
    <w:p w14:paraId="032A64A7" w14:textId="77777777" w:rsidR="00B159C2" w:rsidRPr="00A74194" w:rsidRDefault="00B159C2" w:rsidP="00B159C2">
      <w:pPr>
        <w:pStyle w:val="3-BodyText"/>
      </w:pPr>
      <w:r w:rsidRPr="00A74194">
        <w:t>Table 8 presents the key components of the economic evaluation</w:t>
      </w:r>
      <w:r w:rsidR="00DB6F23" w:rsidRPr="00A74194">
        <w:t>.</w:t>
      </w:r>
    </w:p>
    <w:p w14:paraId="5EF4B4DF" w14:textId="77777777" w:rsidR="004C40A4" w:rsidRDefault="004C40A4">
      <w:pPr>
        <w:jc w:val="left"/>
        <w:rPr>
          <w:rFonts w:ascii="Arial Narrow" w:hAnsi="Arial Narrow" w:cs="Times New Roman"/>
          <w:b/>
          <w:bCs/>
          <w:sz w:val="20"/>
          <w:szCs w:val="20"/>
          <w:lang w:bidi="en-US"/>
        </w:rPr>
      </w:pPr>
      <w:r>
        <w:br w:type="page"/>
      </w:r>
    </w:p>
    <w:p w14:paraId="0C6411F8" w14:textId="7B64A401" w:rsidR="00B159C2" w:rsidRPr="00A74194" w:rsidRDefault="00B159C2" w:rsidP="005A06D1">
      <w:pPr>
        <w:pStyle w:val="CaptionTable"/>
      </w:pPr>
      <w:r w:rsidRPr="00A74194">
        <w:lastRenderedPageBreak/>
        <w:t>Table 8: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14"/>
        <w:gridCol w:w="7603"/>
      </w:tblGrid>
      <w:tr w:rsidR="00B159C2" w:rsidRPr="00A74194" w14:paraId="4F538106" w14:textId="77777777" w:rsidTr="007E12FF">
        <w:trPr>
          <w:cantSplit/>
          <w:tblHeader/>
        </w:trPr>
        <w:tc>
          <w:tcPr>
            <w:tcW w:w="784" w:type="pct"/>
            <w:shd w:val="clear" w:color="auto" w:fill="auto"/>
            <w:vAlign w:val="center"/>
          </w:tcPr>
          <w:p w14:paraId="76120C84" w14:textId="77777777" w:rsidR="00B159C2" w:rsidRPr="00A74194" w:rsidRDefault="00B159C2" w:rsidP="005A06D1">
            <w:pPr>
              <w:keepNext/>
              <w:jc w:val="left"/>
              <w:rPr>
                <w:rFonts w:ascii="Arial Narrow" w:hAnsi="Arial Narrow" w:cs="Times New Roman"/>
                <w:b/>
                <w:sz w:val="20"/>
                <w:szCs w:val="22"/>
                <w:lang w:eastAsia="en-US"/>
              </w:rPr>
            </w:pPr>
            <w:r w:rsidRPr="00A74194">
              <w:rPr>
                <w:rFonts w:ascii="Arial Narrow" w:hAnsi="Arial Narrow" w:cs="Times New Roman"/>
                <w:b/>
                <w:sz w:val="20"/>
                <w:szCs w:val="22"/>
                <w:lang w:eastAsia="en-US"/>
              </w:rPr>
              <w:t>Component</w:t>
            </w:r>
          </w:p>
        </w:tc>
        <w:tc>
          <w:tcPr>
            <w:tcW w:w="4216" w:type="pct"/>
            <w:shd w:val="clear" w:color="auto" w:fill="auto"/>
            <w:vAlign w:val="center"/>
          </w:tcPr>
          <w:p w14:paraId="2D772858" w14:textId="77777777" w:rsidR="00B159C2" w:rsidRPr="00A74194" w:rsidRDefault="00B159C2" w:rsidP="005A06D1">
            <w:pPr>
              <w:keepNext/>
              <w:jc w:val="center"/>
              <w:rPr>
                <w:rFonts w:ascii="Arial Narrow" w:hAnsi="Arial Narrow" w:cs="Times New Roman"/>
                <w:b/>
                <w:sz w:val="20"/>
                <w:szCs w:val="22"/>
                <w:lang w:eastAsia="en-US"/>
              </w:rPr>
            </w:pPr>
            <w:r w:rsidRPr="00A74194">
              <w:rPr>
                <w:rFonts w:ascii="Arial Narrow" w:hAnsi="Arial Narrow" w:cs="Times New Roman"/>
                <w:b/>
                <w:sz w:val="20"/>
                <w:szCs w:val="22"/>
                <w:lang w:eastAsia="en-US"/>
              </w:rPr>
              <w:t>Summary</w:t>
            </w:r>
          </w:p>
        </w:tc>
      </w:tr>
      <w:tr w:rsidR="00B159C2" w:rsidRPr="00A74194" w14:paraId="2B8F9F3A" w14:textId="77777777" w:rsidTr="00820E3A">
        <w:trPr>
          <w:cantSplit/>
        </w:trPr>
        <w:tc>
          <w:tcPr>
            <w:tcW w:w="784" w:type="pct"/>
            <w:shd w:val="clear" w:color="auto" w:fill="B8CCE4" w:themeFill="accent1" w:themeFillTint="66"/>
          </w:tcPr>
          <w:p w14:paraId="5189A0D7" w14:textId="77777777" w:rsidR="00B159C2" w:rsidRPr="00A74194" w:rsidRDefault="00B159C2" w:rsidP="005A06D1">
            <w:pPr>
              <w:keepNext/>
              <w:jc w:val="left"/>
              <w:rPr>
                <w:rFonts w:ascii="Arial Narrow" w:hAnsi="Arial Narrow" w:cs="Times New Roman"/>
                <w:b/>
                <w:sz w:val="20"/>
                <w:szCs w:val="22"/>
                <w:lang w:eastAsia="en-US"/>
              </w:rPr>
            </w:pPr>
            <w:r w:rsidRPr="00A74194">
              <w:rPr>
                <w:rFonts w:ascii="Arial Narrow" w:hAnsi="Arial Narrow" w:cs="Times New Roman"/>
                <w:sz w:val="20"/>
                <w:szCs w:val="20"/>
                <w:lang w:eastAsia="en-US"/>
              </w:rPr>
              <w:t>Type of analysis</w:t>
            </w:r>
          </w:p>
        </w:tc>
        <w:tc>
          <w:tcPr>
            <w:tcW w:w="4216" w:type="pct"/>
            <w:shd w:val="clear" w:color="auto" w:fill="B8CCE4" w:themeFill="accent1" w:themeFillTint="66"/>
          </w:tcPr>
          <w:p w14:paraId="27EC33E5" w14:textId="77777777" w:rsidR="00B159C2" w:rsidRPr="00A74194" w:rsidRDefault="00B159C2" w:rsidP="005A06D1">
            <w:pPr>
              <w:keepNext/>
              <w:jc w:val="left"/>
              <w:rPr>
                <w:rFonts w:ascii="Arial Narrow" w:hAnsi="Arial Narrow" w:cs="Times New Roman"/>
                <w:b/>
                <w:sz w:val="20"/>
                <w:szCs w:val="22"/>
                <w:lang w:eastAsia="en-US"/>
              </w:rPr>
            </w:pPr>
            <w:r w:rsidRPr="00A74194">
              <w:rPr>
                <w:rFonts w:ascii="Arial Narrow" w:hAnsi="Arial Narrow" w:cs="Times New Roman"/>
                <w:sz w:val="20"/>
                <w:szCs w:val="20"/>
                <w:lang w:eastAsia="en-US"/>
              </w:rPr>
              <w:t>Cost-utility analysis (CUA) and cost-effectiveness analys</w:t>
            </w:r>
            <w:r w:rsidR="00882EFE" w:rsidRPr="00A74194">
              <w:rPr>
                <w:rFonts w:ascii="Arial Narrow" w:hAnsi="Arial Narrow" w:cs="Times New Roman"/>
                <w:sz w:val="20"/>
                <w:szCs w:val="20"/>
                <w:lang w:eastAsia="en-US"/>
              </w:rPr>
              <w:t>i</w:t>
            </w:r>
            <w:r w:rsidRPr="00A74194">
              <w:rPr>
                <w:rFonts w:ascii="Arial Narrow" w:hAnsi="Arial Narrow" w:cs="Times New Roman"/>
                <w:sz w:val="20"/>
                <w:szCs w:val="20"/>
                <w:lang w:eastAsia="en-US"/>
              </w:rPr>
              <w:t>s (CEA)</w:t>
            </w:r>
          </w:p>
        </w:tc>
      </w:tr>
      <w:tr w:rsidR="00B159C2" w:rsidRPr="00A74194" w14:paraId="53D752DC" w14:textId="77777777" w:rsidTr="00820E3A">
        <w:tc>
          <w:tcPr>
            <w:tcW w:w="784" w:type="pct"/>
            <w:shd w:val="clear" w:color="auto" w:fill="B8CCE4" w:themeFill="accent1" w:themeFillTint="66"/>
          </w:tcPr>
          <w:p w14:paraId="3FDC2F0A" w14:textId="77777777" w:rsidR="00B159C2" w:rsidRPr="00A74194" w:rsidRDefault="00B159C2" w:rsidP="005A06D1">
            <w:pPr>
              <w:keepNext/>
              <w:jc w:val="left"/>
              <w:rPr>
                <w:rFonts w:ascii="Arial Narrow" w:hAnsi="Arial Narrow" w:cs="Times New Roman"/>
                <w:sz w:val="20"/>
                <w:szCs w:val="22"/>
                <w:lang w:eastAsia="en-US"/>
              </w:rPr>
            </w:pPr>
            <w:r w:rsidRPr="00A74194">
              <w:rPr>
                <w:rFonts w:ascii="Arial Narrow" w:hAnsi="Arial Narrow" w:cs="Times New Roman"/>
                <w:sz w:val="20"/>
                <w:szCs w:val="20"/>
                <w:lang w:eastAsia="en-US"/>
              </w:rPr>
              <w:t>Outcomes</w:t>
            </w:r>
          </w:p>
        </w:tc>
        <w:tc>
          <w:tcPr>
            <w:tcW w:w="4216" w:type="pct"/>
            <w:shd w:val="clear" w:color="auto" w:fill="B8CCE4" w:themeFill="accent1" w:themeFillTint="66"/>
          </w:tcPr>
          <w:p w14:paraId="7D056A98" w14:textId="77777777" w:rsidR="00B159C2" w:rsidRPr="00A74194" w:rsidRDefault="00B159C2" w:rsidP="005A06D1">
            <w:pPr>
              <w:keepNext/>
              <w:jc w:val="left"/>
              <w:rPr>
                <w:rFonts w:ascii="Arial Narrow" w:hAnsi="Arial Narrow" w:cs="Times New Roman"/>
                <w:sz w:val="20"/>
                <w:szCs w:val="22"/>
                <w:lang w:eastAsia="en-US"/>
              </w:rPr>
            </w:pPr>
            <w:r w:rsidRPr="00A74194">
              <w:rPr>
                <w:rFonts w:ascii="Arial Narrow" w:hAnsi="Arial Narrow" w:cs="Times New Roman"/>
                <w:sz w:val="20"/>
                <w:szCs w:val="20"/>
                <w:lang w:eastAsia="en-US"/>
              </w:rPr>
              <w:t>Quality adjusted life years (QALYS) and life years (LY) gained</w:t>
            </w:r>
          </w:p>
        </w:tc>
      </w:tr>
      <w:tr w:rsidR="00B159C2" w:rsidRPr="00A74194" w14:paraId="4C97EE26" w14:textId="77777777" w:rsidTr="007E12FF">
        <w:tc>
          <w:tcPr>
            <w:tcW w:w="784" w:type="pct"/>
            <w:shd w:val="clear" w:color="auto" w:fill="auto"/>
          </w:tcPr>
          <w:p w14:paraId="0692B5B1" w14:textId="77777777" w:rsidR="00B159C2" w:rsidRPr="00A74194" w:rsidRDefault="00B159C2" w:rsidP="005A06D1">
            <w:pPr>
              <w:keepNext/>
              <w:jc w:val="left"/>
              <w:rPr>
                <w:rFonts w:ascii="Arial Narrow" w:hAnsi="Arial Narrow" w:cs="Times New Roman"/>
                <w:sz w:val="20"/>
                <w:szCs w:val="22"/>
                <w:lang w:eastAsia="en-US"/>
              </w:rPr>
            </w:pPr>
            <w:r w:rsidRPr="00A74194">
              <w:rPr>
                <w:rFonts w:ascii="Arial Narrow" w:hAnsi="Arial Narrow" w:cs="Times New Roman"/>
                <w:sz w:val="20"/>
                <w:szCs w:val="20"/>
                <w:lang w:eastAsia="en-US"/>
              </w:rPr>
              <w:t>Time horizon</w:t>
            </w:r>
          </w:p>
        </w:tc>
        <w:tc>
          <w:tcPr>
            <w:tcW w:w="4216" w:type="pct"/>
            <w:shd w:val="clear" w:color="auto" w:fill="auto"/>
          </w:tcPr>
          <w:p w14:paraId="4550ECC4" w14:textId="77777777" w:rsidR="00B159C2" w:rsidRPr="00A74194" w:rsidRDefault="00B159C2" w:rsidP="0002358E">
            <w:pPr>
              <w:keepNext/>
              <w:jc w:val="left"/>
              <w:rPr>
                <w:rFonts w:ascii="Arial Narrow" w:hAnsi="Arial Narrow" w:cs="Times New Roman"/>
                <w:sz w:val="20"/>
                <w:szCs w:val="22"/>
                <w:lang w:eastAsia="en-US"/>
              </w:rPr>
            </w:pPr>
            <w:r w:rsidRPr="00A74194">
              <w:rPr>
                <w:rFonts w:ascii="Arial Narrow" w:hAnsi="Arial Narrow" w:cs="Times New Roman"/>
                <w:sz w:val="20"/>
                <w:szCs w:val="20"/>
                <w:lang w:eastAsia="en-US"/>
              </w:rPr>
              <w:t>Lifetime (30 years), POISE clinical trial 12 months duration plus the POISE LTSE study (5 years). Previously t</w:t>
            </w:r>
            <w:r w:rsidRPr="00A74194">
              <w:rPr>
                <w:rFonts w:ascii="Arial Narrow" w:hAnsi="Arial Narrow" w:cs="Times New Roman"/>
                <w:sz w:val="20"/>
                <w:szCs w:val="22"/>
                <w:lang w:eastAsia="en-US"/>
              </w:rPr>
              <w:t xml:space="preserve">he PBAC considered that the time horizon in the model (50 years) was long compared with the median age of patients in the POISE trial (56 years), the duration of follow-up in the POISE trial (12 months) and the progressive nature of the disease (paragraphs 6.32 and 7.9 </w:t>
            </w:r>
            <w:r w:rsidRPr="00A74194">
              <w:rPr>
                <w:rFonts w:ascii="Arial Narrow" w:hAnsi="Arial Narrow" w:cs="Times New Roman"/>
                <w:sz w:val="20"/>
                <w:szCs w:val="20"/>
                <w:lang w:eastAsia="en-US"/>
              </w:rPr>
              <w:t xml:space="preserve">obeticholic acid PSD, July 2019). The ICER was </w:t>
            </w:r>
            <w:r w:rsidR="00B4597F" w:rsidRPr="00A74194">
              <w:rPr>
                <w:rFonts w:ascii="Arial Narrow" w:hAnsi="Arial Narrow" w:cs="Times New Roman"/>
                <w:sz w:val="20"/>
                <w:szCs w:val="20"/>
                <w:lang w:eastAsia="en-US"/>
              </w:rPr>
              <w:t xml:space="preserve">highly </w:t>
            </w:r>
            <w:r w:rsidRPr="00A74194">
              <w:rPr>
                <w:rFonts w:ascii="Arial Narrow" w:hAnsi="Arial Narrow" w:cs="Times New Roman"/>
                <w:sz w:val="20"/>
                <w:szCs w:val="20"/>
                <w:lang w:eastAsia="en-US"/>
              </w:rPr>
              <w:t>sensitive to the time horizon</w:t>
            </w:r>
            <w:r w:rsidR="009E03BB" w:rsidRPr="00A74194">
              <w:rPr>
                <w:rFonts w:ascii="Arial Narrow" w:hAnsi="Arial Narrow" w:cs="Times New Roman"/>
                <w:sz w:val="20"/>
                <w:szCs w:val="20"/>
                <w:lang w:eastAsia="en-US"/>
              </w:rPr>
              <w:t xml:space="preserve"> up to around 20 years</w:t>
            </w:r>
            <w:r w:rsidR="00EF4395" w:rsidRPr="00A74194">
              <w:rPr>
                <w:rFonts w:ascii="Arial Narrow" w:hAnsi="Arial Narrow" w:cs="Times New Roman"/>
                <w:sz w:val="20"/>
                <w:szCs w:val="20"/>
                <w:lang w:eastAsia="en-US"/>
              </w:rPr>
              <w:t xml:space="preserve"> (see Figure 6)</w:t>
            </w:r>
            <w:r w:rsidRPr="00A74194">
              <w:rPr>
                <w:rFonts w:ascii="Arial Narrow" w:hAnsi="Arial Narrow" w:cs="Times New Roman"/>
                <w:sz w:val="20"/>
                <w:szCs w:val="20"/>
                <w:lang w:eastAsia="en-US"/>
              </w:rPr>
              <w:t>.</w:t>
            </w:r>
            <w:r w:rsidR="00AE408C" w:rsidRPr="00A74194">
              <w:rPr>
                <w:rFonts w:ascii="Arial Narrow" w:hAnsi="Arial Narrow" w:cs="Times New Roman"/>
                <w:sz w:val="20"/>
                <w:szCs w:val="20"/>
                <w:lang w:eastAsia="en-US"/>
              </w:rPr>
              <w:t xml:space="preserve"> The PSCR reiterated that </w:t>
            </w:r>
            <w:r w:rsidR="004C1F07" w:rsidRPr="00A74194">
              <w:rPr>
                <w:rFonts w:ascii="Arial Narrow" w:hAnsi="Arial Narrow" w:cs="Times New Roman"/>
                <w:sz w:val="20"/>
                <w:szCs w:val="20"/>
                <w:lang w:eastAsia="en-US"/>
              </w:rPr>
              <w:t xml:space="preserve">a 30-year time horizon was appropriate as the age at diagnosis in POISE ranged from 29 to 86 years, with 81% </w:t>
            </w:r>
            <w:r w:rsidR="008E0BA5" w:rsidRPr="00A74194">
              <w:rPr>
                <w:rFonts w:ascii="Arial Narrow" w:hAnsi="Arial Narrow" w:cs="Times New Roman"/>
                <w:sz w:val="20"/>
                <w:szCs w:val="20"/>
                <w:lang w:eastAsia="en-US"/>
              </w:rPr>
              <w:t xml:space="preserve">of patients </w:t>
            </w:r>
            <w:r w:rsidR="004C1F07" w:rsidRPr="00A74194">
              <w:rPr>
                <w:rFonts w:ascii="Arial Narrow" w:hAnsi="Arial Narrow" w:cs="Times New Roman"/>
                <w:sz w:val="20"/>
                <w:szCs w:val="20"/>
                <w:lang w:eastAsia="en-US"/>
              </w:rPr>
              <w:t>less than 65 years of age.</w:t>
            </w:r>
            <w:r w:rsidR="00FE4373" w:rsidRPr="00A74194">
              <w:rPr>
                <w:rFonts w:ascii="Arial Narrow" w:hAnsi="Arial Narrow" w:cs="Times New Roman"/>
                <w:sz w:val="20"/>
                <w:szCs w:val="20"/>
                <w:lang w:eastAsia="en-US"/>
              </w:rPr>
              <w:t xml:space="preserve"> The ESC considered that uncertainties remained with the application of the 30 year time horizon as the majority of the incremental benefits occurred in the extrapolated period.</w:t>
            </w:r>
          </w:p>
        </w:tc>
      </w:tr>
      <w:tr w:rsidR="00B159C2" w:rsidRPr="00A74194" w14:paraId="5939CA3C" w14:textId="77777777" w:rsidTr="0059672B">
        <w:tc>
          <w:tcPr>
            <w:tcW w:w="784" w:type="pct"/>
            <w:shd w:val="clear" w:color="auto" w:fill="B8CCE4" w:themeFill="accent1" w:themeFillTint="66"/>
          </w:tcPr>
          <w:p w14:paraId="7B980490" w14:textId="77777777" w:rsidR="00B159C2" w:rsidRPr="00A74194" w:rsidRDefault="00B159C2" w:rsidP="007E12FF">
            <w:pPr>
              <w:jc w:val="left"/>
              <w:rPr>
                <w:rFonts w:ascii="Arial Narrow" w:hAnsi="Arial Narrow" w:cs="Times New Roman"/>
                <w:sz w:val="20"/>
                <w:szCs w:val="22"/>
                <w:lang w:eastAsia="en-US"/>
              </w:rPr>
            </w:pPr>
            <w:r w:rsidRPr="00A74194">
              <w:rPr>
                <w:rFonts w:ascii="Arial Narrow" w:hAnsi="Arial Narrow" w:cs="Times New Roman"/>
                <w:sz w:val="20"/>
                <w:szCs w:val="20"/>
                <w:lang w:eastAsia="en-US"/>
              </w:rPr>
              <w:t>Methods used to generate results</w:t>
            </w:r>
          </w:p>
        </w:tc>
        <w:tc>
          <w:tcPr>
            <w:tcW w:w="4216" w:type="pct"/>
            <w:shd w:val="clear" w:color="auto" w:fill="B8CCE4" w:themeFill="accent1" w:themeFillTint="66"/>
          </w:tcPr>
          <w:p w14:paraId="11F40393" w14:textId="77777777" w:rsidR="00B159C2" w:rsidRPr="00A74194" w:rsidRDefault="00B159C2" w:rsidP="007E12FF">
            <w:pPr>
              <w:jc w:val="left"/>
              <w:rPr>
                <w:rFonts w:ascii="Arial Narrow" w:hAnsi="Arial Narrow" w:cs="Times New Roman"/>
                <w:sz w:val="20"/>
                <w:szCs w:val="22"/>
                <w:lang w:eastAsia="en-US"/>
              </w:rPr>
            </w:pPr>
            <w:r w:rsidRPr="00A74194">
              <w:rPr>
                <w:rFonts w:ascii="Arial Narrow" w:hAnsi="Arial Narrow" w:cs="Times New Roman"/>
                <w:sz w:val="20"/>
                <w:szCs w:val="20"/>
                <w:lang w:eastAsia="en-US"/>
              </w:rPr>
              <w:t>A semi-Markov state-transition model which captures patient’s costs and outcomes over the time horizon.</w:t>
            </w:r>
          </w:p>
        </w:tc>
      </w:tr>
      <w:tr w:rsidR="00B159C2" w:rsidRPr="00A74194" w14:paraId="7A14524D" w14:textId="77777777" w:rsidTr="0059672B">
        <w:tc>
          <w:tcPr>
            <w:tcW w:w="784" w:type="pct"/>
            <w:shd w:val="clear" w:color="auto" w:fill="B8CCE4" w:themeFill="accent1" w:themeFillTint="66"/>
          </w:tcPr>
          <w:p w14:paraId="1910439B" w14:textId="77777777" w:rsidR="00B159C2" w:rsidRPr="00A74194" w:rsidRDefault="00B159C2" w:rsidP="007E12FF">
            <w:pPr>
              <w:jc w:val="left"/>
              <w:rPr>
                <w:rFonts w:ascii="Arial Narrow" w:hAnsi="Arial Narrow" w:cs="Times New Roman"/>
                <w:sz w:val="20"/>
                <w:szCs w:val="22"/>
                <w:lang w:eastAsia="en-US"/>
              </w:rPr>
            </w:pPr>
            <w:r w:rsidRPr="00A74194">
              <w:rPr>
                <w:rFonts w:ascii="Arial Narrow" w:hAnsi="Arial Narrow" w:cs="Times New Roman"/>
                <w:sz w:val="20"/>
                <w:szCs w:val="20"/>
                <w:lang w:eastAsia="en-US"/>
              </w:rPr>
              <w:t>Health states</w:t>
            </w:r>
          </w:p>
        </w:tc>
        <w:tc>
          <w:tcPr>
            <w:tcW w:w="4216" w:type="pct"/>
            <w:shd w:val="clear" w:color="auto" w:fill="B8CCE4" w:themeFill="accent1" w:themeFillTint="66"/>
          </w:tcPr>
          <w:p w14:paraId="1FFE42B0" w14:textId="77777777" w:rsidR="00B159C2" w:rsidRPr="00A74194" w:rsidRDefault="00B159C2" w:rsidP="007E12FF">
            <w:pPr>
              <w:jc w:val="left"/>
              <w:rPr>
                <w:rFonts w:ascii="Arial Narrow" w:hAnsi="Arial Narrow" w:cs="Times New Roman"/>
                <w:sz w:val="20"/>
                <w:szCs w:val="20"/>
              </w:rPr>
            </w:pPr>
            <w:r w:rsidRPr="00A74194">
              <w:rPr>
                <w:rFonts w:ascii="Arial Narrow" w:hAnsi="Arial Narrow" w:cs="Times New Roman"/>
                <w:sz w:val="20"/>
                <w:szCs w:val="20"/>
              </w:rPr>
              <w:t>10 health states (biochemical [first 3 states]; liver disease [last 7 states])</w:t>
            </w:r>
          </w:p>
          <w:p w14:paraId="7851284F" w14:textId="77777777" w:rsidR="00B159C2" w:rsidRPr="00A74194" w:rsidRDefault="00B159C2" w:rsidP="007E12FF">
            <w:pPr>
              <w:jc w:val="left"/>
              <w:rPr>
                <w:rFonts w:ascii="Arial Narrow" w:hAnsi="Arial Narrow" w:cs="Times New Roman"/>
                <w:sz w:val="20"/>
                <w:szCs w:val="20"/>
              </w:rPr>
            </w:pPr>
          </w:p>
          <w:p w14:paraId="5C845EC0" w14:textId="77777777" w:rsidR="00B159C2" w:rsidRPr="00A74194" w:rsidRDefault="00B159C2" w:rsidP="007E12FF">
            <w:pPr>
              <w:jc w:val="left"/>
              <w:rPr>
                <w:rFonts w:ascii="Arial Narrow" w:hAnsi="Arial Narrow" w:cs="Times New Roman"/>
                <w:sz w:val="20"/>
                <w:szCs w:val="20"/>
                <w:u w:val="single"/>
              </w:rPr>
            </w:pPr>
            <w:r w:rsidRPr="00A74194">
              <w:rPr>
                <w:rFonts w:ascii="Arial Narrow" w:hAnsi="Arial Narrow" w:cs="Times New Roman"/>
                <w:sz w:val="20"/>
                <w:szCs w:val="20"/>
                <w:u w:val="single"/>
              </w:rPr>
              <w:t>Biochemical States</w:t>
            </w:r>
          </w:p>
          <w:p w14:paraId="5D33D5EC" w14:textId="77777777" w:rsidR="00B159C2" w:rsidRPr="00A74194" w:rsidRDefault="00B159C2" w:rsidP="00164D71">
            <w:pPr>
              <w:widowControl w:val="0"/>
              <w:numPr>
                <w:ilvl w:val="0"/>
                <w:numId w:val="18"/>
              </w:numPr>
              <w:ind w:left="348" w:hanging="348"/>
              <w:jc w:val="left"/>
              <w:rPr>
                <w:rFonts w:ascii="Arial Narrow" w:hAnsi="Arial Narrow" w:cs="Times New Roman"/>
                <w:sz w:val="20"/>
                <w:szCs w:val="20"/>
              </w:rPr>
            </w:pPr>
            <w:r w:rsidRPr="00A74194">
              <w:rPr>
                <w:rFonts w:ascii="Arial Narrow" w:hAnsi="Arial Narrow" w:cs="Times New Roman"/>
                <w:sz w:val="20"/>
                <w:szCs w:val="20"/>
              </w:rPr>
              <w:t>Low risk of PBC disease progression: ALP ≤ 200 U/L (i.e. 1.67 x ULN) and normal bilirubin (i.e. TB ≤ 20 µmol/L)</w:t>
            </w:r>
          </w:p>
          <w:p w14:paraId="28A2A756" w14:textId="77777777" w:rsidR="00B159C2" w:rsidRPr="00A74194" w:rsidRDefault="00B159C2" w:rsidP="00164D71">
            <w:pPr>
              <w:widowControl w:val="0"/>
              <w:numPr>
                <w:ilvl w:val="0"/>
                <w:numId w:val="18"/>
              </w:numPr>
              <w:ind w:left="348" w:hanging="348"/>
              <w:jc w:val="left"/>
              <w:rPr>
                <w:rFonts w:ascii="Arial Narrow" w:hAnsi="Arial Narrow" w:cs="Times New Roman"/>
                <w:sz w:val="20"/>
                <w:szCs w:val="20"/>
              </w:rPr>
            </w:pPr>
            <w:r w:rsidRPr="00A74194">
              <w:rPr>
                <w:rFonts w:ascii="Arial Narrow" w:hAnsi="Arial Narrow" w:cs="Times New Roman"/>
                <w:sz w:val="20"/>
                <w:szCs w:val="20"/>
              </w:rPr>
              <w:t>Moderate risk of PBC disease progression: ALP &gt; 200 U/L and normal bilirubin</w:t>
            </w:r>
          </w:p>
          <w:p w14:paraId="02FA579A" w14:textId="77777777" w:rsidR="00B159C2" w:rsidRPr="00A74194" w:rsidRDefault="00B159C2" w:rsidP="00164D71">
            <w:pPr>
              <w:widowControl w:val="0"/>
              <w:numPr>
                <w:ilvl w:val="0"/>
                <w:numId w:val="18"/>
              </w:numPr>
              <w:ind w:left="348" w:hanging="348"/>
              <w:jc w:val="left"/>
              <w:rPr>
                <w:rFonts w:ascii="Arial Narrow" w:hAnsi="Arial Narrow" w:cs="Times New Roman"/>
                <w:sz w:val="20"/>
                <w:szCs w:val="20"/>
              </w:rPr>
            </w:pPr>
            <w:r w:rsidRPr="00A74194">
              <w:rPr>
                <w:rFonts w:ascii="Arial Narrow" w:hAnsi="Arial Narrow" w:cs="Times New Roman"/>
                <w:sz w:val="20"/>
                <w:szCs w:val="20"/>
              </w:rPr>
              <w:t>High risk of PBC disease progression leading to liver failure: Abnormal bilirubin (i.e. TB &gt; 20 µmol/L) and rising or CC.</w:t>
            </w:r>
          </w:p>
          <w:p w14:paraId="58FF5BC0" w14:textId="77777777" w:rsidR="00B159C2" w:rsidRPr="00A74194" w:rsidRDefault="00B159C2" w:rsidP="007E12FF">
            <w:pPr>
              <w:jc w:val="left"/>
              <w:rPr>
                <w:rFonts w:ascii="Arial Narrow" w:hAnsi="Arial Narrow" w:cs="Times New Roman"/>
                <w:sz w:val="20"/>
                <w:szCs w:val="20"/>
              </w:rPr>
            </w:pPr>
          </w:p>
          <w:p w14:paraId="576FC66B" w14:textId="77777777" w:rsidR="00B159C2" w:rsidRPr="00A74194" w:rsidRDefault="00B159C2" w:rsidP="007E12FF">
            <w:pPr>
              <w:jc w:val="left"/>
              <w:rPr>
                <w:rFonts w:ascii="Arial Narrow" w:hAnsi="Arial Narrow" w:cs="Times New Roman"/>
                <w:sz w:val="20"/>
                <w:szCs w:val="20"/>
                <w:u w:val="single"/>
              </w:rPr>
            </w:pPr>
            <w:r w:rsidRPr="00A74194">
              <w:rPr>
                <w:rFonts w:ascii="Arial Narrow" w:hAnsi="Arial Narrow" w:cs="Times New Roman"/>
                <w:sz w:val="20"/>
                <w:szCs w:val="20"/>
                <w:u w:val="single"/>
              </w:rPr>
              <w:t>Liver Disease States</w:t>
            </w:r>
          </w:p>
          <w:p w14:paraId="761BD667" w14:textId="77777777" w:rsidR="00B159C2" w:rsidRPr="00A74194" w:rsidRDefault="00B159C2" w:rsidP="00164D71">
            <w:pPr>
              <w:widowControl w:val="0"/>
              <w:numPr>
                <w:ilvl w:val="0"/>
                <w:numId w:val="18"/>
              </w:numPr>
              <w:ind w:left="348" w:hanging="348"/>
              <w:jc w:val="left"/>
              <w:rPr>
                <w:rFonts w:ascii="Arial Narrow" w:hAnsi="Arial Narrow" w:cs="Times New Roman"/>
                <w:sz w:val="20"/>
                <w:szCs w:val="20"/>
              </w:rPr>
            </w:pPr>
            <w:r w:rsidRPr="00A74194">
              <w:rPr>
                <w:rFonts w:ascii="Arial Narrow" w:hAnsi="Arial Narrow" w:cs="Times New Roman"/>
                <w:sz w:val="20"/>
                <w:szCs w:val="20"/>
              </w:rPr>
              <w:t>DCC</w:t>
            </w:r>
          </w:p>
          <w:p w14:paraId="24FD1DF6" w14:textId="77777777" w:rsidR="00B159C2" w:rsidRPr="00A74194" w:rsidRDefault="00B159C2" w:rsidP="00164D71">
            <w:pPr>
              <w:widowControl w:val="0"/>
              <w:numPr>
                <w:ilvl w:val="0"/>
                <w:numId w:val="18"/>
              </w:numPr>
              <w:ind w:left="348" w:hanging="348"/>
              <w:jc w:val="left"/>
              <w:rPr>
                <w:rFonts w:ascii="Arial Narrow" w:hAnsi="Arial Narrow" w:cs="Times New Roman"/>
                <w:sz w:val="20"/>
                <w:szCs w:val="20"/>
              </w:rPr>
            </w:pPr>
            <w:r w:rsidRPr="00A74194">
              <w:rPr>
                <w:rFonts w:ascii="Arial Narrow" w:hAnsi="Arial Narrow" w:cs="Times New Roman"/>
                <w:sz w:val="20"/>
                <w:szCs w:val="20"/>
              </w:rPr>
              <w:t>HCC</w:t>
            </w:r>
          </w:p>
          <w:p w14:paraId="1D73399D" w14:textId="77777777" w:rsidR="00B159C2" w:rsidRPr="00A74194" w:rsidRDefault="00B159C2" w:rsidP="00164D71">
            <w:pPr>
              <w:widowControl w:val="0"/>
              <w:numPr>
                <w:ilvl w:val="0"/>
                <w:numId w:val="18"/>
              </w:numPr>
              <w:ind w:left="348" w:hanging="348"/>
              <w:jc w:val="left"/>
              <w:rPr>
                <w:rFonts w:ascii="Arial Narrow" w:hAnsi="Arial Narrow" w:cs="Times New Roman"/>
                <w:sz w:val="20"/>
                <w:szCs w:val="20"/>
              </w:rPr>
            </w:pPr>
            <w:r w:rsidRPr="00A74194">
              <w:rPr>
                <w:rFonts w:ascii="Arial Narrow" w:hAnsi="Arial Narrow" w:cs="Times New Roman"/>
                <w:sz w:val="20"/>
                <w:szCs w:val="20"/>
              </w:rPr>
              <w:t>Pre-LT</w:t>
            </w:r>
          </w:p>
          <w:p w14:paraId="68760E4E" w14:textId="77777777" w:rsidR="00B159C2" w:rsidRPr="00A74194" w:rsidRDefault="00B159C2" w:rsidP="00164D71">
            <w:pPr>
              <w:widowControl w:val="0"/>
              <w:numPr>
                <w:ilvl w:val="0"/>
                <w:numId w:val="18"/>
              </w:numPr>
              <w:ind w:left="348" w:hanging="348"/>
              <w:jc w:val="left"/>
              <w:rPr>
                <w:rFonts w:ascii="Arial Narrow" w:hAnsi="Arial Narrow" w:cs="Times New Roman"/>
                <w:sz w:val="20"/>
                <w:szCs w:val="20"/>
              </w:rPr>
            </w:pPr>
            <w:r w:rsidRPr="00A74194">
              <w:rPr>
                <w:rFonts w:ascii="Arial Narrow" w:hAnsi="Arial Narrow" w:cs="Times New Roman"/>
                <w:sz w:val="20"/>
                <w:szCs w:val="20"/>
              </w:rPr>
              <w:t>LT</w:t>
            </w:r>
          </w:p>
          <w:p w14:paraId="140FB11D" w14:textId="77777777" w:rsidR="00B159C2" w:rsidRPr="00A74194" w:rsidRDefault="00B159C2" w:rsidP="00164D71">
            <w:pPr>
              <w:widowControl w:val="0"/>
              <w:numPr>
                <w:ilvl w:val="0"/>
                <w:numId w:val="18"/>
              </w:numPr>
              <w:ind w:left="348" w:hanging="348"/>
              <w:jc w:val="left"/>
              <w:rPr>
                <w:rFonts w:ascii="Arial Narrow" w:hAnsi="Arial Narrow" w:cs="Times New Roman"/>
                <w:sz w:val="20"/>
                <w:szCs w:val="20"/>
              </w:rPr>
            </w:pPr>
            <w:r w:rsidRPr="00A74194">
              <w:rPr>
                <w:rFonts w:ascii="Arial Narrow" w:hAnsi="Arial Narrow" w:cs="Times New Roman"/>
                <w:sz w:val="20"/>
                <w:szCs w:val="20"/>
              </w:rPr>
              <w:t>Post-LT</w:t>
            </w:r>
          </w:p>
          <w:p w14:paraId="390A52CB" w14:textId="77777777" w:rsidR="00B159C2" w:rsidRPr="00A74194" w:rsidRDefault="00B159C2" w:rsidP="00164D71">
            <w:pPr>
              <w:widowControl w:val="0"/>
              <w:numPr>
                <w:ilvl w:val="0"/>
                <w:numId w:val="18"/>
              </w:numPr>
              <w:ind w:left="348" w:hanging="348"/>
              <w:jc w:val="left"/>
              <w:rPr>
                <w:rFonts w:ascii="Arial Narrow" w:hAnsi="Arial Narrow" w:cs="Times New Roman"/>
                <w:sz w:val="20"/>
                <w:szCs w:val="20"/>
              </w:rPr>
            </w:pPr>
            <w:r w:rsidRPr="00A74194">
              <w:rPr>
                <w:rFonts w:ascii="Arial Narrow" w:hAnsi="Arial Narrow" w:cs="Times New Roman"/>
                <w:sz w:val="20"/>
                <w:szCs w:val="20"/>
              </w:rPr>
              <w:t>PB</w:t>
            </w:r>
            <w:r w:rsidR="00044AB6" w:rsidRPr="00A74194">
              <w:rPr>
                <w:rFonts w:ascii="Arial Narrow" w:hAnsi="Arial Narrow" w:cs="Times New Roman"/>
                <w:sz w:val="20"/>
                <w:szCs w:val="20"/>
              </w:rPr>
              <w:t>C</w:t>
            </w:r>
            <w:r w:rsidRPr="00A74194">
              <w:rPr>
                <w:rFonts w:ascii="Arial Narrow" w:hAnsi="Arial Narrow" w:cs="Times New Roman"/>
                <w:sz w:val="20"/>
                <w:szCs w:val="20"/>
              </w:rPr>
              <w:t xml:space="preserve"> re-emergence</w:t>
            </w:r>
          </w:p>
          <w:p w14:paraId="5C17047F" w14:textId="77777777" w:rsidR="00B159C2" w:rsidRPr="00A74194" w:rsidRDefault="00B159C2" w:rsidP="00164D71">
            <w:pPr>
              <w:widowControl w:val="0"/>
              <w:numPr>
                <w:ilvl w:val="0"/>
                <w:numId w:val="18"/>
              </w:numPr>
              <w:ind w:left="348" w:hanging="348"/>
              <w:jc w:val="left"/>
              <w:rPr>
                <w:rFonts w:ascii="Arial Narrow" w:hAnsi="Arial Narrow" w:cs="Times New Roman"/>
                <w:sz w:val="20"/>
                <w:szCs w:val="20"/>
              </w:rPr>
            </w:pPr>
            <w:r w:rsidRPr="00A74194">
              <w:rPr>
                <w:rFonts w:ascii="Arial Narrow" w:hAnsi="Arial Narrow" w:cs="Times New Roman"/>
                <w:sz w:val="20"/>
                <w:szCs w:val="20"/>
              </w:rPr>
              <w:t>Dead</w:t>
            </w:r>
          </w:p>
        </w:tc>
      </w:tr>
      <w:tr w:rsidR="00B159C2" w:rsidRPr="00A74194" w14:paraId="0F33BF7F" w14:textId="77777777" w:rsidTr="0059672B">
        <w:tc>
          <w:tcPr>
            <w:tcW w:w="784" w:type="pct"/>
            <w:shd w:val="clear" w:color="auto" w:fill="B8CCE4" w:themeFill="accent1" w:themeFillTint="66"/>
            <w:vAlign w:val="center"/>
          </w:tcPr>
          <w:p w14:paraId="78A64FD3" w14:textId="77777777" w:rsidR="00B159C2" w:rsidRPr="00A74194" w:rsidRDefault="00B159C2" w:rsidP="007E12FF">
            <w:pPr>
              <w:jc w:val="left"/>
              <w:rPr>
                <w:rFonts w:ascii="Arial Narrow" w:hAnsi="Arial Narrow" w:cs="Times New Roman"/>
                <w:sz w:val="20"/>
                <w:szCs w:val="22"/>
                <w:lang w:eastAsia="en-US"/>
              </w:rPr>
            </w:pPr>
            <w:r w:rsidRPr="00A74194">
              <w:rPr>
                <w:rFonts w:ascii="Arial Narrow" w:hAnsi="Arial Narrow" w:cs="Times New Roman"/>
                <w:sz w:val="20"/>
                <w:szCs w:val="22"/>
                <w:lang w:eastAsia="en-US"/>
              </w:rPr>
              <w:t>Cycle length</w:t>
            </w:r>
          </w:p>
        </w:tc>
        <w:tc>
          <w:tcPr>
            <w:tcW w:w="4216" w:type="pct"/>
            <w:shd w:val="clear" w:color="auto" w:fill="B8CCE4" w:themeFill="accent1" w:themeFillTint="66"/>
          </w:tcPr>
          <w:p w14:paraId="1F515B99" w14:textId="77777777" w:rsidR="00B159C2" w:rsidRPr="00A74194" w:rsidRDefault="00B159C2" w:rsidP="007E12FF">
            <w:pPr>
              <w:jc w:val="left"/>
              <w:rPr>
                <w:rFonts w:ascii="Arial Narrow" w:hAnsi="Arial Narrow" w:cs="Times New Roman"/>
                <w:sz w:val="20"/>
                <w:szCs w:val="22"/>
                <w:lang w:eastAsia="en-US"/>
              </w:rPr>
            </w:pPr>
            <w:r w:rsidRPr="00A74194">
              <w:rPr>
                <w:rFonts w:ascii="Arial Narrow" w:hAnsi="Arial Narrow" w:cs="Times New Roman"/>
                <w:sz w:val="20"/>
                <w:szCs w:val="20"/>
                <w:lang w:eastAsia="en-US"/>
              </w:rPr>
              <w:t>3 months</w:t>
            </w:r>
          </w:p>
        </w:tc>
      </w:tr>
      <w:tr w:rsidR="00B159C2" w:rsidRPr="00A74194" w14:paraId="7B80EDA9" w14:textId="77777777" w:rsidTr="00EF6F48">
        <w:tc>
          <w:tcPr>
            <w:tcW w:w="784" w:type="pct"/>
            <w:vMerge w:val="restart"/>
            <w:shd w:val="clear" w:color="auto" w:fill="auto"/>
          </w:tcPr>
          <w:p w14:paraId="4F46267B" w14:textId="77777777" w:rsidR="00B159C2" w:rsidRPr="00A74194" w:rsidRDefault="00B159C2" w:rsidP="007E12FF">
            <w:pPr>
              <w:jc w:val="left"/>
              <w:rPr>
                <w:rFonts w:ascii="Arial Narrow" w:hAnsi="Arial Narrow" w:cs="Times New Roman"/>
                <w:sz w:val="20"/>
                <w:szCs w:val="22"/>
                <w:lang w:eastAsia="en-US"/>
              </w:rPr>
            </w:pPr>
            <w:r w:rsidRPr="00A74194">
              <w:rPr>
                <w:rFonts w:ascii="Arial Narrow" w:hAnsi="Arial Narrow" w:cs="Times New Roman"/>
                <w:sz w:val="20"/>
                <w:szCs w:val="20"/>
                <w:lang w:eastAsia="en-US"/>
              </w:rPr>
              <w:t>Population used in the model</w:t>
            </w:r>
          </w:p>
        </w:tc>
        <w:tc>
          <w:tcPr>
            <w:tcW w:w="4216" w:type="pct"/>
            <w:shd w:val="clear" w:color="auto" w:fill="B8CCE4" w:themeFill="accent1" w:themeFillTint="66"/>
          </w:tcPr>
          <w:p w14:paraId="513F1121" w14:textId="77777777" w:rsidR="00B159C2" w:rsidRPr="00A74194" w:rsidRDefault="00B159C2" w:rsidP="007E12FF">
            <w:pPr>
              <w:jc w:val="left"/>
              <w:rPr>
                <w:rFonts w:ascii="Arial Narrow" w:hAnsi="Arial Narrow" w:cs="Times New Roman"/>
                <w:sz w:val="20"/>
                <w:szCs w:val="20"/>
                <w:lang w:eastAsia="en-US"/>
              </w:rPr>
            </w:pPr>
            <w:r w:rsidRPr="00A74194">
              <w:rPr>
                <w:rFonts w:ascii="Arial Narrow" w:hAnsi="Arial Narrow" w:cs="Times New Roman"/>
                <w:sz w:val="20"/>
                <w:szCs w:val="20"/>
                <w:lang w:eastAsia="en-US"/>
              </w:rPr>
              <w:t xml:space="preserve">Age: 55.8 years, based on the POISE trial. </w:t>
            </w:r>
          </w:p>
        </w:tc>
      </w:tr>
      <w:tr w:rsidR="00B159C2" w:rsidRPr="00A74194" w14:paraId="00135E48" w14:textId="77777777" w:rsidTr="007E12FF">
        <w:tc>
          <w:tcPr>
            <w:tcW w:w="784" w:type="pct"/>
            <w:vMerge/>
            <w:shd w:val="clear" w:color="auto" w:fill="auto"/>
          </w:tcPr>
          <w:p w14:paraId="1C2A61F6" w14:textId="77777777" w:rsidR="00B159C2" w:rsidRPr="00A74194" w:rsidRDefault="00B159C2" w:rsidP="007E12FF">
            <w:pPr>
              <w:jc w:val="left"/>
              <w:rPr>
                <w:rFonts w:ascii="Arial Narrow" w:hAnsi="Arial Narrow" w:cs="Times New Roman"/>
                <w:sz w:val="20"/>
                <w:szCs w:val="20"/>
                <w:lang w:eastAsia="en-US"/>
              </w:rPr>
            </w:pPr>
          </w:p>
        </w:tc>
        <w:tc>
          <w:tcPr>
            <w:tcW w:w="4216" w:type="pct"/>
            <w:shd w:val="clear" w:color="auto" w:fill="auto"/>
          </w:tcPr>
          <w:p w14:paraId="20FCCDB2" w14:textId="77777777" w:rsidR="00B159C2" w:rsidRPr="00A74194" w:rsidRDefault="00B159C2" w:rsidP="007E12FF">
            <w:pPr>
              <w:jc w:val="left"/>
              <w:rPr>
                <w:rFonts w:ascii="Arial Narrow" w:hAnsi="Arial Narrow" w:cs="Times New Roman"/>
                <w:sz w:val="20"/>
                <w:szCs w:val="20"/>
                <w:lang w:eastAsia="en-US"/>
              </w:rPr>
            </w:pPr>
            <w:r w:rsidRPr="00A74194">
              <w:rPr>
                <w:rFonts w:ascii="Arial Narrow" w:hAnsi="Arial Narrow" w:cs="Times New Roman"/>
                <w:sz w:val="20"/>
                <w:szCs w:val="20"/>
                <w:lang w:eastAsia="en-US"/>
              </w:rPr>
              <w:t>Baseline health state distribution:</w:t>
            </w:r>
          </w:p>
          <w:p w14:paraId="1D6BE967" w14:textId="77777777" w:rsidR="00B159C2" w:rsidRPr="00A74194" w:rsidRDefault="00B159C2" w:rsidP="007E12FF">
            <w:pPr>
              <w:jc w:val="left"/>
              <w:rPr>
                <w:rFonts w:ascii="Arial Narrow" w:hAnsi="Arial Narrow" w:cs="Times New Roman"/>
                <w:sz w:val="20"/>
                <w:szCs w:val="20"/>
                <w:lang w:eastAsia="en-US"/>
              </w:rPr>
            </w:pPr>
            <w:r w:rsidRPr="00A74194">
              <w:rPr>
                <w:rFonts w:ascii="Arial Narrow" w:hAnsi="Arial Narrow" w:cs="Times New Roman"/>
                <w:sz w:val="20"/>
                <w:szCs w:val="20"/>
                <w:lang w:eastAsia="en-US"/>
              </w:rPr>
              <w:t>Low risk: 0.46%</w:t>
            </w:r>
            <w:r w:rsidR="006F6070" w:rsidRPr="00A74194">
              <w:rPr>
                <w:rFonts w:ascii="Arial Narrow" w:hAnsi="Arial Narrow" w:cs="Times New Roman"/>
                <w:sz w:val="20"/>
                <w:szCs w:val="20"/>
                <w:lang w:eastAsia="en-US"/>
              </w:rPr>
              <w:t xml:space="preserve"> (was 0% in July 2019)</w:t>
            </w:r>
          </w:p>
          <w:p w14:paraId="4FE5CFB0" w14:textId="77777777" w:rsidR="00B159C2" w:rsidRPr="00A74194" w:rsidRDefault="00B159C2" w:rsidP="007E12FF">
            <w:pPr>
              <w:jc w:val="left"/>
              <w:rPr>
                <w:rFonts w:ascii="Arial Narrow" w:hAnsi="Arial Narrow" w:cs="Times New Roman"/>
                <w:sz w:val="20"/>
                <w:szCs w:val="20"/>
                <w:lang w:eastAsia="en-US"/>
              </w:rPr>
            </w:pPr>
            <w:r w:rsidRPr="00A74194">
              <w:rPr>
                <w:rFonts w:ascii="Arial Narrow" w:hAnsi="Arial Narrow" w:cs="Times New Roman"/>
                <w:sz w:val="20"/>
                <w:szCs w:val="20"/>
                <w:lang w:eastAsia="en-US"/>
              </w:rPr>
              <w:t>Moderate risk: 91.20%</w:t>
            </w:r>
            <w:r w:rsidR="006F6070" w:rsidRPr="00A74194">
              <w:rPr>
                <w:rFonts w:ascii="Arial Narrow" w:hAnsi="Arial Narrow" w:cs="Times New Roman"/>
                <w:sz w:val="20"/>
                <w:szCs w:val="20"/>
                <w:lang w:eastAsia="en-US"/>
              </w:rPr>
              <w:t xml:space="preserve"> (was 76.85% in July 2019)</w:t>
            </w:r>
          </w:p>
          <w:p w14:paraId="3E5D606A" w14:textId="77777777" w:rsidR="00B159C2" w:rsidRPr="00A74194" w:rsidRDefault="00B159C2" w:rsidP="007E12FF">
            <w:pPr>
              <w:jc w:val="left"/>
              <w:rPr>
                <w:rFonts w:ascii="Arial Narrow" w:hAnsi="Arial Narrow" w:cs="Times New Roman"/>
                <w:sz w:val="20"/>
                <w:szCs w:val="20"/>
                <w:lang w:eastAsia="en-US"/>
              </w:rPr>
            </w:pPr>
            <w:r w:rsidRPr="00A74194">
              <w:rPr>
                <w:rFonts w:ascii="Arial Narrow" w:hAnsi="Arial Narrow" w:cs="Times New Roman"/>
                <w:sz w:val="20"/>
                <w:szCs w:val="20"/>
                <w:lang w:eastAsia="en-US"/>
              </w:rPr>
              <w:t>High risk: 8.33%</w:t>
            </w:r>
            <w:r w:rsidR="006F6070" w:rsidRPr="00A74194">
              <w:rPr>
                <w:rFonts w:ascii="Arial Narrow" w:hAnsi="Arial Narrow" w:cs="Times New Roman"/>
                <w:sz w:val="20"/>
                <w:szCs w:val="20"/>
                <w:lang w:eastAsia="en-US"/>
              </w:rPr>
              <w:t xml:space="preserve"> (was 23.15% in July 2019)</w:t>
            </w:r>
          </w:p>
          <w:p w14:paraId="1F48954E" w14:textId="77777777" w:rsidR="00B159C2" w:rsidRPr="00A74194" w:rsidRDefault="00B159C2" w:rsidP="007E12FF">
            <w:pPr>
              <w:jc w:val="left"/>
              <w:rPr>
                <w:rFonts w:ascii="Arial Narrow" w:hAnsi="Arial Narrow" w:cs="Times New Roman"/>
                <w:sz w:val="20"/>
                <w:szCs w:val="20"/>
                <w:lang w:eastAsia="en-US"/>
              </w:rPr>
            </w:pPr>
            <w:r w:rsidRPr="00A74194">
              <w:rPr>
                <w:rFonts w:ascii="Arial Narrow" w:hAnsi="Arial Narrow" w:cs="Times New Roman"/>
                <w:sz w:val="20"/>
                <w:szCs w:val="20"/>
                <w:lang w:eastAsia="en-US"/>
              </w:rPr>
              <w:t>Based on the POISE trial.</w:t>
            </w:r>
          </w:p>
          <w:p w14:paraId="3E94A029" w14:textId="77777777" w:rsidR="00B159C2" w:rsidRPr="00A74194" w:rsidRDefault="00B159C2" w:rsidP="007E12FF">
            <w:pPr>
              <w:jc w:val="left"/>
              <w:rPr>
                <w:rFonts w:ascii="Arial Narrow" w:hAnsi="Arial Narrow" w:cs="Times New Roman"/>
                <w:sz w:val="20"/>
                <w:szCs w:val="20"/>
                <w:lang w:eastAsia="en-US"/>
              </w:rPr>
            </w:pPr>
          </w:p>
          <w:p w14:paraId="66D12207" w14:textId="77777777" w:rsidR="00B159C2" w:rsidRPr="00A74194" w:rsidRDefault="00B159C2" w:rsidP="00D23ECA">
            <w:pPr>
              <w:jc w:val="left"/>
              <w:rPr>
                <w:rFonts w:ascii="Arial Narrow" w:hAnsi="Arial Narrow" w:cs="Times New Roman"/>
                <w:sz w:val="20"/>
                <w:szCs w:val="20"/>
                <w:lang w:eastAsia="en-US"/>
              </w:rPr>
            </w:pPr>
            <w:r w:rsidRPr="00A74194">
              <w:rPr>
                <w:rFonts w:ascii="Arial Narrow" w:hAnsi="Arial Narrow" w:cs="Times New Roman"/>
                <w:sz w:val="20"/>
                <w:szCs w:val="20"/>
                <w:lang w:eastAsia="en-US"/>
              </w:rPr>
              <w:t>Th</w:t>
            </w:r>
            <w:r w:rsidR="00FE4373" w:rsidRPr="00A74194">
              <w:rPr>
                <w:rFonts w:ascii="Arial Narrow" w:hAnsi="Arial Narrow" w:cs="Times New Roman"/>
                <w:sz w:val="20"/>
                <w:szCs w:val="20"/>
                <w:lang w:eastAsia="en-US"/>
              </w:rPr>
              <w:t xml:space="preserve">e ESC noted that these values were </w:t>
            </w:r>
            <w:r w:rsidRPr="00A74194">
              <w:rPr>
                <w:rFonts w:ascii="Arial Narrow" w:hAnsi="Arial Narrow" w:cs="Times New Roman"/>
                <w:sz w:val="20"/>
                <w:szCs w:val="20"/>
                <w:lang w:eastAsia="en-US"/>
              </w:rPr>
              <w:t>changed from the previous submission</w:t>
            </w:r>
            <w:r w:rsidR="00FE4373" w:rsidRPr="00A74194">
              <w:rPr>
                <w:rFonts w:ascii="Arial Narrow" w:hAnsi="Arial Narrow" w:cs="Times New Roman"/>
                <w:sz w:val="20"/>
                <w:szCs w:val="20"/>
                <w:lang w:eastAsia="en-US"/>
              </w:rPr>
              <w:t>; however</w:t>
            </w:r>
            <w:r w:rsidR="00964E19" w:rsidRPr="00A74194">
              <w:rPr>
                <w:rFonts w:ascii="Arial Narrow" w:hAnsi="Arial Narrow" w:cs="Times New Roman"/>
                <w:sz w:val="20"/>
                <w:szCs w:val="20"/>
                <w:lang w:eastAsia="en-US"/>
              </w:rPr>
              <w:t>,</w:t>
            </w:r>
            <w:r w:rsidR="00FE4373" w:rsidRPr="00A74194">
              <w:rPr>
                <w:rFonts w:ascii="Arial Narrow" w:hAnsi="Arial Narrow" w:cs="Times New Roman"/>
                <w:sz w:val="20"/>
                <w:szCs w:val="20"/>
                <w:lang w:eastAsia="en-US"/>
              </w:rPr>
              <w:t xml:space="preserve"> it was </w:t>
            </w:r>
            <w:r w:rsidRPr="00A74194">
              <w:rPr>
                <w:rFonts w:ascii="Arial Narrow" w:hAnsi="Arial Narrow" w:cs="Times New Roman"/>
                <w:sz w:val="20"/>
                <w:szCs w:val="20"/>
                <w:lang w:eastAsia="en-US"/>
              </w:rPr>
              <w:t>unclear why the new analysis of the POISE trial resulted in a different baseline health state distribution</w:t>
            </w:r>
            <w:r w:rsidR="00723A48" w:rsidRPr="00A74194">
              <w:rPr>
                <w:rFonts w:ascii="Arial Narrow" w:hAnsi="Arial Narrow" w:cs="Times New Roman"/>
                <w:sz w:val="20"/>
                <w:szCs w:val="20"/>
                <w:lang w:eastAsia="en-US"/>
              </w:rPr>
              <w:t xml:space="preserve"> compared to the previous analysis</w:t>
            </w:r>
            <w:r w:rsidRPr="00A74194">
              <w:rPr>
                <w:rFonts w:ascii="Arial Narrow" w:hAnsi="Arial Narrow" w:cs="Times New Roman"/>
                <w:sz w:val="20"/>
                <w:szCs w:val="20"/>
                <w:lang w:eastAsia="en-US"/>
              </w:rPr>
              <w:t>. This was unable to be verified during the evaluation.</w:t>
            </w:r>
            <w:r w:rsidR="00B23FA1" w:rsidRPr="00A74194">
              <w:rPr>
                <w:rFonts w:ascii="Arial Narrow" w:hAnsi="Arial Narrow" w:cs="Times New Roman"/>
                <w:sz w:val="20"/>
                <w:szCs w:val="20"/>
                <w:lang w:eastAsia="en-US"/>
              </w:rPr>
              <w:t xml:space="preserve"> </w:t>
            </w:r>
            <w:r w:rsidR="00B23FA1" w:rsidRPr="00A74194">
              <w:rPr>
                <w:rFonts w:ascii="Arial Narrow" w:hAnsi="Arial Narrow" w:cs="Times New Roman"/>
                <w:snapToGrid w:val="0"/>
                <w:sz w:val="20"/>
                <w:szCs w:val="20"/>
              </w:rPr>
              <w:t xml:space="preserve">The </w:t>
            </w:r>
            <w:r w:rsidR="0002358E" w:rsidRPr="00A74194">
              <w:rPr>
                <w:rFonts w:ascii="Arial Narrow" w:hAnsi="Arial Narrow" w:cs="Times New Roman"/>
                <w:snapToGrid w:val="0"/>
                <w:sz w:val="20"/>
                <w:szCs w:val="20"/>
              </w:rPr>
              <w:t xml:space="preserve">PBAC noted that the </w:t>
            </w:r>
            <w:r w:rsidR="00B23FA1" w:rsidRPr="00A74194">
              <w:rPr>
                <w:rFonts w:ascii="Arial Narrow" w:hAnsi="Arial Narrow" w:cs="Times New Roman"/>
                <w:snapToGrid w:val="0"/>
                <w:sz w:val="20"/>
                <w:szCs w:val="20"/>
              </w:rPr>
              <w:t>sensitivity analysis using 2019 baseline health state distribution indicated the ICER was not sensitive to this change (ICER = $</w:t>
            </w:r>
            <w:r w:rsidR="00027EBC">
              <w:rPr>
                <w:rFonts w:ascii="Arial Narrow" w:hAnsi="Arial Narrow" w:cs="Times New Roman"/>
                <w:noProof/>
                <w:snapToGrid w:val="0"/>
                <w:color w:val="000000"/>
                <w:sz w:val="20"/>
                <w:szCs w:val="20"/>
                <w:highlight w:val="black"/>
              </w:rPr>
              <w:t>'''''''''''''''''</w:t>
            </w:r>
            <w:r w:rsidR="00BD6747" w:rsidRPr="00BD6747">
              <w:rPr>
                <w:rFonts w:ascii="Arial Narrow" w:hAnsi="Arial Narrow" w:cs="Times New Roman"/>
                <w:snapToGrid w:val="0"/>
                <w:sz w:val="20"/>
                <w:szCs w:val="20"/>
                <w:vertAlign w:val="superscript"/>
              </w:rPr>
              <w:t>1</w:t>
            </w:r>
            <w:r w:rsidR="00B23FA1" w:rsidRPr="00BC363E">
              <w:rPr>
                <w:rFonts w:ascii="Arial Narrow" w:hAnsi="Arial Narrow" w:cs="Times New Roman"/>
                <w:snapToGrid w:val="0"/>
                <w:sz w:val="20"/>
                <w:szCs w:val="20"/>
              </w:rPr>
              <w:t xml:space="preserve"> </w:t>
            </w:r>
            <w:r w:rsidR="00B23FA1" w:rsidRPr="00A74194">
              <w:rPr>
                <w:rFonts w:ascii="Arial Narrow" w:hAnsi="Arial Narrow" w:cs="Times New Roman"/>
                <w:snapToGrid w:val="0"/>
                <w:sz w:val="20"/>
                <w:szCs w:val="20"/>
              </w:rPr>
              <w:t>using 2019 values, ICER = $</w:t>
            </w:r>
            <w:r w:rsidR="00027EBC">
              <w:rPr>
                <w:rFonts w:ascii="Arial Narrow" w:hAnsi="Arial Narrow" w:cs="Times New Roman"/>
                <w:noProof/>
                <w:snapToGrid w:val="0"/>
                <w:color w:val="000000"/>
                <w:sz w:val="20"/>
                <w:szCs w:val="20"/>
                <w:highlight w:val="black"/>
              </w:rPr>
              <w:t>'''''''''''''''</w:t>
            </w:r>
            <w:r w:rsidR="00BC363E" w:rsidRPr="00BC363E">
              <w:rPr>
                <w:rFonts w:ascii="Arial Narrow" w:hAnsi="Arial Narrow" w:cs="Times New Roman"/>
                <w:snapToGrid w:val="0"/>
                <w:sz w:val="20"/>
                <w:szCs w:val="20"/>
                <w:vertAlign w:val="superscript"/>
              </w:rPr>
              <w:t>1</w:t>
            </w:r>
            <w:r w:rsidR="00B23FA1" w:rsidRPr="00A74194">
              <w:rPr>
                <w:rFonts w:ascii="Arial Narrow" w:hAnsi="Arial Narrow" w:cs="Times New Roman"/>
                <w:snapToGrid w:val="0"/>
                <w:sz w:val="20"/>
                <w:szCs w:val="20"/>
              </w:rPr>
              <w:t xml:space="preserve"> using 2020 values).</w:t>
            </w:r>
          </w:p>
        </w:tc>
      </w:tr>
      <w:tr w:rsidR="00B159C2" w:rsidRPr="00A74194" w14:paraId="6C54C1B4" w14:textId="77777777" w:rsidTr="007E12FF">
        <w:tc>
          <w:tcPr>
            <w:tcW w:w="784" w:type="pct"/>
            <w:vMerge w:val="restart"/>
            <w:shd w:val="clear" w:color="auto" w:fill="auto"/>
          </w:tcPr>
          <w:p w14:paraId="0214ADAD" w14:textId="77777777" w:rsidR="00B159C2" w:rsidRPr="00A74194" w:rsidRDefault="00B159C2" w:rsidP="007E12FF">
            <w:pPr>
              <w:jc w:val="left"/>
              <w:rPr>
                <w:rFonts w:ascii="Arial Narrow" w:hAnsi="Arial Narrow" w:cs="Times New Roman"/>
                <w:sz w:val="20"/>
                <w:szCs w:val="20"/>
                <w:lang w:eastAsia="en-US"/>
              </w:rPr>
            </w:pPr>
            <w:r w:rsidRPr="00A74194">
              <w:rPr>
                <w:rFonts w:ascii="Arial Narrow" w:hAnsi="Arial Narrow" w:cs="Times New Roman"/>
                <w:sz w:val="20"/>
                <w:szCs w:val="20"/>
                <w:lang w:eastAsia="en-US"/>
              </w:rPr>
              <w:t>Transition probabilities</w:t>
            </w:r>
          </w:p>
        </w:tc>
        <w:tc>
          <w:tcPr>
            <w:tcW w:w="4216" w:type="pct"/>
            <w:shd w:val="clear" w:color="auto" w:fill="auto"/>
          </w:tcPr>
          <w:p w14:paraId="6E577E31" w14:textId="77777777" w:rsidR="00B159C2" w:rsidRPr="00A74194" w:rsidRDefault="00B159C2" w:rsidP="007E12FF">
            <w:pPr>
              <w:jc w:val="left"/>
              <w:rPr>
                <w:rFonts w:ascii="Arial Narrow" w:eastAsiaTheme="minorEastAsia" w:hAnsi="Arial Narrow"/>
                <w:bCs/>
                <w:color w:val="000000" w:themeColor="text1"/>
                <w:kern w:val="24"/>
                <w:sz w:val="20"/>
                <w:szCs w:val="20"/>
                <w:u w:val="single"/>
              </w:rPr>
            </w:pPr>
            <w:r w:rsidRPr="00A74194">
              <w:rPr>
                <w:rFonts w:ascii="Arial Narrow" w:eastAsiaTheme="minorEastAsia" w:hAnsi="Arial Narrow"/>
                <w:bCs/>
                <w:color w:val="000000" w:themeColor="text1"/>
                <w:kern w:val="24"/>
                <w:sz w:val="20"/>
                <w:szCs w:val="20"/>
                <w:u w:val="single"/>
              </w:rPr>
              <w:t>Low risk ↔ High risk</w:t>
            </w:r>
          </w:p>
          <w:p w14:paraId="2D911C13" w14:textId="77777777" w:rsidR="00153407" w:rsidRPr="00A74194" w:rsidRDefault="00B159C2" w:rsidP="00153407">
            <w:pPr>
              <w:jc w:val="left"/>
              <w:rPr>
                <w:rFonts w:ascii="Arial Narrow" w:hAnsi="Arial Narrow" w:cs="Times New Roman"/>
                <w:snapToGrid w:val="0"/>
                <w:sz w:val="20"/>
                <w:szCs w:val="22"/>
                <w:lang w:eastAsia="en-US"/>
              </w:rPr>
            </w:pPr>
            <w:r w:rsidRPr="00A74194">
              <w:rPr>
                <w:rFonts w:ascii="Arial Narrow" w:hAnsi="Arial Narrow" w:cs="Times New Roman"/>
                <w:snapToGrid w:val="0"/>
                <w:sz w:val="20"/>
                <w:szCs w:val="22"/>
                <w:lang w:eastAsia="en-US"/>
              </w:rPr>
              <w:t xml:space="preserve">OCA + UDCA (UDCA inadequate response): POISE. </w:t>
            </w:r>
            <w:r w:rsidR="00153407" w:rsidRPr="00A74194">
              <w:rPr>
                <w:rFonts w:ascii="Arial Narrow" w:hAnsi="Arial Narrow" w:cs="Times New Roman"/>
                <w:snapToGrid w:val="0"/>
                <w:sz w:val="20"/>
                <w:szCs w:val="22"/>
                <w:lang w:eastAsia="en-US"/>
              </w:rPr>
              <w:t xml:space="preserve">The application of the POISE data is appropriate. The transition probabilities were the same as those used in the 2018 submission for months 0-3, 3-6 and 6-9 months. The probabilities for 9-12 months reflect the corrected values from the 2019 submission. </w:t>
            </w:r>
          </w:p>
          <w:p w14:paraId="32EED97F" w14:textId="77777777" w:rsidR="00153407" w:rsidRPr="00A74194" w:rsidRDefault="00153407" w:rsidP="00153407">
            <w:pPr>
              <w:jc w:val="left"/>
              <w:rPr>
                <w:rFonts w:ascii="Arial Narrow" w:hAnsi="Arial Narrow" w:cs="Times New Roman"/>
                <w:snapToGrid w:val="0"/>
                <w:sz w:val="20"/>
                <w:szCs w:val="22"/>
                <w:lang w:eastAsia="en-US"/>
              </w:rPr>
            </w:pPr>
          </w:p>
          <w:p w14:paraId="101AB9C0" w14:textId="77777777" w:rsidR="00B159C2" w:rsidRPr="00A74194" w:rsidRDefault="00153407" w:rsidP="009873A6">
            <w:pPr>
              <w:jc w:val="left"/>
              <w:rPr>
                <w:rFonts w:ascii="Arial Narrow" w:hAnsi="Arial Narrow" w:cs="Times New Roman"/>
                <w:sz w:val="20"/>
                <w:szCs w:val="20"/>
                <w:lang w:eastAsia="en-US"/>
              </w:rPr>
            </w:pPr>
            <w:r w:rsidRPr="00A74194">
              <w:rPr>
                <w:rFonts w:ascii="Arial Narrow" w:hAnsi="Arial Narrow" w:cs="Times New Roman"/>
                <w:snapToGrid w:val="0"/>
                <w:sz w:val="20"/>
                <w:szCs w:val="22"/>
                <w:lang w:eastAsia="en-US"/>
              </w:rPr>
              <w:t xml:space="preserve">The transition probabilities between biochemical health states for OCA patients were based on a small sample size (N=68). </w:t>
            </w:r>
          </w:p>
        </w:tc>
      </w:tr>
      <w:tr w:rsidR="00B159C2" w:rsidRPr="00A74194" w14:paraId="0FB771C6" w14:textId="77777777" w:rsidTr="007E12FF">
        <w:tc>
          <w:tcPr>
            <w:tcW w:w="784" w:type="pct"/>
            <w:vMerge/>
            <w:shd w:val="clear" w:color="auto" w:fill="auto"/>
          </w:tcPr>
          <w:p w14:paraId="0A98171F" w14:textId="77777777" w:rsidR="00B159C2" w:rsidRPr="00A74194" w:rsidRDefault="00B159C2" w:rsidP="007E12FF">
            <w:pPr>
              <w:jc w:val="left"/>
              <w:rPr>
                <w:rFonts w:ascii="Arial Narrow" w:hAnsi="Arial Narrow" w:cs="Times New Roman"/>
                <w:sz w:val="20"/>
                <w:szCs w:val="20"/>
                <w:lang w:eastAsia="en-US"/>
              </w:rPr>
            </w:pPr>
          </w:p>
        </w:tc>
        <w:tc>
          <w:tcPr>
            <w:tcW w:w="4216" w:type="pct"/>
            <w:shd w:val="clear" w:color="auto" w:fill="auto"/>
          </w:tcPr>
          <w:p w14:paraId="07BBB624" w14:textId="77777777" w:rsidR="00B159C2" w:rsidRPr="00A74194" w:rsidRDefault="00B159C2" w:rsidP="007E12FF">
            <w:pPr>
              <w:jc w:val="left"/>
              <w:rPr>
                <w:rFonts w:ascii="Arial Narrow" w:eastAsiaTheme="minorEastAsia" w:hAnsi="Arial Narrow"/>
                <w:kern w:val="24"/>
                <w:sz w:val="20"/>
                <w:szCs w:val="20"/>
                <w:u w:val="single"/>
              </w:rPr>
            </w:pPr>
            <w:r w:rsidRPr="00A74194">
              <w:rPr>
                <w:rFonts w:ascii="Arial Narrow" w:eastAsiaTheme="minorEastAsia" w:hAnsi="Arial Narrow"/>
                <w:kern w:val="24"/>
                <w:sz w:val="20"/>
                <w:szCs w:val="20"/>
                <w:u w:val="single"/>
              </w:rPr>
              <w:t xml:space="preserve">Biochemical health states </w:t>
            </w:r>
            <w:r w:rsidRPr="00A74194">
              <w:rPr>
                <w:rFonts w:ascii="Arial Narrow" w:eastAsiaTheme="minorEastAsia" w:hAnsi="Arial Narrow"/>
                <w:bCs/>
                <w:kern w:val="24"/>
                <w:sz w:val="20"/>
                <w:szCs w:val="20"/>
                <w:u w:val="single"/>
              </w:rPr>
              <w:t xml:space="preserve">→ </w:t>
            </w:r>
            <w:r w:rsidRPr="00A74194">
              <w:rPr>
                <w:rFonts w:ascii="Arial Narrow" w:eastAsiaTheme="minorEastAsia" w:hAnsi="Arial Narrow"/>
                <w:kern w:val="24"/>
                <w:sz w:val="20"/>
                <w:szCs w:val="20"/>
                <w:u w:val="single"/>
              </w:rPr>
              <w:t>Liver disease health states</w:t>
            </w:r>
          </w:p>
          <w:p w14:paraId="47472732" w14:textId="77777777" w:rsidR="00B159C2" w:rsidRPr="00A74194" w:rsidRDefault="00B159C2" w:rsidP="009873A6">
            <w:pPr>
              <w:jc w:val="left"/>
              <w:rPr>
                <w:rFonts w:ascii="Arial Narrow" w:hAnsi="Arial Narrow" w:cs="Times New Roman"/>
                <w:sz w:val="20"/>
                <w:szCs w:val="20"/>
                <w:lang w:eastAsia="en-US"/>
              </w:rPr>
            </w:pPr>
            <w:r w:rsidRPr="00A74194">
              <w:rPr>
                <w:rFonts w:ascii="Arial Narrow" w:eastAsiaTheme="minorEastAsia" w:hAnsi="Arial Narrow"/>
                <w:kern w:val="24"/>
                <w:sz w:val="20"/>
                <w:szCs w:val="20"/>
                <w:lang w:eastAsia="en-US"/>
              </w:rPr>
              <w:t xml:space="preserve">Various published data sources and model calibration. </w:t>
            </w:r>
            <w:r w:rsidR="00D020D2" w:rsidRPr="00A74194">
              <w:rPr>
                <w:rFonts w:ascii="Arial Narrow" w:eastAsiaTheme="minorEastAsia" w:hAnsi="Arial Narrow"/>
                <w:kern w:val="24"/>
                <w:sz w:val="20"/>
                <w:szCs w:val="20"/>
                <w:lang w:eastAsia="en-US"/>
              </w:rPr>
              <w:t>The ESC noted that although m</w:t>
            </w:r>
            <w:r w:rsidR="00F24D19" w:rsidRPr="00A74194">
              <w:rPr>
                <w:rFonts w:ascii="Arial Narrow" w:eastAsiaTheme="minorEastAsia" w:hAnsi="Arial Narrow"/>
                <w:kern w:val="24"/>
                <w:sz w:val="20"/>
                <w:szCs w:val="20"/>
                <w:lang w:eastAsia="en-US"/>
              </w:rPr>
              <w:t>any</w:t>
            </w:r>
            <w:r w:rsidRPr="00A74194">
              <w:rPr>
                <w:rFonts w:ascii="Arial Narrow" w:hAnsi="Arial Narrow" w:cs="Times New Roman"/>
                <w:sz w:val="20"/>
                <w:szCs w:val="20"/>
                <w:lang w:eastAsia="en-US"/>
              </w:rPr>
              <w:t xml:space="preserve"> </w:t>
            </w:r>
            <w:r w:rsidR="00D020D2" w:rsidRPr="00A74194">
              <w:rPr>
                <w:rFonts w:ascii="Arial Narrow" w:hAnsi="Arial Narrow" w:cs="Times New Roman"/>
                <w:sz w:val="20"/>
                <w:szCs w:val="20"/>
                <w:lang w:eastAsia="en-US"/>
              </w:rPr>
              <w:t xml:space="preserve">of the </w:t>
            </w:r>
            <w:r w:rsidRPr="00A74194">
              <w:rPr>
                <w:rFonts w:ascii="Arial Narrow" w:hAnsi="Arial Narrow" w:cs="Times New Roman"/>
                <w:sz w:val="20"/>
                <w:szCs w:val="20"/>
                <w:lang w:eastAsia="en-US"/>
              </w:rPr>
              <w:t xml:space="preserve">transition probabilities were able to be verified based on the information presented by the resubmission, </w:t>
            </w:r>
            <w:r w:rsidR="00D020D2" w:rsidRPr="00A74194">
              <w:rPr>
                <w:rFonts w:ascii="Arial Narrow" w:hAnsi="Arial Narrow" w:cs="Times New Roman"/>
                <w:sz w:val="20"/>
                <w:szCs w:val="20"/>
                <w:lang w:eastAsia="en-US"/>
              </w:rPr>
              <w:t xml:space="preserve">some </w:t>
            </w:r>
            <w:r w:rsidR="007F4B37" w:rsidRPr="00A74194">
              <w:rPr>
                <w:rFonts w:ascii="Arial Narrow" w:hAnsi="Arial Narrow" w:cs="Times New Roman"/>
                <w:sz w:val="20"/>
                <w:szCs w:val="20"/>
                <w:lang w:eastAsia="en-US"/>
              </w:rPr>
              <w:t>remained un</w:t>
            </w:r>
            <w:r w:rsidR="00D020D2" w:rsidRPr="00A74194">
              <w:rPr>
                <w:rFonts w:ascii="Arial Narrow" w:hAnsi="Arial Narrow" w:cs="Times New Roman"/>
                <w:sz w:val="20"/>
                <w:szCs w:val="20"/>
                <w:lang w:eastAsia="en-US"/>
              </w:rPr>
              <w:t>able to verified</w:t>
            </w:r>
            <w:r w:rsidRPr="00A74194">
              <w:rPr>
                <w:rFonts w:ascii="Arial Narrow" w:hAnsi="Arial Narrow" w:cs="Times New Roman"/>
                <w:sz w:val="20"/>
                <w:szCs w:val="20"/>
                <w:lang w:eastAsia="en-US"/>
              </w:rPr>
              <w:t>. Some were changed between the previous submission and the resubmission.</w:t>
            </w:r>
            <w:r w:rsidR="00067D94" w:rsidRPr="00A74194">
              <w:rPr>
                <w:rFonts w:ascii="Arial Narrow" w:hAnsi="Arial Narrow" w:cs="Times New Roman"/>
                <w:sz w:val="20"/>
                <w:szCs w:val="20"/>
                <w:lang w:eastAsia="en-US"/>
              </w:rPr>
              <w:t xml:space="preserve"> These were tested in a sensitivity analysis and </w:t>
            </w:r>
            <w:r w:rsidR="00067D94" w:rsidRPr="00A74194">
              <w:rPr>
                <w:rFonts w:ascii="Arial Narrow" w:hAnsi="Arial Narrow"/>
                <w:sz w:val="20"/>
                <w:szCs w:val="20"/>
              </w:rPr>
              <w:t xml:space="preserve">the </w:t>
            </w:r>
            <w:r w:rsidR="00CB44A3" w:rsidRPr="00A74194">
              <w:rPr>
                <w:rFonts w:ascii="Arial Narrow" w:hAnsi="Arial Narrow"/>
                <w:sz w:val="20"/>
                <w:szCs w:val="20"/>
              </w:rPr>
              <w:t>ICER was</w:t>
            </w:r>
            <w:r w:rsidR="00067D94" w:rsidRPr="00A74194">
              <w:rPr>
                <w:rFonts w:ascii="Arial Narrow" w:hAnsi="Arial Narrow"/>
                <w:sz w:val="20"/>
                <w:szCs w:val="20"/>
              </w:rPr>
              <w:t xml:space="preserve"> not sensitive to changes in the individual transition probabilities</w:t>
            </w:r>
            <w:r w:rsidR="007050AE" w:rsidRPr="00A74194">
              <w:rPr>
                <w:rFonts w:ascii="Arial Narrow" w:hAnsi="Arial Narrow"/>
                <w:sz w:val="20"/>
                <w:szCs w:val="20"/>
              </w:rPr>
              <w:t xml:space="preserve"> from biochemical to liver disease health states</w:t>
            </w:r>
            <w:r w:rsidR="00067D94" w:rsidRPr="00A74194">
              <w:rPr>
                <w:rFonts w:ascii="Arial Narrow" w:hAnsi="Arial Narrow"/>
                <w:sz w:val="20"/>
                <w:szCs w:val="20"/>
              </w:rPr>
              <w:t>.</w:t>
            </w:r>
          </w:p>
        </w:tc>
      </w:tr>
      <w:tr w:rsidR="00B159C2" w:rsidRPr="00A74194" w14:paraId="4EFA2AA5" w14:textId="77777777" w:rsidTr="007E12FF">
        <w:tc>
          <w:tcPr>
            <w:tcW w:w="784" w:type="pct"/>
            <w:shd w:val="clear" w:color="auto" w:fill="auto"/>
          </w:tcPr>
          <w:p w14:paraId="0B946CC9" w14:textId="77777777" w:rsidR="00B159C2" w:rsidRPr="00A74194" w:rsidRDefault="00B159C2" w:rsidP="007E12FF">
            <w:pPr>
              <w:jc w:val="left"/>
              <w:rPr>
                <w:rFonts w:ascii="Arial Narrow" w:hAnsi="Arial Narrow" w:cs="Times New Roman"/>
                <w:sz w:val="20"/>
                <w:szCs w:val="20"/>
                <w:lang w:eastAsia="en-US"/>
              </w:rPr>
            </w:pPr>
            <w:r w:rsidRPr="00A74194">
              <w:rPr>
                <w:rFonts w:ascii="Arial Narrow" w:hAnsi="Arial Narrow" w:cs="Times New Roman"/>
                <w:sz w:val="20"/>
                <w:szCs w:val="20"/>
                <w:lang w:eastAsia="en-US"/>
              </w:rPr>
              <w:t>Discontinuations</w:t>
            </w:r>
          </w:p>
        </w:tc>
        <w:tc>
          <w:tcPr>
            <w:tcW w:w="4216" w:type="pct"/>
            <w:shd w:val="clear" w:color="auto" w:fill="auto"/>
          </w:tcPr>
          <w:p w14:paraId="581E02CE" w14:textId="77777777" w:rsidR="00B159C2" w:rsidRPr="00A74194" w:rsidRDefault="00B159C2" w:rsidP="007E12FF">
            <w:pPr>
              <w:jc w:val="left"/>
              <w:rPr>
                <w:rFonts w:ascii="Arial Narrow" w:hAnsi="Arial Narrow" w:cs="Times New Roman"/>
                <w:kern w:val="24"/>
                <w:sz w:val="20"/>
                <w:szCs w:val="20"/>
                <w:lang w:eastAsia="en-US"/>
              </w:rPr>
            </w:pPr>
            <w:r w:rsidRPr="00A74194">
              <w:rPr>
                <w:rFonts w:ascii="Arial Narrow" w:hAnsi="Arial Narrow"/>
                <w:kern w:val="24"/>
                <w:sz w:val="20"/>
                <w:szCs w:val="20"/>
                <w:lang w:eastAsia="en-US"/>
              </w:rPr>
              <w:t xml:space="preserve">OCA+UDCA or UDCA monotherapy: POISE, </w:t>
            </w:r>
            <w:r w:rsidRPr="00A74194">
              <w:rPr>
                <w:rFonts w:ascii="Arial Narrow" w:hAnsi="Arial Narrow" w:cs="Times New Roman"/>
                <w:kern w:val="24"/>
                <w:sz w:val="20"/>
                <w:szCs w:val="20"/>
                <w:lang w:eastAsia="en-US"/>
              </w:rPr>
              <w:t>No treatment: Nil (assumed)</w:t>
            </w:r>
          </w:p>
          <w:p w14:paraId="125E83FD" w14:textId="77777777" w:rsidR="00B159C2" w:rsidRPr="00A74194" w:rsidRDefault="00B159C2" w:rsidP="00DB6F23">
            <w:pPr>
              <w:jc w:val="left"/>
              <w:rPr>
                <w:rFonts w:ascii="Arial Narrow" w:hAnsi="Arial Narrow" w:cs="Times New Roman"/>
                <w:sz w:val="20"/>
                <w:szCs w:val="20"/>
                <w:u w:val="single"/>
              </w:rPr>
            </w:pPr>
            <w:r w:rsidRPr="00A74194">
              <w:rPr>
                <w:rFonts w:ascii="Arial Narrow" w:hAnsi="Arial Narrow"/>
                <w:sz w:val="20"/>
                <w:szCs w:val="20"/>
              </w:rPr>
              <w:t xml:space="preserve">The resubmission aimed to implement a stopping rule for 54% </w:t>
            </w:r>
            <w:r w:rsidR="00C109B9" w:rsidRPr="00A74194">
              <w:rPr>
                <w:rFonts w:ascii="Arial Narrow" w:hAnsi="Arial Narrow"/>
                <w:sz w:val="20"/>
                <w:szCs w:val="20"/>
              </w:rPr>
              <w:t xml:space="preserve">of patients </w:t>
            </w:r>
            <w:r w:rsidRPr="00A74194">
              <w:rPr>
                <w:rFonts w:ascii="Arial Narrow" w:hAnsi="Arial Narrow"/>
                <w:sz w:val="20"/>
                <w:szCs w:val="20"/>
              </w:rPr>
              <w:t xml:space="preserve">at 12 months in the economic model. </w:t>
            </w:r>
            <w:r w:rsidR="001D22CB" w:rsidRPr="00A74194">
              <w:rPr>
                <w:rFonts w:ascii="Arial Narrow" w:hAnsi="Arial Narrow"/>
                <w:sz w:val="20"/>
                <w:szCs w:val="20"/>
              </w:rPr>
              <w:t xml:space="preserve">This is unchanged from the previous submission. The resubmission assumed that 9.86% of patients treated with OCA+/-UDCA discontinue after 3 months, and 44.1% of patients treated with OCA+/-UDCA discontinue treatment at 12 months. Together, this proportion sums to the proportion of patients not achieving the composite endpoint in the POISE trial (54%). When applied in the model the cycle 4 discontinuation rate was </w:t>
            </w:r>
            <w:r w:rsidR="008D6BFD" w:rsidRPr="00A74194">
              <w:rPr>
                <w:rFonts w:ascii="Arial Narrow" w:hAnsi="Arial Narrow"/>
                <w:sz w:val="20"/>
                <w:szCs w:val="20"/>
              </w:rPr>
              <w:t>39.47%</w:t>
            </w:r>
            <w:r w:rsidR="001D22CB" w:rsidRPr="00A74194">
              <w:rPr>
                <w:rFonts w:ascii="Arial Narrow" w:hAnsi="Arial Narrow"/>
                <w:sz w:val="20"/>
                <w:szCs w:val="20"/>
              </w:rPr>
              <w:t xml:space="preserve"> meaning that the proportion of patients discontinued at 12 months is 49.3% rather than 54% as stated. (Sheet OCA+UDCA Titration Markov model of Ocaliva Economic Evaluation PBAC July 2020 FINAL</w:t>
            </w:r>
            <w:r w:rsidR="00DC66CF" w:rsidRPr="00A74194">
              <w:rPr>
                <w:rFonts w:ascii="Arial Narrow" w:hAnsi="Arial Narrow"/>
                <w:sz w:val="20"/>
                <w:szCs w:val="20"/>
              </w:rPr>
              <w:t>.xlsm</w:t>
            </w:r>
            <w:r w:rsidR="001D22CB" w:rsidRPr="00A74194">
              <w:rPr>
                <w:rFonts w:ascii="Arial Narrow" w:hAnsi="Arial Narrow"/>
                <w:sz w:val="20"/>
                <w:szCs w:val="20"/>
              </w:rPr>
              <w:t xml:space="preserve">, cell BS7 and BS10, and cell X217). This is not appropriate. </w:t>
            </w:r>
            <w:r w:rsidR="00954010" w:rsidRPr="00A74194">
              <w:rPr>
                <w:rFonts w:ascii="Arial Narrow" w:hAnsi="Arial Narrow"/>
                <w:sz w:val="20"/>
                <w:szCs w:val="20"/>
              </w:rPr>
              <w:t xml:space="preserve">This </w:t>
            </w:r>
            <w:r w:rsidR="00067D94" w:rsidRPr="00A74194">
              <w:rPr>
                <w:rFonts w:ascii="Arial Narrow" w:hAnsi="Arial Narrow"/>
                <w:sz w:val="20"/>
                <w:szCs w:val="20"/>
              </w:rPr>
              <w:t>was</w:t>
            </w:r>
            <w:r w:rsidR="00954010" w:rsidRPr="00A74194">
              <w:rPr>
                <w:rFonts w:ascii="Arial Narrow" w:hAnsi="Arial Narrow"/>
                <w:sz w:val="20"/>
                <w:szCs w:val="20"/>
              </w:rPr>
              <w:t xml:space="preserve"> tested in </w:t>
            </w:r>
            <w:r w:rsidR="00067D94" w:rsidRPr="00A74194">
              <w:rPr>
                <w:rFonts w:ascii="Arial Narrow" w:hAnsi="Arial Narrow"/>
                <w:sz w:val="20"/>
                <w:szCs w:val="20"/>
              </w:rPr>
              <w:t xml:space="preserve">a </w:t>
            </w:r>
            <w:r w:rsidR="00954010" w:rsidRPr="00A74194">
              <w:rPr>
                <w:rFonts w:ascii="Arial Narrow" w:hAnsi="Arial Narrow"/>
                <w:sz w:val="20"/>
                <w:szCs w:val="20"/>
              </w:rPr>
              <w:t xml:space="preserve">sensitivity analysis and the </w:t>
            </w:r>
            <w:r w:rsidR="00CB44A3" w:rsidRPr="00A74194">
              <w:rPr>
                <w:rFonts w:ascii="Arial Narrow" w:hAnsi="Arial Narrow"/>
                <w:sz w:val="20"/>
                <w:szCs w:val="20"/>
              </w:rPr>
              <w:t>ICER was</w:t>
            </w:r>
            <w:r w:rsidR="00954010" w:rsidRPr="00A74194">
              <w:rPr>
                <w:rFonts w:ascii="Arial Narrow" w:hAnsi="Arial Narrow"/>
                <w:sz w:val="20"/>
                <w:szCs w:val="20"/>
              </w:rPr>
              <w:t xml:space="preserve"> not sensitive to this change (ICER $</w:t>
            </w:r>
            <w:r w:rsidR="00027EBC">
              <w:rPr>
                <w:rFonts w:ascii="Arial Narrow" w:hAnsi="Arial Narrow"/>
                <w:noProof/>
                <w:color w:val="000000"/>
                <w:sz w:val="20"/>
                <w:szCs w:val="20"/>
                <w:highlight w:val="black"/>
              </w:rPr>
              <w:t>'''''''''''''''</w:t>
            </w:r>
            <w:r w:rsidR="00BC363E" w:rsidRPr="00BC363E">
              <w:rPr>
                <w:rFonts w:ascii="Arial Narrow" w:hAnsi="Arial Narrow"/>
                <w:sz w:val="20"/>
                <w:szCs w:val="20"/>
                <w:vertAlign w:val="superscript"/>
              </w:rPr>
              <w:t>1</w:t>
            </w:r>
            <w:r w:rsidR="001B0C13" w:rsidRPr="00A74194">
              <w:rPr>
                <w:rFonts w:ascii="Arial Narrow" w:hAnsi="Arial Narrow"/>
                <w:sz w:val="20"/>
                <w:szCs w:val="20"/>
              </w:rPr>
              <w:t xml:space="preserve"> per QALY gained</w:t>
            </w:r>
            <w:r w:rsidR="00954010" w:rsidRPr="00A74194">
              <w:rPr>
                <w:rFonts w:ascii="Arial Narrow" w:hAnsi="Arial Narrow"/>
                <w:sz w:val="20"/>
                <w:szCs w:val="20"/>
              </w:rPr>
              <w:t xml:space="preserve"> compared to base case $</w:t>
            </w:r>
            <w:r w:rsidR="00027EBC">
              <w:rPr>
                <w:rFonts w:ascii="Arial Narrow" w:hAnsi="Arial Narrow"/>
                <w:noProof/>
                <w:color w:val="000000"/>
                <w:sz w:val="20"/>
                <w:szCs w:val="20"/>
                <w:highlight w:val="black"/>
              </w:rPr>
              <w:t>''''''''''''''''</w:t>
            </w:r>
            <w:r w:rsidR="00BC363E" w:rsidRPr="00BC363E">
              <w:rPr>
                <w:rFonts w:ascii="Arial Narrow" w:hAnsi="Arial Narrow"/>
                <w:sz w:val="20"/>
                <w:szCs w:val="20"/>
                <w:vertAlign w:val="superscript"/>
              </w:rPr>
              <w:t>1</w:t>
            </w:r>
            <w:r w:rsidR="001B0C13" w:rsidRPr="00A74194">
              <w:rPr>
                <w:rFonts w:ascii="Arial Narrow" w:hAnsi="Arial Narrow"/>
                <w:sz w:val="20"/>
                <w:szCs w:val="20"/>
              </w:rPr>
              <w:t xml:space="preserve"> per QALY gained</w:t>
            </w:r>
            <w:r w:rsidR="00954010" w:rsidRPr="00A74194">
              <w:rPr>
                <w:rFonts w:ascii="Arial Narrow" w:hAnsi="Arial Narrow"/>
                <w:sz w:val="20"/>
                <w:szCs w:val="20"/>
              </w:rPr>
              <w:t>).</w:t>
            </w:r>
          </w:p>
        </w:tc>
      </w:tr>
      <w:tr w:rsidR="00B159C2" w:rsidRPr="00A74194" w14:paraId="6093623A" w14:textId="77777777" w:rsidTr="007E12FF">
        <w:tc>
          <w:tcPr>
            <w:tcW w:w="784" w:type="pct"/>
            <w:shd w:val="clear" w:color="auto" w:fill="auto"/>
          </w:tcPr>
          <w:p w14:paraId="6E42DC72" w14:textId="77777777" w:rsidR="00B159C2" w:rsidRPr="00A74194" w:rsidRDefault="00B159C2" w:rsidP="007E12FF">
            <w:pPr>
              <w:jc w:val="left"/>
              <w:rPr>
                <w:rFonts w:ascii="Arial Narrow" w:hAnsi="Arial Narrow" w:cs="Times New Roman"/>
                <w:sz w:val="20"/>
                <w:szCs w:val="20"/>
                <w:lang w:eastAsia="en-US"/>
              </w:rPr>
            </w:pPr>
            <w:r w:rsidRPr="00A74194">
              <w:rPr>
                <w:rFonts w:ascii="Arial Narrow" w:hAnsi="Arial Narrow" w:cs="Times New Roman"/>
                <w:sz w:val="20"/>
                <w:szCs w:val="20"/>
                <w:lang w:eastAsia="en-US"/>
              </w:rPr>
              <w:t>Utilities</w:t>
            </w:r>
          </w:p>
        </w:tc>
        <w:tc>
          <w:tcPr>
            <w:tcW w:w="4216" w:type="pct"/>
            <w:shd w:val="clear" w:color="auto" w:fill="auto"/>
          </w:tcPr>
          <w:p w14:paraId="160FFFD2" w14:textId="77777777" w:rsidR="00B4597F" w:rsidRPr="00A74194" w:rsidRDefault="00B4597F" w:rsidP="00B4597F">
            <w:pPr>
              <w:jc w:val="left"/>
              <w:rPr>
                <w:rFonts w:ascii="Arial Narrow" w:hAnsi="Arial Narrow" w:cs="Times New Roman"/>
                <w:sz w:val="20"/>
                <w:szCs w:val="20"/>
                <w:u w:val="single"/>
              </w:rPr>
            </w:pPr>
            <w:r w:rsidRPr="00A74194">
              <w:rPr>
                <w:rFonts w:ascii="Arial Narrow" w:hAnsi="Arial Narrow" w:cs="Times New Roman"/>
                <w:sz w:val="20"/>
                <w:szCs w:val="20"/>
                <w:u w:val="single"/>
              </w:rPr>
              <w:t>Biochemical states</w:t>
            </w:r>
          </w:p>
          <w:p w14:paraId="7ED5DF3F" w14:textId="77777777" w:rsidR="00B4597F" w:rsidRPr="00A74194" w:rsidRDefault="00B4597F" w:rsidP="00B4597F">
            <w:pPr>
              <w:jc w:val="left"/>
              <w:rPr>
                <w:rFonts w:ascii="Arial Narrow" w:hAnsi="Arial Narrow" w:cs="Times New Roman"/>
                <w:iCs/>
                <w:sz w:val="20"/>
                <w:szCs w:val="20"/>
              </w:rPr>
            </w:pPr>
            <w:r w:rsidRPr="00A74194">
              <w:rPr>
                <w:rFonts w:ascii="Arial Narrow" w:hAnsi="Arial Narrow" w:cs="Times New Roman"/>
                <w:sz w:val="20"/>
                <w:szCs w:val="20"/>
              </w:rPr>
              <w:t xml:space="preserve">The </w:t>
            </w:r>
            <w:r w:rsidR="00366827" w:rsidRPr="00A74194">
              <w:rPr>
                <w:rFonts w:ascii="Arial Narrow" w:hAnsi="Arial Narrow" w:cs="Times New Roman"/>
                <w:sz w:val="20"/>
                <w:szCs w:val="20"/>
              </w:rPr>
              <w:t xml:space="preserve">utility </w:t>
            </w:r>
            <w:r w:rsidR="00A75091" w:rsidRPr="00A74194">
              <w:rPr>
                <w:rFonts w:ascii="Arial Narrow" w:hAnsi="Arial Narrow" w:cs="Times New Roman"/>
                <w:sz w:val="20"/>
                <w:szCs w:val="20"/>
              </w:rPr>
              <w:t xml:space="preserve">values for </w:t>
            </w:r>
            <w:r w:rsidRPr="00A74194">
              <w:rPr>
                <w:rFonts w:ascii="Arial Narrow" w:hAnsi="Arial Narrow" w:cs="Times New Roman"/>
                <w:sz w:val="20"/>
                <w:szCs w:val="20"/>
              </w:rPr>
              <w:t xml:space="preserve">low and moderate risk states were sourced from a quality of life study in chronic viral hepatitis and cholestatic liver disease patients (Younossi et al, 2001). </w:t>
            </w:r>
            <w:r w:rsidRPr="00A74194">
              <w:rPr>
                <w:rFonts w:ascii="Arial Narrow" w:hAnsi="Arial Narrow" w:cs="Times New Roman"/>
                <w:iCs/>
                <w:sz w:val="20"/>
                <w:szCs w:val="20"/>
              </w:rPr>
              <w:t>The utilities from Younossi et al (2001) were verified.</w:t>
            </w:r>
            <w:r w:rsidR="00FC50DA" w:rsidRPr="00A74194">
              <w:rPr>
                <w:rFonts w:ascii="Arial Narrow" w:hAnsi="Arial Narrow" w:cs="Times New Roman"/>
                <w:iCs/>
                <w:sz w:val="20"/>
                <w:szCs w:val="20"/>
              </w:rPr>
              <w:t xml:space="preserve"> Alternate </w:t>
            </w:r>
            <w:r w:rsidR="00382D2C" w:rsidRPr="00A74194">
              <w:rPr>
                <w:rFonts w:ascii="Arial Narrow" w:hAnsi="Arial Narrow" w:cs="Times New Roman"/>
                <w:iCs/>
                <w:sz w:val="20"/>
                <w:szCs w:val="20"/>
              </w:rPr>
              <w:t xml:space="preserve">utility </w:t>
            </w:r>
            <w:r w:rsidR="00FC50DA" w:rsidRPr="00A74194">
              <w:rPr>
                <w:rFonts w:ascii="Arial Narrow" w:hAnsi="Arial Narrow" w:cs="Times New Roman"/>
                <w:iCs/>
                <w:sz w:val="20"/>
                <w:szCs w:val="20"/>
              </w:rPr>
              <w:t>values were available from the original</w:t>
            </w:r>
            <w:r w:rsidR="00382D2C" w:rsidRPr="00A74194">
              <w:rPr>
                <w:rFonts w:ascii="Arial Narrow" w:hAnsi="Arial Narrow" w:cs="Times New Roman"/>
                <w:iCs/>
                <w:sz w:val="20"/>
                <w:szCs w:val="20"/>
              </w:rPr>
              <w:t xml:space="preserve"> EQ-5D</w:t>
            </w:r>
            <w:r w:rsidR="00FC50DA" w:rsidRPr="00A74194">
              <w:rPr>
                <w:rFonts w:ascii="Arial Narrow" w:hAnsi="Arial Narrow" w:cs="Times New Roman"/>
                <w:iCs/>
                <w:sz w:val="20"/>
                <w:szCs w:val="20"/>
              </w:rPr>
              <w:t xml:space="preserve"> data in Wright </w:t>
            </w:r>
            <w:r w:rsidR="00633C25" w:rsidRPr="00A74194">
              <w:rPr>
                <w:rFonts w:ascii="Arial Narrow" w:hAnsi="Arial Narrow" w:cs="Times New Roman"/>
                <w:iCs/>
                <w:sz w:val="20"/>
                <w:szCs w:val="20"/>
              </w:rPr>
              <w:t xml:space="preserve">(2006) </w:t>
            </w:r>
            <w:r w:rsidR="00FC50DA" w:rsidRPr="00A74194">
              <w:rPr>
                <w:rFonts w:ascii="Arial Narrow" w:hAnsi="Arial Narrow" w:cs="Times New Roman"/>
                <w:iCs/>
                <w:sz w:val="20"/>
                <w:szCs w:val="20"/>
              </w:rPr>
              <w:t>for low and moderate risk</w:t>
            </w:r>
            <w:r w:rsidR="00633C25" w:rsidRPr="00A74194">
              <w:rPr>
                <w:rFonts w:ascii="Arial Narrow" w:hAnsi="Arial Narrow" w:cs="Times New Roman"/>
                <w:iCs/>
                <w:sz w:val="20"/>
                <w:szCs w:val="20"/>
              </w:rPr>
              <w:t xml:space="preserve">. </w:t>
            </w:r>
            <w:r w:rsidR="00382D2C" w:rsidRPr="00A74194">
              <w:rPr>
                <w:rFonts w:ascii="Arial Narrow" w:hAnsi="Arial Narrow"/>
                <w:sz w:val="20"/>
                <w:szCs w:val="20"/>
              </w:rPr>
              <w:t xml:space="preserve">This was tested in a sensitivity analysis and the </w:t>
            </w:r>
            <w:r w:rsidR="00CB44A3" w:rsidRPr="00A74194">
              <w:rPr>
                <w:rFonts w:ascii="Arial Narrow" w:hAnsi="Arial Narrow"/>
                <w:sz w:val="20"/>
                <w:szCs w:val="20"/>
              </w:rPr>
              <w:t>ICER was</w:t>
            </w:r>
            <w:r w:rsidR="00382D2C" w:rsidRPr="00A74194">
              <w:rPr>
                <w:rFonts w:ascii="Arial Narrow" w:hAnsi="Arial Narrow"/>
                <w:sz w:val="20"/>
                <w:szCs w:val="20"/>
              </w:rPr>
              <w:t xml:space="preserve"> sensitive to this change (ICER $</w:t>
            </w:r>
            <w:r w:rsidR="00027EBC">
              <w:rPr>
                <w:rFonts w:ascii="Arial Narrow" w:hAnsi="Arial Narrow"/>
                <w:noProof/>
                <w:color w:val="000000"/>
                <w:sz w:val="20"/>
                <w:szCs w:val="20"/>
                <w:highlight w:val="black"/>
              </w:rPr>
              <w:t>'''''''''''''''''</w:t>
            </w:r>
            <w:r w:rsidR="00BD6747" w:rsidRPr="00BD6747">
              <w:rPr>
                <w:rFonts w:ascii="Arial Narrow" w:hAnsi="Arial Narrow"/>
                <w:sz w:val="20"/>
                <w:szCs w:val="20"/>
                <w:vertAlign w:val="superscript"/>
              </w:rPr>
              <w:t>2</w:t>
            </w:r>
            <w:r w:rsidR="00382D2C" w:rsidRPr="00A74194">
              <w:rPr>
                <w:rFonts w:ascii="Arial Narrow" w:hAnsi="Arial Narrow"/>
                <w:sz w:val="20"/>
                <w:szCs w:val="20"/>
              </w:rPr>
              <w:t xml:space="preserve"> per QALY gained compared to base case $</w:t>
            </w:r>
            <w:r w:rsidR="00027EBC">
              <w:rPr>
                <w:rFonts w:ascii="Arial Narrow" w:hAnsi="Arial Narrow"/>
                <w:noProof/>
                <w:color w:val="000000"/>
                <w:sz w:val="20"/>
                <w:szCs w:val="20"/>
                <w:highlight w:val="black"/>
              </w:rPr>
              <w:t>'''''''''''''''''</w:t>
            </w:r>
            <w:r w:rsidR="00BC363E" w:rsidRPr="00BC363E">
              <w:rPr>
                <w:rFonts w:ascii="Arial Narrow" w:hAnsi="Arial Narrow"/>
                <w:sz w:val="20"/>
                <w:szCs w:val="20"/>
                <w:vertAlign w:val="superscript"/>
              </w:rPr>
              <w:t>1</w:t>
            </w:r>
            <w:r w:rsidR="00382D2C" w:rsidRPr="00A74194">
              <w:rPr>
                <w:rFonts w:ascii="Arial Narrow" w:hAnsi="Arial Narrow"/>
                <w:sz w:val="20"/>
                <w:szCs w:val="20"/>
              </w:rPr>
              <w:t xml:space="preserve"> per QALY gained).</w:t>
            </w:r>
          </w:p>
          <w:p w14:paraId="6DE26A6C" w14:textId="77777777" w:rsidR="00B4597F" w:rsidRPr="00A74194" w:rsidRDefault="00B4597F" w:rsidP="00B4597F">
            <w:pPr>
              <w:jc w:val="left"/>
              <w:rPr>
                <w:rFonts w:ascii="Arial Narrow" w:hAnsi="Arial Narrow" w:cs="Times New Roman"/>
                <w:sz w:val="20"/>
                <w:szCs w:val="20"/>
              </w:rPr>
            </w:pPr>
          </w:p>
          <w:p w14:paraId="221998DD" w14:textId="77777777" w:rsidR="00B4597F" w:rsidRPr="00A74194" w:rsidRDefault="003E1DA5" w:rsidP="00B4597F">
            <w:pPr>
              <w:jc w:val="left"/>
              <w:rPr>
                <w:rFonts w:ascii="Arial Narrow" w:hAnsi="Arial Narrow" w:cs="Times New Roman"/>
                <w:iCs/>
                <w:sz w:val="20"/>
                <w:szCs w:val="20"/>
              </w:rPr>
            </w:pPr>
            <w:r w:rsidRPr="00A74194">
              <w:rPr>
                <w:rFonts w:ascii="Arial Narrow" w:hAnsi="Arial Narrow" w:cs="Times New Roman"/>
                <w:sz w:val="20"/>
                <w:szCs w:val="20"/>
              </w:rPr>
              <w:t xml:space="preserve">The utility value for </w:t>
            </w:r>
            <w:r w:rsidR="005201D0" w:rsidRPr="00A74194">
              <w:rPr>
                <w:rFonts w:ascii="Arial Narrow" w:hAnsi="Arial Narrow" w:cs="Times New Roman"/>
                <w:sz w:val="20"/>
                <w:szCs w:val="20"/>
              </w:rPr>
              <w:t>high risk (</w:t>
            </w:r>
            <w:r w:rsidRPr="00A74194">
              <w:rPr>
                <w:rFonts w:ascii="Arial Narrow" w:hAnsi="Arial Narrow" w:cs="Times New Roman"/>
                <w:sz w:val="20"/>
                <w:szCs w:val="20"/>
              </w:rPr>
              <w:t>CC</w:t>
            </w:r>
            <w:r w:rsidR="005201D0" w:rsidRPr="00A74194">
              <w:rPr>
                <w:rFonts w:ascii="Arial Narrow" w:hAnsi="Arial Narrow" w:cs="Times New Roman"/>
                <w:sz w:val="20"/>
                <w:szCs w:val="20"/>
              </w:rPr>
              <w:t>)</w:t>
            </w:r>
            <w:r w:rsidR="00B4597F" w:rsidRPr="00A74194">
              <w:rPr>
                <w:rFonts w:ascii="Arial Narrow" w:hAnsi="Arial Narrow" w:cs="Times New Roman"/>
                <w:sz w:val="20"/>
                <w:szCs w:val="20"/>
              </w:rPr>
              <w:t xml:space="preserve"> was sourced from Wright (2006) economic evaluation</w:t>
            </w:r>
            <w:r w:rsidR="00382D2C" w:rsidRPr="00A74194">
              <w:rPr>
                <w:rFonts w:ascii="Arial Narrow" w:hAnsi="Arial Narrow" w:cs="Times New Roman"/>
                <w:sz w:val="20"/>
                <w:szCs w:val="20"/>
              </w:rPr>
              <w:t>. This utility value was</w:t>
            </w:r>
            <w:r w:rsidRPr="00A74194">
              <w:rPr>
                <w:rFonts w:ascii="Arial Narrow" w:hAnsi="Arial Narrow" w:cs="Times New Roman"/>
                <w:iCs/>
                <w:sz w:val="20"/>
                <w:szCs w:val="20"/>
              </w:rPr>
              <w:t xml:space="preserve"> verified. </w:t>
            </w:r>
          </w:p>
          <w:p w14:paraId="4B0A11DA" w14:textId="77777777" w:rsidR="00B4597F" w:rsidRPr="00A74194" w:rsidRDefault="00B4597F" w:rsidP="00B4597F">
            <w:pPr>
              <w:jc w:val="left"/>
              <w:rPr>
                <w:rFonts w:ascii="Arial Narrow" w:hAnsi="Arial Narrow" w:cs="Times New Roman"/>
                <w:sz w:val="20"/>
                <w:szCs w:val="20"/>
              </w:rPr>
            </w:pPr>
          </w:p>
          <w:p w14:paraId="5C5BC18B" w14:textId="77777777" w:rsidR="00B4597F" w:rsidRPr="00A74194" w:rsidRDefault="00B4597F" w:rsidP="00B4597F">
            <w:pPr>
              <w:jc w:val="left"/>
              <w:rPr>
                <w:rFonts w:ascii="Arial Narrow" w:hAnsi="Arial Narrow" w:cs="Times New Roman"/>
                <w:sz w:val="20"/>
                <w:szCs w:val="20"/>
                <w:u w:val="single"/>
              </w:rPr>
            </w:pPr>
            <w:r w:rsidRPr="00A74194">
              <w:rPr>
                <w:rFonts w:ascii="Arial Narrow" w:hAnsi="Arial Narrow" w:cs="Times New Roman"/>
                <w:sz w:val="20"/>
                <w:szCs w:val="20"/>
                <w:u w:val="single"/>
              </w:rPr>
              <w:t>Liver disease states</w:t>
            </w:r>
          </w:p>
          <w:p w14:paraId="471CDA2C" w14:textId="77777777" w:rsidR="00B4597F" w:rsidRPr="00A74194" w:rsidRDefault="00140462" w:rsidP="00B4597F">
            <w:pPr>
              <w:jc w:val="left"/>
              <w:rPr>
                <w:rFonts w:ascii="Arial Narrow" w:hAnsi="Arial Narrow" w:cs="Times New Roman"/>
                <w:iCs/>
                <w:sz w:val="20"/>
                <w:szCs w:val="20"/>
              </w:rPr>
            </w:pPr>
            <w:r w:rsidRPr="00A74194">
              <w:rPr>
                <w:rFonts w:ascii="Arial Narrow" w:hAnsi="Arial Narrow" w:cs="Times New Roman"/>
                <w:sz w:val="20"/>
                <w:szCs w:val="20"/>
              </w:rPr>
              <w:t xml:space="preserve">The utility values for DCC and HCC </w:t>
            </w:r>
            <w:r w:rsidR="007533B6" w:rsidRPr="00A74194">
              <w:rPr>
                <w:rFonts w:ascii="Arial Narrow" w:hAnsi="Arial Narrow" w:cs="Times New Roman"/>
                <w:sz w:val="20"/>
                <w:szCs w:val="20"/>
              </w:rPr>
              <w:t>were</w:t>
            </w:r>
            <w:r w:rsidRPr="00A74194">
              <w:rPr>
                <w:rFonts w:ascii="Arial Narrow" w:hAnsi="Arial Narrow" w:cs="Times New Roman"/>
                <w:sz w:val="20"/>
                <w:szCs w:val="20"/>
              </w:rPr>
              <w:t xml:space="preserve"> sourced from Wright (2006)</w:t>
            </w:r>
            <w:r w:rsidR="007050AE" w:rsidRPr="00A74194">
              <w:rPr>
                <w:rFonts w:ascii="Arial Narrow" w:hAnsi="Arial Narrow" w:cs="Times New Roman"/>
                <w:sz w:val="20"/>
                <w:szCs w:val="20"/>
              </w:rPr>
              <w:t xml:space="preserve"> citing Ratcliffe (2002)</w:t>
            </w:r>
            <w:r w:rsidRPr="00A74194">
              <w:rPr>
                <w:rFonts w:ascii="Arial Narrow" w:hAnsi="Arial Narrow" w:cs="Times New Roman"/>
                <w:sz w:val="20"/>
                <w:szCs w:val="20"/>
              </w:rPr>
              <w:t xml:space="preserve">. </w:t>
            </w:r>
            <w:r w:rsidR="00B4597F" w:rsidRPr="00A74194">
              <w:rPr>
                <w:rFonts w:ascii="Arial Narrow" w:hAnsi="Arial Narrow" w:cs="Times New Roman"/>
                <w:sz w:val="20"/>
                <w:szCs w:val="20"/>
              </w:rPr>
              <w:t xml:space="preserve">The </w:t>
            </w:r>
            <w:r w:rsidRPr="00A74194">
              <w:rPr>
                <w:rFonts w:ascii="Arial Narrow" w:hAnsi="Arial Narrow" w:cs="Times New Roman"/>
                <w:sz w:val="20"/>
                <w:szCs w:val="20"/>
              </w:rPr>
              <w:t xml:space="preserve">utility for the </w:t>
            </w:r>
            <w:r w:rsidR="00B4597F" w:rsidRPr="00A74194">
              <w:rPr>
                <w:rFonts w:ascii="Arial Narrow" w:hAnsi="Arial Narrow" w:cs="Times New Roman"/>
                <w:sz w:val="20"/>
                <w:szCs w:val="20"/>
              </w:rPr>
              <w:t>pre-transplant health states were assumed the same as DCC/HCC</w:t>
            </w:r>
            <w:r w:rsidR="00B4597F" w:rsidRPr="00A74194">
              <w:rPr>
                <w:rFonts w:ascii="Arial Narrow" w:hAnsi="Arial Narrow" w:cs="Times New Roman"/>
                <w:iCs/>
                <w:sz w:val="20"/>
                <w:szCs w:val="20"/>
              </w:rPr>
              <w:t>. The utilities for DCC and HCC were unable to be verified in Ratcliffe (2002).</w:t>
            </w:r>
            <w:r w:rsidR="001B0C13" w:rsidRPr="00A74194">
              <w:rPr>
                <w:rFonts w:ascii="Arial Narrow" w:hAnsi="Arial Narrow" w:cs="Times New Roman"/>
                <w:iCs/>
                <w:sz w:val="20"/>
                <w:szCs w:val="20"/>
              </w:rPr>
              <w:t xml:space="preserve"> </w:t>
            </w:r>
            <w:r w:rsidR="004C1F07" w:rsidRPr="00A74194">
              <w:rPr>
                <w:rFonts w:ascii="Arial Narrow" w:hAnsi="Arial Narrow" w:cs="Times New Roman"/>
                <w:iCs/>
                <w:sz w:val="20"/>
                <w:szCs w:val="20"/>
              </w:rPr>
              <w:t xml:space="preserve">The PSCR stated that Wright (2006) applied the mean HRQoL score at transplant (0.45) for all hepatitis C patients to approximate the HRQoL for patients with DCC and HCC. </w:t>
            </w:r>
          </w:p>
          <w:p w14:paraId="38EA9A4F" w14:textId="77777777" w:rsidR="00B4597F" w:rsidRPr="00A74194" w:rsidRDefault="00B4597F" w:rsidP="00B4597F">
            <w:pPr>
              <w:jc w:val="left"/>
              <w:rPr>
                <w:rFonts w:ascii="Arial Narrow" w:hAnsi="Arial Narrow" w:cs="Times New Roman"/>
                <w:sz w:val="20"/>
                <w:szCs w:val="20"/>
              </w:rPr>
            </w:pPr>
          </w:p>
          <w:p w14:paraId="1B2E97C0" w14:textId="77777777" w:rsidR="00B4597F" w:rsidRPr="00A74194" w:rsidRDefault="00B4597F" w:rsidP="00B4597F">
            <w:pPr>
              <w:jc w:val="left"/>
              <w:rPr>
                <w:rFonts w:ascii="Arial Narrow" w:hAnsi="Arial Narrow" w:cs="Times New Roman"/>
                <w:iCs/>
                <w:sz w:val="20"/>
                <w:szCs w:val="20"/>
              </w:rPr>
            </w:pPr>
            <w:r w:rsidRPr="00A74194">
              <w:rPr>
                <w:rFonts w:ascii="Arial Narrow" w:hAnsi="Arial Narrow" w:cs="Times New Roman"/>
                <w:sz w:val="20"/>
                <w:szCs w:val="20"/>
              </w:rPr>
              <w:t xml:space="preserve">The </w:t>
            </w:r>
            <w:r w:rsidR="00366827" w:rsidRPr="00A74194">
              <w:rPr>
                <w:rFonts w:ascii="Arial Narrow" w:hAnsi="Arial Narrow" w:cs="Times New Roman"/>
                <w:sz w:val="20"/>
                <w:szCs w:val="20"/>
              </w:rPr>
              <w:t xml:space="preserve">utility values for </w:t>
            </w:r>
            <w:r w:rsidRPr="00A74194">
              <w:rPr>
                <w:rFonts w:ascii="Arial Narrow" w:hAnsi="Arial Narrow" w:cs="Times New Roman"/>
                <w:sz w:val="20"/>
                <w:szCs w:val="20"/>
              </w:rPr>
              <w:t xml:space="preserve">liver transplant and post liver transplant were based on original data in Wright (2006). </w:t>
            </w:r>
            <w:r w:rsidRPr="00A74194">
              <w:rPr>
                <w:rFonts w:ascii="Arial Narrow" w:hAnsi="Arial Narrow" w:cs="Times New Roman"/>
                <w:iCs/>
                <w:sz w:val="20"/>
                <w:szCs w:val="20"/>
              </w:rPr>
              <w:t>The utilities for liver transplant and post liver translate were verified in Wright (2006).</w:t>
            </w:r>
          </w:p>
          <w:p w14:paraId="65806C6D" w14:textId="77777777" w:rsidR="00B4597F" w:rsidRPr="00A74194" w:rsidRDefault="00B4597F" w:rsidP="00B4597F">
            <w:pPr>
              <w:jc w:val="left"/>
              <w:rPr>
                <w:rFonts w:ascii="Arial Narrow" w:hAnsi="Arial Narrow" w:cs="Times New Roman"/>
                <w:sz w:val="20"/>
                <w:szCs w:val="20"/>
              </w:rPr>
            </w:pPr>
          </w:p>
          <w:p w14:paraId="0ACC7CF9" w14:textId="77777777" w:rsidR="00B4597F" w:rsidRPr="00A74194" w:rsidRDefault="00B4597F" w:rsidP="00B4597F">
            <w:pPr>
              <w:jc w:val="left"/>
              <w:rPr>
                <w:rFonts w:ascii="Arial Narrow" w:hAnsi="Arial Narrow" w:cs="Times New Roman"/>
                <w:sz w:val="20"/>
                <w:szCs w:val="20"/>
                <w:u w:val="single"/>
              </w:rPr>
            </w:pPr>
            <w:r w:rsidRPr="00A74194">
              <w:rPr>
                <w:rFonts w:ascii="Arial Narrow" w:hAnsi="Arial Narrow" w:cs="Times New Roman"/>
                <w:sz w:val="20"/>
                <w:szCs w:val="20"/>
                <w:u w:val="single"/>
              </w:rPr>
              <w:t>Adverse events</w:t>
            </w:r>
          </w:p>
          <w:p w14:paraId="61E31B18" w14:textId="77777777" w:rsidR="00B159C2" w:rsidRPr="00A74194" w:rsidRDefault="00B4597F" w:rsidP="00D23ECA">
            <w:pPr>
              <w:jc w:val="left"/>
              <w:rPr>
                <w:rFonts w:ascii="Arial Narrow" w:eastAsiaTheme="minorEastAsia" w:hAnsi="Arial Narrow"/>
                <w:kern w:val="24"/>
                <w:sz w:val="20"/>
                <w:szCs w:val="20"/>
              </w:rPr>
            </w:pPr>
            <w:r w:rsidRPr="00A74194">
              <w:rPr>
                <w:rFonts w:ascii="Arial Narrow" w:hAnsi="Arial Narrow" w:cs="Times New Roman"/>
                <w:sz w:val="20"/>
                <w:szCs w:val="20"/>
              </w:rPr>
              <w:t>Disutilities for pruritus were sourced from Hawe (2016) which measured utility values for patients with chronic spontaneous/idiopathic urticaria. The resubmission applied the weighted average disutility (</w:t>
            </w:r>
            <w:r w:rsidR="001B0C13" w:rsidRPr="00A74194">
              <w:rPr>
                <w:rFonts w:ascii="Arial Narrow" w:hAnsi="Arial Narrow" w:cs="Times New Roman"/>
                <w:sz w:val="20"/>
                <w:szCs w:val="20"/>
              </w:rPr>
              <w:noBreakHyphen/>
            </w:r>
            <w:r w:rsidRPr="00A74194">
              <w:rPr>
                <w:rFonts w:ascii="Arial Narrow" w:hAnsi="Arial Narrow" w:cs="Times New Roman"/>
                <w:sz w:val="20"/>
                <w:szCs w:val="20"/>
              </w:rPr>
              <w:t xml:space="preserve">0.03) over a one year period. </w:t>
            </w:r>
            <w:r w:rsidR="001B0C13" w:rsidRPr="00A74194">
              <w:rPr>
                <w:rFonts w:ascii="Arial Narrow" w:hAnsi="Arial Narrow" w:cs="Times New Roman"/>
                <w:snapToGrid w:val="0"/>
                <w:sz w:val="20"/>
                <w:szCs w:val="20"/>
              </w:rPr>
              <w:t xml:space="preserve">This </w:t>
            </w:r>
            <w:r w:rsidR="007533B6" w:rsidRPr="00A74194">
              <w:rPr>
                <w:rFonts w:ascii="Arial Narrow" w:hAnsi="Arial Narrow" w:cs="Times New Roman"/>
                <w:snapToGrid w:val="0"/>
                <w:sz w:val="20"/>
                <w:szCs w:val="20"/>
              </w:rPr>
              <w:t>may</w:t>
            </w:r>
            <w:r w:rsidR="001B0C13" w:rsidRPr="00A74194">
              <w:rPr>
                <w:rFonts w:ascii="Arial Narrow" w:hAnsi="Arial Narrow" w:cs="Times New Roman"/>
                <w:snapToGrid w:val="0"/>
                <w:sz w:val="20"/>
                <w:szCs w:val="20"/>
              </w:rPr>
              <w:t xml:space="preserve"> not </w:t>
            </w:r>
            <w:r w:rsidR="007533B6" w:rsidRPr="00A74194">
              <w:rPr>
                <w:rFonts w:ascii="Arial Narrow" w:hAnsi="Arial Narrow" w:cs="Times New Roman"/>
                <w:snapToGrid w:val="0"/>
                <w:sz w:val="20"/>
                <w:szCs w:val="20"/>
              </w:rPr>
              <w:t xml:space="preserve">be </w:t>
            </w:r>
            <w:r w:rsidR="001B0C13" w:rsidRPr="00A74194">
              <w:rPr>
                <w:rFonts w:ascii="Arial Narrow" w:hAnsi="Arial Narrow" w:cs="Times New Roman"/>
                <w:snapToGrid w:val="0"/>
                <w:sz w:val="20"/>
                <w:szCs w:val="20"/>
              </w:rPr>
              <w:t xml:space="preserve">reasonable given the ongoing use of </w:t>
            </w:r>
            <w:r w:rsidR="00020C8D" w:rsidRPr="00A74194">
              <w:rPr>
                <w:rFonts w:ascii="Arial Narrow" w:hAnsi="Arial Narrow" w:cs="Times New Roman"/>
                <w:snapToGrid w:val="0"/>
                <w:sz w:val="20"/>
                <w:szCs w:val="20"/>
              </w:rPr>
              <w:t>OCA</w:t>
            </w:r>
            <w:r w:rsidR="001B0C13" w:rsidRPr="00A74194">
              <w:rPr>
                <w:rFonts w:ascii="Arial Narrow" w:hAnsi="Arial Narrow" w:cs="Times New Roman"/>
                <w:snapToGrid w:val="0"/>
                <w:sz w:val="20"/>
                <w:szCs w:val="20"/>
              </w:rPr>
              <w:t xml:space="preserve"> beyond one year. Sensitivity analysis conducted during the evaluation showed the ICER was sensitive to applying this disutility beyond the first year – increasing ICER to $</w:t>
            </w:r>
            <w:r w:rsidR="00027EBC">
              <w:rPr>
                <w:rFonts w:ascii="Arial Narrow" w:hAnsi="Arial Narrow" w:cs="Times New Roman"/>
                <w:noProof/>
                <w:snapToGrid w:val="0"/>
                <w:color w:val="000000"/>
                <w:sz w:val="20"/>
                <w:szCs w:val="20"/>
                <w:highlight w:val="black"/>
              </w:rPr>
              <w:t>''''''''''''''''</w:t>
            </w:r>
            <w:r w:rsidR="006D19DF">
              <w:rPr>
                <w:rFonts w:ascii="Arial Narrow" w:hAnsi="Arial Narrow" w:cs="Times New Roman"/>
                <w:snapToGrid w:val="0"/>
                <w:sz w:val="20"/>
                <w:szCs w:val="20"/>
                <w:vertAlign w:val="superscript"/>
              </w:rPr>
              <w:t>2</w:t>
            </w:r>
            <w:r w:rsidR="001B0C13" w:rsidRPr="00A74194">
              <w:rPr>
                <w:rFonts w:ascii="Arial Narrow" w:hAnsi="Arial Narrow" w:cs="Times New Roman"/>
                <w:snapToGrid w:val="0"/>
                <w:sz w:val="20"/>
                <w:szCs w:val="20"/>
              </w:rPr>
              <w:t xml:space="preserve"> per QALY if discounted disutility of </w:t>
            </w:r>
            <w:r w:rsidR="001B0C13" w:rsidRPr="00A74194">
              <w:rPr>
                <w:rFonts w:ascii="Arial Narrow" w:hAnsi="Arial Narrow" w:cs="Times New Roman"/>
                <w:snapToGrid w:val="0"/>
                <w:sz w:val="20"/>
                <w:szCs w:val="20"/>
              </w:rPr>
              <w:noBreakHyphen/>
              <w:t xml:space="preserve">0.015 (assumed) were applied </w:t>
            </w:r>
            <w:r w:rsidR="00EF4395" w:rsidRPr="00A74194">
              <w:rPr>
                <w:rFonts w:ascii="Arial Narrow" w:hAnsi="Arial Narrow" w:cs="Times New Roman"/>
                <w:snapToGrid w:val="0"/>
                <w:sz w:val="20"/>
                <w:szCs w:val="20"/>
              </w:rPr>
              <w:t>after Y</w:t>
            </w:r>
            <w:r w:rsidR="001B0C13" w:rsidRPr="00A74194">
              <w:rPr>
                <w:rFonts w:ascii="Arial Narrow" w:hAnsi="Arial Narrow" w:cs="Times New Roman"/>
                <w:snapToGrid w:val="0"/>
                <w:sz w:val="20"/>
                <w:szCs w:val="20"/>
              </w:rPr>
              <w:t>ear 1; and increasing ICER to $</w:t>
            </w:r>
            <w:r w:rsidR="00027EBC">
              <w:rPr>
                <w:rFonts w:ascii="Arial Narrow" w:hAnsi="Arial Narrow" w:cs="Times New Roman"/>
                <w:noProof/>
                <w:snapToGrid w:val="0"/>
                <w:color w:val="000000"/>
                <w:sz w:val="20"/>
                <w:szCs w:val="20"/>
                <w:highlight w:val="black"/>
              </w:rPr>
              <w:t>'''''''''''''''''''</w:t>
            </w:r>
            <w:r w:rsidR="00BC363E" w:rsidRPr="00BC363E">
              <w:rPr>
                <w:rFonts w:ascii="Arial Narrow" w:hAnsi="Arial Narrow" w:cs="Times New Roman"/>
                <w:snapToGrid w:val="0"/>
                <w:sz w:val="20"/>
                <w:szCs w:val="20"/>
                <w:vertAlign w:val="superscript"/>
              </w:rPr>
              <w:t>2</w:t>
            </w:r>
            <w:r w:rsidR="001B0C13" w:rsidRPr="00A74194">
              <w:rPr>
                <w:rFonts w:ascii="Arial Narrow" w:hAnsi="Arial Narrow" w:cs="Times New Roman"/>
                <w:snapToGrid w:val="0"/>
                <w:sz w:val="20"/>
                <w:szCs w:val="20"/>
              </w:rPr>
              <w:t xml:space="preserve"> per QALY gained if a discounted disutility of -0.03 (assumed) were applied </w:t>
            </w:r>
            <w:r w:rsidR="00EF4395" w:rsidRPr="00A74194">
              <w:rPr>
                <w:rFonts w:ascii="Arial Narrow" w:hAnsi="Arial Narrow" w:cs="Times New Roman"/>
                <w:snapToGrid w:val="0"/>
                <w:sz w:val="20"/>
                <w:szCs w:val="20"/>
              </w:rPr>
              <w:t>after Y</w:t>
            </w:r>
            <w:r w:rsidR="001B0C13" w:rsidRPr="00A74194">
              <w:rPr>
                <w:rFonts w:ascii="Arial Narrow" w:hAnsi="Arial Narrow" w:cs="Times New Roman"/>
                <w:snapToGrid w:val="0"/>
                <w:sz w:val="20"/>
                <w:szCs w:val="20"/>
              </w:rPr>
              <w:t>ear 1.</w:t>
            </w:r>
          </w:p>
        </w:tc>
      </w:tr>
      <w:tr w:rsidR="001F133C" w:rsidRPr="00A74194" w14:paraId="2AAF7EC8" w14:textId="77777777" w:rsidTr="007E12FF">
        <w:tc>
          <w:tcPr>
            <w:tcW w:w="784" w:type="pct"/>
            <w:shd w:val="clear" w:color="auto" w:fill="auto"/>
          </w:tcPr>
          <w:p w14:paraId="112C243D" w14:textId="77777777" w:rsidR="001F133C" w:rsidRPr="00A74194" w:rsidRDefault="001F133C" w:rsidP="001F133C">
            <w:pPr>
              <w:jc w:val="left"/>
              <w:rPr>
                <w:rFonts w:ascii="Arial Narrow" w:hAnsi="Arial Narrow" w:cs="Times New Roman"/>
                <w:sz w:val="20"/>
                <w:szCs w:val="20"/>
                <w:lang w:eastAsia="en-US"/>
              </w:rPr>
            </w:pPr>
            <w:r w:rsidRPr="00A74194">
              <w:rPr>
                <w:rFonts w:ascii="Arial Narrow" w:hAnsi="Arial Narrow" w:cs="Times New Roman"/>
                <w:snapToGrid w:val="0"/>
                <w:sz w:val="20"/>
                <w:szCs w:val="20"/>
              </w:rPr>
              <w:t>Costs</w:t>
            </w:r>
          </w:p>
        </w:tc>
        <w:tc>
          <w:tcPr>
            <w:tcW w:w="4216" w:type="pct"/>
            <w:shd w:val="clear" w:color="auto" w:fill="auto"/>
          </w:tcPr>
          <w:p w14:paraId="6576F17A" w14:textId="77777777" w:rsidR="001F133C" w:rsidRPr="00A74194" w:rsidRDefault="001F133C" w:rsidP="001F133C">
            <w:pPr>
              <w:jc w:val="left"/>
              <w:rPr>
                <w:rFonts w:ascii="Arial Narrow" w:hAnsi="Arial Narrow" w:cs="Times New Roman"/>
                <w:sz w:val="20"/>
                <w:szCs w:val="20"/>
              </w:rPr>
            </w:pPr>
            <w:r w:rsidRPr="00A74194">
              <w:rPr>
                <w:rFonts w:ascii="Arial Narrow" w:hAnsi="Arial Narrow" w:cs="Times New Roman"/>
                <w:sz w:val="20"/>
                <w:szCs w:val="20"/>
              </w:rPr>
              <w:t>OCA, UDCA, adverse events, and disease management</w:t>
            </w:r>
          </w:p>
          <w:p w14:paraId="1F1AD3CD" w14:textId="77777777" w:rsidR="001F133C" w:rsidRPr="00A74194" w:rsidRDefault="001F133C" w:rsidP="001F133C">
            <w:pPr>
              <w:jc w:val="left"/>
              <w:rPr>
                <w:rFonts w:ascii="Arial Narrow" w:hAnsi="Arial Narrow" w:cs="Times New Roman"/>
                <w:sz w:val="20"/>
                <w:szCs w:val="20"/>
                <w:u w:val="single"/>
              </w:rPr>
            </w:pPr>
          </w:p>
          <w:p w14:paraId="633C2A53" w14:textId="77777777" w:rsidR="001F133C" w:rsidRPr="00A74194" w:rsidRDefault="001B30DC" w:rsidP="001F133C">
            <w:pPr>
              <w:jc w:val="left"/>
              <w:rPr>
                <w:rFonts w:ascii="Arial Narrow" w:hAnsi="Arial Narrow"/>
                <w:iCs/>
                <w:sz w:val="20"/>
                <w:szCs w:val="20"/>
              </w:rPr>
            </w:pPr>
            <w:r w:rsidRPr="00A74194">
              <w:rPr>
                <w:rFonts w:ascii="Arial Narrow" w:hAnsi="Arial Narrow"/>
                <w:iCs/>
                <w:sz w:val="20"/>
                <w:szCs w:val="20"/>
              </w:rPr>
              <w:t xml:space="preserve">The following </w:t>
            </w:r>
            <w:r w:rsidR="001F133C" w:rsidRPr="00A74194">
              <w:rPr>
                <w:rFonts w:ascii="Arial Narrow" w:hAnsi="Arial Narrow"/>
                <w:iCs/>
                <w:sz w:val="20"/>
                <w:szCs w:val="20"/>
              </w:rPr>
              <w:t>costs</w:t>
            </w:r>
            <w:r w:rsidRPr="00A74194">
              <w:rPr>
                <w:rFonts w:ascii="Arial Narrow" w:hAnsi="Arial Narrow"/>
                <w:iCs/>
                <w:sz w:val="20"/>
                <w:szCs w:val="20"/>
              </w:rPr>
              <w:t xml:space="preserve"> were changed:</w:t>
            </w:r>
          </w:p>
          <w:p w14:paraId="16309D9A" w14:textId="77777777" w:rsidR="001F133C" w:rsidRPr="00A74194" w:rsidRDefault="001F133C" w:rsidP="001F133C">
            <w:pPr>
              <w:jc w:val="left"/>
              <w:rPr>
                <w:rFonts w:ascii="Arial Narrow" w:hAnsi="Arial Narrow"/>
                <w:iCs/>
                <w:sz w:val="20"/>
                <w:szCs w:val="20"/>
              </w:rPr>
            </w:pPr>
            <w:r w:rsidRPr="00A74194">
              <w:rPr>
                <w:rFonts w:ascii="Arial Narrow" w:hAnsi="Arial Narrow"/>
                <w:iCs/>
                <w:sz w:val="20"/>
                <w:szCs w:val="20"/>
              </w:rPr>
              <w:t xml:space="preserve">- The </w:t>
            </w:r>
            <w:r w:rsidR="00201A73" w:rsidRPr="00A74194">
              <w:rPr>
                <w:rFonts w:ascii="Arial Narrow" w:hAnsi="Arial Narrow"/>
                <w:iCs/>
                <w:sz w:val="20"/>
                <w:szCs w:val="20"/>
              </w:rPr>
              <w:t xml:space="preserve">OCA effective </w:t>
            </w:r>
            <w:r w:rsidR="00B45332" w:rsidRPr="00A74194">
              <w:rPr>
                <w:rFonts w:ascii="Arial Narrow" w:hAnsi="Arial Narrow"/>
                <w:iCs/>
                <w:sz w:val="20"/>
                <w:szCs w:val="20"/>
              </w:rPr>
              <w:t xml:space="preserve">DPMQ </w:t>
            </w:r>
            <w:r w:rsidRPr="00A74194">
              <w:rPr>
                <w:rFonts w:ascii="Arial Narrow" w:hAnsi="Arial Narrow"/>
                <w:iCs/>
                <w:sz w:val="20"/>
                <w:szCs w:val="20"/>
              </w:rPr>
              <w:t xml:space="preserve">decreased (2019 = </w:t>
            </w:r>
            <w:r w:rsidR="00201A73" w:rsidRPr="00A74194">
              <w:rPr>
                <w:rFonts w:ascii="Arial Narrow" w:hAnsi="Arial Narrow"/>
                <w:iCs/>
                <w:sz w:val="20"/>
                <w:szCs w:val="20"/>
              </w:rPr>
              <w:t>$</w:t>
            </w:r>
            <w:r w:rsidR="00027EBC">
              <w:rPr>
                <w:rFonts w:ascii="Arial Narrow" w:hAnsi="Arial Narrow"/>
                <w:iCs/>
                <w:noProof/>
                <w:color w:val="000000"/>
                <w:sz w:val="20"/>
                <w:szCs w:val="20"/>
                <w:highlight w:val="black"/>
              </w:rPr>
              <w:t>'''''''''''''''''''''</w:t>
            </w:r>
            <w:r w:rsidR="00201A73" w:rsidRPr="00A74194">
              <w:rPr>
                <w:rFonts w:ascii="Arial Narrow" w:hAnsi="Arial Narrow"/>
                <w:iCs/>
                <w:sz w:val="20"/>
                <w:szCs w:val="20"/>
              </w:rPr>
              <w:t xml:space="preserve"> per pack</w:t>
            </w:r>
            <w:r w:rsidRPr="00A74194">
              <w:rPr>
                <w:rFonts w:ascii="Arial Narrow" w:hAnsi="Arial Narrow"/>
                <w:iCs/>
                <w:sz w:val="20"/>
                <w:szCs w:val="20"/>
              </w:rPr>
              <w:t xml:space="preserve">, 2020 = </w:t>
            </w:r>
            <w:r w:rsidR="002E1F20" w:rsidRPr="00A74194">
              <w:rPr>
                <w:rFonts w:ascii="Arial Narrow" w:hAnsi="Arial Narrow"/>
                <w:iCs/>
                <w:sz w:val="20"/>
                <w:szCs w:val="20"/>
              </w:rPr>
              <w:t>$</w:t>
            </w:r>
            <w:r w:rsidR="00027EBC">
              <w:rPr>
                <w:rFonts w:ascii="Arial Narrow" w:hAnsi="Arial Narrow"/>
                <w:iCs/>
                <w:noProof/>
                <w:color w:val="000000"/>
                <w:sz w:val="20"/>
                <w:szCs w:val="20"/>
                <w:highlight w:val="black"/>
              </w:rPr>
              <w:t>'''''''''''''''''''</w:t>
            </w:r>
            <w:r w:rsidR="002E1F20" w:rsidRPr="00A74194">
              <w:rPr>
                <w:rFonts w:ascii="Arial Narrow" w:hAnsi="Arial Narrow"/>
                <w:iCs/>
                <w:sz w:val="20"/>
                <w:szCs w:val="20"/>
              </w:rPr>
              <w:t xml:space="preserve"> per pack</w:t>
            </w:r>
            <w:r w:rsidRPr="00A74194">
              <w:rPr>
                <w:rFonts w:ascii="Arial Narrow" w:hAnsi="Arial Narrow"/>
                <w:iCs/>
                <w:sz w:val="20"/>
                <w:szCs w:val="20"/>
              </w:rPr>
              <w:t>).</w:t>
            </w:r>
            <w:r w:rsidR="0088040A" w:rsidRPr="00A74194">
              <w:rPr>
                <w:rFonts w:ascii="Arial Narrow" w:hAnsi="Arial Narrow"/>
                <w:iCs/>
                <w:sz w:val="20"/>
                <w:szCs w:val="20"/>
              </w:rPr>
              <w:t xml:space="preserve"> The ESC considered that the proposed 7% price reduction did not </w:t>
            </w:r>
            <w:r w:rsidR="00EF7238" w:rsidRPr="00A74194">
              <w:rPr>
                <w:rFonts w:ascii="Arial Narrow" w:hAnsi="Arial Narrow"/>
                <w:iCs/>
                <w:sz w:val="20"/>
                <w:szCs w:val="20"/>
              </w:rPr>
              <w:t xml:space="preserve">adequately </w:t>
            </w:r>
            <w:r w:rsidR="0088040A" w:rsidRPr="00A74194">
              <w:rPr>
                <w:rFonts w:ascii="Arial Narrow" w:hAnsi="Arial Narrow"/>
                <w:iCs/>
                <w:sz w:val="20"/>
                <w:szCs w:val="20"/>
              </w:rPr>
              <w:t xml:space="preserve">mitigate the PBACs previous concerns regarding the clinical and economic uncertainties. The ESC considered that a price reduction in the magnitude of </w:t>
            </w:r>
            <w:r w:rsidR="00881C1A" w:rsidRPr="00A74194">
              <w:rPr>
                <w:rFonts w:ascii="Arial Narrow" w:hAnsi="Arial Narrow"/>
                <w:iCs/>
                <w:sz w:val="20"/>
                <w:szCs w:val="20"/>
              </w:rPr>
              <w:t>that projected by the proposed RSA (</w:t>
            </w:r>
            <w:r w:rsidR="0088040A" w:rsidRPr="00A74194">
              <w:rPr>
                <w:rFonts w:ascii="Arial Narrow" w:hAnsi="Arial Narrow"/>
                <w:iCs/>
                <w:sz w:val="20"/>
                <w:szCs w:val="20"/>
              </w:rPr>
              <w:t>45% to 50%</w:t>
            </w:r>
            <w:r w:rsidR="00881C1A" w:rsidRPr="00A74194">
              <w:rPr>
                <w:rFonts w:ascii="Arial Narrow" w:hAnsi="Arial Narrow"/>
                <w:iCs/>
                <w:sz w:val="20"/>
                <w:szCs w:val="20"/>
              </w:rPr>
              <w:t>)</w:t>
            </w:r>
            <w:r w:rsidR="0088040A" w:rsidRPr="00A74194">
              <w:rPr>
                <w:rFonts w:ascii="Arial Narrow" w:hAnsi="Arial Narrow"/>
                <w:iCs/>
                <w:sz w:val="20"/>
                <w:szCs w:val="20"/>
              </w:rPr>
              <w:t xml:space="preserve"> </w:t>
            </w:r>
            <w:r w:rsidR="00EF7238" w:rsidRPr="00A74194">
              <w:rPr>
                <w:rFonts w:ascii="Arial Narrow" w:hAnsi="Arial Narrow"/>
                <w:iCs/>
                <w:sz w:val="20"/>
                <w:szCs w:val="20"/>
              </w:rPr>
              <w:t>may</w:t>
            </w:r>
            <w:r w:rsidR="0088040A" w:rsidRPr="00A74194">
              <w:rPr>
                <w:rFonts w:ascii="Arial Narrow" w:hAnsi="Arial Narrow"/>
                <w:iCs/>
                <w:sz w:val="20"/>
                <w:szCs w:val="20"/>
              </w:rPr>
              <w:t xml:space="preserve"> be required.</w:t>
            </w:r>
          </w:p>
          <w:p w14:paraId="621AE28D" w14:textId="77777777" w:rsidR="001F133C" w:rsidRPr="00A74194" w:rsidRDefault="001F133C" w:rsidP="001F133C">
            <w:pPr>
              <w:jc w:val="left"/>
              <w:rPr>
                <w:rFonts w:ascii="Arial Narrow" w:hAnsi="Arial Narrow"/>
                <w:iCs/>
                <w:sz w:val="20"/>
                <w:szCs w:val="20"/>
              </w:rPr>
            </w:pPr>
            <w:r w:rsidRPr="00A74194">
              <w:rPr>
                <w:rFonts w:ascii="Arial Narrow" w:hAnsi="Arial Narrow"/>
                <w:iCs/>
                <w:sz w:val="20"/>
                <w:szCs w:val="20"/>
              </w:rPr>
              <w:lastRenderedPageBreak/>
              <w:t>- The cost of OCA was adjusted to reflect that 21% of all patients were receiving a half dose (dose every other day).</w:t>
            </w:r>
            <w:r w:rsidR="00DB2C2A" w:rsidRPr="00A74194">
              <w:rPr>
                <w:rFonts w:ascii="Arial Narrow" w:hAnsi="Arial Narrow"/>
                <w:iCs/>
                <w:sz w:val="20"/>
                <w:szCs w:val="20"/>
              </w:rPr>
              <w:t xml:space="preserve"> </w:t>
            </w:r>
            <w:r w:rsidR="001B30DC" w:rsidRPr="00A74194">
              <w:rPr>
                <w:rFonts w:ascii="Arial Narrow" w:hAnsi="Arial Narrow"/>
                <w:iCs/>
                <w:sz w:val="20"/>
                <w:szCs w:val="20"/>
              </w:rPr>
              <w:t>The assumption that patients would receive a half dose for 30 years with no impact on efficacy is uncertain.</w:t>
            </w:r>
            <w:r w:rsidR="009873A6" w:rsidRPr="00A74194">
              <w:rPr>
                <w:rFonts w:ascii="Arial Narrow" w:hAnsi="Arial Narrow"/>
                <w:iCs/>
                <w:sz w:val="20"/>
                <w:szCs w:val="20"/>
              </w:rPr>
              <w:t xml:space="preserve"> </w:t>
            </w:r>
            <w:r w:rsidR="004C1F07" w:rsidRPr="00A74194">
              <w:rPr>
                <w:rFonts w:ascii="Arial Narrow" w:hAnsi="Arial Narrow"/>
                <w:iCs/>
                <w:sz w:val="20"/>
                <w:szCs w:val="20"/>
              </w:rPr>
              <w:t>The PSCR stated that the LTSE reported that 21% of patients received half-dose OCA and that these patients were incorporated into the efficacy results at 3 years.</w:t>
            </w:r>
          </w:p>
          <w:p w14:paraId="3C72319C" w14:textId="77777777" w:rsidR="001B30DC" w:rsidRPr="00A74194" w:rsidRDefault="001F133C" w:rsidP="001B30DC">
            <w:pPr>
              <w:jc w:val="left"/>
              <w:rPr>
                <w:rFonts w:ascii="Arial Narrow" w:hAnsi="Arial Narrow"/>
                <w:iCs/>
                <w:sz w:val="20"/>
                <w:szCs w:val="20"/>
              </w:rPr>
            </w:pPr>
            <w:r w:rsidRPr="00A74194">
              <w:rPr>
                <w:rFonts w:ascii="Arial Narrow" w:hAnsi="Arial Narrow"/>
                <w:iCs/>
                <w:sz w:val="20"/>
                <w:szCs w:val="20"/>
              </w:rPr>
              <w:t>- Costs associated with adverse events (prurit</w:t>
            </w:r>
            <w:r w:rsidR="00F93007" w:rsidRPr="00A74194">
              <w:rPr>
                <w:rFonts w:ascii="Arial Narrow" w:hAnsi="Arial Narrow"/>
                <w:iCs/>
                <w:sz w:val="20"/>
                <w:szCs w:val="20"/>
              </w:rPr>
              <w:t>u</w:t>
            </w:r>
            <w:r w:rsidRPr="00A74194">
              <w:rPr>
                <w:rFonts w:ascii="Arial Narrow" w:hAnsi="Arial Narrow"/>
                <w:iCs/>
                <w:sz w:val="20"/>
                <w:szCs w:val="20"/>
              </w:rPr>
              <w:t>s) were included (using a weighted average of medications for treatment of pruritus)</w:t>
            </w:r>
            <w:r w:rsidR="001B30DC" w:rsidRPr="00A74194">
              <w:rPr>
                <w:rFonts w:ascii="Arial Narrow" w:hAnsi="Arial Narrow"/>
                <w:iCs/>
                <w:sz w:val="20"/>
                <w:szCs w:val="20"/>
              </w:rPr>
              <w:t xml:space="preserve">. </w:t>
            </w:r>
            <w:r w:rsidR="007533B6" w:rsidRPr="00A74194">
              <w:rPr>
                <w:rFonts w:ascii="Arial Narrow" w:hAnsi="Arial Narrow"/>
                <w:iCs/>
                <w:sz w:val="20"/>
                <w:szCs w:val="20"/>
              </w:rPr>
              <w:t>Prurit</w:t>
            </w:r>
            <w:r w:rsidR="00F93007" w:rsidRPr="00A74194">
              <w:rPr>
                <w:rFonts w:ascii="Arial Narrow" w:hAnsi="Arial Narrow"/>
                <w:iCs/>
                <w:sz w:val="20"/>
                <w:szCs w:val="20"/>
              </w:rPr>
              <w:t>u</w:t>
            </w:r>
            <w:r w:rsidR="007533B6" w:rsidRPr="00A74194">
              <w:rPr>
                <w:rFonts w:ascii="Arial Narrow" w:hAnsi="Arial Narrow"/>
                <w:iCs/>
                <w:sz w:val="20"/>
                <w:szCs w:val="20"/>
              </w:rPr>
              <w:t xml:space="preserve">s costs are applied for first 12 </w:t>
            </w:r>
            <w:r w:rsidR="00C60DFD" w:rsidRPr="00A74194">
              <w:rPr>
                <w:rFonts w:ascii="Arial Narrow" w:hAnsi="Arial Narrow"/>
                <w:iCs/>
                <w:sz w:val="20"/>
                <w:szCs w:val="20"/>
              </w:rPr>
              <w:t>weeks</w:t>
            </w:r>
            <w:r w:rsidR="007533B6" w:rsidRPr="00A74194">
              <w:rPr>
                <w:rFonts w:ascii="Arial Narrow" w:hAnsi="Arial Narrow"/>
                <w:iCs/>
                <w:sz w:val="20"/>
                <w:szCs w:val="20"/>
              </w:rPr>
              <w:t xml:space="preserve">, this may not be reasonable given the ongoing use of OCA. </w:t>
            </w:r>
          </w:p>
          <w:p w14:paraId="03E60737" w14:textId="77777777" w:rsidR="001F133C" w:rsidRPr="00A74194" w:rsidRDefault="001F133C" w:rsidP="00D020D2">
            <w:pPr>
              <w:jc w:val="left"/>
              <w:rPr>
                <w:rFonts w:ascii="Arial Narrow" w:hAnsi="Arial Narrow"/>
                <w:iCs/>
                <w:sz w:val="20"/>
                <w:szCs w:val="20"/>
                <w:u w:val="single"/>
              </w:rPr>
            </w:pPr>
            <w:r w:rsidRPr="00A74194">
              <w:rPr>
                <w:rFonts w:ascii="Arial Narrow" w:hAnsi="Arial Narrow"/>
                <w:iCs/>
                <w:sz w:val="20"/>
                <w:szCs w:val="20"/>
              </w:rPr>
              <w:t xml:space="preserve">- </w:t>
            </w:r>
            <w:r w:rsidR="00D020D2" w:rsidRPr="00A74194">
              <w:rPr>
                <w:rFonts w:ascii="Arial Narrow" w:hAnsi="Arial Narrow"/>
                <w:iCs/>
                <w:sz w:val="20"/>
                <w:szCs w:val="20"/>
              </w:rPr>
              <w:t>The ESC noted that s</w:t>
            </w:r>
            <w:r w:rsidRPr="00A74194">
              <w:rPr>
                <w:rFonts w:ascii="Arial Narrow" w:hAnsi="Arial Narrow"/>
                <w:iCs/>
                <w:sz w:val="20"/>
                <w:szCs w:val="20"/>
              </w:rPr>
              <w:t>ome disease management c</w:t>
            </w:r>
            <w:r w:rsidR="00732C37" w:rsidRPr="00A74194">
              <w:rPr>
                <w:rFonts w:ascii="Arial Narrow" w:hAnsi="Arial Narrow"/>
                <w:iCs/>
                <w:sz w:val="20"/>
                <w:szCs w:val="20"/>
              </w:rPr>
              <w:t>osts were increased (DCC, HCC, p</w:t>
            </w:r>
            <w:r w:rsidRPr="00A74194">
              <w:rPr>
                <w:rFonts w:ascii="Arial Narrow" w:hAnsi="Arial Narrow"/>
                <w:iCs/>
                <w:sz w:val="20"/>
                <w:szCs w:val="20"/>
              </w:rPr>
              <w:t>re-transplant, liver transplant, follow-up after liver transplant). This appears to be because of adjustment due to inflation, but it is not clear why other costs were not inflated too.</w:t>
            </w:r>
          </w:p>
        </w:tc>
      </w:tr>
    </w:tbl>
    <w:p w14:paraId="299F822B" w14:textId="77777777" w:rsidR="00B159C2" w:rsidRPr="00A74194" w:rsidRDefault="00732C37" w:rsidP="00193A76">
      <w:pPr>
        <w:pStyle w:val="TableSource"/>
        <w:rPr>
          <w:snapToGrid w:val="0"/>
          <w:lang w:eastAsia="en-US"/>
        </w:rPr>
      </w:pPr>
      <w:r w:rsidRPr="00A74194">
        <w:rPr>
          <w:snapToGrid w:val="0"/>
          <w:lang w:eastAsia="en-US"/>
        </w:rPr>
        <w:lastRenderedPageBreak/>
        <w:t>ALP =</w:t>
      </w:r>
      <w:r w:rsidR="00B159C2" w:rsidRPr="00A74194">
        <w:rPr>
          <w:snapToGrid w:val="0"/>
          <w:lang w:eastAsia="en-US"/>
        </w:rPr>
        <w:t xml:space="preserve"> alkaline phosphatase; CC</w:t>
      </w:r>
      <w:r w:rsidRPr="00A74194">
        <w:rPr>
          <w:snapToGrid w:val="0"/>
          <w:lang w:eastAsia="en-US"/>
        </w:rPr>
        <w:t xml:space="preserve"> =</w:t>
      </w:r>
      <w:r w:rsidR="00B159C2" w:rsidRPr="00A74194">
        <w:rPr>
          <w:snapToGrid w:val="0"/>
          <w:lang w:eastAsia="en-US"/>
        </w:rPr>
        <w:t xml:space="preserve"> compensated cirrhosis; </w:t>
      </w:r>
      <w:r w:rsidR="00044AB6" w:rsidRPr="00A74194">
        <w:rPr>
          <w:snapToGrid w:val="0"/>
          <w:lang w:eastAsia="en-US"/>
        </w:rPr>
        <w:t>CEA</w:t>
      </w:r>
      <w:r w:rsidRPr="00A74194">
        <w:rPr>
          <w:snapToGrid w:val="0"/>
          <w:lang w:eastAsia="en-US"/>
        </w:rPr>
        <w:t xml:space="preserve"> =</w:t>
      </w:r>
      <w:r w:rsidR="00044AB6" w:rsidRPr="00A74194">
        <w:rPr>
          <w:snapToGrid w:val="0"/>
          <w:lang w:eastAsia="en-US"/>
        </w:rPr>
        <w:t xml:space="preserve"> cost effectiveness analysis; CUA</w:t>
      </w:r>
      <w:r w:rsidRPr="00A74194">
        <w:rPr>
          <w:snapToGrid w:val="0"/>
          <w:lang w:eastAsia="en-US"/>
        </w:rPr>
        <w:t xml:space="preserve"> =</w:t>
      </w:r>
      <w:r w:rsidR="00044AB6" w:rsidRPr="00A74194">
        <w:rPr>
          <w:snapToGrid w:val="0"/>
          <w:lang w:eastAsia="en-US"/>
        </w:rPr>
        <w:t xml:space="preserve"> cost utility analysis; </w:t>
      </w:r>
      <w:bookmarkStart w:id="43" w:name="_Hlk48568023"/>
      <w:r w:rsidR="00B159C2" w:rsidRPr="00A74194">
        <w:rPr>
          <w:snapToGrid w:val="0"/>
          <w:lang w:eastAsia="en-US"/>
        </w:rPr>
        <w:t>DCC</w:t>
      </w:r>
      <w:r w:rsidRPr="00A74194">
        <w:rPr>
          <w:snapToGrid w:val="0"/>
          <w:lang w:eastAsia="en-US"/>
        </w:rPr>
        <w:t xml:space="preserve"> =</w:t>
      </w:r>
      <w:r w:rsidR="00B159C2" w:rsidRPr="00A74194">
        <w:rPr>
          <w:snapToGrid w:val="0"/>
          <w:lang w:eastAsia="en-US"/>
        </w:rPr>
        <w:t xml:space="preserve"> decompensated cirrhosis</w:t>
      </w:r>
      <w:bookmarkEnd w:id="43"/>
      <w:r w:rsidR="00B159C2" w:rsidRPr="00A74194">
        <w:rPr>
          <w:snapToGrid w:val="0"/>
          <w:lang w:eastAsia="en-US"/>
        </w:rPr>
        <w:t xml:space="preserve">; </w:t>
      </w:r>
      <w:r w:rsidRPr="00A74194">
        <w:rPr>
          <w:snapToGrid w:val="0"/>
          <w:lang w:eastAsia="en-US"/>
        </w:rPr>
        <w:t xml:space="preserve">ESC = Economic Sub-Committee; </w:t>
      </w:r>
      <w:r w:rsidR="00B159C2" w:rsidRPr="00A74194">
        <w:rPr>
          <w:snapToGrid w:val="0"/>
          <w:lang w:eastAsia="en-US"/>
        </w:rPr>
        <w:t>HCC</w:t>
      </w:r>
      <w:r w:rsidRPr="00A74194">
        <w:rPr>
          <w:snapToGrid w:val="0"/>
          <w:lang w:eastAsia="en-US"/>
        </w:rPr>
        <w:t xml:space="preserve"> =</w:t>
      </w:r>
      <w:r w:rsidR="00B159C2" w:rsidRPr="00A74194">
        <w:rPr>
          <w:snapToGrid w:val="0"/>
          <w:lang w:eastAsia="en-US"/>
        </w:rPr>
        <w:t xml:space="preserve"> hepatocellular cancer;</w:t>
      </w:r>
      <w:r w:rsidR="003A7D8E" w:rsidRPr="00A74194">
        <w:rPr>
          <w:snapToGrid w:val="0"/>
          <w:lang w:eastAsia="en-US"/>
        </w:rPr>
        <w:t xml:space="preserve"> ICER</w:t>
      </w:r>
      <w:r w:rsidRPr="00A74194">
        <w:rPr>
          <w:snapToGrid w:val="0"/>
          <w:lang w:eastAsia="en-US"/>
        </w:rPr>
        <w:t xml:space="preserve"> =</w:t>
      </w:r>
      <w:r w:rsidR="003A7D8E" w:rsidRPr="00A74194">
        <w:rPr>
          <w:snapToGrid w:val="0"/>
          <w:lang w:eastAsia="en-US"/>
        </w:rPr>
        <w:t xml:space="preserve"> incremental cost effectiveness ratio; </w:t>
      </w:r>
      <w:r w:rsidR="00B159C2" w:rsidRPr="00A74194">
        <w:rPr>
          <w:snapToGrid w:val="0"/>
          <w:lang w:eastAsia="en-US"/>
        </w:rPr>
        <w:t>LT</w:t>
      </w:r>
      <w:r w:rsidRPr="00A74194">
        <w:rPr>
          <w:snapToGrid w:val="0"/>
          <w:lang w:eastAsia="en-US"/>
        </w:rPr>
        <w:t xml:space="preserve"> =</w:t>
      </w:r>
      <w:r w:rsidR="00B159C2" w:rsidRPr="00A74194">
        <w:rPr>
          <w:snapToGrid w:val="0"/>
          <w:lang w:eastAsia="en-US"/>
        </w:rPr>
        <w:t xml:space="preserve"> liver transplant; LTSE</w:t>
      </w:r>
      <w:r w:rsidRPr="00A74194">
        <w:rPr>
          <w:snapToGrid w:val="0"/>
          <w:lang w:eastAsia="en-US"/>
        </w:rPr>
        <w:t xml:space="preserve"> =</w:t>
      </w:r>
      <w:r w:rsidR="00B159C2" w:rsidRPr="00A74194">
        <w:rPr>
          <w:snapToGrid w:val="0"/>
          <w:lang w:eastAsia="en-US"/>
        </w:rPr>
        <w:t xml:space="preserve"> </w:t>
      </w:r>
      <w:r w:rsidRPr="00A74194">
        <w:rPr>
          <w:snapToGrid w:val="0"/>
          <w:lang w:eastAsia="en-US"/>
        </w:rPr>
        <w:t>long term safety extension</w:t>
      </w:r>
      <w:r w:rsidR="00B159C2" w:rsidRPr="00A74194">
        <w:rPr>
          <w:snapToGrid w:val="0"/>
          <w:lang w:eastAsia="en-US"/>
        </w:rPr>
        <w:t xml:space="preserve">; </w:t>
      </w:r>
      <w:r w:rsidRPr="00A74194">
        <w:rPr>
          <w:snapToGrid w:val="0"/>
          <w:lang w:eastAsia="en-US"/>
        </w:rPr>
        <w:t xml:space="preserve">Ly = life year; </w:t>
      </w:r>
      <w:r w:rsidR="00B159C2" w:rsidRPr="00A74194">
        <w:rPr>
          <w:snapToGrid w:val="0"/>
          <w:lang w:eastAsia="en-US"/>
        </w:rPr>
        <w:t>OCA</w:t>
      </w:r>
      <w:r w:rsidRPr="00A74194">
        <w:rPr>
          <w:snapToGrid w:val="0"/>
          <w:lang w:eastAsia="en-US"/>
        </w:rPr>
        <w:t xml:space="preserve"> =</w:t>
      </w:r>
      <w:r w:rsidR="00B159C2" w:rsidRPr="00A74194">
        <w:rPr>
          <w:snapToGrid w:val="0"/>
          <w:lang w:eastAsia="en-US"/>
        </w:rPr>
        <w:t xml:space="preserve"> obeticholic acid; </w:t>
      </w:r>
      <w:r w:rsidR="003A7D8E" w:rsidRPr="00A74194">
        <w:rPr>
          <w:snapToGrid w:val="0"/>
          <w:lang w:eastAsia="en-US"/>
        </w:rPr>
        <w:t>PBAC</w:t>
      </w:r>
      <w:r w:rsidRPr="00A74194">
        <w:rPr>
          <w:snapToGrid w:val="0"/>
          <w:lang w:eastAsia="en-US"/>
        </w:rPr>
        <w:t xml:space="preserve"> =</w:t>
      </w:r>
      <w:r w:rsidR="003A7D8E" w:rsidRPr="00A74194">
        <w:rPr>
          <w:snapToGrid w:val="0"/>
          <w:lang w:eastAsia="en-US"/>
        </w:rPr>
        <w:t xml:space="preserve"> </w:t>
      </w:r>
      <w:r w:rsidRPr="00A74194">
        <w:rPr>
          <w:snapToGrid w:val="0"/>
          <w:lang w:eastAsia="en-US"/>
        </w:rPr>
        <w:t>P</w:t>
      </w:r>
      <w:r w:rsidR="003A7D8E" w:rsidRPr="00A74194">
        <w:rPr>
          <w:snapToGrid w:val="0"/>
          <w:lang w:eastAsia="en-US"/>
        </w:rPr>
        <w:t xml:space="preserve">harmaceutical </w:t>
      </w:r>
      <w:r w:rsidRPr="00A74194">
        <w:rPr>
          <w:snapToGrid w:val="0"/>
          <w:lang w:eastAsia="en-US"/>
        </w:rPr>
        <w:t>B</w:t>
      </w:r>
      <w:r w:rsidR="003A7D8E" w:rsidRPr="00A74194">
        <w:rPr>
          <w:snapToGrid w:val="0"/>
          <w:lang w:eastAsia="en-US"/>
        </w:rPr>
        <w:t xml:space="preserve">enefits </w:t>
      </w:r>
      <w:r w:rsidRPr="00A74194">
        <w:rPr>
          <w:snapToGrid w:val="0"/>
          <w:lang w:eastAsia="en-US"/>
        </w:rPr>
        <w:t>A</w:t>
      </w:r>
      <w:r w:rsidR="003A7D8E" w:rsidRPr="00A74194">
        <w:rPr>
          <w:snapToGrid w:val="0"/>
          <w:lang w:eastAsia="en-US"/>
        </w:rPr>
        <w:t xml:space="preserve">dvisory </w:t>
      </w:r>
      <w:r w:rsidRPr="00A74194">
        <w:rPr>
          <w:snapToGrid w:val="0"/>
          <w:lang w:eastAsia="en-US"/>
        </w:rPr>
        <w:t>C</w:t>
      </w:r>
      <w:r w:rsidR="003A7D8E" w:rsidRPr="00A74194">
        <w:rPr>
          <w:snapToGrid w:val="0"/>
          <w:lang w:eastAsia="en-US"/>
        </w:rPr>
        <w:t xml:space="preserve">ommittee; </w:t>
      </w:r>
      <w:r w:rsidR="00B159C2" w:rsidRPr="00A74194">
        <w:rPr>
          <w:snapToGrid w:val="0"/>
          <w:lang w:eastAsia="en-US"/>
        </w:rPr>
        <w:t>PBC</w:t>
      </w:r>
      <w:r w:rsidRPr="00A74194">
        <w:rPr>
          <w:snapToGrid w:val="0"/>
          <w:lang w:eastAsia="en-US"/>
        </w:rPr>
        <w:t xml:space="preserve"> =</w:t>
      </w:r>
      <w:r w:rsidR="00B159C2" w:rsidRPr="00A74194">
        <w:rPr>
          <w:snapToGrid w:val="0"/>
          <w:lang w:eastAsia="en-US"/>
        </w:rPr>
        <w:t xml:space="preserve"> primary biliary cholangitis; </w:t>
      </w:r>
      <w:r w:rsidRPr="00A74194">
        <w:rPr>
          <w:snapToGrid w:val="0"/>
          <w:lang w:eastAsia="en-US"/>
        </w:rPr>
        <w:t xml:space="preserve">PSCR = pre-Sub-Committee response; PSD = Public Summary Document; </w:t>
      </w:r>
      <w:r w:rsidR="00044AB6" w:rsidRPr="00A74194">
        <w:rPr>
          <w:snapToGrid w:val="0"/>
          <w:lang w:eastAsia="en-US"/>
        </w:rPr>
        <w:t>QALY</w:t>
      </w:r>
      <w:r w:rsidRPr="00A74194">
        <w:rPr>
          <w:snapToGrid w:val="0"/>
          <w:lang w:eastAsia="en-US"/>
        </w:rPr>
        <w:t xml:space="preserve"> =</w:t>
      </w:r>
      <w:r w:rsidR="00044AB6" w:rsidRPr="00A74194">
        <w:rPr>
          <w:snapToGrid w:val="0"/>
          <w:lang w:eastAsia="en-US"/>
        </w:rPr>
        <w:t xml:space="preserve"> quality adjusted life year; </w:t>
      </w:r>
      <w:r w:rsidRPr="00A74194">
        <w:rPr>
          <w:snapToGrid w:val="0"/>
          <w:lang w:eastAsia="en-US"/>
        </w:rPr>
        <w:t xml:space="preserve">RSA = risk sharing arrangement; SF-36 = short form 36 questionnaire; </w:t>
      </w:r>
      <w:r w:rsidR="00B159C2" w:rsidRPr="00A74194">
        <w:rPr>
          <w:snapToGrid w:val="0"/>
          <w:lang w:eastAsia="en-US"/>
        </w:rPr>
        <w:t>TB</w:t>
      </w:r>
      <w:r w:rsidRPr="00A74194">
        <w:rPr>
          <w:snapToGrid w:val="0"/>
          <w:lang w:eastAsia="en-US"/>
        </w:rPr>
        <w:t xml:space="preserve"> =</w:t>
      </w:r>
      <w:r w:rsidR="00B159C2" w:rsidRPr="00A74194">
        <w:rPr>
          <w:snapToGrid w:val="0"/>
          <w:lang w:eastAsia="en-US"/>
        </w:rPr>
        <w:t xml:space="preserve"> total bilirubin; UDCA</w:t>
      </w:r>
      <w:r w:rsidRPr="00A74194">
        <w:rPr>
          <w:snapToGrid w:val="0"/>
          <w:lang w:eastAsia="en-US"/>
        </w:rPr>
        <w:t xml:space="preserve"> =</w:t>
      </w:r>
      <w:r w:rsidR="00B159C2" w:rsidRPr="00A74194">
        <w:rPr>
          <w:snapToGrid w:val="0"/>
          <w:lang w:eastAsia="en-US"/>
        </w:rPr>
        <w:t xml:space="preserve"> ursodeoxycholic acid</w:t>
      </w:r>
      <w:r w:rsidRPr="00A74194">
        <w:rPr>
          <w:snapToGrid w:val="0"/>
          <w:lang w:eastAsia="en-US"/>
        </w:rPr>
        <w:t>;</w:t>
      </w:r>
      <w:r w:rsidR="00B159C2" w:rsidRPr="00A74194">
        <w:rPr>
          <w:snapToGrid w:val="0"/>
          <w:lang w:eastAsia="en-US"/>
        </w:rPr>
        <w:t xml:space="preserve"> ULN</w:t>
      </w:r>
      <w:r w:rsidRPr="00A74194">
        <w:rPr>
          <w:snapToGrid w:val="0"/>
          <w:lang w:eastAsia="en-US"/>
        </w:rPr>
        <w:t xml:space="preserve"> =</w:t>
      </w:r>
      <w:r w:rsidR="00B159C2" w:rsidRPr="00A74194">
        <w:rPr>
          <w:snapToGrid w:val="0"/>
          <w:lang w:eastAsia="en-US"/>
        </w:rPr>
        <w:t xml:space="preserve"> upper limit of normal</w:t>
      </w:r>
      <w:r w:rsidR="003A7D8E" w:rsidRPr="00A74194">
        <w:rPr>
          <w:snapToGrid w:val="0"/>
          <w:lang w:eastAsia="en-US"/>
        </w:rPr>
        <w:t xml:space="preserve"> </w:t>
      </w:r>
    </w:p>
    <w:p w14:paraId="67517858" w14:textId="77777777" w:rsidR="00396C1E" w:rsidRPr="00A74194" w:rsidRDefault="00B159C2" w:rsidP="00193A76">
      <w:pPr>
        <w:pStyle w:val="TableSource"/>
        <w:rPr>
          <w:snapToGrid w:val="0"/>
          <w:lang w:eastAsia="en-US"/>
        </w:rPr>
      </w:pPr>
      <w:r w:rsidRPr="00A74194">
        <w:rPr>
          <w:snapToGrid w:val="0"/>
          <w:lang w:eastAsia="en-US"/>
        </w:rPr>
        <w:t>Source: Table 41 p125 of the resubmission and compiled during the evaluation.</w:t>
      </w:r>
    </w:p>
    <w:p w14:paraId="3B82C82C" w14:textId="77777777" w:rsidR="00B159C2" w:rsidRDefault="00396C1E" w:rsidP="00193A76">
      <w:pPr>
        <w:pStyle w:val="TableSource"/>
        <w:rPr>
          <w:snapToGrid w:val="0"/>
          <w:shd w:val="clear" w:color="auto" w:fill="B8CCE4" w:themeFill="accent1" w:themeFillTint="66"/>
          <w:lang w:eastAsia="en-US"/>
        </w:rPr>
      </w:pPr>
      <w:r w:rsidRPr="00A74194">
        <w:rPr>
          <w:snapToGrid w:val="0"/>
          <w:shd w:val="clear" w:color="auto" w:fill="B8CCE4" w:themeFill="accent1" w:themeFillTint="66"/>
          <w:lang w:eastAsia="en-US"/>
        </w:rPr>
        <w:t>Blue shading indicates data previously seen by the PBAC.</w:t>
      </w:r>
    </w:p>
    <w:p w14:paraId="234611A9" w14:textId="77777777" w:rsidR="00BD6747" w:rsidRPr="00BD6747" w:rsidRDefault="00BD6747" w:rsidP="00BD6747">
      <w:pPr>
        <w:rPr>
          <w:i/>
          <w:sz w:val="18"/>
          <w:lang w:eastAsia="en-US"/>
        </w:rPr>
      </w:pPr>
      <w:r w:rsidRPr="00BD6747">
        <w:rPr>
          <w:i/>
          <w:sz w:val="18"/>
          <w:lang w:eastAsia="en-US"/>
        </w:rPr>
        <w:t>The redacted values correspond to the following ranges:</w:t>
      </w:r>
    </w:p>
    <w:p w14:paraId="5220336B" w14:textId="77777777" w:rsidR="00BD6747" w:rsidRPr="00BD6747" w:rsidRDefault="00BD6747" w:rsidP="00BD6747">
      <w:pPr>
        <w:rPr>
          <w:i/>
          <w:sz w:val="18"/>
          <w:lang w:eastAsia="en-US"/>
        </w:rPr>
      </w:pPr>
      <w:r w:rsidRPr="00BD6747">
        <w:rPr>
          <w:i/>
          <w:sz w:val="18"/>
          <w:vertAlign w:val="superscript"/>
          <w:lang w:eastAsia="en-US"/>
        </w:rPr>
        <w:t xml:space="preserve">1 </w:t>
      </w:r>
      <w:r w:rsidRPr="00BD6747">
        <w:rPr>
          <w:i/>
          <w:sz w:val="18"/>
          <w:lang w:eastAsia="en-US"/>
        </w:rPr>
        <w:t>$</w:t>
      </w:r>
      <w:r w:rsidR="006D19DF">
        <w:rPr>
          <w:i/>
          <w:sz w:val="18"/>
          <w:lang w:eastAsia="en-US"/>
        </w:rPr>
        <w:t>75</w:t>
      </w:r>
      <w:r w:rsidRPr="00BD6747">
        <w:rPr>
          <w:i/>
          <w:sz w:val="18"/>
          <w:lang w:eastAsia="en-US"/>
        </w:rPr>
        <w:t>,000 to &lt;$</w:t>
      </w:r>
      <w:r w:rsidR="006D19DF">
        <w:rPr>
          <w:i/>
          <w:sz w:val="18"/>
          <w:lang w:eastAsia="en-US"/>
        </w:rPr>
        <w:t>95</w:t>
      </w:r>
      <w:r w:rsidRPr="00BD6747">
        <w:rPr>
          <w:i/>
          <w:sz w:val="18"/>
          <w:lang w:eastAsia="en-US"/>
        </w:rPr>
        <w:t>,000/QALY gained</w:t>
      </w:r>
    </w:p>
    <w:p w14:paraId="38618476" w14:textId="77777777" w:rsidR="00BD6747" w:rsidRPr="00BD6747" w:rsidRDefault="00BD6747" w:rsidP="00BD6747">
      <w:pPr>
        <w:rPr>
          <w:i/>
          <w:sz w:val="18"/>
          <w:lang w:eastAsia="en-US"/>
        </w:rPr>
      </w:pPr>
      <w:r w:rsidRPr="00BD6747">
        <w:rPr>
          <w:i/>
          <w:sz w:val="18"/>
          <w:vertAlign w:val="superscript"/>
          <w:lang w:eastAsia="en-US"/>
        </w:rPr>
        <w:t>2</w:t>
      </w:r>
      <w:r w:rsidRPr="00BD6747">
        <w:rPr>
          <w:i/>
          <w:sz w:val="18"/>
          <w:lang w:eastAsia="en-US"/>
        </w:rPr>
        <w:t xml:space="preserve"> $</w:t>
      </w:r>
      <w:r w:rsidR="006D19DF">
        <w:rPr>
          <w:i/>
          <w:sz w:val="18"/>
          <w:lang w:eastAsia="en-US"/>
        </w:rPr>
        <w:t>95</w:t>
      </w:r>
      <w:r w:rsidRPr="00BD6747">
        <w:rPr>
          <w:i/>
          <w:sz w:val="18"/>
          <w:lang w:eastAsia="en-US"/>
        </w:rPr>
        <w:t>,000 to &lt;$1</w:t>
      </w:r>
      <w:r w:rsidR="006D19DF">
        <w:rPr>
          <w:i/>
          <w:sz w:val="18"/>
          <w:lang w:eastAsia="en-US"/>
        </w:rPr>
        <w:t>15</w:t>
      </w:r>
      <w:r w:rsidRPr="00BD6747">
        <w:rPr>
          <w:i/>
          <w:sz w:val="18"/>
          <w:lang w:eastAsia="en-US"/>
        </w:rPr>
        <w:t>,000/QALY gained</w:t>
      </w:r>
    </w:p>
    <w:p w14:paraId="10236E9F" w14:textId="77777777" w:rsidR="00B159C2" w:rsidRPr="00A74194" w:rsidRDefault="00B159C2" w:rsidP="00B159C2">
      <w:pPr>
        <w:rPr>
          <w:lang w:eastAsia="en-US"/>
        </w:rPr>
      </w:pPr>
    </w:p>
    <w:p w14:paraId="3A5795BD" w14:textId="77777777" w:rsidR="00B159C2" w:rsidRPr="00A74194" w:rsidRDefault="00B159C2" w:rsidP="00B159C2">
      <w:pPr>
        <w:pStyle w:val="3-BodyText"/>
      </w:pPr>
      <w:r w:rsidRPr="00A74194">
        <w:t>Table 9 summarises the key drivers of the model.</w:t>
      </w:r>
    </w:p>
    <w:p w14:paraId="4D18548B" w14:textId="77777777" w:rsidR="00B159C2" w:rsidRPr="00A74194" w:rsidRDefault="00B159C2" w:rsidP="00C12A60">
      <w:pPr>
        <w:pStyle w:val="CaptionTable"/>
      </w:pPr>
      <w:r w:rsidRPr="00A74194">
        <w:t>Table 9: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688"/>
        <w:gridCol w:w="4536"/>
        <w:gridCol w:w="1793"/>
      </w:tblGrid>
      <w:tr w:rsidR="00B159C2" w:rsidRPr="00A74194" w14:paraId="376928E2" w14:textId="77777777" w:rsidTr="007F4B37">
        <w:trPr>
          <w:tblHeader/>
        </w:trPr>
        <w:tc>
          <w:tcPr>
            <w:tcW w:w="1491" w:type="pct"/>
            <w:shd w:val="clear" w:color="auto" w:fill="auto"/>
            <w:vAlign w:val="center"/>
          </w:tcPr>
          <w:p w14:paraId="39702D04" w14:textId="77777777" w:rsidR="00B159C2" w:rsidRPr="00A74194" w:rsidRDefault="00B159C2" w:rsidP="007E12FF">
            <w:pPr>
              <w:pStyle w:val="In-tableHeading"/>
              <w:jc w:val="center"/>
              <w:rPr>
                <w:lang w:val="en-AU"/>
              </w:rPr>
            </w:pPr>
            <w:r w:rsidRPr="00A74194">
              <w:rPr>
                <w:lang w:val="en-AU"/>
              </w:rPr>
              <w:t>Description</w:t>
            </w:r>
          </w:p>
        </w:tc>
        <w:tc>
          <w:tcPr>
            <w:tcW w:w="2515" w:type="pct"/>
            <w:shd w:val="clear" w:color="auto" w:fill="auto"/>
            <w:vAlign w:val="center"/>
          </w:tcPr>
          <w:p w14:paraId="1F7BC819" w14:textId="77777777" w:rsidR="00B159C2" w:rsidRPr="00A74194" w:rsidRDefault="00B159C2" w:rsidP="007E12FF">
            <w:pPr>
              <w:pStyle w:val="In-tableHeading"/>
              <w:jc w:val="center"/>
              <w:rPr>
                <w:lang w:val="en-AU"/>
              </w:rPr>
            </w:pPr>
            <w:r w:rsidRPr="00A74194">
              <w:rPr>
                <w:lang w:val="en-AU"/>
              </w:rPr>
              <w:t>Method/Value</w:t>
            </w:r>
          </w:p>
        </w:tc>
        <w:tc>
          <w:tcPr>
            <w:tcW w:w="994" w:type="pct"/>
            <w:shd w:val="clear" w:color="auto" w:fill="auto"/>
            <w:vAlign w:val="center"/>
          </w:tcPr>
          <w:p w14:paraId="6AB83228" w14:textId="77777777" w:rsidR="00B159C2" w:rsidRPr="00A74194" w:rsidRDefault="00B159C2" w:rsidP="007E12FF">
            <w:pPr>
              <w:pStyle w:val="In-tableHeading"/>
              <w:jc w:val="center"/>
              <w:rPr>
                <w:lang w:val="en-AU"/>
              </w:rPr>
            </w:pPr>
            <w:r w:rsidRPr="00A74194">
              <w:rPr>
                <w:lang w:val="en-AU"/>
              </w:rPr>
              <w:t>Impact</w:t>
            </w:r>
          </w:p>
        </w:tc>
      </w:tr>
      <w:tr w:rsidR="00153407" w:rsidRPr="00A74194" w14:paraId="4F53E2EB" w14:textId="77777777" w:rsidTr="007F4B37">
        <w:tc>
          <w:tcPr>
            <w:tcW w:w="1491" w:type="pct"/>
            <w:shd w:val="clear" w:color="auto" w:fill="auto"/>
          </w:tcPr>
          <w:p w14:paraId="585245B5" w14:textId="77777777" w:rsidR="00153407" w:rsidRPr="00A74194" w:rsidRDefault="00153407" w:rsidP="00153407">
            <w:pPr>
              <w:pStyle w:val="TableText0"/>
            </w:pPr>
            <w:r w:rsidRPr="00A74194">
              <w:t>Time horizon</w:t>
            </w:r>
          </w:p>
        </w:tc>
        <w:tc>
          <w:tcPr>
            <w:tcW w:w="2515" w:type="pct"/>
            <w:shd w:val="clear" w:color="auto" w:fill="auto"/>
          </w:tcPr>
          <w:p w14:paraId="67492843" w14:textId="77777777" w:rsidR="00153407" w:rsidRPr="00A74194" w:rsidRDefault="00153407" w:rsidP="00153407">
            <w:pPr>
              <w:pStyle w:val="TableText0"/>
            </w:pPr>
            <w:r w:rsidRPr="00A74194">
              <w:rPr>
                <w:szCs w:val="20"/>
              </w:rPr>
              <w:t>Lifetime (30 years), POISE clinical trial 12 months duration and the POISE LTSE study (5 years).</w:t>
            </w:r>
          </w:p>
        </w:tc>
        <w:tc>
          <w:tcPr>
            <w:tcW w:w="994" w:type="pct"/>
            <w:shd w:val="clear" w:color="auto" w:fill="auto"/>
          </w:tcPr>
          <w:p w14:paraId="7C9A87AD" w14:textId="77777777" w:rsidR="00153407" w:rsidRPr="00A74194" w:rsidRDefault="00153407" w:rsidP="00153407">
            <w:pPr>
              <w:pStyle w:val="TableText0"/>
            </w:pPr>
            <w:r w:rsidRPr="00A74194">
              <w:t>High</w:t>
            </w:r>
            <w:r w:rsidR="00581B67" w:rsidRPr="00A74194">
              <w:t xml:space="preserve"> up to around 20 years</w:t>
            </w:r>
            <w:r w:rsidRPr="00A74194">
              <w:t>, favours OCA</w:t>
            </w:r>
          </w:p>
        </w:tc>
      </w:tr>
      <w:tr w:rsidR="00153407" w:rsidRPr="00A74194" w14:paraId="22EE1E89" w14:textId="77777777" w:rsidTr="007F4B37">
        <w:tc>
          <w:tcPr>
            <w:tcW w:w="1491" w:type="pct"/>
            <w:shd w:val="clear" w:color="auto" w:fill="auto"/>
          </w:tcPr>
          <w:p w14:paraId="603540F0" w14:textId="77777777" w:rsidR="00153407" w:rsidRPr="00A74194" w:rsidRDefault="00153407" w:rsidP="00153407">
            <w:pPr>
              <w:pStyle w:val="TableText0"/>
            </w:pPr>
            <w:r w:rsidRPr="00A74194">
              <w:t xml:space="preserve">Patients receiving </w:t>
            </w:r>
            <w:r w:rsidR="005F18FC" w:rsidRPr="00A74194">
              <w:t>half dose (dose every other day)</w:t>
            </w:r>
          </w:p>
        </w:tc>
        <w:tc>
          <w:tcPr>
            <w:tcW w:w="2515" w:type="pct"/>
            <w:shd w:val="clear" w:color="auto" w:fill="auto"/>
          </w:tcPr>
          <w:p w14:paraId="760922C8" w14:textId="77777777" w:rsidR="00153407" w:rsidRPr="00A74194" w:rsidRDefault="00153407" w:rsidP="00153407">
            <w:pPr>
              <w:pStyle w:val="TableText0"/>
              <w:rPr>
                <w:szCs w:val="20"/>
              </w:rPr>
            </w:pPr>
            <w:r w:rsidRPr="00A74194">
              <w:t xml:space="preserve">Assumed that 21% of patients would </w:t>
            </w:r>
            <w:r w:rsidR="005F18FC" w:rsidRPr="00A74194">
              <w:t>receive a half dose (dose every other day)</w:t>
            </w:r>
            <w:r w:rsidRPr="00A74194">
              <w:t xml:space="preserve"> for the 30 year time horizon. </w:t>
            </w:r>
          </w:p>
        </w:tc>
        <w:tc>
          <w:tcPr>
            <w:tcW w:w="994" w:type="pct"/>
            <w:shd w:val="clear" w:color="auto" w:fill="auto"/>
          </w:tcPr>
          <w:p w14:paraId="57884C90" w14:textId="77777777" w:rsidR="00153407" w:rsidRPr="00A74194" w:rsidRDefault="00153407" w:rsidP="00153407">
            <w:pPr>
              <w:pStyle w:val="TableText0"/>
            </w:pPr>
            <w:r w:rsidRPr="00A74194">
              <w:t>High, favours OCA</w:t>
            </w:r>
          </w:p>
        </w:tc>
      </w:tr>
      <w:tr w:rsidR="00153407" w:rsidRPr="00A74194" w14:paraId="76051DE7" w14:textId="77777777" w:rsidTr="007F4B37">
        <w:tc>
          <w:tcPr>
            <w:tcW w:w="1491" w:type="pct"/>
            <w:shd w:val="clear" w:color="auto" w:fill="B8CCE4" w:themeFill="accent1" w:themeFillTint="66"/>
          </w:tcPr>
          <w:p w14:paraId="241628AA" w14:textId="77777777" w:rsidR="00153407" w:rsidRPr="00A74194" w:rsidRDefault="00153407" w:rsidP="00153407">
            <w:pPr>
              <w:pStyle w:val="TableText0"/>
            </w:pPr>
            <w:r w:rsidRPr="00A74194">
              <w:t>Utilities in biochemical health states</w:t>
            </w:r>
          </w:p>
        </w:tc>
        <w:tc>
          <w:tcPr>
            <w:tcW w:w="2515" w:type="pct"/>
            <w:shd w:val="clear" w:color="auto" w:fill="B8CCE4" w:themeFill="accent1" w:themeFillTint="66"/>
          </w:tcPr>
          <w:p w14:paraId="0122D2C2" w14:textId="77777777" w:rsidR="00153407" w:rsidRPr="00A74194" w:rsidRDefault="00153407" w:rsidP="00153407">
            <w:pPr>
              <w:pStyle w:val="TableText0"/>
            </w:pPr>
            <w:r w:rsidRPr="00A74194">
              <w:rPr>
                <w:szCs w:val="20"/>
              </w:rPr>
              <w:t>Based on Younossi (2001)</w:t>
            </w:r>
            <w:r w:rsidR="005201D0" w:rsidRPr="00A74194">
              <w:rPr>
                <w:szCs w:val="20"/>
              </w:rPr>
              <w:t xml:space="preserve"> and</w:t>
            </w:r>
            <w:r w:rsidR="005F18FC" w:rsidRPr="00A74194">
              <w:rPr>
                <w:szCs w:val="20"/>
              </w:rPr>
              <w:t xml:space="preserve"> </w:t>
            </w:r>
            <w:r w:rsidRPr="00A74194">
              <w:rPr>
                <w:szCs w:val="20"/>
              </w:rPr>
              <w:t>Wright (2006)</w:t>
            </w:r>
            <w:r w:rsidR="005F18FC" w:rsidRPr="00A74194">
              <w:rPr>
                <w:szCs w:val="20"/>
              </w:rPr>
              <w:t>.</w:t>
            </w:r>
            <w:r w:rsidR="00A23A22" w:rsidRPr="00A74194">
              <w:rPr>
                <w:szCs w:val="20"/>
              </w:rPr>
              <w:t xml:space="preserve"> </w:t>
            </w:r>
          </w:p>
        </w:tc>
        <w:tc>
          <w:tcPr>
            <w:tcW w:w="994" w:type="pct"/>
            <w:shd w:val="clear" w:color="auto" w:fill="auto"/>
          </w:tcPr>
          <w:p w14:paraId="2FFC1D84" w14:textId="77777777" w:rsidR="00153407" w:rsidRPr="00A74194" w:rsidRDefault="005403A6" w:rsidP="00153407">
            <w:pPr>
              <w:pStyle w:val="TableText0"/>
            </w:pPr>
            <w:r w:rsidRPr="00A74194">
              <w:t>High</w:t>
            </w:r>
            <w:r w:rsidR="00F93007" w:rsidRPr="00A74194">
              <w:t>, direction unclear</w:t>
            </w:r>
          </w:p>
        </w:tc>
      </w:tr>
      <w:tr w:rsidR="006B5037" w:rsidRPr="00A74194" w14:paraId="52F88408" w14:textId="77777777" w:rsidTr="007F4B37">
        <w:tc>
          <w:tcPr>
            <w:tcW w:w="1491" w:type="pct"/>
            <w:shd w:val="clear" w:color="auto" w:fill="auto"/>
          </w:tcPr>
          <w:p w14:paraId="3D59212A" w14:textId="77777777" w:rsidR="006B5037" w:rsidRPr="00A74194" w:rsidRDefault="006B5037" w:rsidP="00153407">
            <w:pPr>
              <w:pStyle w:val="TableText0"/>
            </w:pPr>
            <w:r w:rsidRPr="00A74194">
              <w:t>The application of disutility for prurit</w:t>
            </w:r>
            <w:r w:rsidR="00F93007" w:rsidRPr="00A74194">
              <w:t>u</w:t>
            </w:r>
            <w:r w:rsidR="001A3A98" w:rsidRPr="00A74194">
              <w:t>s beyond Y</w:t>
            </w:r>
            <w:r w:rsidRPr="00A74194">
              <w:t>ear 1</w:t>
            </w:r>
          </w:p>
        </w:tc>
        <w:tc>
          <w:tcPr>
            <w:tcW w:w="2515" w:type="pct"/>
            <w:shd w:val="clear" w:color="auto" w:fill="auto"/>
          </w:tcPr>
          <w:p w14:paraId="1F5A1C41" w14:textId="77777777" w:rsidR="006B5037" w:rsidRPr="00A74194" w:rsidRDefault="006B5037" w:rsidP="00153407">
            <w:pPr>
              <w:pStyle w:val="TableText0"/>
            </w:pPr>
            <w:r w:rsidRPr="00A74194">
              <w:t>Assuming no application of disutility for prurit</w:t>
            </w:r>
            <w:r w:rsidR="006411E6" w:rsidRPr="00A74194">
              <w:t>u</w:t>
            </w:r>
            <w:r w:rsidRPr="00A74194">
              <w:t>s b</w:t>
            </w:r>
            <w:r w:rsidR="001A3A98" w:rsidRPr="00A74194">
              <w:t>eyond Y</w:t>
            </w:r>
            <w:r w:rsidRPr="00A74194">
              <w:t>ear 1</w:t>
            </w:r>
            <w:r w:rsidR="001A3A98" w:rsidRPr="00A74194">
              <w:t>.</w:t>
            </w:r>
          </w:p>
        </w:tc>
        <w:tc>
          <w:tcPr>
            <w:tcW w:w="994" w:type="pct"/>
            <w:shd w:val="clear" w:color="auto" w:fill="auto"/>
          </w:tcPr>
          <w:p w14:paraId="5EFAB4D7" w14:textId="77777777" w:rsidR="006B5037" w:rsidRPr="00A74194" w:rsidRDefault="006B5037" w:rsidP="00153407">
            <w:pPr>
              <w:pStyle w:val="TableText0"/>
            </w:pPr>
            <w:r w:rsidRPr="00A74194">
              <w:t xml:space="preserve">Moderate, </w:t>
            </w:r>
            <w:r w:rsidR="002C5FAA" w:rsidRPr="00A74194">
              <w:t>favours</w:t>
            </w:r>
            <w:r w:rsidRPr="00A74194">
              <w:t xml:space="preserve"> OCA</w:t>
            </w:r>
          </w:p>
        </w:tc>
      </w:tr>
      <w:tr w:rsidR="00153407" w:rsidRPr="00A74194" w14:paraId="19FF20A4" w14:textId="77777777" w:rsidTr="007F4B37">
        <w:tc>
          <w:tcPr>
            <w:tcW w:w="1491" w:type="pct"/>
            <w:shd w:val="clear" w:color="auto" w:fill="auto"/>
          </w:tcPr>
          <w:p w14:paraId="22EDFE46" w14:textId="77777777" w:rsidR="00153407" w:rsidRPr="00A74194" w:rsidRDefault="00153407" w:rsidP="00153407">
            <w:pPr>
              <w:pStyle w:val="TableText0"/>
            </w:pPr>
            <w:r w:rsidRPr="00A74194">
              <w:t>Transition probability between biochemical health states</w:t>
            </w:r>
            <w:r w:rsidR="00044AB6" w:rsidRPr="00A74194">
              <w:t xml:space="preserve"> (</w:t>
            </w:r>
            <w:r w:rsidR="0057655F" w:rsidRPr="00A74194">
              <w:t>i.e.</w:t>
            </w:r>
            <w:r w:rsidR="005403A6" w:rsidRPr="00A74194">
              <w:t xml:space="preserve"> </w:t>
            </w:r>
            <w:r w:rsidR="00044AB6" w:rsidRPr="00A74194">
              <w:t>moderate to high risk)</w:t>
            </w:r>
          </w:p>
        </w:tc>
        <w:tc>
          <w:tcPr>
            <w:tcW w:w="2515" w:type="pct"/>
            <w:shd w:val="clear" w:color="auto" w:fill="auto"/>
          </w:tcPr>
          <w:p w14:paraId="1F409554" w14:textId="77777777" w:rsidR="00153407" w:rsidRPr="00A74194" w:rsidRDefault="00153407" w:rsidP="00153407">
            <w:pPr>
              <w:pStyle w:val="TableText0"/>
            </w:pPr>
            <w:r w:rsidRPr="00A74194">
              <w:t>POISE, various literature and calibration</w:t>
            </w:r>
          </w:p>
        </w:tc>
        <w:tc>
          <w:tcPr>
            <w:tcW w:w="994" w:type="pct"/>
            <w:shd w:val="clear" w:color="auto" w:fill="auto"/>
          </w:tcPr>
          <w:p w14:paraId="0BAD7F73" w14:textId="77777777" w:rsidR="00153407" w:rsidRPr="00A74194" w:rsidRDefault="005403A6" w:rsidP="00153407">
            <w:pPr>
              <w:pStyle w:val="TableText0"/>
            </w:pPr>
            <w:r w:rsidRPr="00A74194">
              <w:t>High, favours OCA</w:t>
            </w:r>
          </w:p>
        </w:tc>
      </w:tr>
    </w:tbl>
    <w:p w14:paraId="6B940074" w14:textId="77777777" w:rsidR="00B159C2" w:rsidRPr="00A74194" w:rsidRDefault="00B159C2" w:rsidP="00B159C2">
      <w:pPr>
        <w:pStyle w:val="TableFigureFooter"/>
      </w:pPr>
      <w:r w:rsidRPr="00A74194">
        <w:t>LTSE</w:t>
      </w:r>
      <w:r w:rsidR="00732C37" w:rsidRPr="00A74194">
        <w:t xml:space="preserve"> =</w:t>
      </w:r>
      <w:r w:rsidRPr="00A74194">
        <w:t xml:space="preserve"> long-term safety extension; OCA</w:t>
      </w:r>
      <w:r w:rsidR="00732C37" w:rsidRPr="00A74194">
        <w:t xml:space="preserve"> =</w:t>
      </w:r>
      <w:r w:rsidRPr="00A74194">
        <w:t xml:space="preserve"> obeticholic acid</w:t>
      </w:r>
    </w:p>
    <w:p w14:paraId="27E249EB" w14:textId="77777777" w:rsidR="00B159C2" w:rsidRPr="00A74194" w:rsidRDefault="00B159C2" w:rsidP="00B159C2">
      <w:pPr>
        <w:pStyle w:val="TableFigureFooter"/>
      </w:pPr>
      <w:r w:rsidRPr="00A74194">
        <w:t>Source: Compiled during the evaluation</w:t>
      </w:r>
    </w:p>
    <w:p w14:paraId="2F3A85E1" w14:textId="77777777" w:rsidR="00B159C2" w:rsidRPr="00A74194" w:rsidRDefault="00B159C2" w:rsidP="00B159C2">
      <w:pPr>
        <w:pStyle w:val="TableFigureFooter"/>
      </w:pPr>
    </w:p>
    <w:p w14:paraId="732EC37B" w14:textId="77777777" w:rsidR="00B159C2" w:rsidRPr="00A74194" w:rsidRDefault="00B159C2" w:rsidP="00B159C2">
      <w:pPr>
        <w:pStyle w:val="3-BodyText"/>
      </w:pPr>
      <w:r w:rsidRPr="00A74194">
        <w:t>Table 10 presents the results of the stepped economic evaluation.</w:t>
      </w:r>
    </w:p>
    <w:p w14:paraId="640E2F1B" w14:textId="77777777" w:rsidR="00B159C2" w:rsidRPr="00A74194" w:rsidRDefault="00B159C2" w:rsidP="00B159C2">
      <w:pPr>
        <w:pStyle w:val="3-BodyText"/>
        <w:numPr>
          <w:ilvl w:val="0"/>
          <w:numId w:val="0"/>
        </w:numPr>
        <w:ind w:left="720"/>
        <w:sectPr w:rsidR="00B159C2" w:rsidRPr="00A74194" w:rsidSect="00251006">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1440" w:footer="1440" w:gutter="0"/>
          <w:pgNumType w:start="1"/>
          <w:cols w:space="708"/>
          <w:docGrid w:linePitch="360"/>
        </w:sectPr>
      </w:pPr>
    </w:p>
    <w:p w14:paraId="0F320E88" w14:textId="77777777" w:rsidR="00B159C2" w:rsidRPr="00A74194" w:rsidRDefault="00B159C2" w:rsidP="00C12A60">
      <w:pPr>
        <w:pStyle w:val="CaptionTable"/>
      </w:pPr>
      <w:r w:rsidRPr="00A74194">
        <w:lastRenderedPageBreak/>
        <w:t>Table 10: Results of the stepped economic evaluation</w:t>
      </w:r>
      <w:r w:rsidR="006411E6" w:rsidRPr="00A74194">
        <w:t xml:space="preserve"> using the proposed effective price of OCA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28" w:type="dxa"/>
          <w:right w:w="28" w:type="dxa"/>
        </w:tblCellMar>
        <w:tblLook w:val="04A0" w:firstRow="1" w:lastRow="0" w:firstColumn="1" w:lastColumn="0" w:noHBand="0" w:noVBand="1"/>
      </w:tblPr>
      <w:tblGrid>
        <w:gridCol w:w="6374"/>
        <w:gridCol w:w="1134"/>
        <w:gridCol w:w="1134"/>
        <w:gridCol w:w="992"/>
        <w:gridCol w:w="1134"/>
        <w:gridCol w:w="1134"/>
        <w:gridCol w:w="993"/>
        <w:gridCol w:w="1055"/>
      </w:tblGrid>
      <w:tr w:rsidR="00B159C2" w:rsidRPr="00A74194" w14:paraId="5CB15F5D" w14:textId="77777777" w:rsidTr="00D45AC7">
        <w:trPr>
          <w:cantSplit/>
          <w:tblHeader/>
        </w:trPr>
        <w:tc>
          <w:tcPr>
            <w:tcW w:w="6374" w:type="dxa"/>
            <w:vMerge w:val="restart"/>
            <w:shd w:val="clear" w:color="auto" w:fill="FFFFFF" w:themeFill="background1"/>
            <w:vAlign w:val="center"/>
          </w:tcPr>
          <w:p w14:paraId="0E642437" w14:textId="77777777" w:rsidR="00B159C2" w:rsidRPr="00A74194" w:rsidRDefault="00B159C2" w:rsidP="007E12FF">
            <w:pPr>
              <w:jc w:val="left"/>
              <w:rPr>
                <w:rFonts w:ascii="Arial Narrow" w:hAnsi="Arial Narrow" w:cs="Times New Roman"/>
                <w:b/>
                <w:snapToGrid w:val="0"/>
                <w:sz w:val="20"/>
              </w:rPr>
            </w:pPr>
            <w:r w:rsidRPr="00A74194">
              <w:rPr>
                <w:rFonts w:ascii="Arial Narrow" w:hAnsi="Arial Narrow" w:cs="Times New Roman"/>
                <w:b/>
                <w:snapToGrid w:val="0"/>
                <w:sz w:val="20"/>
              </w:rPr>
              <w:t>Data</w:t>
            </w:r>
          </w:p>
        </w:tc>
        <w:tc>
          <w:tcPr>
            <w:tcW w:w="3260" w:type="dxa"/>
            <w:gridSpan w:val="3"/>
            <w:shd w:val="clear" w:color="auto" w:fill="FFFFFF" w:themeFill="background1"/>
            <w:vAlign w:val="center"/>
          </w:tcPr>
          <w:p w14:paraId="32CE1D49" w14:textId="77777777" w:rsidR="00B159C2" w:rsidRPr="00A74194" w:rsidRDefault="00B159C2" w:rsidP="007E12FF">
            <w:pPr>
              <w:jc w:val="center"/>
              <w:rPr>
                <w:rFonts w:ascii="Arial Narrow" w:hAnsi="Arial Narrow" w:cs="Times New Roman"/>
                <w:b/>
                <w:snapToGrid w:val="0"/>
                <w:sz w:val="20"/>
              </w:rPr>
            </w:pPr>
            <w:r w:rsidRPr="00A74194">
              <w:rPr>
                <w:rFonts w:ascii="Arial Narrow" w:hAnsi="Arial Narrow" w:cs="Times New Roman"/>
                <w:b/>
                <w:snapToGrid w:val="0"/>
                <w:sz w:val="20"/>
              </w:rPr>
              <w:t>Costs</w:t>
            </w:r>
          </w:p>
        </w:tc>
        <w:tc>
          <w:tcPr>
            <w:tcW w:w="3261" w:type="dxa"/>
            <w:gridSpan w:val="3"/>
            <w:shd w:val="clear" w:color="auto" w:fill="FFFFFF" w:themeFill="background1"/>
            <w:vAlign w:val="center"/>
          </w:tcPr>
          <w:p w14:paraId="2846420D" w14:textId="77777777" w:rsidR="00B159C2" w:rsidRPr="00A74194" w:rsidRDefault="00B159C2" w:rsidP="007E12FF">
            <w:pPr>
              <w:jc w:val="center"/>
              <w:rPr>
                <w:rFonts w:ascii="Arial Narrow" w:hAnsi="Arial Narrow" w:cs="Times New Roman"/>
                <w:b/>
                <w:snapToGrid w:val="0"/>
                <w:sz w:val="20"/>
              </w:rPr>
            </w:pPr>
            <w:r w:rsidRPr="00A74194">
              <w:rPr>
                <w:rFonts w:ascii="Arial Narrow" w:hAnsi="Arial Narrow" w:cs="Times New Roman"/>
                <w:b/>
                <w:snapToGrid w:val="0"/>
                <w:sz w:val="20"/>
              </w:rPr>
              <w:t>Health outcomes</w:t>
            </w:r>
          </w:p>
        </w:tc>
        <w:tc>
          <w:tcPr>
            <w:tcW w:w="1055" w:type="dxa"/>
            <w:vMerge w:val="restart"/>
            <w:shd w:val="clear" w:color="auto" w:fill="FFFFFF" w:themeFill="background1"/>
            <w:vAlign w:val="center"/>
          </w:tcPr>
          <w:p w14:paraId="2A60BFF8" w14:textId="77777777" w:rsidR="00B159C2" w:rsidRPr="00A74194" w:rsidRDefault="00B159C2" w:rsidP="007E12FF">
            <w:pPr>
              <w:jc w:val="center"/>
              <w:rPr>
                <w:rFonts w:ascii="Arial Narrow" w:hAnsi="Arial Narrow" w:cs="Times New Roman"/>
                <w:b/>
                <w:snapToGrid w:val="0"/>
                <w:sz w:val="20"/>
              </w:rPr>
            </w:pPr>
            <w:r w:rsidRPr="00A74194">
              <w:rPr>
                <w:rFonts w:ascii="Arial Narrow" w:hAnsi="Arial Narrow" w:cs="Times New Roman"/>
                <w:b/>
                <w:snapToGrid w:val="0"/>
                <w:sz w:val="20"/>
              </w:rPr>
              <w:t>ICER</w:t>
            </w:r>
          </w:p>
        </w:tc>
      </w:tr>
      <w:tr w:rsidR="00FA5529" w:rsidRPr="00A74194" w14:paraId="03EA821A" w14:textId="77777777" w:rsidTr="00D45AC7">
        <w:trPr>
          <w:cantSplit/>
          <w:tblHeader/>
        </w:trPr>
        <w:tc>
          <w:tcPr>
            <w:tcW w:w="6374" w:type="dxa"/>
            <w:vMerge/>
            <w:shd w:val="clear" w:color="auto" w:fill="FFFFFF" w:themeFill="background1"/>
            <w:vAlign w:val="center"/>
          </w:tcPr>
          <w:p w14:paraId="1BA45D8F" w14:textId="77777777" w:rsidR="00B159C2" w:rsidRPr="00A74194" w:rsidRDefault="00B159C2" w:rsidP="007E12FF">
            <w:pPr>
              <w:jc w:val="left"/>
              <w:rPr>
                <w:rFonts w:ascii="Arial Narrow" w:hAnsi="Arial Narrow" w:cs="Times New Roman"/>
                <w:snapToGrid w:val="0"/>
                <w:sz w:val="20"/>
              </w:rPr>
            </w:pPr>
          </w:p>
        </w:tc>
        <w:tc>
          <w:tcPr>
            <w:tcW w:w="1134" w:type="dxa"/>
            <w:shd w:val="clear" w:color="auto" w:fill="FFFFFF" w:themeFill="background1"/>
            <w:vAlign w:val="center"/>
          </w:tcPr>
          <w:p w14:paraId="0BA60A93" w14:textId="77777777" w:rsidR="00B159C2" w:rsidRPr="00A74194" w:rsidRDefault="00B159C2" w:rsidP="007E12FF">
            <w:pPr>
              <w:jc w:val="center"/>
              <w:rPr>
                <w:rFonts w:ascii="Times" w:hAnsi="Times" w:cs="Times New Roman"/>
                <w:b/>
                <w:snapToGrid w:val="0"/>
                <w:sz w:val="20"/>
              </w:rPr>
            </w:pPr>
            <w:r w:rsidRPr="00A74194">
              <w:rPr>
                <w:rFonts w:ascii="Arial Narrow" w:hAnsi="Arial Narrow" w:cs="Times New Roman"/>
                <w:b/>
                <w:snapToGrid w:val="0"/>
                <w:sz w:val="20"/>
              </w:rPr>
              <w:t>OCA titration + UDCA</w:t>
            </w:r>
          </w:p>
        </w:tc>
        <w:tc>
          <w:tcPr>
            <w:tcW w:w="1134" w:type="dxa"/>
            <w:shd w:val="clear" w:color="auto" w:fill="FFFFFF" w:themeFill="background1"/>
            <w:vAlign w:val="center"/>
          </w:tcPr>
          <w:p w14:paraId="7BF051C9" w14:textId="77777777" w:rsidR="00B159C2" w:rsidRPr="00A74194" w:rsidRDefault="00B159C2" w:rsidP="007E12FF">
            <w:pPr>
              <w:jc w:val="center"/>
              <w:rPr>
                <w:rFonts w:ascii="Times" w:hAnsi="Times" w:cs="Times New Roman"/>
                <w:b/>
                <w:snapToGrid w:val="0"/>
                <w:sz w:val="20"/>
              </w:rPr>
            </w:pPr>
            <w:r w:rsidRPr="00A74194">
              <w:rPr>
                <w:rFonts w:ascii="Arial Narrow" w:hAnsi="Arial Narrow" w:cs="Times New Roman"/>
                <w:b/>
                <w:snapToGrid w:val="0"/>
                <w:sz w:val="20"/>
              </w:rPr>
              <w:t>UDCA</w:t>
            </w:r>
            <w:r w:rsidR="000B63FB" w:rsidRPr="00A74194">
              <w:rPr>
                <w:rFonts w:ascii="Arial Narrow" w:hAnsi="Arial Narrow" w:cs="Times New Roman"/>
                <w:b/>
                <w:snapToGrid w:val="0"/>
                <w:sz w:val="20"/>
              </w:rPr>
              <w:t xml:space="preserve"> monotherapy</w:t>
            </w:r>
          </w:p>
        </w:tc>
        <w:tc>
          <w:tcPr>
            <w:tcW w:w="992" w:type="dxa"/>
            <w:shd w:val="clear" w:color="auto" w:fill="FFFFFF" w:themeFill="background1"/>
            <w:vAlign w:val="center"/>
          </w:tcPr>
          <w:p w14:paraId="4D7E888D" w14:textId="77777777" w:rsidR="00B159C2" w:rsidRPr="00A74194" w:rsidRDefault="00B159C2" w:rsidP="007E12FF">
            <w:pPr>
              <w:jc w:val="center"/>
              <w:rPr>
                <w:rFonts w:ascii="Times" w:hAnsi="Times" w:cs="Times New Roman"/>
                <w:b/>
                <w:snapToGrid w:val="0"/>
                <w:sz w:val="20"/>
              </w:rPr>
            </w:pPr>
            <w:r w:rsidRPr="00A74194">
              <w:rPr>
                <w:rFonts w:ascii="Arial Narrow" w:hAnsi="Arial Narrow" w:cs="Times New Roman"/>
                <w:b/>
                <w:snapToGrid w:val="0"/>
                <w:sz w:val="20"/>
              </w:rPr>
              <w:t>Increment</w:t>
            </w:r>
          </w:p>
        </w:tc>
        <w:tc>
          <w:tcPr>
            <w:tcW w:w="1134" w:type="dxa"/>
            <w:shd w:val="clear" w:color="auto" w:fill="FFFFFF" w:themeFill="background1"/>
            <w:vAlign w:val="center"/>
          </w:tcPr>
          <w:p w14:paraId="0A495EDF" w14:textId="77777777" w:rsidR="00B159C2" w:rsidRPr="00A74194" w:rsidRDefault="00B159C2" w:rsidP="007E12FF">
            <w:pPr>
              <w:jc w:val="center"/>
              <w:rPr>
                <w:rFonts w:ascii="Times" w:hAnsi="Times" w:cs="Times New Roman"/>
                <w:b/>
                <w:snapToGrid w:val="0"/>
                <w:sz w:val="20"/>
              </w:rPr>
            </w:pPr>
            <w:r w:rsidRPr="00A74194">
              <w:rPr>
                <w:rFonts w:ascii="Arial Narrow" w:hAnsi="Arial Narrow" w:cs="Times New Roman"/>
                <w:b/>
                <w:snapToGrid w:val="0"/>
                <w:sz w:val="20"/>
              </w:rPr>
              <w:t>OCA titration + UDCA</w:t>
            </w:r>
          </w:p>
        </w:tc>
        <w:tc>
          <w:tcPr>
            <w:tcW w:w="1134" w:type="dxa"/>
            <w:shd w:val="clear" w:color="auto" w:fill="FFFFFF" w:themeFill="background1"/>
            <w:vAlign w:val="center"/>
          </w:tcPr>
          <w:p w14:paraId="3BC935BA" w14:textId="77777777" w:rsidR="00B159C2" w:rsidRPr="00A74194" w:rsidRDefault="000B63FB" w:rsidP="007E12FF">
            <w:pPr>
              <w:jc w:val="center"/>
              <w:rPr>
                <w:rFonts w:ascii="Arial Narrow" w:hAnsi="Arial Narrow" w:cs="Times New Roman"/>
                <w:b/>
                <w:snapToGrid w:val="0"/>
                <w:sz w:val="20"/>
              </w:rPr>
            </w:pPr>
            <w:r w:rsidRPr="00A74194">
              <w:rPr>
                <w:rFonts w:ascii="Arial Narrow" w:hAnsi="Arial Narrow" w:cs="Times New Roman"/>
                <w:b/>
                <w:snapToGrid w:val="0"/>
                <w:sz w:val="20"/>
              </w:rPr>
              <w:t>UDCA monotherapy</w:t>
            </w:r>
          </w:p>
        </w:tc>
        <w:tc>
          <w:tcPr>
            <w:tcW w:w="993" w:type="dxa"/>
            <w:shd w:val="clear" w:color="auto" w:fill="FFFFFF" w:themeFill="background1"/>
            <w:vAlign w:val="center"/>
          </w:tcPr>
          <w:p w14:paraId="311EFA8F" w14:textId="77777777" w:rsidR="00B159C2" w:rsidRPr="00A74194" w:rsidRDefault="00B159C2" w:rsidP="007E12FF">
            <w:pPr>
              <w:jc w:val="center"/>
              <w:rPr>
                <w:rFonts w:ascii="Arial Narrow" w:hAnsi="Arial Narrow" w:cs="Times New Roman"/>
                <w:b/>
                <w:snapToGrid w:val="0"/>
                <w:sz w:val="20"/>
              </w:rPr>
            </w:pPr>
            <w:r w:rsidRPr="00A74194">
              <w:rPr>
                <w:rFonts w:ascii="Arial Narrow" w:hAnsi="Arial Narrow" w:cs="Times New Roman"/>
                <w:b/>
                <w:snapToGrid w:val="0"/>
                <w:sz w:val="20"/>
              </w:rPr>
              <w:t>Increment</w:t>
            </w:r>
          </w:p>
        </w:tc>
        <w:tc>
          <w:tcPr>
            <w:tcW w:w="1055" w:type="dxa"/>
            <w:vMerge/>
            <w:shd w:val="clear" w:color="auto" w:fill="FFFFFF" w:themeFill="background1"/>
            <w:vAlign w:val="center"/>
          </w:tcPr>
          <w:p w14:paraId="0C7F1F90" w14:textId="77777777" w:rsidR="00B159C2" w:rsidRPr="00A74194" w:rsidRDefault="00B159C2" w:rsidP="007E12FF">
            <w:pPr>
              <w:jc w:val="center"/>
              <w:rPr>
                <w:rFonts w:ascii="Arial Narrow" w:hAnsi="Arial Narrow" w:cs="Times New Roman"/>
                <w:snapToGrid w:val="0"/>
                <w:sz w:val="20"/>
              </w:rPr>
            </w:pPr>
          </w:p>
        </w:tc>
      </w:tr>
      <w:tr w:rsidR="006411E6" w:rsidRPr="00A74194" w14:paraId="1840AC29" w14:textId="77777777" w:rsidTr="00FA5529">
        <w:trPr>
          <w:cantSplit/>
        </w:trPr>
        <w:tc>
          <w:tcPr>
            <w:tcW w:w="0" w:type="auto"/>
            <w:gridSpan w:val="8"/>
            <w:shd w:val="clear" w:color="auto" w:fill="FFFFFF" w:themeFill="background1"/>
          </w:tcPr>
          <w:p w14:paraId="568DC80E" w14:textId="77777777" w:rsidR="006411E6" w:rsidRPr="00A74194" w:rsidRDefault="006411E6" w:rsidP="006411E6">
            <w:pPr>
              <w:jc w:val="left"/>
              <w:rPr>
                <w:rFonts w:ascii="Arial Narrow" w:hAnsi="Arial Narrow" w:cs="Times New Roman"/>
                <w:b/>
                <w:snapToGrid w:val="0"/>
                <w:sz w:val="20"/>
                <w:szCs w:val="20"/>
              </w:rPr>
            </w:pPr>
            <w:r w:rsidRPr="00A74194">
              <w:rPr>
                <w:rFonts w:ascii="Arial Narrow" w:hAnsi="Arial Narrow" w:cs="Times New Roman"/>
                <w:b/>
                <w:snapToGrid w:val="0"/>
                <w:sz w:val="20"/>
                <w:szCs w:val="20"/>
              </w:rPr>
              <w:t>Current resubmission</w:t>
            </w:r>
          </w:p>
        </w:tc>
      </w:tr>
      <w:tr w:rsidR="00FA5529" w:rsidRPr="00A74194" w14:paraId="1E98983D" w14:textId="77777777" w:rsidTr="00D45AC7">
        <w:trPr>
          <w:cantSplit/>
        </w:trPr>
        <w:tc>
          <w:tcPr>
            <w:tcW w:w="6374" w:type="dxa"/>
            <w:shd w:val="clear" w:color="auto" w:fill="FFFFFF" w:themeFill="background1"/>
          </w:tcPr>
          <w:p w14:paraId="04196A07" w14:textId="77777777" w:rsidR="00B159C2" w:rsidRPr="00A74194" w:rsidRDefault="00B159C2" w:rsidP="007E12FF">
            <w:pPr>
              <w:jc w:val="left"/>
              <w:rPr>
                <w:rFonts w:ascii="Arial Narrow" w:hAnsi="Arial Narrow" w:cs="Times New Roman"/>
                <w:sz w:val="20"/>
                <w:szCs w:val="20"/>
                <w:lang w:eastAsia="zh-CN"/>
              </w:rPr>
            </w:pPr>
            <w:r w:rsidRPr="00A74194">
              <w:rPr>
                <w:rFonts w:ascii="Arial Narrow" w:hAnsi="Arial Narrow" w:cs="Times New Roman"/>
                <w:sz w:val="20"/>
                <w:szCs w:val="20"/>
                <w:lang w:eastAsia="zh-CN"/>
              </w:rPr>
              <w:t xml:space="preserve">Step 1: </w:t>
            </w:r>
            <w:r w:rsidRPr="00A74194">
              <w:rPr>
                <w:rFonts w:ascii="Arial Narrow" w:hAnsi="Arial Narrow" w:cs="Times New Roman"/>
                <w:b/>
                <w:bCs/>
                <w:sz w:val="20"/>
                <w:szCs w:val="20"/>
                <w:lang w:eastAsia="zh-CN"/>
              </w:rPr>
              <w:t>(UDCA inadequate responder individuals: OCA titration +</w:t>
            </w:r>
            <w:r w:rsidR="006411E6" w:rsidRPr="00A74194">
              <w:rPr>
                <w:rFonts w:ascii="Arial Narrow" w:hAnsi="Arial Narrow" w:cs="Times New Roman"/>
                <w:b/>
                <w:bCs/>
                <w:sz w:val="20"/>
                <w:szCs w:val="20"/>
                <w:lang w:eastAsia="zh-CN"/>
              </w:rPr>
              <w:t xml:space="preserve"> </w:t>
            </w:r>
            <w:r w:rsidRPr="00A74194">
              <w:rPr>
                <w:rFonts w:ascii="Arial Narrow" w:hAnsi="Arial Narrow" w:cs="Times New Roman"/>
                <w:b/>
                <w:bCs/>
                <w:sz w:val="20"/>
                <w:szCs w:val="20"/>
                <w:lang w:eastAsia="zh-CN"/>
              </w:rPr>
              <w:t>UDCA vs UDCA monotherapy)</w:t>
            </w:r>
            <w:r w:rsidRPr="00A74194">
              <w:rPr>
                <w:rFonts w:ascii="Arial Narrow" w:hAnsi="Arial Narrow" w:cs="Times New Roman"/>
                <w:sz w:val="20"/>
                <w:szCs w:val="20"/>
                <w:lang w:eastAsia="zh-CN"/>
              </w:rPr>
              <w:t xml:space="preserve">: Trial-based analysis using the 12-month POISE trial data (outcomes = POISE primary efficacy outcome: ALP &lt;1.67 x ULN, total bilirubin ≤ULN, and ALP decrease of ≥15% from Baseline), </w:t>
            </w:r>
            <w:r w:rsidR="007B503D" w:rsidRPr="00A74194">
              <w:rPr>
                <w:rFonts w:ascii="Arial Narrow" w:hAnsi="Arial Narrow" w:cs="Times New Roman"/>
                <w:sz w:val="20"/>
                <w:szCs w:val="20"/>
                <w:lang w:eastAsia="zh-CN"/>
              </w:rPr>
              <w:t xml:space="preserve">effective </w:t>
            </w:r>
            <w:r w:rsidRPr="00A74194">
              <w:rPr>
                <w:rFonts w:ascii="Arial Narrow" w:hAnsi="Arial Narrow" w:cs="Times New Roman"/>
                <w:sz w:val="20"/>
                <w:szCs w:val="20"/>
                <w:lang w:eastAsia="zh-CN"/>
              </w:rPr>
              <w:t>prices</w:t>
            </w:r>
          </w:p>
          <w:p w14:paraId="5E054CCF" w14:textId="77777777" w:rsidR="00B159C2" w:rsidRPr="00A74194" w:rsidRDefault="00B159C2" w:rsidP="007E12FF">
            <w:pPr>
              <w:jc w:val="left"/>
              <w:rPr>
                <w:rFonts w:ascii="Arial Narrow" w:hAnsi="Arial Narrow" w:cs="Times New Roman"/>
                <w:sz w:val="20"/>
                <w:szCs w:val="20"/>
                <w:lang w:eastAsia="zh-CN"/>
              </w:rPr>
            </w:pPr>
            <w:r w:rsidRPr="00A74194">
              <w:rPr>
                <w:rFonts w:ascii="Arial Narrow" w:hAnsi="Arial Narrow" w:cs="Times New Roman"/>
                <w:sz w:val="20"/>
                <w:szCs w:val="20"/>
                <w:lang w:eastAsia="zh-CN"/>
              </w:rPr>
              <w:t>[ICER = $/Responder Gained]</w:t>
            </w:r>
          </w:p>
        </w:tc>
        <w:tc>
          <w:tcPr>
            <w:tcW w:w="1134" w:type="dxa"/>
            <w:shd w:val="clear" w:color="auto" w:fill="FFFFFF" w:themeFill="background1"/>
            <w:vAlign w:val="center"/>
          </w:tcPr>
          <w:p w14:paraId="0C6078DE" w14:textId="77777777" w:rsidR="00B159C2" w:rsidRPr="00A74194" w:rsidRDefault="00B159C2" w:rsidP="007E12FF">
            <w:pPr>
              <w:jc w:val="center"/>
              <w:rPr>
                <w:rFonts w:ascii="Arial Narrow" w:hAnsi="Arial Narrow" w:cs="Times New Roman"/>
                <w:snapToGrid w:val="0"/>
                <w:sz w:val="20"/>
                <w:szCs w:val="20"/>
              </w:rPr>
            </w:pPr>
            <w:r w:rsidRPr="00A74194">
              <w:rPr>
                <w:rFonts w:ascii="Arial Narrow" w:hAnsi="Arial Narrow" w:cs="Times New Roman"/>
                <w:snapToGrid w:val="0"/>
                <w:sz w:val="20"/>
                <w:szCs w:val="20"/>
              </w:rPr>
              <w:t>$</w:t>
            </w:r>
            <w:r w:rsidR="00027EBC">
              <w:rPr>
                <w:rFonts w:ascii="Arial Narrow" w:hAnsi="Arial Narrow" w:cs="Times New Roman"/>
                <w:noProof/>
                <w:snapToGrid w:val="0"/>
                <w:color w:val="000000"/>
                <w:sz w:val="20"/>
                <w:szCs w:val="20"/>
                <w:highlight w:val="black"/>
              </w:rPr>
              <w:t>'''''''''''''''''</w:t>
            </w:r>
          </w:p>
        </w:tc>
        <w:tc>
          <w:tcPr>
            <w:tcW w:w="1134" w:type="dxa"/>
            <w:shd w:val="clear" w:color="auto" w:fill="FFFFFF" w:themeFill="background1"/>
            <w:vAlign w:val="center"/>
          </w:tcPr>
          <w:p w14:paraId="6C09A40E" w14:textId="77777777" w:rsidR="00B159C2" w:rsidRPr="00A74194" w:rsidRDefault="00B159C2" w:rsidP="007E12FF">
            <w:pPr>
              <w:jc w:val="center"/>
              <w:rPr>
                <w:rFonts w:ascii="Arial Narrow" w:hAnsi="Arial Narrow" w:cs="Times New Roman"/>
                <w:snapToGrid w:val="0"/>
                <w:sz w:val="20"/>
                <w:szCs w:val="20"/>
              </w:rPr>
            </w:pPr>
            <w:r w:rsidRPr="00A74194">
              <w:rPr>
                <w:rFonts w:ascii="Arial Narrow" w:hAnsi="Arial Narrow" w:cs="Times New Roman"/>
                <w:snapToGrid w:val="0"/>
                <w:sz w:val="20"/>
                <w:szCs w:val="20"/>
              </w:rPr>
              <w:t>$</w:t>
            </w:r>
            <w:r w:rsidRPr="00E30C34">
              <w:rPr>
                <w:rFonts w:ascii="Arial Narrow" w:hAnsi="Arial Narrow" w:cs="Times New Roman"/>
                <w:snapToGrid w:val="0"/>
                <w:sz w:val="20"/>
                <w:szCs w:val="20"/>
              </w:rPr>
              <w:t>2,169</w:t>
            </w:r>
          </w:p>
        </w:tc>
        <w:tc>
          <w:tcPr>
            <w:tcW w:w="992" w:type="dxa"/>
            <w:shd w:val="clear" w:color="auto" w:fill="FFFFFF" w:themeFill="background1"/>
            <w:vAlign w:val="center"/>
          </w:tcPr>
          <w:p w14:paraId="48E78AE5" w14:textId="77777777" w:rsidR="00B159C2" w:rsidRPr="00027EBC" w:rsidRDefault="00027EBC" w:rsidP="007E12FF">
            <w:pPr>
              <w:jc w:val="center"/>
              <w:rPr>
                <w:rFonts w:ascii="Arial Narrow" w:hAnsi="Arial Narrow" w:cs="Times New Roman"/>
                <w:snapToGrid w:val="0"/>
                <w:sz w:val="20"/>
                <w:szCs w:val="20"/>
                <w:highlight w:val="black"/>
              </w:rPr>
            </w:pPr>
            <w:r>
              <w:rPr>
                <w:rFonts w:ascii="Arial Narrow" w:hAnsi="Arial Narrow" w:cs="Times New Roman"/>
                <w:noProof/>
                <w:snapToGrid w:val="0"/>
                <w:color w:val="000000"/>
                <w:sz w:val="20"/>
                <w:szCs w:val="20"/>
                <w:highlight w:val="black"/>
              </w:rPr>
              <w:t>''''''''''''''''''</w:t>
            </w:r>
          </w:p>
        </w:tc>
        <w:tc>
          <w:tcPr>
            <w:tcW w:w="1134" w:type="dxa"/>
            <w:shd w:val="clear" w:color="auto" w:fill="FFFFFF" w:themeFill="background1"/>
            <w:vAlign w:val="center"/>
          </w:tcPr>
          <w:p w14:paraId="75C85CEA" w14:textId="77777777" w:rsidR="00B159C2" w:rsidRPr="00523A93" w:rsidRDefault="00B159C2" w:rsidP="007E12FF">
            <w:pPr>
              <w:jc w:val="center"/>
              <w:rPr>
                <w:rFonts w:ascii="Arial Narrow" w:hAnsi="Arial Narrow" w:cs="Times New Roman"/>
                <w:snapToGrid w:val="0"/>
                <w:sz w:val="20"/>
                <w:szCs w:val="20"/>
              </w:rPr>
            </w:pPr>
            <w:r w:rsidRPr="00523A93">
              <w:rPr>
                <w:rFonts w:ascii="Arial Narrow" w:hAnsi="Arial Narrow" w:cs="Times New Roman"/>
                <w:snapToGrid w:val="0"/>
                <w:sz w:val="20"/>
                <w:szCs w:val="20"/>
              </w:rPr>
              <w:t>47%</w:t>
            </w:r>
          </w:p>
        </w:tc>
        <w:tc>
          <w:tcPr>
            <w:tcW w:w="1134" w:type="dxa"/>
            <w:shd w:val="clear" w:color="auto" w:fill="FFFFFF" w:themeFill="background1"/>
            <w:vAlign w:val="center"/>
          </w:tcPr>
          <w:p w14:paraId="22A1622A" w14:textId="77777777" w:rsidR="00B159C2" w:rsidRPr="00A74194" w:rsidRDefault="00B159C2" w:rsidP="007E12FF">
            <w:pPr>
              <w:jc w:val="center"/>
              <w:rPr>
                <w:rFonts w:ascii="Arial Narrow" w:hAnsi="Arial Narrow" w:cs="Times New Roman"/>
                <w:snapToGrid w:val="0"/>
                <w:sz w:val="20"/>
                <w:szCs w:val="20"/>
              </w:rPr>
            </w:pPr>
            <w:r w:rsidRPr="00A74194">
              <w:rPr>
                <w:rFonts w:ascii="Arial Narrow" w:hAnsi="Arial Narrow" w:cs="Times New Roman"/>
                <w:snapToGrid w:val="0"/>
                <w:sz w:val="20"/>
                <w:szCs w:val="20"/>
              </w:rPr>
              <w:t>10%</w:t>
            </w:r>
          </w:p>
        </w:tc>
        <w:tc>
          <w:tcPr>
            <w:tcW w:w="993" w:type="dxa"/>
            <w:shd w:val="clear" w:color="auto" w:fill="FFFFFF" w:themeFill="background1"/>
            <w:vAlign w:val="center"/>
          </w:tcPr>
          <w:p w14:paraId="243FA121" w14:textId="77777777" w:rsidR="00B159C2" w:rsidRPr="00A74194" w:rsidRDefault="00B159C2" w:rsidP="007E12FF">
            <w:pPr>
              <w:jc w:val="center"/>
              <w:rPr>
                <w:rFonts w:ascii="Arial Narrow" w:hAnsi="Arial Narrow" w:cs="Times New Roman"/>
                <w:snapToGrid w:val="0"/>
                <w:sz w:val="20"/>
                <w:szCs w:val="20"/>
              </w:rPr>
            </w:pPr>
            <w:r w:rsidRPr="00A74194">
              <w:rPr>
                <w:rFonts w:ascii="Arial Narrow" w:hAnsi="Arial Narrow" w:cs="Times New Roman"/>
                <w:snapToGrid w:val="0"/>
                <w:sz w:val="20"/>
                <w:szCs w:val="20"/>
              </w:rPr>
              <w:t>37%</w:t>
            </w:r>
          </w:p>
        </w:tc>
        <w:tc>
          <w:tcPr>
            <w:tcW w:w="1055" w:type="dxa"/>
            <w:shd w:val="clear" w:color="auto" w:fill="FFFFFF" w:themeFill="background1"/>
            <w:vAlign w:val="center"/>
          </w:tcPr>
          <w:p w14:paraId="3815277C" w14:textId="77777777" w:rsidR="00B159C2" w:rsidRPr="00027EBC" w:rsidRDefault="00027EBC" w:rsidP="007E12FF">
            <w:pPr>
              <w:jc w:val="center"/>
              <w:rPr>
                <w:rFonts w:ascii="Arial Narrow" w:hAnsi="Arial Narrow" w:cs="Times New Roman"/>
                <w:snapToGrid w:val="0"/>
                <w:sz w:val="20"/>
                <w:szCs w:val="20"/>
              </w:rPr>
            </w:pPr>
            <w:r>
              <w:rPr>
                <w:rFonts w:ascii="Arial Narrow" w:hAnsi="Arial Narrow" w:cs="Times New Roman"/>
                <w:noProof/>
                <w:snapToGrid w:val="0"/>
                <w:color w:val="000000"/>
                <w:sz w:val="20"/>
                <w:szCs w:val="20"/>
                <w:highlight w:val="black"/>
              </w:rPr>
              <w:t>'''''''''''''''''</w:t>
            </w:r>
            <w:r w:rsidR="00BD6747" w:rsidRPr="00BD6747">
              <w:rPr>
                <w:rFonts w:ascii="Arial Narrow" w:hAnsi="Arial Narrow" w:cs="Times New Roman"/>
                <w:snapToGrid w:val="0"/>
                <w:sz w:val="20"/>
                <w:szCs w:val="20"/>
                <w:vertAlign w:val="superscript"/>
              </w:rPr>
              <w:t>1</w:t>
            </w:r>
          </w:p>
        </w:tc>
      </w:tr>
      <w:tr w:rsidR="00FA5529" w:rsidRPr="00A74194" w14:paraId="08AB3BD0" w14:textId="77777777" w:rsidTr="00D45AC7">
        <w:trPr>
          <w:cantSplit/>
        </w:trPr>
        <w:tc>
          <w:tcPr>
            <w:tcW w:w="6374" w:type="dxa"/>
            <w:shd w:val="clear" w:color="auto" w:fill="FFFFFF" w:themeFill="background1"/>
          </w:tcPr>
          <w:p w14:paraId="5F152DFB" w14:textId="77777777" w:rsidR="00B159C2" w:rsidRPr="00A74194" w:rsidRDefault="00B159C2" w:rsidP="007E12FF">
            <w:pPr>
              <w:jc w:val="left"/>
              <w:rPr>
                <w:rFonts w:ascii="Arial Narrow" w:hAnsi="Arial Narrow" w:cs="Times New Roman"/>
                <w:sz w:val="20"/>
                <w:szCs w:val="20"/>
                <w:lang w:eastAsia="zh-CN"/>
              </w:rPr>
            </w:pPr>
            <w:r w:rsidRPr="00A74194">
              <w:rPr>
                <w:rFonts w:ascii="Arial Narrow" w:hAnsi="Arial Narrow" w:cs="Times New Roman"/>
                <w:sz w:val="20"/>
                <w:szCs w:val="20"/>
                <w:lang w:eastAsia="zh-CN"/>
              </w:rPr>
              <w:t xml:space="preserve">Step 2: </w:t>
            </w:r>
            <w:r w:rsidRPr="00A74194">
              <w:rPr>
                <w:rFonts w:ascii="Arial Narrow" w:hAnsi="Arial Narrow" w:cs="Times New Roman"/>
                <w:b/>
                <w:bCs/>
                <w:sz w:val="20"/>
                <w:szCs w:val="20"/>
                <w:lang w:eastAsia="zh-CN"/>
              </w:rPr>
              <w:t>(UDCA inadequate responder individuals: OCA titration +</w:t>
            </w:r>
            <w:r w:rsidR="006411E6" w:rsidRPr="00A74194">
              <w:rPr>
                <w:rFonts w:ascii="Arial Narrow" w:hAnsi="Arial Narrow" w:cs="Times New Roman"/>
                <w:b/>
                <w:bCs/>
                <w:sz w:val="20"/>
                <w:szCs w:val="20"/>
                <w:lang w:eastAsia="zh-CN"/>
              </w:rPr>
              <w:t xml:space="preserve"> </w:t>
            </w:r>
            <w:r w:rsidRPr="00A74194">
              <w:rPr>
                <w:rFonts w:ascii="Arial Narrow" w:hAnsi="Arial Narrow" w:cs="Times New Roman"/>
                <w:b/>
                <w:bCs/>
                <w:sz w:val="20"/>
                <w:szCs w:val="20"/>
                <w:lang w:eastAsia="zh-CN"/>
              </w:rPr>
              <w:t>UDCA vs UDCA monotherapy)</w:t>
            </w:r>
            <w:r w:rsidRPr="00A74194">
              <w:rPr>
                <w:rFonts w:ascii="Arial Narrow" w:hAnsi="Arial Narrow" w:cs="Times New Roman"/>
                <w:sz w:val="20"/>
                <w:szCs w:val="20"/>
                <w:lang w:eastAsia="zh-CN"/>
              </w:rPr>
              <w:t xml:space="preserve">: Model-based analysis; added costs related to adverse event and disease management; transformed POISE outcomes into biochemical and liver-related health states; made model population specific to the inadequate responder population; added life-years as an outcome; extrapolated to 30 years; discounted costs and outcomes at 5% p.a, </w:t>
            </w:r>
            <w:r w:rsidR="007B503D" w:rsidRPr="00A74194">
              <w:rPr>
                <w:rFonts w:ascii="Arial Narrow" w:hAnsi="Arial Narrow" w:cs="Times New Roman"/>
                <w:sz w:val="20"/>
                <w:szCs w:val="20"/>
                <w:lang w:eastAsia="zh-CN"/>
              </w:rPr>
              <w:t xml:space="preserve">effective </w:t>
            </w:r>
            <w:r w:rsidRPr="00A74194">
              <w:rPr>
                <w:rFonts w:ascii="Arial Narrow" w:hAnsi="Arial Narrow" w:cs="Times New Roman"/>
                <w:sz w:val="20"/>
                <w:szCs w:val="20"/>
                <w:lang w:eastAsia="zh-CN"/>
              </w:rPr>
              <w:t>prices</w:t>
            </w:r>
          </w:p>
          <w:p w14:paraId="4A91DD82" w14:textId="77777777" w:rsidR="00B159C2" w:rsidRPr="00A74194" w:rsidRDefault="00B159C2" w:rsidP="007E12FF">
            <w:pPr>
              <w:jc w:val="left"/>
              <w:rPr>
                <w:rFonts w:ascii="Arial Narrow" w:hAnsi="Arial Narrow" w:cs="Times New Roman"/>
                <w:sz w:val="20"/>
                <w:szCs w:val="20"/>
                <w:lang w:eastAsia="zh-CN"/>
              </w:rPr>
            </w:pPr>
            <w:r w:rsidRPr="00A74194">
              <w:rPr>
                <w:rFonts w:ascii="Arial Narrow" w:hAnsi="Arial Narrow" w:cs="Times New Roman"/>
                <w:sz w:val="20"/>
                <w:szCs w:val="20"/>
                <w:lang w:eastAsia="zh-CN"/>
              </w:rPr>
              <w:t>[ICER = $/Life-Year Gained]</w:t>
            </w:r>
          </w:p>
        </w:tc>
        <w:tc>
          <w:tcPr>
            <w:tcW w:w="1134" w:type="dxa"/>
            <w:shd w:val="clear" w:color="auto" w:fill="FFFFFF" w:themeFill="background1"/>
            <w:vAlign w:val="center"/>
          </w:tcPr>
          <w:p w14:paraId="58EBB092" w14:textId="77777777" w:rsidR="00B159C2" w:rsidRPr="00027EBC" w:rsidRDefault="00027EBC" w:rsidP="007E12FF">
            <w:pPr>
              <w:jc w:val="center"/>
              <w:rPr>
                <w:rFonts w:ascii="Arial Narrow" w:hAnsi="Arial Narrow" w:cs="Times New Roman"/>
                <w:snapToGrid w:val="0"/>
                <w:sz w:val="20"/>
                <w:szCs w:val="20"/>
                <w:highlight w:val="black"/>
              </w:rPr>
            </w:pPr>
            <w:r>
              <w:rPr>
                <w:rFonts w:ascii="Arial Narrow" w:hAnsi="Arial Narrow" w:cs="Times New Roman"/>
                <w:noProof/>
                <w:snapToGrid w:val="0"/>
                <w:color w:val="000000"/>
                <w:sz w:val="20"/>
                <w:szCs w:val="20"/>
                <w:highlight w:val="black"/>
              </w:rPr>
              <w:t>'''''''''''''''''''''''</w:t>
            </w:r>
          </w:p>
        </w:tc>
        <w:tc>
          <w:tcPr>
            <w:tcW w:w="1134" w:type="dxa"/>
            <w:shd w:val="clear" w:color="auto" w:fill="FFFFFF" w:themeFill="background1"/>
            <w:vAlign w:val="center"/>
          </w:tcPr>
          <w:p w14:paraId="64E1C3E7" w14:textId="77777777" w:rsidR="00B159C2" w:rsidRPr="00A74194" w:rsidRDefault="00B159C2" w:rsidP="007E12FF">
            <w:pPr>
              <w:jc w:val="center"/>
              <w:rPr>
                <w:rFonts w:ascii="Arial Narrow" w:hAnsi="Arial Narrow" w:cs="Times New Roman"/>
                <w:snapToGrid w:val="0"/>
                <w:sz w:val="20"/>
                <w:szCs w:val="20"/>
              </w:rPr>
            </w:pPr>
            <w:r w:rsidRPr="00A74194">
              <w:rPr>
                <w:rFonts w:ascii="Arial Narrow" w:hAnsi="Arial Narrow" w:cs="Times New Roman"/>
                <w:snapToGrid w:val="0"/>
                <w:sz w:val="20"/>
                <w:szCs w:val="20"/>
              </w:rPr>
              <w:t>$</w:t>
            </w:r>
            <w:r w:rsidRPr="00E30C34">
              <w:rPr>
                <w:rFonts w:ascii="Arial Narrow" w:hAnsi="Arial Narrow" w:cs="Times New Roman"/>
                <w:snapToGrid w:val="0"/>
                <w:sz w:val="20"/>
                <w:szCs w:val="20"/>
              </w:rPr>
              <w:t>139,739</w:t>
            </w:r>
          </w:p>
        </w:tc>
        <w:tc>
          <w:tcPr>
            <w:tcW w:w="992" w:type="dxa"/>
            <w:shd w:val="clear" w:color="auto" w:fill="FFFFFF" w:themeFill="background1"/>
            <w:vAlign w:val="center"/>
          </w:tcPr>
          <w:p w14:paraId="44256037" w14:textId="77777777" w:rsidR="00B159C2" w:rsidRPr="00027EBC" w:rsidRDefault="00027EBC" w:rsidP="007E12FF">
            <w:pPr>
              <w:jc w:val="center"/>
              <w:rPr>
                <w:rFonts w:ascii="Arial Narrow" w:hAnsi="Arial Narrow" w:cs="Times New Roman"/>
                <w:snapToGrid w:val="0"/>
                <w:sz w:val="20"/>
                <w:szCs w:val="20"/>
                <w:highlight w:val="black"/>
              </w:rPr>
            </w:pPr>
            <w:r>
              <w:rPr>
                <w:rFonts w:ascii="Arial Narrow" w:hAnsi="Arial Narrow" w:cs="Times New Roman"/>
                <w:noProof/>
                <w:snapToGrid w:val="0"/>
                <w:color w:val="000000"/>
                <w:sz w:val="20"/>
                <w:szCs w:val="20"/>
                <w:highlight w:val="black"/>
              </w:rPr>
              <w:t>'''''''''''''''''''''''</w:t>
            </w:r>
          </w:p>
        </w:tc>
        <w:tc>
          <w:tcPr>
            <w:tcW w:w="1134" w:type="dxa"/>
            <w:shd w:val="clear" w:color="auto" w:fill="FFFFFF" w:themeFill="background1"/>
            <w:vAlign w:val="center"/>
          </w:tcPr>
          <w:p w14:paraId="68E8FC03" w14:textId="77777777" w:rsidR="00B159C2" w:rsidRPr="00523A93" w:rsidRDefault="00B159C2" w:rsidP="007E12FF">
            <w:pPr>
              <w:jc w:val="center"/>
              <w:rPr>
                <w:rFonts w:ascii="Arial Narrow" w:hAnsi="Arial Narrow" w:cs="Times New Roman"/>
                <w:snapToGrid w:val="0"/>
                <w:sz w:val="20"/>
                <w:szCs w:val="20"/>
              </w:rPr>
            </w:pPr>
            <w:r w:rsidRPr="00523A93">
              <w:rPr>
                <w:rFonts w:ascii="Arial Narrow" w:hAnsi="Arial Narrow" w:cs="Times New Roman"/>
                <w:snapToGrid w:val="0"/>
                <w:sz w:val="20"/>
                <w:szCs w:val="20"/>
              </w:rPr>
              <w:t>14.097</w:t>
            </w:r>
          </w:p>
        </w:tc>
        <w:tc>
          <w:tcPr>
            <w:tcW w:w="1134" w:type="dxa"/>
            <w:shd w:val="clear" w:color="auto" w:fill="FFFFFF" w:themeFill="background1"/>
            <w:vAlign w:val="center"/>
          </w:tcPr>
          <w:p w14:paraId="4D18FDB8" w14:textId="77777777" w:rsidR="00B159C2" w:rsidRPr="00A74194" w:rsidRDefault="00B159C2" w:rsidP="007E12FF">
            <w:pPr>
              <w:jc w:val="center"/>
              <w:rPr>
                <w:rFonts w:ascii="Arial Narrow" w:hAnsi="Arial Narrow" w:cs="Times New Roman"/>
                <w:snapToGrid w:val="0"/>
                <w:sz w:val="20"/>
                <w:szCs w:val="20"/>
              </w:rPr>
            </w:pPr>
            <w:r w:rsidRPr="00A74194">
              <w:rPr>
                <w:rFonts w:ascii="Arial Narrow" w:hAnsi="Arial Narrow" w:cs="Times New Roman"/>
                <w:snapToGrid w:val="0"/>
                <w:sz w:val="20"/>
                <w:szCs w:val="20"/>
              </w:rPr>
              <w:t>13.075</w:t>
            </w:r>
          </w:p>
        </w:tc>
        <w:tc>
          <w:tcPr>
            <w:tcW w:w="993" w:type="dxa"/>
            <w:shd w:val="clear" w:color="auto" w:fill="FFFFFF" w:themeFill="background1"/>
            <w:vAlign w:val="center"/>
          </w:tcPr>
          <w:p w14:paraId="52CA54A2" w14:textId="77777777" w:rsidR="00B159C2" w:rsidRPr="00A74194" w:rsidRDefault="00B159C2" w:rsidP="007E12FF">
            <w:pPr>
              <w:jc w:val="center"/>
              <w:rPr>
                <w:rFonts w:ascii="Arial Narrow" w:hAnsi="Arial Narrow" w:cs="Times New Roman"/>
                <w:snapToGrid w:val="0"/>
                <w:sz w:val="20"/>
                <w:szCs w:val="20"/>
              </w:rPr>
            </w:pPr>
            <w:r w:rsidRPr="00A74194">
              <w:rPr>
                <w:rFonts w:ascii="Arial Narrow" w:hAnsi="Arial Narrow" w:cs="Times New Roman"/>
                <w:snapToGrid w:val="0"/>
                <w:sz w:val="20"/>
                <w:szCs w:val="20"/>
              </w:rPr>
              <w:t>1.022</w:t>
            </w:r>
          </w:p>
        </w:tc>
        <w:tc>
          <w:tcPr>
            <w:tcW w:w="1055" w:type="dxa"/>
            <w:shd w:val="clear" w:color="auto" w:fill="FFFFFF" w:themeFill="background1"/>
            <w:vAlign w:val="center"/>
          </w:tcPr>
          <w:p w14:paraId="371DAE0F" w14:textId="77777777" w:rsidR="00B159C2" w:rsidRPr="00027EBC" w:rsidRDefault="00027EBC" w:rsidP="007E12FF">
            <w:pPr>
              <w:jc w:val="center"/>
              <w:rPr>
                <w:rFonts w:ascii="Arial Narrow" w:hAnsi="Arial Narrow" w:cs="Times New Roman"/>
                <w:snapToGrid w:val="0"/>
                <w:sz w:val="20"/>
                <w:szCs w:val="20"/>
              </w:rPr>
            </w:pPr>
            <w:r>
              <w:rPr>
                <w:rFonts w:ascii="Arial Narrow" w:hAnsi="Arial Narrow" w:cs="Times New Roman"/>
                <w:noProof/>
                <w:snapToGrid w:val="0"/>
                <w:color w:val="000000"/>
                <w:sz w:val="20"/>
                <w:szCs w:val="20"/>
                <w:highlight w:val="black"/>
              </w:rPr>
              <w:t>''''''''''''''''''''''</w:t>
            </w:r>
            <w:r w:rsidR="00BD6747" w:rsidRPr="00BD6747">
              <w:rPr>
                <w:rFonts w:ascii="Arial Narrow" w:hAnsi="Arial Narrow" w:cs="Times New Roman"/>
                <w:snapToGrid w:val="0"/>
                <w:sz w:val="20"/>
                <w:szCs w:val="20"/>
                <w:vertAlign w:val="superscript"/>
              </w:rPr>
              <w:t>2</w:t>
            </w:r>
          </w:p>
        </w:tc>
      </w:tr>
      <w:tr w:rsidR="00FA5529" w:rsidRPr="00A74194" w14:paraId="30F3A898" w14:textId="77777777" w:rsidTr="00D45AC7">
        <w:trPr>
          <w:cantSplit/>
        </w:trPr>
        <w:tc>
          <w:tcPr>
            <w:tcW w:w="6374" w:type="dxa"/>
            <w:shd w:val="clear" w:color="auto" w:fill="FFFFFF" w:themeFill="background1"/>
          </w:tcPr>
          <w:p w14:paraId="2C223D2E" w14:textId="77777777" w:rsidR="00B159C2" w:rsidRPr="00A74194" w:rsidRDefault="00B159C2" w:rsidP="007E12FF">
            <w:pPr>
              <w:jc w:val="left"/>
              <w:rPr>
                <w:rFonts w:ascii="Arial Narrow" w:hAnsi="Arial Narrow" w:cs="Times New Roman"/>
                <w:sz w:val="20"/>
                <w:szCs w:val="20"/>
                <w:lang w:eastAsia="zh-CN"/>
              </w:rPr>
            </w:pPr>
            <w:r w:rsidRPr="00A74194">
              <w:rPr>
                <w:rFonts w:ascii="Arial Narrow" w:hAnsi="Arial Narrow" w:cs="Times New Roman"/>
                <w:sz w:val="20"/>
                <w:szCs w:val="20"/>
                <w:lang w:eastAsia="zh-CN"/>
              </w:rPr>
              <w:t xml:space="preserve">Step 3: </w:t>
            </w:r>
            <w:r w:rsidRPr="00A74194">
              <w:rPr>
                <w:rFonts w:ascii="Arial Narrow" w:hAnsi="Arial Narrow" w:cs="Times New Roman"/>
                <w:b/>
                <w:bCs/>
                <w:sz w:val="20"/>
                <w:szCs w:val="20"/>
                <w:lang w:eastAsia="zh-CN"/>
              </w:rPr>
              <w:t>(UDCA inadequate responder individuals: OCA titration +</w:t>
            </w:r>
            <w:r w:rsidR="006411E6" w:rsidRPr="00A74194">
              <w:rPr>
                <w:rFonts w:ascii="Arial Narrow" w:hAnsi="Arial Narrow" w:cs="Times New Roman"/>
                <w:b/>
                <w:bCs/>
                <w:sz w:val="20"/>
                <w:szCs w:val="20"/>
                <w:lang w:eastAsia="zh-CN"/>
              </w:rPr>
              <w:t xml:space="preserve"> </w:t>
            </w:r>
            <w:r w:rsidRPr="00A74194">
              <w:rPr>
                <w:rFonts w:ascii="Arial Narrow" w:hAnsi="Arial Narrow" w:cs="Times New Roman"/>
                <w:b/>
                <w:bCs/>
                <w:sz w:val="20"/>
                <w:szCs w:val="20"/>
                <w:lang w:eastAsia="zh-CN"/>
              </w:rPr>
              <w:t>UDCA vs UDCA monotherapy)</w:t>
            </w:r>
            <w:r w:rsidRPr="00A74194">
              <w:rPr>
                <w:rFonts w:ascii="Arial Narrow" w:hAnsi="Arial Narrow" w:cs="Times New Roman"/>
                <w:sz w:val="20"/>
                <w:szCs w:val="20"/>
                <w:lang w:eastAsia="zh-CN"/>
              </w:rPr>
              <w:t xml:space="preserve">: Model-based analysis; Step 2 with application of utilities to biochemical and liver-related health states to yield quality-adjusted life-years as an outcome, </w:t>
            </w:r>
            <w:r w:rsidR="00C712F7" w:rsidRPr="00A74194">
              <w:rPr>
                <w:rFonts w:ascii="Arial Narrow" w:hAnsi="Arial Narrow" w:cs="Times New Roman"/>
                <w:sz w:val="20"/>
                <w:szCs w:val="20"/>
                <w:lang w:eastAsia="zh-CN"/>
              </w:rPr>
              <w:t xml:space="preserve">effective </w:t>
            </w:r>
            <w:r w:rsidRPr="00A74194">
              <w:rPr>
                <w:rFonts w:ascii="Arial Narrow" w:hAnsi="Arial Narrow" w:cs="Times New Roman"/>
                <w:sz w:val="20"/>
                <w:szCs w:val="20"/>
                <w:lang w:eastAsia="zh-CN"/>
              </w:rPr>
              <w:t>prices</w:t>
            </w:r>
          </w:p>
          <w:p w14:paraId="3891E467" w14:textId="77777777" w:rsidR="00B159C2" w:rsidRPr="00A74194" w:rsidRDefault="00B159C2" w:rsidP="007E12FF">
            <w:pPr>
              <w:jc w:val="left"/>
              <w:rPr>
                <w:rFonts w:ascii="Arial Narrow" w:hAnsi="Arial Narrow" w:cs="Times New Roman"/>
                <w:sz w:val="20"/>
                <w:szCs w:val="20"/>
                <w:lang w:eastAsia="zh-CN"/>
              </w:rPr>
            </w:pPr>
            <w:r w:rsidRPr="00A74194">
              <w:rPr>
                <w:rFonts w:ascii="Arial Narrow" w:hAnsi="Arial Narrow" w:cs="Times New Roman"/>
                <w:sz w:val="20"/>
                <w:szCs w:val="20"/>
                <w:lang w:eastAsia="zh-CN"/>
              </w:rPr>
              <w:t>[ICER = $/Quality-Adjusted Life-Year Gained]</w:t>
            </w:r>
          </w:p>
        </w:tc>
        <w:tc>
          <w:tcPr>
            <w:tcW w:w="1134" w:type="dxa"/>
            <w:shd w:val="clear" w:color="auto" w:fill="FFFFFF" w:themeFill="background1"/>
            <w:vAlign w:val="center"/>
          </w:tcPr>
          <w:p w14:paraId="4FF42353" w14:textId="77777777" w:rsidR="00B159C2" w:rsidRPr="00027EBC" w:rsidRDefault="00027EBC" w:rsidP="007E12FF">
            <w:pPr>
              <w:jc w:val="center"/>
              <w:rPr>
                <w:rFonts w:ascii="Arial Narrow" w:hAnsi="Arial Narrow" w:cs="Times New Roman"/>
                <w:b/>
                <w:snapToGrid w:val="0"/>
                <w:sz w:val="20"/>
                <w:szCs w:val="20"/>
                <w:highlight w:val="black"/>
              </w:rPr>
            </w:pPr>
            <w:r>
              <w:rPr>
                <w:rFonts w:ascii="Arial Narrow" w:hAnsi="Arial Narrow" w:cs="Times New Roman"/>
                <w:b/>
                <w:noProof/>
                <w:snapToGrid w:val="0"/>
                <w:color w:val="000000"/>
                <w:sz w:val="20"/>
                <w:szCs w:val="20"/>
                <w:highlight w:val="black"/>
              </w:rPr>
              <w:t>''''''''''''''''</w:t>
            </w:r>
          </w:p>
        </w:tc>
        <w:tc>
          <w:tcPr>
            <w:tcW w:w="1134" w:type="dxa"/>
            <w:shd w:val="clear" w:color="auto" w:fill="FFFFFF" w:themeFill="background1"/>
            <w:vAlign w:val="center"/>
          </w:tcPr>
          <w:p w14:paraId="63FC142C" w14:textId="77777777" w:rsidR="00B159C2" w:rsidRPr="00A74194" w:rsidRDefault="00B159C2" w:rsidP="007E12FF">
            <w:pPr>
              <w:jc w:val="center"/>
              <w:rPr>
                <w:rFonts w:ascii="Arial Narrow" w:hAnsi="Arial Narrow" w:cs="Times New Roman"/>
                <w:b/>
                <w:snapToGrid w:val="0"/>
                <w:sz w:val="20"/>
                <w:szCs w:val="20"/>
              </w:rPr>
            </w:pPr>
            <w:r w:rsidRPr="00A74194">
              <w:rPr>
                <w:rFonts w:ascii="Arial Narrow" w:hAnsi="Arial Narrow" w:cs="Times New Roman"/>
                <w:b/>
                <w:snapToGrid w:val="0"/>
                <w:sz w:val="20"/>
                <w:szCs w:val="20"/>
              </w:rPr>
              <w:t>$</w:t>
            </w:r>
            <w:r w:rsidRPr="00E30C34">
              <w:rPr>
                <w:rFonts w:ascii="Arial Narrow" w:hAnsi="Arial Narrow" w:cs="Times New Roman"/>
                <w:b/>
                <w:snapToGrid w:val="0"/>
                <w:sz w:val="20"/>
                <w:szCs w:val="20"/>
              </w:rPr>
              <w:t>139,739</w:t>
            </w:r>
          </w:p>
        </w:tc>
        <w:tc>
          <w:tcPr>
            <w:tcW w:w="992" w:type="dxa"/>
            <w:shd w:val="clear" w:color="auto" w:fill="FFFFFF" w:themeFill="background1"/>
            <w:vAlign w:val="center"/>
          </w:tcPr>
          <w:p w14:paraId="589EC0D6" w14:textId="77777777" w:rsidR="00B159C2" w:rsidRPr="00A74194" w:rsidRDefault="00B159C2" w:rsidP="007E12FF">
            <w:pPr>
              <w:jc w:val="center"/>
              <w:rPr>
                <w:rFonts w:ascii="Arial Narrow" w:hAnsi="Arial Narrow" w:cs="Times New Roman"/>
                <w:b/>
                <w:snapToGrid w:val="0"/>
                <w:sz w:val="20"/>
                <w:szCs w:val="20"/>
              </w:rPr>
            </w:pPr>
            <w:r w:rsidRPr="00A74194">
              <w:rPr>
                <w:rFonts w:ascii="Arial Narrow" w:hAnsi="Arial Narrow" w:cs="Times New Roman"/>
                <w:b/>
                <w:snapToGrid w:val="0"/>
                <w:sz w:val="20"/>
                <w:szCs w:val="20"/>
              </w:rPr>
              <w:t>$</w:t>
            </w:r>
            <w:r w:rsidR="00027EBC">
              <w:rPr>
                <w:rFonts w:ascii="Arial Narrow" w:hAnsi="Arial Narrow" w:cs="Times New Roman"/>
                <w:b/>
                <w:noProof/>
                <w:snapToGrid w:val="0"/>
                <w:color w:val="000000"/>
                <w:sz w:val="20"/>
                <w:szCs w:val="20"/>
                <w:highlight w:val="black"/>
              </w:rPr>
              <w:t>'''''''''''''''</w:t>
            </w:r>
          </w:p>
        </w:tc>
        <w:tc>
          <w:tcPr>
            <w:tcW w:w="1134" w:type="dxa"/>
            <w:shd w:val="clear" w:color="auto" w:fill="FFFFFF" w:themeFill="background1"/>
            <w:vAlign w:val="center"/>
          </w:tcPr>
          <w:p w14:paraId="5D58BE50" w14:textId="77777777" w:rsidR="00B159C2" w:rsidRPr="00523A93" w:rsidRDefault="00B159C2" w:rsidP="007E12FF">
            <w:pPr>
              <w:jc w:val="center"/>
              <w:rPr>
                <w:rFonts w:ascii="Arial Narrow" w:hAnsi="Arial Narrow" w:cs="Times New Roman"/>
                <w:b/>
                <w:snapToGrid w:val="0"/>
                <w:sz w:val="20"/>
                <w:szCs w:val="20"/>
              </w:rPr>
            </w:pPr>
            <w:r w:rsidRPr="00523A93">
              <w:rPr>
                <w:rFonts w:ascii="Arial Narrow" w:hAnsi="Arial Narrow" w:cs="Times New Roman"/>
                <w:b/>
                <w:snapToGrid w:val="0"/>
                <w:sz w:val="20"/>
                <w:szCs w:val="20"/>
              </w:rPr>
              <w:t>10.878</w:t>
            </w:r>
          </w:p>
        </w:tc>
        <w:tc>
          <w:tcPr>
            <w:tcW w:w="1134" w:type="dxa"/>
            <w:shd w:val="clear" w:color="auto" w:fill="FFFFFF" w:themeFill="background1"/>
            <w:vAlign w:val="center"/>
          </w:tcPr>
          <w:p w14:paraId="3089E478" w14:textId="77777777" w:rsidR="00B159C2" w:rsidRPr="00A74194" w:rsidRDefault="00B159C2" w:rsidP="007E12FF">
            <w:pPr>
              <w:jc w:val="center"/>
              <w:rPr>
                <w:rFonts w:ascii="Arial Narrow" w:hAnsi="Arial Narrow" w:cs="Times New Roman"/>
                <w:b/>
                <w:snapToGrid w:val="0"/>
                <w:sz w:val="20"/>
                <w:szCs w:val="20"/>
              </w:rPr>
            </w:pPr>
            <w:r w:rsidRPr="00A74194">
              <w:rPr>
                <w:rFonts w:ascii="Arial Narrow" w:hAnsi="Arial Narrow" w:cs="Times New Roman"/>
                <w:b/>
                <w:snapToGrid w:val="0"/>
                <w:sz w:val="20"/>
                <w:szCs w:val="20"/>
              </w:rPr>
              <w:t>8.846</w:t>
            </w:r>
          </w:p>
        </w:tc>
        <w:tc>
          <w:tcPr>
            <w:tcW w:w="993" w:type="dxa"/>
            <w:shd w:val="clear" w:color="auto" w:fill="FFFFFF" w:themeFill="background1"/>
            <w:vAlign w:val="center"/>
          </w:tcPr>
          <w:p w14:paraId="350EAE87" w14:textId="77777777" w:rsidR="00B159C2" w:rsidRPr="00A74194" w:rsidRDefault="00B159C2" w:rsidP="007E12FF">
            <w:pPr>
              <w:jc w:val="center"/>
              <w:rPr>
                <w:rFonts w:ascii="Arial Narrow" w:hAnsi="Arial Narrow" w:cs="Times New Roman"/>
                <w:b/>
                <w:snapToGrid w:val="0"/>
                <w:sz w:val="20"/>
                <w:szCs w:val="20"/>
              </w:rPr>
            </w:pPr>
            <w:r w:rsidRPr="00A74194">
              <w:rPr>
                <w:rFonts w:ascii="Arial Narrow" w:hAnsi="Arial Narrow" w:cs="Times New Roman"/>
                <w:b/>
                <w:snapToGrid w:val="0"/>
                <w:sz w:val="20"/>
                <w:szCs w:val="20"/>
              </w:rPr>
              <w:t>2.033</w:t>
            </w:r>
          </w:p>
        </w:tc>
        <w:tc>
          <w:tcPr>
            <w:tcW w:w="1055" w:type="dxa"/>
            <w:shd w:val="clear" w:color="auto" w:fill="FFFFFF" w:themeFill="background1"/>
            <w:vAlign w:val="center"/>
          </w:tcPr>
          <w:p w14:paraId="0F4A5035" w14:textId="77777777" w:rsidR="00B159C2" w:rsidRPr="00A74194" w:rsidRDefault="00B159C2" w:rsidP="007E12FF">
            <w:pPr>
              <w:jc w:val="center"/>
              <w:rPr>
                <w:rFonts w:ascii="Arial Narrow" w:hAnsi="Arial Narrow" w:cs="Times New Roman"/>
                <w:b/>
                <w:snapToGrid w:val="0"/>
                <w:sz w:val="20"/>
                <w:szCs w:val="20"/>
              </w:rPr>
            </w:pPr>
            <w:r w:rsidRPr="00A74194">
              <w:rPr>
                <w:rFonts w:ascii="Arial Narrow" w:hAnsi="Arial Narrow" w:cs="Times New Roman"/>
                <w:b/>
                <w:snapToGrid w:val="0"/>
                <w:sz w:val="20"/>
                <w:szCs w:val="20"/>
              </w:rPr>
              <w:t>$</w:t>
            </w:r>
            <w:r w:rsidR="00027EBC">
              <w:rPr>
                <w:rFonts w:ascii="Arial Narrow" w:hAnsi="Arial Narrow" w:cs="Times New Roman"/>
                <w:b/>
                <w:noProof/>
                <w:snapToGrid w:val="0"/>
                <w:color w:val="000000"/>
                <w:sz w:val="20"/>
                <w:szCs w:val="20"/>
                <w:highlight w:val="black"/>
              </w:rPr>
              <w:t>''''''''''''</w:t>
            </w:r>
            <w:r w:rsidR="00BD6747" w:rsidRPr="00BD6747">
              <w:rPr>
                <w:rFonts w:ascii="Arial Narrow" w:hAnsi="Arial Narrow" w:cs="Times New Roman"/>
                <w:b/>
                <w:snapToGrid w:val="0"/>
                <w:sz w:val="20"/>
                <w:szCs w:val="20"/>
                <w:vertAlign w:val="superscript"/>
              </w:rPr>
              <w:t>1</w:t>
            </w:r>
          </w:p>
        </w:tc>
      </w:tr>
      <w:tr w:rsidR="00D45AC7" w:rsidRPr="00A74194" w14:paraId="67918069" w14:textId="77777777" w:rsidTr="007F1532">
        <w:trPr>
          <w:cantSplit/>
        </w:trPr>
        <w:tc>
          <w:tcPr>
            <w:tcW w:w="13950" w:type="dxa"/>
            <w:gridSpan w:val="8"/>
            <w:shd w:val="clear" w:color="auto" w:fill="FFFFFF" w:themeFill="background1"/>
          </w:tcPr>
          <w:p w14:paraId="0E97908F" w14:textId="77777777" w:rsidR="00D45AC7" w:rsidRPr="00A74194" w:rsidRDefault="00D45AC7" w:rsidP="00D45AC7">
            <w:pPr>
              <w:jc w:val="left"/>
              <w:rPr>
                <w:rFonts w:ascii="Arial Narrow" w:hAnsi="Arial Narrow" w:cs="Times New Roman"/>
                <w:b/>
                <w:snapToGrid w:val="0"/>
                <w:sz w:val="20"/>
                <w:szCs w:val="20"/>
              </w:rPr>
            </w:pPr>
            <w:r w:rsidRPr="00A74194">
              <w:rPr>
                <w:rFonts w:ascii="Arial Narrow" w:hAnsi="Arial Narrow" w:cs="Times New Roman"/>
                <w:b/>
                <w:sz w:val="20"/>
                <w:szCs w:val="20"/>
                <w:lang w:eastAsia="zh-CN"/>
              </w:rPr>
              <w:t>July 2019 resubmission</w:t>
            </w:r>
          </w:p>
        </w:tc>
      </w:tr>
      <w:tr w:rsidR="00FA5529" w:rsidRPr="00A74194" w14:paraId="570C7F82" w14:textId="77777777" w:rsidTr="00D45AC7">
        <w:trPr>
          <w:cantSplit/>
        </w:trPr>
        <w:tc>
          <w:tcPr>
            <w:tcW w:w="6374" w:type="dxa"/>
            <w:shd w:val="clear" w:color="auto" w:fill="C6D9F1" w:themeFill="text2" w:themeFillTint="33"/>
          </w:tcPr>
          <w:p w14:paraId="53F81A67" w14:textId="77777777" w:rsidR="00570311" w:rsidRPr="00A74194" w:rsidRDefault="00570311" w:rsidP="00570311">
            <w:pPr>
              <w:jc w:val="left"/>
              <w:rPr>
                <w:rFonts w:ascii="Arial Narrow" w:hAnsi="Arial Narrow" w:cs="Times New Roman"/>
                <w:sz w:val="20"/>
                <w:szCs w:val="20"/>
                <w:lang w:eastAsia="zh-CN"/>
              </w:rPr>
            </w:pPr>
            <w:r w:rsidRPr="00A74194">
              <w:rPr>
                <w:rFonts w:ascii="Arial Narrow" w:hAnsi="Arial Narrow" w:cs="Times New Roman"/>
                <w:sz w:val="20"/>
                <w:szCs w:val="20"/>
                <w:lang w:eastAsia="zh-CN"/>
              </w:rPr>
              <w:t xml:space="preserve">Step 1 </w:t>
            </w:r>
            <w:r w:rsidRPr="00A74194">
              <w:rPr>
                <w:rFonts w:ascii="Arial Narrow" w:hAnsi="Arial Narrow" w:cs="Times New Roman"/>
                <w:b/>
                <w:sz w:val="20"/>
                <w:szCs w:val="20"/>
                <w:lang w:eastAsia="zh-CN"/>
              </w:rPr>
              <w:t>(UDCA inadequate responder individuals: OCA titration</w:t>
            </w:r>
            <w:r w:rsidR="00B937F3" w:rsidRPr="00A74194">
              <w:rPr>
                <w:rFonts w:ascii="Arial Narrow" w:hAnsi="Arial Narrow" w:cs="Times New Roman"/>
                <w:b/>
                <w:sz w:val="20"/>
                <w:szCs w:val="20"/>
                <w:lang w:eastAsia="zh-CN"/>
              </w:rPr>
              <w:t xml:space="preserve"> </w:t>
            </w:r>
            <w:r w:rsidRPr="00A74194">
              <w:rPr>
                <w:rFonts w:ascii="Arial Narrow" w:hAnsi="Arial Narrow" w:cs="Times New Roman"/>
                <w:b/>
                <w:sz w:val="20"/>
                <w:szCs w:val="20"/>
                <w:lang w:eastAsia="zh-CN"/>
              </w:rPr>
              <w:t>+</w:t>
            </w:r>
            <w:r w:rsidR="00B937F3" w:rsidRPr="00A74194">
              <w:rPr>
                <w:rFonts w:ascii="Arial Narrow" w:hAnsi="Arial Narrow" w:cs="Times New Roman"/>
                <w:b/>
                <w:sz w:val="20"/>
                <w:szCs w:val="20"/>
                <w:lang w:eastAsia="zh-CN"/>
              </w:rPr>
              <w:t xml:space="preserve"> </w:t>
            </w:r>
            <w:r w:rsidRPr="00A74194">
              <w:rPr>
                <w:rFonts w:ascii="Arial Narrow" w:hAnsi="Arial Narrow" w:cs="Times New Roman"/>
                <w:b/>
                <w:sz w:val="20"/>
                <w:szCs w:val="20"/>
                <w:lang w:eastAsia="zh-CN"/>
              </w:rPr>
              <w:t>UDCA vs UDCA monotherapy)</w:t>
            </w:r>
            <w:r w:rsidRPr="00A74194">
              <w:rPr>
                <w:rFonts w:ascii="Arial Narrow" w:hAnsi="Arial Narrow" w:cs="Times New Roman"/>
                <w:sz w:val="20"/>
                <w:szCs w:val="20"/>
                <w:lang w:eastAsia="zh-CN"/>
              </w:rPr>
              <w:t>: Trial-based analysis using the 12-month POISE trial data (outcomes = POISE primary efficacy outcome: ALP &lt; 1.67 x ULN, total bilirubin ≤ ULN, and ALP decrease of ≥ 15% from baseline), effective prices</w:t>
            </w:r>
          </w:p>
          <w:p w14:paraId="7019CE96" w14:textId="77777777" w:rsidR="00570311" w:rsidRPr="00A74194" w:rsidRDefault="00570311" w:rsidP="00570311">
            <w:pPr>
              <w:jc w:val="left"/>
              <w:rPr>
                <w:rFonts w:ascii="Arial Narrow" w:hAnsi="Arial Narrow" w:cs="Times New Roman"/>
                <w:sz w:val="20"/>
                <w:szCs w:val="20"/>
                <w:lang w:eastAsia="zh-CN"/>
              </w:rPr>
            </w:pPr>
            <w:r w:rsidRPr="00A74194">
              <w:rPr>
                <w:rFonts w:ascii="Arial Narrow" w:hAnsi="Arial Narrow" w:cs="Times New Roman"/>
                <w:sz w:val="20"/>
                <w:szCs w:val="20"/>
                <w:lang w:eastAsia="zh-CN"/>
              </w:rPr>
              <w:t>[ICER = $/responder gained]</w:t>
            </w:r>
          </w:p>
        </w:tc>
        <w:tc>
          <w:tcPr>
            <w:tcW w:w="1134" w:type="dxa"/>
            <w:shd w:val="clear" w:color="auto" w:fill="C6D9F1" w:themeFill="text2" w:themeFillTint="33"/>
            <w:vAlign w:val="center"/>
          </w:tcPr>
          <w:p w14:paraId="29174349" w14:textId="77777777" w:rsidR="00570311" w:rsidRPr="00A74194" w:rsidRDefault="00570311" w:rsidP="00570311">
            <w:pPr>
              <w:jc w:val="center"/>
              <w:rPr>
                <w:rFonts w:ascii="Arial Narrow" w:hAnsi="Arial Narrow" w:cs="Times New Roman"/>
                <w:snapToGrid w:val="0"/>
                <w:sz w:val="20"/>
                <w:szCs w:val="20"/>
              </w:rPr>
            </w:pPr>
            <w:r w:rsidRPr="00A74194">
              <w:rPr>
                <w:rFonts w:ascii="Arial Narrow" w:hAnsi="Arial Narrow" w:cs="Times New Roman"/>
                <w:snapToGrid w:val="0"/>
                <w:sz w:val="20"/>
                <w:szCs w:val="20"/>
              </w:rPr>
              <w:t>$</w:t>
            </w:r>
            <w:r w:rsidR="00027EBC">
              <w:rPr>
                <w:rFonts w:ascii="Arial Narrow" w:hAnsi="Arial Narrow" w:cs="Times New Roman"/>
                <w:noProof/>
                <w:snapToGrid w:val="0"/>
                <w:color w:val="000000"/>
                <w:sz w:val="20"/>
                <w:szCs w:val="20"/>
                <w:highlight w:val="black"/>
              </w:rPr>
              <w:t>''''''''''''''''</w:t>
            </w:r>
          </w:p>
        </w:tc>
        <w:tc>
          <w:tcPr>
            <w:tcW w:w="1134" w:type="dxa"/>
            <w:shd w:val="clear" w:color="auto" w:fill="C6D9F1" w:themeFill="text2" w:themeFillTint="33"/>
            <w:vAlign w:val="center"/>
          </w:tcPr>
          <w:p w14:paraId="7C7D057B" w14:textId="77777777" w:rsidR="00570311" w:rsidRPr="00A74194" w:rsidRDefault="00570311" w:rsidP="00570311">
            <w:pPr>
              <w:jc w:val="center"/>
              <w:rPr>
                <w:rFonts w:ascii="Arial Narrow" w:hAnsi="Arial Narrow" w:cs="Times New Roman"/>
                <w:snapToGrid w:val="0"/>
                <w:sz w:val="20"/>
                <w:szCs w:val="20"/>
              </w:rPr>
            </w:pPr>
            <w:r w:rsidRPr="00A74194">
              <w:rPr>
                <w:rFonts w:ascii="Arial Narrow" w:hAnsi="Arial Narrow" w:cs="Times New Roman"/>
                <w:snapToGrid w:val="0"/>
                <w:sz w:val="20"/>
                <w:szCs w:val="20"/>
              </w:rPr>
              <w:t>$</w:t>
            </w:r>
            <w:r w:rsidRPr="00E30C34">
              <w:rPr>
                <w:rFonts w:ascii="Arial Narrow" w:hAnsi="Arial Narrow" w:cs="Times New Roman"/>
                <w:snapToGrid w:val="0"/>
                <w:sz w:val="20"/>
                <w:szCs w:val="20"/>
              </w:rPr>
              <w:t>1,645</w:t>
            </w:r>
          </w:p>
        </w:tc>
        <w:tc>
          <w:tcPr>
            <w:tcW w:w="992" w:type="dxa"/>
            <w:shd w:val="clear" w:color="auto" w:fill="C6D9F1" w:themeFill="text2" w:themeFillTint="33"/>
            <w:vAlign w:val="center"/>
          </w:tcPr>
          <w:p w14:paraId="63484833" w14:textId="77777777" w:rsidR="00570311" w:rsidRPr="00A74194" w:rsidRDefault="00570311" w:rsidP="00570311">
            <w:pPr>
              <w:jc w:val="center"/>
              <w:rPr>
                <w:rFonts w:ascii="Arial Narrow" w:hAnsi="Arial Narrow" w:cs="Times New Roman"/>
                <w:snapToGrid w:val="0"/>
                <w:sz w:val="20"/>
                <w:szCs w:val="20"/>
              </w:rPr>
            </w:pPr>
            <w:r w:rsidRPr="00A74194">
              <w:rPr>
                <w:rFonts w:ascii="Arial Narrow" w:hAnsi="Arial Narrow" w:cs="Times New Roman"/>
                <w:snapToGrid w:val="0"/>
                <w:sz w:val="20"/>
                <w:szCs w:val="20"/>
              </w:rPr>
              <w:t>$</w:t>
            </w:r>
            <w:r w:rsidR="00027EBC">
              <w:rPr>
                <w:rFonts w:ascii="Arial Narrow" w:hAnsi="Arial Narrow" w:cs="Times New Roman"/>
                <w:noProof/>
                <w:snapToGrid w:val="0"/>
                <w:color w:val="000000"/>
                <w:sz w:val="20"/>
                <w:szCs w:val="20"/>
                <w:highlight w:val="black"/>
              </w:rPr>
              <w:t>'''''''''''''''</w:t>
            </w:r>
          </w:p>
        </w:tc>
        <w:tc>
          <w:tcPr>
            <w:tcW w:w="1134" w:type="dxa"/>
            <w:shd w:val="clear" w:color="auto" w:fill="C6D9F1" w:themeFill="text2" w:themeFillTint="33"/>
            <w:vAlign w:val="center"/>
          </w:tcPr>
          <w:p w14:paraId="6706CAEE" w14:textId="77777777" w:rsidR="00570311" w:rsidRPr="00A74194" w:rsidRDefault="00570311" w:rsidP="00570311">
            <w:pPr>
              <w:jc w:val="center"/>
              <w:rPr>
                <w:rFonts w:ascii="Arial Narrow" w:hAnsi="Arial Narrow" w:cs="Times New Roman"/>
                <w:snapToGrid w:val="0"/>
                <w:sz w:val="20"/>
                <w:szCs w:val="20"/>
              </w:rPr>
            </w:pPr>
            <w:r w:rsidRPr="00A74194">
              <w:rPr>
                <w:rFonts w:ascii="Arial Narrow" w:hAnsi="Arial Narrow" w:cs="Times New Roman"/>
                <w:snapToGrid w:val="0"/>
                <w:sz w:val="20"/>
                <w:szCs w:val="20"/>
              </w:rPr>
              <w:t>50%</w:t>
            </w:r>
          </w:p>
        </w:tc>
        <w:tc>
          <w:tcPr>
            <w:tcW w:w="1134" w:type="dxa"/>
            <w:shd w:val="clear" w:color="auto" w:fill="C6D9F1" w:themeFill="text2" w:themeFillTint="33"/>
            <w:vAlign w:val="center"/>
          </w:tcPr>
          <w:p w14:paraId="0AA3F6B6" w14:textId="77777777" w:rsidR="00570311" w:rsidRPr="00A74194" w:rsidRDefault="00570311" w:rsidP="00570311">
            <w:pPr>
              <w:jc w:val="center"/>
              <w:rPr>
                <w:rFonts w:ascii="Arial Narrow" w:hAnsi="Arial Narrow" w:cs="Times New Roman"/>
                <w:snapToGrid w:val="0"/>
                <w:sz w:val="20"/>
                <w:szCs w:val="20"/>
              </w:rPr>
            </w:pPr>
            <w:r w:rsidRPr="00A74194">
              <w:rPr>
                <w:rFonts w:ascii="Arial Narrow" w:hAnsi="Arial Narrow" w:cs="Times New Roman"/>
                <w:snapToGrid w:val="0"/>
                <w:sz w:val="20"/>
                <w:szCs w:val="20"/>
              </w:rPr>
              <w:t>10%</w:t>
            </w:r>
          </w:p>
        </w:tc>
        <w:tc>
          <w:tcPr>
            <w:tcW w:w="993" w:type="dxa"/>
            <w:shd w:val="clear" w:color="auto" w:fill="C6D9F1" w:themeFill="text2" w:themeFillTint="33"/>
            <w:vAlign w:val="center"/>
          </w:tcPr>
          <w:p w14:paraId="4F3C6D52" w14:textId="77777777" w:rsidR="00570311" w:rsidRPr="00A74194" w:rsidRDefault="00570311" w:rsidP="00570311">
            <w:pPr>
              <w:jc w:val="center"/>
              <w:rPr>
                <w:rFonts w:ascii="Arial Narrow" w:hAnsi="Arial Narrow" w:cs="Times New Roman"/>
                <w:snapToGrid w:val="0"/>
                <w:sz w:val="20"/>
                <w:szCs w:val="20"/>
              </w:rPr>
            </w:pPr>
            <w:r w:rsidRPr="00A74194">
              <w:rPr>
                <w:rFonts w:ascii="Arial Narrow" w:hAnsi="Arial Narrow" w:cs="Times New Roman"/>
                <w:snapToGrid w:val="0"/>
                <w:sz w:val="20"/>
                <w:szCs w:val="20"/>
              </w:rPr>
              <w:t>40%</w:t>
            </w:r>
          </w:p>
        </w:tc>
        <w:tc>
          <w:tcPr>
            <w:tcW w:w="1055" w:type="dxa"/>
            <w:shd w:val="clear" w:color="auto" w:fill="C6D9F1" w:themeFill="text2" w:themeFillTint="33"/>
            <w:vAlign w:val="center"/>
          </w:tcPr>
          <w:p w14:paraId="5C3ACE62" w14:textId="77777777" w:rsidR="00570311" w:rsidRPr="00A74194" w:rsidRDefault="00570311" w:rsidP="00570311">
            <w:pPr>
              <w:jc w:val="center"/>
              <w:rPr>
                <w:rFonts w:ascii="Arial Narrow" w:hAnsi="Arial Narrow" w:cs="Times New Roman"/>
                <w:snapToGrid w:val="0"/>
                <w:sz w:val="20"/>
                <w:szCs w:val="20"/>
              </w:rPr>
            </w:pPr>
            <w:r w:rsidRPr="00A74194">
              <w:rPr>
                <w:rFonts w:ascii="Arial Narrow" w:hAnsi="Arial Narrow" w:cs="Times New Roman"/>
                <w:snapToGrid w:val="0"/>
                <w:sz w:val="20"/>
                <w:szCs w:val="20"/>
              </w:rPr>
              <w:t>$</w:t>
            </w:r>
            <w:r w:rsidR="00027EBC">
              <w:rPr>
                <w:rFonts w:ascii="Arial Narrow" w:hAnsi="Arial Narrow" w:cs="Times New Roman"/>
                <w:noProof/>
                <w:snapToGrid w:val="0"/>
                <w:color w:val="000000"/>
                <w:sz w:val="20"/>
                <w:szCs w:val="20"/>
                <w:highlight w:val="black"/>
              </w:rPr>
              <w:t>'''''''''''''''''</w:t>
            </w:r>
            <w:r w:rsidR="00BD6747" w:rsidRPr="00BD6747">
              <w:rPr>
                <w:rFonts w:ascii="Arial Narrow" w:hAnsi="Arial Narrow" w:cs="Times New Roman"/>
                <w:snapToGrid w:val="0"/>
                <w:sz w:val="20"/>
                <w:szCs w:val="20"/>
                <w:vertAlign w:val="superscript"/>
              </w:rPr>
              <w:t>1</w:t>
            </w:r>
          </w:p>
        </w:tc>
      </w:tr>
      <w:tr w:rsidR="00FA5529" w:rsidRPr="00A74194" w14:paraId="5881308D" w14:textId="77777777" w:rsidTr="00D45AC7">
        <w:trPr>
          <w:cantSplit/>
        </w:trPr>
        <w:tc>
          <w:tcPr>
            <w:tcW w:w="6374" w:type="dxa"/>
            <w:shd w:val="clear" w:color="auto" w:fill="C6D9F1" w:themeFill="text2" w:themeFillTint="33"/>
          </w:tcPr>
          <w:p w14:paraId="15848C60" w14:textId="77777777" w:rsidR="00570311" w:rsidRPr="00A74194" w:rsidRDefault="00570311" w:rsidP="00570311">
            <w:pPr>
              <w:jc w:val="left"/>
              <w:rPr>
                <w:rFonts w:ascii="Arial Narrow" w:hAnsi="Arial Narrow" w:cs="Times New Roman"/>
                <w:sz w:val="20"/>
                <w:szCs w:val="20"/>
                <w:lang w:eastAsia="zh-CN"/>
              </w:rPr>
            </w:pPr>
            <w:r w:rsidRPr="00A74194">
              <w:rPr>
                <w:rFonts w:ascii="Arial Narrow" w:hAnsi="Arial Narrow" w:cs="Times New Roman"/>
                <w:sz w:val="20"/>
                <w:szCs w:val="20"/>
                <w:lang w:eastAsia="zh-CN"/>
              </w:rPr>
              <w:lastRenderedPageBreak/>
              <w:t xml:space="preserve">Step 2a </w:t>
            </w:r>
            <w:r w:rsidRPr="00A74194">
              <w:rPr>
                <w:rFonts w:ascii="Arial Narrow" w:hAnsi="Arial Narrow" w:cs="Times New Roman"/>
                <w:b/>
                <w:sz w:val="20"/>
                <w:szCs w:val="20"/>
                <w:lang w:eastAsia="zh-CN"/>
              </w:rPr>
              <w:t>(UDCA inadequate responder individuals: OCA</w:t>
            </w:r>
            <w:r w:rsidR="00B937F3" w:rsidRPr="00A74194">
              <w:rPr>
                <w:rFonts w:ascii="Arial Narrow" w:hAnsi="Arial Narrow" w:cs="Times New Roman"/>
                <w:b/>
                <w:sz w:val="20"/>
                <w:szCs w:val="20"/>
                <w:lang w:eastAsia="zh-CN"/>
              </w:rPr>
              <w:t xml:space="preserve"> </w:t>
            </w:r>
            <w:r w:rsidRPr="00A74194">
              <w:rPr>
                <w:rFonts w:ascii="Arial Narrow" w:hAnsi="Arial Narrow" w:cs="Times New Roman"/>
                <w:b/>
                <w:sz w:val="20"/>
                <w:szCs w:val="20"/>
                <w:lang w:eastAsia="zh-CN"/>
              </w:rPr>
              <w:t>+</w:t>
            </w:r>
            <w:r w:rsidR="00B937F3" w:rsidRPr="00A74194">
              <w:rPr>
                <w:rFonts w:ascii="Arial Narrow" w:hAnsi="Arial Narrow" w:cs="Times New Roman"/>
                <w:b/>
                <w:sz w:val="20"/>
                <w:szCs w:val="20"/>
                <w:lang w:eastAsia="zh-CN"/>
              </w:rPr>
              <w:t xml:space="preserve"> </w:t>
            </w:r>
            <w:r w:rsidRPr="00A74194">
              <w:rPr>
                <w:rFonts w:ascii="Arial Narrow" w:hAnsi="Arial Narrow" w:cs="Times New Roman"/>
                <w:b/>
                <w:sz w:val="20"/>
                <w:szCs w:val="20"/>
                <w:lang w:eastAsia="zh-CN"/>
              </w:rPr>
              <w:t>UDCA vs UDCA monotherapy)</w:t>
            </w:r>
            <w:r w:rsidRPr="00A74194">
              <w:rPr>
                <w:rFonts w:ascii="Arial Narrow" w:hAnsi="Arial Narrow" w:cs="Times New Roman"/>
                <w:sz w:val="20"/>
                <w:szCs w:val="20"/>
                <w:lang w:eastAsia="zh-CN"/>
              </w:rPr>
              <w:t>: Model-based analysis; added costs related to adverse event and disease management; transformed POISE outcomes into biochemical and liver-related health states; made model population specific to the inadequate responder population; added life-years as an outcome; extrapolated to 50 years; discounted costs and outcomes at 5% p.a, effective prices</w:t>
            </w:r>
          </w:p>
          <w:p w14:paraId="1909F2CE" w14:textId="77777777" w:rsidR="00570311" w:rsidRPr="00A74194" w:rsidRDefault="00570311" w:rsidP="00570311">
            <w:pPr>
              <w:jc w:val="left"/>
              <w:rPr>
                <w:rFonts w:ascii="Arial Narrow" w:hAnsi="Arial Narrow" w:cs="Times New Roman"/>
                <w:sz w:val="20"/>
                <w:szCs w:val="20"/>
                <w:lang w:eastAsia="zh-CN"/>
              </w:rPr>
            </w:pPr>
            <w:r w:rsidRPr="00A74194">
              <w:rPr>
                <w:rFonts w:ascii="Arial Narrow" w:hAnsi="Arial Narrow" w:cs="Times New Roman"/>
                <w:sz w:val="20"/>
                <w:szCs w:val="20"/>
                <w:lang w:eastAsia="zh-CN"/>
              </w:rPr>
              <w:t>[ICER = $/life year gained]</w:t>
            </w:r>
          </w:p>
        </w:tc>
        <w:tc>
          <w:tcPr>
            <w:tcW w:w="1134" w:type="dxa"/>
            <w:shd w:val="clear" w:color="auto" w:fill="C6D9F1" w:themeFill="text2" w:themeFillTint="33"/>
            <w:vAlign w:val="center"/>
          </w:tcPr>
          <w:p w14:paraId="2DB47798" w14:textId="77777777" w:rsidR="00570311" w:rsidRPr="00A74194" w:rsidRDefault="00570311" w:rsidP="00570311">
            <w:pPr>
              <w:jc w:val="center"/>
              <w:rPr>
                <w:rFonts w:ascii="Arial Narrow" w:hAnsi="Arial Narrow" w:cs="Times New Roman"/>
                <w:snapToGrid w:val="0"/>
                <w:sz w:val="20"/>
                <w:szCs w:val="20"/>
              </w:rPr>
            </w:pPr>
            <w:r w:rsidRPr="00A74194">
              <w:rPr>
                <w:rFonts w:ascii="Arial Narrow" w:hAnsi="Arial Narrow" w:cs="Times New Roman"/>
                <w:snapToGrid w:val="0"/>
                <w:sz w:val="20"/>
                <w:szCs w:val="20"/>
              </w:rPr>
              <w:t>$</w:t>
            </w:r>
            <w:r w:rsidR="00027EBC">
              <w:rPr>
                <w:rFonts w:ascii="Arial Narrow" w:hAnsi="Arial Narrow" w:cs="Times New Roman"/>
                <w:noProof/>
                <w:snapToGrid w:val="0"/>
                <w:color w:val="000000"/>
                <w:sz w:val="20"/>
                <w:szCs w:val="20"/>
                <w:highlight w:val="black"/>
              </w:rPr>
              <w:t>'''''''''''''''''''</w:t>
            </w:r>
          </w:p>
        </w:tc>
        <w:tc>
          <w:tcPr>
            <w:tcW w:w="1134" w:type="dxa"/>
            <w:shd w:val="clear" w:color="auto" w:fill="C6D9F1" w:themeFill="text2" w:themeFillTint="33"/>
            <w:vAlign w:val="center"/>
          </w:tcPr>
          <w:p w14:paraId="7F5CC2E1" w14:textId="77777777" w:rsidR="00570311" w:rsidRPr="00A74194" w:rsidRDefault="00570311" w:rsidP="00570311">
            <w:pPr>
              <w:jc w:val="center"/>
              <w:rPr>
                <w:rFonts w:ascii="Arial Narrow" w:hAnsi="Arial Narrow" w:cs="Times New Roman"/>
                <w:snapToGrid w:val="0"/>
                <w:sz w:val="20"/>
                <w:szCs w:val="20"/>
              </w:rPr>
            </w:pPr>
            <w:r w:rsidRPr="00A74194">
              <w:rPr>
                <w:rFonts w:ascii="Arial Narrow" w:hAnsi="Arial Narrow" w:cs="Times New Roman"/>
                <w:snapToGrid w:val="0"/>
                <w:sz w:val="20"/>
                <w:szCs w:val="20"/>
              </w:rPr>
              <w:t>$</w:t>
            </w:r>
            <w:r w:rsidRPr="00E30C34">
              <w:rPr>
                <w:rFonts w:ascii="Arial Narrow" w:hAnsi="Arial Narrow" w:cs="Times New Roman"/>
                <w:snapToGrid w:val="0"/>
                <w:sz w:val="20"/>
                <w:szCs w:val="20"/>
              </w:rPr>
              <w:t>111,027</w:t>
            </w:r>
          </w:p>
        </w:tc>
        <w:tc>
          <w:tcPr>
            <w:tcW w:w="992" w:type="dxa"/>
            <w:shd w:val="clear" w:color="auto" w:fill="C6D9F1" w:themeFill="text2" w:themeFillTint="33"/>
            <w:vAlign w:val="center"/>
          </w:tcPr>
          <w:p w14:paraId="24AD2894" w14:textId="77777777" w:rsidR="00570311" w:rsidRPr="00A74194" w:rsidRDefault="00570311" w:rsidP="00570311">
            <w:pPr>
              <w:jc w:val="center"/>
              <w:rPr>
                <w:rFonts w:ascii="Arial Narrow" w:hAnsi="Arial Narrow" w:cs="Times New Roman"/>
                <w:snapToGrid w:val="0"/>
                <w:sz w:val="20"/>
                <w:szCs w:val="20"/>
              </w:rPr>
            </w:pPr>
            <w:r w:rsidRPr="00A74194">
              <w:rPr>
                <w:rFonts w:ascii="Arial Narrow" w:hAnsi="Arial Narrow" w:cs="Times New Roman"/>
                <w:snapToGrid w:val="0"/>
                <w:sz w:val="20"/>
                <w:szCs w:val="20"/>
              </w:rPr>
              <w:t>$</w:t>
            </w:r>
            <w:r w:rsidR="00027EBC">
              <w:rPr>
                <w:rFonts w:ascii="Arial Narrow" w:hAnsi="Arial Narrow" w:cs="Times New Roman"/>
                <w:noProof/>
                <w:snapToGrid w:val="0"/>
                <w:color w:val="000000"/>
                <w:sz w:val="20"/>
                <w:szCs w:val="20"/>
                <w:highlight w:val="black"/>
              </w:rPr>
              <w:t>'''''''''''''''''''''</w:t>
            </w:r>
          </w:p>
        </w:tc>
        <w:tc>
          <w:tcPr>
            <w:tcW w:w="1134" w:type="dxa"/>
            <w:shd w:val="clear" w:color="auto" w:fill="C6D9F1" w:themeFill="text2" w:themeFillTint="33"/>
            <w:vAlign w:val="center"/>
          </w:tcPr>
          <w:p w14:paraId="21FA6C8A" w14:textId="77777777" w:rsidR="00570311" w:rsidRPr="00A74194" w:rsidRDefault="00570311" w:rsidP="00570311">
            <w:pPr>
              <w:jc w:val="center"/>
              <w:rPr>
                <w:rFonts w:ascii="Arial Narrow" w:hAnsi="Arial Narrow" w:cs="Times New Roman"/>
                <w:snapToGrid w:val="0"/>
                <w:sz w:val="20"/>
                <w:szCs w:val="20"/>
              </w:rPr>
            </w:pPr>
            <w:r w:rsidRPr="00A74194">
              <w:rPr>
                <w:rFonts w:ascii="Arial Narrow" w:hAnsi="Arial Narrow" w:cs="Times New Roman"/>
                <w:snapToGrid w:val="0"/>
                <w:sz w:val="20"/>
                <w:szCs w:val="20"/>
              </w:rPr>
              <w:t>13.78</w:t>
            </w:r>
          </w:p>
        </w:tc>
        <w:tc>
          <w:tcPr>
            <w:tcW w:w="1134" w:type="dxa"/>
            <w:shd w:val="clear" w:color="auto" w:fill="C6D9F1" w:themeFill="text2" w:themeFillTint="33"/>
            <w:vAlign w:val="center"/>
          </w:tcPr>
          <w:p w14:paraId="1F22BB82" w14:textId="77777777" w:rsidR="00570311" w:rsidRPr="00A74194" w:rsidRDefault="00570311" w:rsidP="00570311">
            <w:pPr>
              <w:jc w:val="center"/>
              <w:rPr>
                <w:rFonts w:ascii="Arial Narrow" w:hAnsi="Arial Narrow" w:cs="Times New Roman"/>
                <w:snapToGrid w:val="0"/>
                <w:sz w:val="20"/>
                <w:szCs w:val="20"/>
              </w:rPr>
            </w:pPr>
            <w:r w:rsidRPr="00A74194">
              <w:rPr>
                <w:rFonts w:ascii="Arial Narrow" w:hAnsi="Arial Narrow" w:cs="Times New Roman"/>
                <w:snapToGrid w:val="0"/>
                <w:sz w:val="20"/>
                <w:szCs w:val="20"/>
              </w:rPr>
              <w:t>11.55</w:t>
            </w:r>
          </w:p>
        </w:tc>
        <w:tc>
          <w:tcPr>
            <w:tcW w:w="993" w:type="dxa"/>
            <w:shd w:val="clear" w:color="auto" w:fill="C6D9F1" w:themeFill="text2" w:themeFillTint="33"/>
            <w:vAlign w:val="center"/>
          </w:tcPr>
          <w:p w14:paraId="128027BF" w14:textId="77777777" w:rsidR="00570311" w:rsidRPr="00A74194" w:rsidRDefault="00570311" w:rsidP="00570311">
            <w:pPr>
              <w:jc w:val="center"/>
              <w:rPr>
                <w:rFonts w:ascii="Arial Narrow" w:hAnsi="Arial Narrow" w:cs="Times New Roman"/>
                <w:snapToGrid w:val="0"/>
                <w:sz w:val="20"/>
                <w:szCs w:val="20"/>
              </w:rPr>
            </w:pPr>
            <w:r w:rsidRPr="00A74194">
              <w:rPr>
                <w:rFonts w:ascii="Arial Narrow" w:hAnsi="Arial Narrow" w:cs="Times New Roman"/>
                <w:snapToGrid w:val="0"/>
                <w:sz w:val="20"/>
                <w:szCs w:val="20"/>
              </w:rPr>
              <w:t>2.22</w:t>
            </w:r>
          </w:p>
        </w:tc>
        <w:tc>
          <w:tcPr>
            <w:tcW w:w="1055" w:type="dxa"/>
            <w:shd w:val="clear" w:color="auto" w:fill="C6D9F1" w:themeFill="text2" w:themeFillTint="33"/>
            <w:vAlign w:val="center"/>
          </w:tcPr>
          <w:p w14:paraId="598182BB" w14:textId="77777777" w:rsidR="00570311" w:rsidRPr="00A74194" w:rsidRDefault="00570311" w:rsidP="00570311">
            <w:pPr>
              <w:jc w:val="center"/>
              <w:rPr>
                <w:rFonts w:ascii="Arial Narrow" w:hAnsi="Arial Narrow" w:cs="Times New Roman"/>
                <w:snapToGrid w:val="0"/>
                <w:sz w:val="20"/>
                <w:szCs w:val="20"/>
              </w:rPr>
            </w:pPr>
            <w:r w:rsidRPr="00A74194">
              <w:rPr>
                <w:rFonts w:ascii="Arial Narrow" w:hAnsi="Arial Narrow" w:cs="Times New Roman"/>
                <w:snapToGrid w:val="0"/>
                <w:sz w:val="20"/>
                <w:szCs w:val="20"/>
              </w:rPr>
              <w:t>$</w:t>
            </w:r>
            <w:r w:rsidR="00027EBC">
              <w:rPr>
                <w:rFonts w:ascii="Arial Narrow" w:hAnsi="Arial Narrow" w:cs="Times New Roman"/>
                <w:noProof/>
                <w:snapToGrid w:val="0"/>
                <w:color w:val="000000"/>
                <w:sz w:val="20"/>
                <w:szCs w:val="20"/>
                <w:highlight w:val="black"/>
              </w:rPr>
              <w:t>'''''''''''''''''''''</w:t>
            </w:r>
            <w:r w:rsidR="00BD6747" w:rsidRPr="00BD6747">
              <w:rPr>
                <w:rFonts w:ascii="Arial Narrow" w:hAnsi="Arial Narrow" w:cs="Times New Roman"/>
                <w:snapToGrid w:val="0"/>
                <w:sz w:val="20"/>
                <w:szCs w:val="20"/>
                <w:vertAlign w:val="superscript"/>
              </w:rPr>
              <w:t>3</w:t>
            </w:r>
          </w:p>
        </w:tc>
      </w:tr>
      <w:tr w:rsidR="00FA5529" w:rsidRPr="00A74194" w14:paraId="64A72DD6" w14:textId="77777777" w:rsidTr="00D45AC7">
        <w:trPr>
          <w:cantSplit/>
        </w:trPr>
        <w:tc>
          <w:tcPr>
            <w:tcW w:w="6374" w:type="dxa"/>
            <w:shd w:val="clear" w:color="auto" w:fill="C6D9F1" w:themeFill="text2" w:themeFillTint="33"/>
          </w:tcPr>
          <w:p w14:paraId="6F306B49" w14:textId="77777777" w:rsidR="00570311" w:rsidRPr="00A74194" w:rsidRDefault="00570311" w:rsidP="00570311">
            <w:pPr>
              <w:jc w:val="left"/>
              <w:rPr>
                <w:rFonts w:ascii="Arial Narrow" w:hAnsi="Arial Narrow" w:cs="Times New Roman"/>
                <w:sz w:val="20"/>
                <w:szCs w:val="20"/>
                <w:lang w:eastAsia="zh-CN"/>
              </w:rPr>
            </w:pPr>
            <w:r w:rsidRPr="00A74194">
              <w:rPr>
                <w:rFonts w:ascii="Arial Narrow" w:hAnsi="Arial Narrow" w:cs="Times New Roman"/>
                <w:sz w:val="20"/>
                <w:szCs w:val="20"/>
                <w:lang w:eastAsia="zh-CN"/>
              </w:rPr>
              <w:t xml:space="preserve">Step 3a </w:t>
            </w:r>
            <w:r w:rsidRPr="00A74194">
              <w:rPr>
                <w:rFonts w:ascii="Arial Narrow" w:hAnsi="Arial Narrow" w:cs="Times New Roman"/>
                <w:b/>
                <w:sz w:val="20"/>
                <w:szCs w:val="20"/>
                <w:lang w:eastAsia="zh-CN"/>
              </w:rPr>
              <w:t>(UDCA inadequate responder individuals: OCA</w:t>
            </w:r>
            <w:r w:rsidR="00B937F3" w:rsidRPr="00A74194">
              <w:rPr>
                <w:rFonts w:ascii="Arial Narrow" w:hAnsi="Arial Narrow" w:cs="Times New Roman"/>
                <w:b/>
                <w:sz w:val="20"/>
                <w:szCs w:val="20"/>
                <w:lang w:eastAsia="zh-CN"/>
              </w:rPr>
              <w:t xml:space="preserve"> </w:t>
            </w:r>
            <w:r w:rsidRPr="00A74194">
              <w:rPr>
                <w:rFonts w:ascii="Arial Narrow" w:hAnsi="Arial Narrow" w:cs="Times New Roman"/>
                <w:b/>
                <w:sz w:val="20"/>
                <w:szCs w:val="20"/>
                <w:lang w:eastAsia="zh-CN"/>
              </w:rPr>
              <w:t>+</w:t>
            </w:r>
            <w:r w:rsidR="00B937F3" w:rsidRPr="00A74194">
              <w:rPr>
                <w:rFonts w:ascii="Arial Narrow" w:hAnsi="Arial Narrow" w:cs="Times New Roman"/>
                <w:b/>
                <w:sz w:val="20"/>
                <w:szCs w:val="20"/>
                <w:lang w:eastAsia="zh-CN"/>
              </w:rPr>
              <w:t xml:space="preserve"> </w:t>
            </w:r>
            <w:r w:rsidRPr="00A74194">
              <w:rPr>
                <w:rFonts w:ascii="Arial Narrow" w:hAnsi="Arial Narrow" w:cs="Times New Roman"/>
                <w:b/>
                <w:sz w:val="20"/>
                <w:szCs w:val="20"/>
                <w:lang w:eastAsia="zh-CN"/>
              </w:rPr>
              <w:t>UDCA vs UDCA monotherapy)</w:t>
            </w:r>
            <w:r w:rsidRPr="00A74194">
              <w:rPr>
                <w:rFonts w:ascii="Arial Narrow" w:hAnsi="Arial Narrow" w:cs="Times New Roman"/>
                <w:sz w:val="20"/>
                <w:szCs w:val="20"/>
                <w:lang w:eastAsia="zh-CN"/>
              </w:rPr>
              <w:t>: Model-based analysis; Step 2a with application of utilities to biochemical and liver-related health states to yield quality-adjusted life-years as an outcome, effective prices</w:t>
            </w:r>
          </w:p>
          <w:p w14:paraId="2F90B619" w14:textId="77777777" w:rsidR="00570311" w:rsidRPr="00A74194" w:rsidRDefault="00570311" w:rsidP="00570311">
            <w:pPr>
              <w:jc w:val="left"/>
              <w:rPr>
                <w:rFonts w:ascii="Arial Narrow" w:hAnsi="Arial Narrow" w:cs="Times New Roman"/>
                <w:sz w:val="20"/>
                <w:szCs w:val="20"/>
                <w:lang w:eastAsia="zh-CN"/>
              </w:rPr>
            </w:pPr>
            <w:r w:rsidRPr="00A74194">
              <w:rPr>
                <w:rFonts w:ascii="Arial Narrow" w:hAnsi="Arial Narrow" w:cs="Times New Roman"/>
                <w:sz w:val="20"/>
                <w:szCs w:val="20"/>
                <w:lang w:eastAsia="zh-CN"/>
              </w:rPr>
              <w:t>[ICER = $/quality-adjusted life year gained]</w:t>
            </w:r>
          </w:p>
        </w:tc>
        <w:tc>
          <w:tcPr>
            <w:tcW w:w="1134" w:type="dxa"/>
            <w:shd w:val="clear" w:color="auto" w:fill="C6D9F1" w:themeFill="text2" w:themeFillTint="33"/>
            <w:vAlign w:val="center"/>
          </w:tcPr>
          <w:p w14:paraId="5DA6AA2F" w14:textId="77777777" w:rsidR="00570311" w:rsidRPr="00A74194" w:rsidRDefault="00570311" w:rsidP="00570311">
            <w:pPr>
              <w:jc w:val="center"/>
              <w:rPr>
                <w:rFonts w:ascii="Arial Narrow" w:hAnsi="Arial Narrow" w:cs="Times New Roman"/>
                <w:snapToGrid w:val="0"/>
                <w:sz w:val="20"/>
                <w:szCs w:val="20"/>
              </w:rPr>
            </w:pPr>
            <w:r w:rsidRPr="00A74194">
              <w:rPr>
                <w:rFonts w:ascii="Arial Narrow" w:hAnsi="Arial Narrow" w:cs="Times New Roman"/>
                <w:snapToGrid w:val="0"/>
                <w:sz w:val="20"/>
                <w:szCs w:val="20"/>
              </w:rPr>
              <w:t>$</w:t>
            </w:r>
            <w:r w:rsidR="00027EBC">
              <w:rPr>
                <w:rFonts w:ascii="Arial Narrow" w:hAnsi="Arial Narrow" w:cs="Times New Roman"/>
                <w:noProof/>
                <w:snapToGrid w:val="0"/>
                <w:color w:val="000000"/>
                <w:sz w:val="20"/>
                <w:szCs w:val="20"/>
                <w:highlight w:val="black"/>
              </w:rPr>
              <w:t>'''''''''''''''''</w:t>
            </w:r>
          </w:p>
        </w:tc>
        <w:tc>
          <w:tcPr>
            <w:tcW w:w="1134" w:type="dxa"/>
            <w:shd w:val="clear" w:color="auto" w:fill="C6D9F1" w:themeFill="text2" w:themeFillTint="33"/>
            <w:vAlign w:val="center"/>
          </w:tcPr>
          <w:p w14:paraId="5DDBA364" w14:textId="77777777" w:rsidR="00570311" w:rsidRPr="00A74194" w:rsidRDefault="00570311" w:rsidP="00570311">
            <w:pPr>
              <w:jc w:val="center"/>
              <w:rPr>
                <w:rFonts w:ascii="Arial Narrow" w:hAnsi="Arial Narrow" w:cs="Times New Roman"/>
                <w:snapToGrid w:val="0"/>
                <w:sz w:val="20"/>
                <w:szCs w:val="20"/>
              </w:rPr>
            </w:pPr>
            <w:r w:rsidRPr="00A74194">
              <w:rPr>
                <w:rFonts w:ascii="Arial Narrow" w:hAnsi="Arial Narrow" w:cs="Times New Roman"/>
                <w:snapToGrid w:val="0"/>
                <w:sz w:val="20"/>
                <w:szCs w:val="20"/>
              </w:rPr>
              <w:t>$</w:t>
            </w:r>
            <w:r w:rsidRPr="00E30C34">
              <w:rPr>
                <w:rFonts w:ascii="Arial Narrow" w:hAnsi="Arial Narrow" w:cs="Times New Roman"/>
                <w:snapToGrid w:val="0"/>
                <w:sz w:val="20"/>
                <w:szCs w:val="20"/>
              </w:rPr>
              <w:t>111,027</w:t>
            </w:r>
          </w:p>
        </w:tc>
        <w:tc>
          <w:tcPr>
            <w:tcW w:w="992" w:type="dxa"/>
            <w:shd w:val="clear" w:color="auto" w:fill="C6D9F1" w:themeFill="text2" w:themeFillTint="33"/>
            <w:vAlign w:val="center"/>
          </w:tcPr>
          <w:p w14:paraId="4E1816C2" w14:textId="77777777" w:rsidR="00570311" w:rsidRPr="00A74194" w:rsidRDefault="00570311" w:rsidP="00570311">
            <w:pPr>
              <w:jc w:val="center"/>
              <w:rPr>
                <w:rFonts w:ascii="Arial Narrow" w:hAnsi="Arial Narrow" w:cs="Times New Roman"/>
                <w:snapToGrid w:val="0"/>
                <w:sz w:val="20"/>
                <w:szCs w:val="20"/>
              </w:rPr>
            </w:pPr>
            <w:r w:rsidRPr="00A74194">
              <w:rPr>
                <w:rFonts w:ascii="Arial Narrow" w:hAnsi="Arial Narrow" w:cs="Times New Roman"/>
                <w:snapToGrid w:val="0"/>
                <w:sz w:val="20"/>
                <w:szCs w:val="20"/>
              </w:rPr>
              <w:t>$</w:t>
            </w:r>
            <w:r w:rsidR="00027EBC">
              <w:rPr>
                <w:rFonts w:ascii="Arial Narrow" w:hAnsi="Arial Narrow" w:cs="Times New Roman"/>
                <w:noProof/>
                <w:snapToGrid w:val="0"/>
                <w:color w:val="000000"/>
                <w:sz w:val="20"/>
                <w:szCs w:val="20"/>
                <w:highlight w:val="black"/>
              </w:rPr>
              <w:t>'''''''''''''''''''</w:t>
            </w:r>
          </w:p>
        </w:tc>
        <w:tc>
          <w:tcPr>
            <w:tcW w:w="1134" w:type="dxa"/>
            <w:shd w:val="clear" w:color="auto" w:fill="C6D9F1" w:themeFill="text2" w:themeFillTint="33"/>
            <w:vAlign w:val="center"/>
          </w:tcPr>
          <w:p w14:paraId="0D2DEBBE" w14:textId="77777777" w:rsidR="00570311" w:rsidRPr="00A74194" w:rsidRDefault="00570311" w:rsidP="00570311">
            <w:pPr>
              <w:jc w:val="center"/>
              <w:rPr>
                <w:rFonts w:ascii="Arial Narrow" w:hAnsi="Arial Narrow" w:cs="Times New Roman"/>
                <w:snapToGrid w:val="0"/>
                <w:sz w:val="20"/>
                <w:szCs w:val="20"/>
              </w:rPr>
            </w:pPr>
            <w:r w:rsidRPr="00A74194">
              <w:rPr>
                <w:rFonts w:ascii="Arial Narrow" w:hAnsi="Arial Narrow" w:cs="Times New Roman"/>
                <w:snapToGrid w:val="0"/>
                <w:sz w:val="20"/>
                <w:szCs w:val="20"/>
              </w:rPr>
              <w:t>10.69</w:t>
            </w:r>
          </w:p>
        </w:tc>
        <w:tc>
          <w:tcPr>
            <w:tcW w:w="1134" w:type="dxa"/>
            <w:shd w:val="clear" w:color="auto" w:fill="C6D9F1" w:themeFill="text2" w:themeFillTint="33"/>
            <w:vAlign w:val="center"/>
          </w:tcPr>
          <w:p w14:paraId="35B994A4" w14:textId="77777777" w:rsidR="00570311" w:rsidRPr="00A74194" w:rsidRDefault="00570311" w:rsidP="00570311">
            <w:pPr>
              <w:jc w:val="center"/>
              <w:rPr>
                <w:rFonts w:ascii="Arial Narrow" w:hAnsi="Arial Narrow" w:cs="Times New Roman"/>
                <w:snapToGrid w:val="0"/>
                <w:sz w:val="20"/>
                <w:szCs w:val="20"/>
              </w:rPr>
            </w:pPr>
            <w:r w:rsidRPr="00A74194">
              <w:rPr>
                <w:rFonts w:ascii="Arial Narrow" w:hAnsi="Arial Narrow" w:cs="Times New Roman"/>
                <w:snapToGrid w:val="0"/>
                <w:sz w:val="20"/>
                <w:szCs w:val="20"/>
              </w:rPr>
              <w:t>7.80</w:t>
            </w:r>
          </w:p>
        </w:tc>
        <w:tc>
          <w:tcPr>
            <w:tcW w:w="993" w:type="dxa"/>
            <w:shd w:val="clear" w:color="auto" w:fill="C6D9F1" w:themeFill="text2" w:themeFillTint="33"/>
            <w:vAlign w:val="center"/>
          </w:tcPr>
          <w:p w14:paraId="2B882F65" w14:textId="77777777" w:rsidR="00570311" w:rsidRPr="00A74194" w:rsidRDefault="00570311" w:rsidP="00570311">
            <w:pPr>
              <w:jc w:val="center"/>
              <w:rPr>
                <w:rFonts w:ascii="Arial Narrow" w:hAnsi="Arial Narrow" w:cs="Times New Roman"/>
                <w:snapToGrid w:val="0"/>
                <w:sz w:val="20"/>
                <w:szCs w:val="20"/>
              </w:rPr>
            </w:pPr>
            <w:r w:rsidRPr="00A74194">
              <w:rPr>
                <w:rFonts w:ascii="Arial Narrow" w:hAnsi="Arial Narrow" w:cs="Times New Roman"/>
                <w:snapToGrid w:val="0"/>
                <w:sz w:val="20"/>
                <w:szCs w:val="20"/>
              </w:rPr>
              <w:t>2.89</w:t>
            </w:r>
          </w:p>
        </w:tc>
        <w:tc>
          <w:tcPr>
            <w:tcW w:w="1055" w:type="dxa"/>
            <w:shd w:val="clear" w:color="auto" w:fill="C6D9F1" w:themeFill="text2" w:themeFillTint="33"/>
            <w:vAlign w:val="center"/>
          </w:tcPr>
          <w:p w14:paraId="228F0B09" w14:textId="77777777" w:rsidR="00570311" w:rsidRPr="00A74194" w:rsidRDefault="00570311" w:rsidP="00570311">
            <w:pPr>
              <w:jc w:val="center"/>
              <w:rPr>
                <w:rFonts w:ascii="Arial Narrow" w:hAnsi="Arial Narrow" w:cs="Times New Roman"/>
                <w:snapToGrid w:val="0"/>
                <w:sz w:val="20"/>
                <w:szCs w:val="20"/>
              </w:rPr>
            </w:pPr>
            <w:r w:rsidRPr="00A74194">
              <w:rPr>
                <w:rFonts w:ascii="Arial Narrow" w:hAnsi="Arial Narrow" w:cs="Times New Roman"/>
                <w:snapToGrid w:val="0"/>
                <w:sz w:val="20"/>
                <w:szCs w:val="20"/>
              </w:rPr>
              <w:t>$</w:t>
            </w:r>
            <w:r w:rsidR="00027EBC">
              <w:rPr>
                <w:rFonts w:ascii="Arial Narrow" w:hAnsi="Arial Narrow" w:cs="Times New Roman"/>
                <w:noProof/>
                <w:snapToGrid w:val="0"/>
                <w:color w:val="000000"/>
                <w:sz w:val="20"/>
                <w:szCs w:val="20"/>
                <w:highlight w:val="black"/>
              </w:rPr>
              <w:t>''''''''''''''''</w:t>
            </w:r>
            <w:r w:rsidR="00BD6747" w:rsidRPr="00BD6747">
              <w:rPr>
                <w:rFonts w:ascii="Arial Narrow" w:hAnsi="Arial Narrow" w:cs="Times New Roman"/>
                <w:snapToGrid w:val="0"/>
                <w:sz w:val="20"/>
                <w:szCs w:val="20"/>
                <w:vertAlign w:val="superscript"/>
              </w:rPr>
              <w:t>1</w:t>
            </w:r>
          </w:p>
        </w:tc>
      </w:tr>
    </w:tbl>
    <w:p w14:paraId="7C965536" w14:textId="77777777" w:rsidR="00B159C2" w:rsidRPr="00A74194" w:rsidRDefault="00B159C2" w:rsidP="00B159C2">
      <w:pPr>
        <w:spacing w:after="120"/>
        <w:contextualSpacing/>
        <w:rPr>
          <w:rFonts w:ascii="Arial Narrow" w:hAnsi="Arial Narrow"/>
          <w:snapToGrid w:val="0"/>
          <w:sz w:val="18"/>
          <w:szCs w:val="22"/>
        </w:rPr>
      </w:pPr>
      <w:r w:rsidRPr="00A74194">
        <w:rPr>
          <w:rFonts w:ascii="Arial Narrow" w:hAnsi="Arial Narrow"/>
          <w:snapToGrid w:val="0"/>
          <w:sz w:val="18"/>
          <w:szCs w:val="22"/>
        </w:rPr>
        <w:t>ALP</w:t>
      </w:r>
      <w:r w:rsidR="00732C37" w:rsidRPr="00A74194">
        <w:rPr>
          <w:rFonts w:ascii="Arial Narrow" w:hAnsi="Arial Narrow"/>
          <w:snapToGrid w:val="0"/>
          <w:sz w:val="18"/>
          <w:szCs w:val="22"/>
        </w:rPr>
        <w:t xml:space="preserve"> =</w:t>
      </w:r>
      <w:r w:rsidRPr="00A74194">
        <w:rPr>
          <w:rFonts w:ascii="Arial Narrow" w:hAnsi="Arial Narrow"/>
          <w:snapToGrid w:val="0"/>
          <w:sz w:val="18"/>
          <w:szCs w:val="22"/>
        </w:rPr>
        <w:t xml:space="preserve"> alkaline phosphatase; ICER</w:t>
      </w:r>
      <w:r w:rsidR="00732C37" w:rsidRPr="00A74194">
        <w:rPr>
          <w:rFonts w:ascii="Arial Narrow" w:hAnsi="Arial Narrow"/>
          <w:snapToGrid w:val="0"/>
          <w:sz w:val="18"/>
          <w:szCs w:val="22"/>
        </w:rPr>
        <w:t xml:space="preserve"> =</w:t>
      </w:r>
      <w:r w:rsidRPr="00A74194">
        <w:rPr>
          <w:rFonts w:ascii="Arial Narrow" w:hAnsi="Arial Narrow"/>
          <w:snapToGrid w:val="0"/>
          <w:sz w:val="18"/>
          <w:szCs w:val="22"/>
        </w:rPr>
        <w:t xml:space="preserve"> Incremental cost-effectiveness ratio; OCA</w:t>
      </w:r>
      <w:r w:rsidR="00732C37" w:rsidRPr="00A74194">
        <w:rPr>
          <w:rFonts w:ascii="Arial Narrow" w:hAnsi="Arial Narrow"/>
          <w:snapToGrid w:val="0"/>
          <w:sz w:val="18"/>
          <w:szCs w:val="22"/>
        </w:rPr>
        <w:t xml:space="preserve"> =</w:t>
      </w:r>
      <w:r w:rsidRPr="00A74194">
        <w:rPr>
          <w:rFonts w:ascii="Arial Narrow" w:hAnsi="Arial Narrow"/>
          <w:snapToGrid w:val="0"/>
          <w:sz w:val="18"/>
          <w:szCs w:val="22"/>
        </w:rPr>
        <w:t xml:space="preserve"> obeticholic acid; UDCA</w:t>
      </w:r>
      <w:r w:rsidR="00732C37" w:rsidRPr="00A74194">
        <w:rPr>
          <w:rFonts w:ascii="Arial Narrow" w:hAnsi="Arial Narrow"/>
          <w:snapToGrid w:val="0"/>
          <w:sz w:val="18"/>
          <w:szCs w:val="22"/>
        </w:rPr>
        <w:t xml:space="preserve"> =</w:t>
      </w:r>
      <w:r w:rsidRPr="00A74194">
        <w:rPr>
          <w:rFonts w:ascii="Arial Narrow" w:hAnsi="Arial Narrow"/>
          <w:snapToGrid w:val="0"/>
          <w:sz w:val="18"/>
          <w:szCs w:val="22"/>
        </w:rPr>
        <w:t xml:space="preserve"> ursodeoxycholic acid; ULN</w:t>
      </w:r>
      <w:r w:rsidR="00732C37" w:rsidRPr="00A74194">
        <w:rPr>
          <w:rFonts w:ascii="Arial Narrow" w:hAnsi="Arial Narrow"/>
          <w:snapToGrid w:val="0"/>
          <w:sz w:val="18"/>
          <w:szCs w:val="22"/>
        </w:rPr>
        <w:t xml:space="preserve"> = u</w:t>
      </w:r>
      <w:r w:rsidRPr="00A74194">
        <w:rPr>
          <w:rFonts w:ascii="Arial Narrow" w:hAnsi="Arial Narrow"/>
          <w:snapToGrid w:val="0"/>
          <w:sz w:val="18"/>
          <w:szCs w:val="22"/>
        </w:rPr>
        <w:t>pper limit of normal.</w:t>
      </w:r>
    </w:p>
    <w:p w14:paraId="2E4FFD18" w14:textId="77777777" w:rsidR="00B159C2" w:rsidRPr="00A74194" w:rsidRDefault="00B159C2" w:rsidP="00B159C2">
      <w:pPr>
        <w:spacing w:after="120"/>
        <w:contextualSpacing/>
        <w:rPr>
          <w:rFonts w:ascii="Arial Narrow" w:hAnsi="Arial Narrow"/>
          <w:snapToGrid w:val="0"/>
          <w:sz w:val="18"/>
          <w:szCs w:val="22"/>
        </w:rPr>
      </w:pPr>
      <w:r w:rsidRPr="00A74194">
        <w:rPr>
          <w:rFonts w:ascii="Arial Narrow" w:hAnsi="Arial Narrow"/>
          <w:snapToGrid w:val="0"/>
          <w:sz w:val="18"/>
          <w:szCs w:val="22"/>
        </w:rPr>
        <w:t>Source: Table 61</w:t>
      </w:r>
      <w:r w:rsidR="00044AB6" w:rsidRPr="00A74194">
        <w:rPr>
          <w:rFonts w:ascii="Arial Narrow" w:hAnsi="Arial Narrow"/>
          <w:snapToGrid w:val="0"/>
          <w:sz w:val="18"/>
          <w:szCs w:val="22"/>
        </w:rPr>
        <w:t>,</w:t>
      </w:r>
      <w:r w:rsidRPr="00A74194">
        <w:rPr>
          <w:rFonts w:ascii="Arial Narrow" w:hAnsi="Arial Narrow"/>
          <w:snapToGrid w:val="0"/>
          <w:sz w:val="18"/>
          <w:szCs w:val="22"/>
        </w:rPr>
        <w:t xml:space="preserve"> p170 of the 2020 resubmission, and sheet ‘Deterministic results’ in Attachment 9 of the 2019 submission.</w:t>
      </w:r>
    </w:p>
    <w:p w14:paraId="4DAD3A97" w14:textId="77777777" w:rsidR="00BD6747" w:rsidRDefault="00B159C2" w:rsidP="00B159C2">
      <w:pPr>
        <w:spacing w:after="120"/>
        <w:contextualSpacing/>
        <w:rPr>
          <w:rFonts w:ascii="Arial Narrow" w:hAnsi="Arial Narrow"/>
          <w:b/>
          <w:sz w:val="18"/>
        </w:rPr>
      </w:pPr>
      <w:bookmarkStart w:id="44" w:name="_Hlk48552691"/>
      <w:r w:rsidRPr="00A74194">
        <w:rPr>
          <w:rFonts w:ascii="Arial Narrow" w:hAnsi="Arial Narrow"/>
          <w:sz w:val="18"/>
          <w:shd w:val="clear" w:color="auto" w:fill="B8CCE4" w:themeFill="accent1" w:themeFillTint="66"/>
        </w:rPr>
        <w:t>Blue shading indicates data previously seen by the PBAC</w:t>
      </w:r>
      <w:r w:rsidR="00BD6747">
        <w:rPr>
          <w:rFonts w:ascii="Arial Narrow" w:hAnsi="Arial Narrow"/>
          <w:b/>
          <w:sz w:val="18"/>
        </w:rPr>
        <w:t>.</w:t>
      </w:r>
    </w:p>
    <w:p w14:paraId="09AD8787" w14:textId="77777777" w:rsidR="00BD6747" w:rsidRPr="00BD6747" w:rsidRDefault="00BD6747" w:rsidP="00B159C2">
      <w:pPr>
        <w:spacing w:after="120"/>
        <w:contextualSpacing/>
        <w:rPr>
          <w:rFonts w:ascii="Arial Narrow" w:hAnsi="Arial Narrow"/>
          <w:i/>
          <w:sz w:val="18"/>
        </w:rPr>
      </w:pPr>
      <w:r w:rsidRPr="00BD6747">
        <w:rPr>
          <w:rFonts w:ascii="Arial Narrow" w:hAnsi="Arial Narrow"/>
          <w:i/>
          <w:sz w:val="18"/>
        </w:rPr>
        <w:t>The redacted values correspond to the following ranges:</w:t>
      </w:r>
    </w:p>
    <w:p w14:paraId="61350342" w14:textId="77777777" w:rsidR="00BD6747" w:rsidRPr="00BD6747" w:rsidRDefault="00BD6747" w:rsidP="00B159C2">
      <w:pPr>
        <w:spacing w:after="120"/>
        <w:contextualSpacing/>
        <w:rPr>
          <w:rFonts w:ascii="Arial Narrow" w:hAnsi="Arial Narrow"/>
          <w:i/>
          <w:sz w:val="18"/>
        </w:rPr>
      </w:pPr>
      <w:r w:rsidRPr="00BD6747">
        <w:rPr>
          <w:rFonts w:ascii="Arial Narrow" w:hAnsi="Arial Narrow"/>
          <w:i/>
          <w:sz w:val="18"/>
          <w:vertAlign w:val="superscript"/>
        </w:rPr>
        <w:t>1</w:t>
      </w:r>
      <w:r w:rsidRPr="00BD6747">
        <w:rPr>
          <w:rFonts w:ascii="Arial Narrow" w:hAnsi="Arial Narrow"/>
          <w:i/>
          <w:sz w:val="18"/>
        </w:rPr>
        <w:t xml:space="preserve"> $</w:t>
      </w:r>
      <w:r w:rsidR="006D19DF">
        <w:rPr>
          <w:rFonts w:ascii="Arial Narrow" w:hAnsi="Arial Narrow"/>
          <w:i/>
          <w:sz w:val="18"/>
        </w:rPr>
        <w:t>75</w:t>
      </w:r>
      <w:r w:rsidRPr="00BD6747">
        <w:rPr>
          <w:rFonts w:ascii="Arial Narrow" w:hAnsi="Arial Narrow"/>
          <w:i/>
          <w:sz w:val="18"/>
        </w:rPr>
        <w:t>,000 to &lt;$</w:t>
      </w:r>
      <w:r w:rsidR="006D19DF">
        <w:rPr>
          <w:rFonts w:ascii="Arial Narrow" w:hAnsi="Arial Narrow"/>
          <w:i/>
          <w:sz w:val="18"/>
        </w:rPr>
        <w:t>95</w:t>
      </w:r>
      <w:r w:rsidRPr="00BD6747">
        <w:rPr>
          <w:rFonts w:ascii="Arial Narrow" w:hAnsi="Arial Narrow"/>
          <w:i/>
          <w:sz w:val="18"/>
        </w:rPr>
        <w:t>,000/QALY gained</w:t>
      </w:r>
    </w:p>
    <w:p w14:paraId="49CAE42D" w14:textId="77777777" w:rsidR="00BD6747" w:rsidRPr="00BD6747" w:rsidRDefault="00BD6747" w:rsidP="00BD6747">
      <w:pPr>
        <w:spacing w:after="120"/>
        <w:contextualSpacing/>
        <w:rPr>
          <w:rFonts w:ascii="Arial Narrow" w:hAnsi="Arial Narrow"/>
          <w:i/>
          <w:sz w:val="18"/>
        </w:rPr>
      </w:pPr>
      <w:r w:rsidRPr="00BD6747">
        <w:rPr>
          <w:rFonts w:ascii="Arial Narrow" w:hAnsi="Arial Narrow"/>
          <w:i/>
          <w:sz w:val="18"/>
          <w:vertAlign w:val="superscript"/>
        </w:rPr>
        <w:t>2</w:t>
      </w:r>
      <w:bookmarkEnd w:id="44"/>
      <w:r w:rsidRPr="00BD6747">
        <w:rPr>
          <w:rFonts w:ascii="Arial Narrow" w:hAnsi="Arial Narrow"/>
          <w:i/>
          <w:sz w:val="18"/>
          <w:vertAlign w:val="superscript"/>
        </w:rPr>
        <w:t xml:space="preserve"> </w:t>
      </w:r>
      <w:r w:rsidRPr="00BD6747">
        <w:rPr>
          <w:rFonts w:ascii="Arial Narrow" w:hAnsi="Arial Narrow"/>
          <w:i/>
          <w:sz w:val="18"/>
        </w:rPr>
        <w:t>$155,000 to &lt;$255,000/QALY gained</w:t>
      </w:r>
    </w:p>
    <w:p w14:paraId="07A06D17" w14:textId="77777777" w:rsidR="00BD6747" w:rsidRPr="00BD6747" w:rsidRDefault="00BD6747" w:rsidP="00BD6747">
      <w:pPr>
        <w:spacing w:after="120"/>
        <w:contextualSpacing/>
        <w:rPr>
          <w:i/>
        </w:rPr>
        <w:sectPr w:rsidR="00BD6747" w:rsidRPr="00BD6747" w:rsidSect="006E67AF">
          <w:pgSz w:w="16840" w:h="11907" w:orient="landscape" w:code="9"/>
          <w:pgMar w:top="1440" w:right="1440" w:bottom="1440" w:left="1440" w:header="1440" w:footer="1440" w:gutter="0"/>
          <w:cols w:space="708"/>
          <w:docGrid w:linePitch="360"/>
        </w:sectPr>
      </w:pPr>
      <w:r w:rsidRPr="00BD6747">
        <w:rPr>
          <w:rFonts w:ascii="Arial Narrow" w:hAnsi="Arial Narrow"/>
          <w:i/>
          <w:sz w:val="18"/>
          <w:vertAlign w:val="superscript"/>
        </w:rPr>
        <w:t>3</w:t>
      </w:r>
      <w:r w:rsidRPr="00BD6747">
        <w:rPr>
          <w:rFonts w:ascii="Arial Narrow" w:hAnsi="Arial Narrow"/>
          <w:i/>
          <w:sz w:val="18"/>
        </w:rPr>
        <w:t xml:space="preserve"> $</w:t>
      </w:r>
      <w:r w:rsidR="006D19DF">
        <w:rPr>
          <w:rFonts w:ascii="Arial Narrow" w:hAnsi="Arial Narrow"/>
          <w:i/>
          <w:sz w:val="18"/>
        </w:rPr>
        <w:t>95</w:t>
      </w:r>
      <w:r w:rsidRPr="00BD6747">
        <w:rPr>
          <w:rFonts w:ascii="Arial Narrow" w:hAnsi="Arial Narrow"/>
          <w:i/>
          <w:sz w:val="18"/>
        </w:rPr>
        <w:t>,000 to &lt;$1</w:t>
      </w:r>
      <w:r w:rsidR="006D19DF">
        <w:rPr>
          <w:rFonts w:ascii="Arial Narrow" w:hAnsi="Arial Narrow"/>
          <w:i/>
          <w:sz w:val="18"/>
        </w:rPr>
        <w:t>15</w:t>
      </w:r>
      <w:r w:rsidRPr="00BD6747">
        <w:rPr>
          <w:rFonts w:ascii="Arial Narrow" w:hAnsi="Arial Narrow"/>
          <w:i/>
          <w:sz w:val="18"/>
        </w:rPr>
        <w:t>,000/QALY gained</w:t>
      </w:r>
    </w:p>
    <w:p w14:paraId="3085BD8F" w14:textId="77777777" w:rsidR="0019716A" w:rsidRPr="00A74194" w:rsidRDefault="00B159C2" w:rsidP="00B159C2">
      <w:pPr>
        <w:pStyle w:val="3-BodyText"/>
        <w:rPr>
          <w:iCs/>
        </w:rPr>
      </w:pPr>
      <w:r w:rsidRPr="00A74194">
        <w:rPr>
          <w:iCs/>
        </w:rPr>
        <w:lastRenderedPageBreak/>
        <w:t xml:space="preserve">The incremental costs, </w:t>
      </w:r>
      <w:r w:rsidR="0019716A" w:rsidRPr="00A74194">
        <w:rPr>
          <w:iCs/>
        </w:rPr>
        <w:t>life years</w:t>
      </w:r>
      <w:r w:rsidRPr="00A74194">
        <w:rPr>
          <w:iCs/>
        </w:rPr>
        <w:t xml:space="preserve"> and QALYs were lower compared to the 2019 submission. This </w:t>
      </w:r>
      <w:r w:rsidR="0019716A" w:rsidRPr="00A74194">
        <w:rPr>
          <w:iCs/>
        </w:rPr>
        <w:t>decreased</w:t>
      </w:r>
      <w:r w:rsidRPr="00A74194">
        <w:rPr>
          <w:iCs/>
        </w:rPr>
        <w:t xml:space="preserve"> the cost per responder</w:t>
      </w:r>
      <w:r w:rsidR="00EF7238" w:rsidRPr="00A74194">
        <w:rPr>
          <w:iCs/>
        </w:rPr>
        <w:t xml:space="preserve"> and</w:t>
      </w:r>
      <w:r w:rsidR="00BC4B5E" w:rsidRPr="00A74194">
        <w:rPr>
          <w:iCs/>
        </w:rPr>
        <w:t xml:space="preserve"> increased the</w:t>
      </w:r>
      <w:r w:rsidRPr="00A74194">
        <w:rPr>
          <w:iCs/>
        </w:rPr>
        <w:t xml:space="preserve"> cost per </w:t>
      </w:r>
      <w:r w:rsidR="00BC4B5E" w:rsidRPr="00A74194">
        <w:rPr>
          <w:iCs/>
        </w:rPr>
        <w:t>life years</w:t>
      </w:r>
      <w:r w:rsidRPr="00A74194">
        <w:rPr>
          <w:iCs/>
        </w:rPr>
        <w:t xml:space="preserve"> gained</w:t>
      </w:r>
      <w:r w:rsidR="00D45AC7" w:rsidRPr="00A74194">
        <w:rPr>
          <w:iCs/>
        </w:rPr>
        <w:t>; however</w:t>
      </w:r>
      <w:r w:rsidRPr="00A74194">
        <w:rPr>
          <w:iCs/>
        </w:rPr>
        <w:t xml:space="preserve">, the </w:t>
      </w:r>
      <w:r w:rsidR="008C2394" w:rsidRPr="00A74194">
        <w:rPr>
          <w:iCs/>
        </w:rPr>
        <w:t xml:space="preserve">ESC noted that the </w:t>
      </w:r>
      <w:r w:rsidRPr="00A74194">
        <w:rPr>
          <w:iCs/>
        </w:rPr>
        <w:t>ICER</w:t>
      </w:r>
      <w:r w:rsidR="00EF7238" w:rsidRPr="00A74194">
        <w:rPr>
          <w:iCs/>
        </w:rPr>
        <w:t xml:space="preserve"> per QALY gained</w:t>
      </w:r>
      <w:r w:rsidRPr="00A74194">
        <w:rPr>
          <w:iCs/>
        </w:rPr>
        <w:t xml:space="preserve"> </w:t>
      </w:r>
      <w:r w:rsidR="0019716A" w:rsidRPr="00A74194">
        <w:rPr>
          <w:iCs/>
        </w:rPr>
        <w:t>remained largely the same</w:t>
      </w:r>
      <w:r w:rsidRPr="00A74194">
        <w:rPr>
          <w:iCs/>
        </w:rPr>
        <w:t>.</w:t>
      </w:r>
    </w:p>
    <w:p w14:paraId="15C5E541" w14:textId="77777777" w:rsidR="00B159C2" w:rsidRPr="00A74194" w:rsidRDefault="00B159C2" w:rsidP="00B159C2">
      <w:pPr>
        <w:pStyle w:val="3-BodyText"/>
        <w:rPr>
          <w:iCs/>
        </w:rPr>
      </w:pPr>
      <w:r w:rsidRPr="00A74194">
        <w:rPr>
          <w:iCs/>
        </w:rPr>
        <w:t xml:space="preserve">The reduction in </w:t>
      </w:r>
      <w:r w:rsidR="0019716A" w:rsidRPr="00A74194">
        <w:rPr>
          <w:iCs/>
        </w:rPr>
        <w:t>life years</w:t>
      </w:r>
      <w:r w:rsidRPr="00A74194">
        <w:rPr>
          <w:iCs/>
        </w:rPr>
        <w:t xml:space="preserve"> </w:t>
      </w:r>
      <w:r w:rsidR="005F18FC" w:rsidRPr="00A74194">
        <w:rPr>
          <w:iCs/>
        </w:rPr>
        <w:t>was</w:t>
      </w:r>
      <w:r w:rsidRPr="00A74194">
        <w:rPr>
          <w:iCs/>
        </w:rPr>
        <w:t xml:space="preserve"> likely due to </w:t>
      </w:r>
      <w:r w:rsidR="005F18FC" w:rsidRPr="00A74194">
        <w:rPr>
          <w:iCs/>
        </w:rPr>
        <w:t>a combination of changes including time horizon and transition probabilities</w:t>
      </w:r>
      <w:r w:rsidRPr="00A74194">
        <w:rPr>
          <w:iCs/>
        </w:rPr>
        <w:t xml:space="preserve">. The change in QALYs </w:t>
      </w:r>
      <w:r w:rsidR="005F18FC" w:rsidRPr="00A74194">
        <w:rPr>
          <w:iCs/>
        </w:rPr>
        <w:t>was</w:t>
      </w:r>
      <w:r w:rsidRPr="00A74194">
        <w:rPr>
          <w:iCs/>
        </w:rPr>
        <w:t xml:space="preserve"> likely due to the addition of </w:t>
      </w:r>
      <w:r w:rsidR="0019716A" w:rsidRPr="00A74194">
        <w:rPr>
          <w:iCs/>
        </w:rPr>
        <w:t>disutilities</w:t>
      </w:r>
      <w:r w:rsidRPr="00A74194">
        <w:rPr>
          <w:iCs/>
        </w:rPr>
        <w:t xml:space="preserve"> associated with adverse events. The reduction in treatment costs </w:t>
      </w:r>
      <w:r w:rsidR="005F18FC" w:rsidRPr="00A74194">
        <w:rPr>
          <w:iCs/>
        </w:rPr>
        <w:t>were</w:t>
      </w:r>
      <w:r w:rsidRPr="00A74194">
        <w:rPr>
          <w:iCs/>
        </w:rPr>
        <w:t xml:space="preserve"> largely due to the assumption that 21% of patients would use a</w:t>
      </w:r>
      <w:r w:rsidR="005F18FC" w:rsidRPr="00A74194">
        <w:rPr>
          <w:iCs/>
        </w:rPr>
        <w:t xml:space="preserve"> half dose (</w:t>
      </w:r>
      <w:r w:rsidRPr="00A74194">
        <w:rPr>
          <w:iCs/>
        </w:rPr>
        <w:t>dose every other day</w:t>
      </w:r>
      <w:r w:rsidR="005F18FC" w:rsidRPr="00A74194">
        <w:rPr>
          <w:iCs/>
        </w:rPr>
        <w:t>)</w:t>
      </w:r>
      <w:r w:rsidRPr="00A74194">
        <w:rPr>
          <w:iCs/>
        </w:rPr>
        <w:t xml:space="preserve"> from Year 1 onwards (i.e. up to 30 years).</w:t>
      </w:r>
    </w:p>
    <w:p w14:paraId="63F89AF8" w14:textId="77777777" w:rsidR="00B159C2" w:rsidRPr="00A74194" w:rsidRDefault="00B159C2" w:rsidP="00B159C2">
      <w:pPr>
        <w:pStyle w:val="3-BodyText"/>
        <w:rPr>
          <w:iCs/>
        </w:rPr>
      </w:pPr>
      <w:r w:rsidRPr="00A74194">
        <w:rPr>
          <w:iCs/>
        </w:rPr>
        <w:t xml:space="preserve">The </w:t>
      </w:r>
      <w:r w:rsidR="00D020D2" w:rsidRPr="00A74194">
        <w:rPr>
          <w:iCs/>
        </w:rPr>
        <w:t xml:space="preserve">ESC considered that the </w:t>
      </w:r>
      <w:r w:rsidRPr="00A74194">
        <w:rPr>
          <w:iCs/>
        </w:rPr>
        <w:t>results should be considered with caution because:</w:t>
      </w:r>
    </w:p>
    <w:p w14:paraId="535E0A50" w14:textId="77777777" w:rsidR="00B159C2" w:rsidRPr="00A74194" w:rsidRDefault="00B159C2" w:rsidP="004E0A7E">
      <w:pPr>
        <w:pStyle w:val="TableFigureHeading"/>
        <w:keepNext w:val="0"/>
        <w:widowControl w:val="0"/>
        <w:numPr>
          <w:ilvl w:val="0"/>
          <w:numId w:val="3"/>
        </w:numPr>
        <w:ind w:left="1260" w:hanging="540"/>
        <w:jc w:val="both"/>
        <w:rPr>
          <w:rFonts w:asciiTheme="minorHAnsi" w:eastAsia="Times New Roman" w:hAnsiTheme="minorHAnsi" w:cs="Arial"/>
          <w:b w:val="0"/>
          <w:bCs w:val="0"/>
          <w:iCs/>
          <w:snapToGrid w:val="0"/>
          <w:sz w:val="24"/>
        </w:rPr>
      </w:pPr>
      <w:r w:rsidRPr="00A74194">
        <w:rPr>
          <w:rFonts w:asciiTheme="minorHAnsi" w:eastAsia="Times New Roman" w:hAnsiTheme="minorHAnsi" w:cs="Arial"/>
          <w:b w:val="0"/>
          <w:bCs w:val="0"/>
          <w:iCs/>
          <w:snapToGrid w:val="0"/>
          <w:sz w:val="24"/>
        </w:rPr>
        <w:t>The time horizon in the model (30 years) was long compared to the median age of patients in the POISE trial (56 years), the duration of follow-up in the POISE trial (12 months) and the progressive nature of the disease.</w:t>
      </w:r>
      <w:r w:rsidR="00AE408C" w:rsidRPr="00A74194">
        <w:rPr>
          <w:rFonts w:asciiTheme="minorHAnsi" w:eastAsia="Times New Roman" w:hAnsiTheme="minorHAnsi" w:cs="Arial"/>
          <w:b w:val="0"/>
          <w:bCs w:val="0"/>
          <w:iCs/>
          <w:snapToGrid w:val="0"/>
          <w:sz w:val="24"/>
        </w:rPr>
        <w:t xml:space="preserve"> </w:t>
      </w:r>
    </w:p>
    <w:p w14:paraId="59BE8051" w14:textId="77777777" w:rsidR="00B159C2" w:rsidRPr="00A74194" w:rsidRDefault="00B159C2" w:rsidP="004E0A7E">
      <w:pPr>
        <w:pStyle w:val="TableFigureHeading"/>
        <w:keepNext w:val="0"/>
        <w:widowControl w:val="0"/>
        <w:numPr>
          <w:ilvl w:val="0"/>
          <w:numId w:val="3"/>
        </w:numPr>
        <w:ind w:left="1260" w:hanging="540"/>
        <w:jc w:val="both"/>
        <w:rPr>
          <w:rFonts w:asciiTheme="minorHAnsi" w:eastAsia="Times New Roman" w:hAnsiTheme="minorHAnsi" w:cs="Arial"/>
          <w:b w:val="0"/>
          <w:bCs w:val="0"/>
          <w:iCs/>
          <w:snapToGrid w:val="0"/>
          <w:sz w:val="24"/>
        </w:rPr>
      </w:pPr>
      <w:r w:rsidRPr="00A74194">
        <w:rPr>
          <w:rFonts w:asciiTheme="minorHAnsi" w:eastAsia="Times New Roman" w:hAnsiTheme="minorHAnsi" w:cs="Arial"/>
          <w:b w:val="0"/>
          <w:bCs w:val="0"/>
          <w:iCs/>
          <w:snapToGrid w:val="0"/>
          <w:sz w:val="24"/>
        </w:rPr>
        <w:t xml:space="preserve">Many transition probabilities from the biochemical health states to the liver disease health states, and between the liver disease health states, were unable to be verified based on the information presented by the </w:t>
      </w:r>
      <w:r w:rsidR="0019716A" w:rsidRPr="00A74194">
        <w:rPr>
          <w:rFonts w:asciiTheme="minorHAnsi" w:eastAsia="Times New Roman" w:hAnsiTheme="minorHAnsi" w:cs="Arial"/>
          <w:b w:val="0"/>
          <w:bCs w:val="0"/>
          <w:iCs/>
          <w:snapToGrid w:val="0"/>
          <w:sz w:val="24"/>
        </w:rPr>
        <w:t>re</w:t>
      </w:r>
      <w:r w:rsidRPr="00A74194">
        <w:rPr>
          <w:rFonts w:asciiTheme="minorHAnsi" w:eastAsia="Times New Roman" w:hAnsiTheme="minorHAnsi" w:cs="Arial"/>
          <w:b w:val="0"/>
          <w:bCs w:val="0"/>
          <w:iCs/>
          <w:snapToGrid w:val="0"/>
          <w:sz w:val="24"/>
        </w:rPr>
        <w:t>submission.</w:t>
      </w:r>
      <w:r w:rsidR="002E7B41" w:rsidRPr="00A74194">
        <w:rPr>
          <w:rFonts w:asciiTheme="minorHAnsi" w:eastAsia="Times New Roman" w:hAnsiTheme="minorHAnsi" w:cs="Arial"/>
          <w:b w:val="0"/>
          <w:bCs w:val="0"/>
          <w:iCs/>
          <w:snapToGrid w:val="0"/>
          <w:sz w:val="24"/>
        </w:rPr>
        <w:t xml:space="preserve"> The ICER was sensitive to the transition probabilities between biochemical health states (i.e. moderate to high risk), but not the transition probabilities from the biochemical health states to the liver disease health states.</w:t>
      </w:r>
      <w:r w:rsidR="0088040A" w:rsidRPr="00A74194">
        <w:rPr>
          <w:rFonts w:asciiTheme="minorHAnsi" w:eastAsia="Times New Roman" w:hAnsiTheme="minorHAnsi" w:cs="Arial"/>
          <w:b w:val="0"/>
          <w:bCs w:val="0"/>
          <w:iCs/>
          <w:snapToGrid w:val="0"/>
          <w:sz w:val="24"/>
        </w:rPr>
        <w:t xml:space="preserve"> The ESC noted the ongoing inability to verify a number of model inputs and considered that inherent uncertainties in the model remained.</w:t>
      </w:r>
    </w:p>
    <w:p w14:paraId="7C4D9AC8" w14:textId="77777777" w:rsidR="004E0A7E" w:rsidRPr="00A74194" w:rsidRDefault="002E7B41" w:rsidP="004E0A7E">
      <w:pPr>
        <w:pStyle w:val="TableFigureHeading"/>
        <w:keepNext w:val="0"/>
        <w:widowControl w:val="0"/>
        <w:numPr>
          <w:ilvl w:val="0"/>
          <w:numId w:val="3"/>
        </w:numPr>
        <w:ind w:left="1260" w:hanging="540"/>
        <w:jc w:val="both"/>
        <w:rPr>
          <w:rFonts w:asciiTheme="minorHAnsi" w:eastAsia="Times New Roman" w:hAnsiTheme="minorHAnsi" w:cs="Arial"/>
          <w:b w:val="0"/>
          <w:bCs w:val="0"/>
          <w:iCs/>
          <w:snapToGrid w:val="0"/>
          <w:sz w:val="24"/>
        </w:rPr>
      </w:pPr>
      <w:r w:rsidRPr="00A74194">
        <w:rPr>
          <w:rFonts w:asciiTheme="minorHAnsi" w:eastAsia="Times New Roman" w:hAnsiTheme="minorHAnsi" w:cs="Arial"/>
          <w:b w:val="0"/>
          <w:bCs w:val="0"/>
          <w:iCs/>
          <w:snapToGrid w:val="0"/>
          <w:sz w:val="24"/>
        </w:rPr>
        <w:t>Disutilities for prurit</w:t>
      </w:r>
      <w:r w:rsidR="006E67AF" w:rsidRPr="00A74194">
        <w:rPr>
          <w:rFonts w:asciiTheme="minorHAnsi" w:eastAsia="Times New Roman" w:hAnsiTheme="minorHAnsi" w:cs="Arial"/>
          <w:b w:val="0"/>
          <w:bCs w:val="0"/>
          <w:iCs/>
          <w:snapToGrid w:val="0"/>
          <w:sz w:val="24"/>
        </w:rPr>
        <w:t>u</w:t>
      </w:r>
      <w:r w:rsidRPr="00A74194">
        <w:rPr>
          <w:rFonts w:asciiTheme="minorHAnsi" w:eastAsia="Times New Roman" w:hAnsiTheme="minorHAnsi" w:cs="Arial"/>
          <w:b w:val="0"/>
          <w:bCs w:val="0"/>
          <w:iCs/>
          <w:snapToGrid w:val="0"/>
          <w:sz w:val="24"/>
        </w:rPr>
        <w:t xml:space="preserve">s were applied. However, these disutilities were only applied in the first year. Further, the cost of managing pruritus were only applied for 12 weeks (over a 30-year time horizon). This </w:t>
      </w:r>
      <w:r w:rsidR="007050AE" w:rsidRPr="00A74194">
        <w:rPr>
          <w:rFonts w:asciiTheme="minorHAnsi" w:eastAsia="Times New Roman" w:hAnsiTheme="minorHAnsi" w:cs="Arial"/>
          <w:b w:val="0"/>
          <w:bCs w:val="0"/>
          <w:iCs/>
          <w:snapToGrid w:val="0"/>
          <w:sz w:val="24"/>
        </w:rPr>
        <w:t>may</w:t>
      </w:r>
      <w:r w:rsidRPr="00A74194">
        <w:rPr>
          <w:rFonts w:asciiTheme="minorHAnsi" w:eastAsia="Times New Roman" w:hAnsiTheme="minorHAnsi" w:cs="Arial"/>
          <w:b w:val="0"/>
          <w:bCs w:val="0"/>
          <w:iCs/>
          <w:snapToGrid w:val="0"/>
          <w:sz w:val="24"/>
        </w:rPr>
        <w:t xml:space="preserve"> not </w:t>
      </w:r>
      <w:r w:rsidR="003B074F" w:rsidRPr="00A74194">
        <w:rPr>
          <w:rFonts w:asciiTheme="minorHAnsi" w:eastAsia="Times New Roman" w:hAnsiTheme="minorHAnsi" w:cs="Arial"/>
          <w:b w:val="0"/>
          <w:bCs w:val="0"/>
          <w:iCs/>
          <w:snapToGrid w:val="0"/>
          <w:sz w:val="24"/>
        </w:rPr>
        <w:t xml:space="preserve">be </w:t>
      </w:r>
      <w:r w:rsidRPr="00A74194">
        <w:rPr>
          <w:rFonts w:asciiTheme="minorHAnsi" w:eastAsia="Times New Roman" w:hAnsiTheme="minorHAnsi" w:cs="Arial"/>
          <w:b w:val="0"/>
          <w:bCs w:val="0"/>
          <w:iCs/>
          <w:snapToGrid w:val="0"/>
          <w:sz w:val="24"/>
        </w:rPr>
        <w:t>reasonable given the ongoing use of OCA. This favours OCA. The ICER was sensitive to the application of disutility for prurit</w:t>
      </w:r>
      <w:r w:rsidR="006E67AF" w:rsidRPr="00A74194">
        <w:rPr>
          <w:rFonts w:asciiTheme="minorHAnsi" w:eastAsia="Times New Roman" w:hAnsiTheme="minorHAnsi" w:cs="Arial"/>
          <w:b w:val="0"/>
          <w:bCs w:val="0"/>
          <w:iCs/>
          <w:snapToGrid w:val="0"/>
          <w:sz w:val="24"/>
        </w:rPr>
        <w:t>u</w:t>
      </w:r>
      <w:r w:rsidR="00D45AC7" w:rsidRPr="00A74194">
        <w:rPr>
          <w:rFonts w:asciiTheme="minorHAnsi" w:eastAsia="Times New Roman" w:hAnsiTheme="minorHAnsi" w:cs="Arial"/>
          <w:b w:val="0"/>
          <w:bCs w:val="0"/>
          <w:iCs/>
          <w:snapToGrid w:val="0"/>
          <w:sz w:val="24"/>
        </w:rPr>
        <w:t>s beyond Y</w:t>
      </w:r>
      <w:r w:rsidRPr="00A74194">
        <w:rPr>
          <w:rFonts w:asciiTheme="minorHAnsi" w:eastAsia="Times New Roman" w:hAnsiTheme="minorHAnsi" w:cs="Arial"/>
          <w:b w:val="0"/>
          <w:bCs w:val="0"/>
          <w:iCs/>
          <w:snapToGrid w:val="0"/>
          <w:sz w:val="24"/>
        </w:rPr>
        <w:t>ear 1.</w:t>
      </w:r>
    </w:p>
    <w:p w14:paraId="4837F86C" w14:textId="77777777" w:rsidR="00B159C2" w:rsidRPr="00A74194" w:rsidRDefault="00B159C2" w:rsidP="004E0A7E">
      <w:pPr>
        <w:pStyle w:val="TableFigureHeading"/>
        <w:keepNext w:val="0"/>
        <w:widowControl w:val="0"/>
        <w:numPr>
          <w:ilvl w:val="0"/>
          <w:numId w:val="3"/>
        </w:numPr>
        <w:ind w:left="1260" w:hanging="540"/>
        <w:jc w:val="both"/>
        <w:rPr>
          <w:rFonts w:asciiTheme="minorHAnsi" w:eastAsia="Times New Roman" w:hAnsiTheme="minorHAnsi" w:cs="Arial"/>
          <w:b w:val="0"/>
          <w:bCs w:val="0"/>
          <w:iCs/>
          <w:snapToGrid w:val="0"/>
          <w:sz w:val="24"/>
        </w:rPr>
      </w:pPr>
      <w:r w:rsidRPr="00A74194">
        <w:rPr>
          <w:rFonts w:asciiTheme="minorHAnsi" w:eastAsia="Times New Roman" w:hAnsiTheme="minorHAnsi" w:cs="Arial"/>
          <w:b w:val="0"/>
          <w:bCs w:val="0"/>
          <w:iCs/>
          <w:snapToGrid w:val="0"/>
          <w:sz w:val="24"/>
        </w:rPr>
        <w:t>The resubmission assumed that 21% of patients receive a half dose (dose every other day) after the first year of treatment. The assumption that patients would receive a half dose for 30 years with no impact on efficacy is uncertain.</w:t>
      </w:r>
    </w:p>
    <w:p w14:paraId="26421430" w14:textId="77777777" w:rsidR="00C12A60" w:rsidRPr="00A74194" w:rsidRDefault="00C12A60" w:rsidP="00C12A60">
      <w:pPr>
        <w:pStyle w:val="In-tableHeading"/>
        <w:keepNext w:val="0"/>
        <w:widowControl w:val="0"/>
        <w:rPr>
          <w:lang w:val="en-AU"/>
        </w:rPr>
      </w:pPr>
    </w:p>
    <w:p w14:paraId="500D3DD1" w14:textId="77777777" w:rsidR="00B159C2" w:rsidRPr="00A74194" w:rsidRDefault="00B159C2" w:rsidP="00B159C2">
      <w:pPr>
        <w:pStyle w:val="3-BodyText"/>
      </w:pPr>
      <w:r w:rsidRPr="00A74194">
        <w:t>Figure 3 present</w:t>
      </w:r>
      <w:r w:rsidR="00BC5630" w:rsidRPr="00A74194">
        <w:t>s</w:t>
      </w:r>
      <w:r w:rsidRPr="00A74194">
        <w:t xml:space="preserve"> the Markov traces over time.</w:t>
      </w:r>
    </w:p>
    <w:p w14:paraId="27096699" w14:textId="77777777" w:rsidR="00B159C2" w:rsidRPr="00A74194" w:rsidRDefault="00B159C2" w:rsidP="00E85BAB">
      <w:pPr>
        <w:pStyle w:val="TableFigureHeading"/>
        <w:rPr>
          <w:rStyle w:val="CommentReference"/>
          <w:b/>
          <w:szCs w:val="24"/>
        </w:rPr>
      </w:pPr>
      <w:r w:rsidRPr="00A74194">
        <w:rPr>
          <w:rStyle w:val="CommentReference"/>
          <w:b/>
          <w:szCs w:val="24"/>
        </w:rPr>
        <w:lastRenderedPageBreak/>
        <w:t>Figure 3: Markov trace, OCA + UDCA, UDCA inadequate responders</w:t>
      </w:r>
    </w:p>
    <w:p w14:paraId="2EB1D619" w14:textId="77777777" w:rsidR="00B159C2" w:rsidRPr="00A74194" w:rsidRDefault="00B159C2" w:rsidP="00E85BAB">
      <w:pPr>
        <w:pStyle w:val="BodyText"/>
        <w:rPr>
          <w:i/>
        </w:rPr>
      </w:pPr>
      <w:r w:rsidRPr="00A74194">
        <w:rPr>
          <w:i/>
          <w:noProof/>
        </w:rPr>
        <w:drawing>
          <wp:inline distT="0" distB="0" distL="0" distR="0" wp14:anchorId="52966E21" wp14:editId="700BCE0A">
            <wp:extent cx="4436253" cy="2887980"/>
            <wp:effectExtent l="0" t="0" r="2540" b="7620"/>
            <wp:docPr id="31" name="Picture 31"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map&#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71957" cy="2911223"/>
                    </a:xfrm>
                    <a:prstGeom prst="rect">
                      <a:avLst/>
                    </a:prstGeom>
                    <a:noFill/>
                  </pic:spPr>
                </pic:pic>
              </a:graphicData>
            </a:graphic>
          </wp:inline>
        </w:drawing>
      </w:r>
    </w:p>
    <w:p w14:paraId="776F40BD" w14:textId="77777777" w:rsidR="00B159C2" w:rsidRPr="00A74194" w:rsidRDefault="00B159C2" w:rsidP="00193A76">
      <w:pPr>
        <w:pStyle w:val="TableSource"/>
      </w:pPr>
      <w:r w:rsidRPr="00A74194">
        <w:t>DCC</w:t>
      </w:r>
      <w:r w:rsidR="000F7F68" w:rsidRPr="00A74194">
        <w:t xml:space="preserve"> =</w:t>
      </w:r>
      <w:r w:rsidRPr="00A74194">
        <w:t xml:space="preserve"> decompensated cirrhosis; HCC</w:t>
      </w:r>
      <w:r w:rsidR="000F7F68" w:rsidRPr="00A74194">
        <w:t xml:space="preserve"> =</w:t>
      </w:r>
      <w:r w:rsidRPr="00A74194">
        <w:t xml:space="preserve"> hepatocellular cancer; LT</w:t>
      </w:r>
      <w:r w:rsidR="000F7F68" w:rsidRPr="00A74194">
        <w:t xml:space="preserve"> =</w:t>
      </w:r>
      <w:r w:rsidRPr="00A74194">
        <w:t xml:space="preserve"> liver transplant; OCA</w:t>
      </w:r>
      <w:r w:rsidR="000F7F68" w:rsidRPr="00A74194">
        <w:t xml:space="preserve"> =</w:t>
      </w:r>
      <w:r w:rsidRPr="00A74194">
        <w:t xml:space="preserve"> obeticholic acid; PBC</w:t>
      </w:r>
      <w:r w:rsidR="000F7F68" w:rsidRPr="00A74194">
        <w:t xml:space="preserve"> =</w:t>
      </w:r>
      <w:r w:rsidRPr="00A74194">
        <w:t xml:space="preserve"> primary biliary cholangitis; UDCA</w:t>
      </w:r>
      <w:r w:rsidR="000F7F68" w:rsidRPr="00A74194">
        <w:t xml:space="preserve"> =</w:t>
      </w:r>
      <w:r w:rsidRPr="00A74194">
        <w:t xml:space="preserve"> ursodeoxycholic acid.</w:t>
      </w:r>
    </w:p>
    <w:p w14:paraId="021393B1" w14:textId="77777777" w:rsidR="00B159C2" w:rsidRPr="00A74194" w:rsidRDefault="00B159C2" w:rsidP="00193A76">
      <w:pPr>
        <w:pStyle w:val="TableSource"/>
      </w:pPr>
      <w:r w:rsidRPr="00A74194">
        <w:t>Source: Compiled during evaluation using the economic model</w:t>
      </w:r>
    </w:p>
    <w:p w14:paraId="441598AF" w14:textId="77777777" w:rsidR="00C12A60" w:rsidRPr="00A74194" w:rsidRDefault="00C12A60" w:rsidP="00C12A60"/>
    <w:p w14:paraId="14471EEF" w14:textId="2B0249CF" w:rsidR="00B159C2" w:rsidRPr="00A74194" w:rsidRDefault="00B159C2" w:rsidP="004C40A4">
      <w:pPr>
        <w:pStyle w:val="3-BodyText"/>
      </w:pPr>
      <w:r w:rsidRPr="00A74194">
        <w:t xml:space="preserve">Figure </w:t>
      </w:r>
      <w:r w:rsidR="00BC5630" w:rsidRPr="00A74194">
        <w:t>4</w:t>
      </w:r>
      <w:r w:rsidRPr="00A74194">
        <w:t xml:space="preserve"> summarises the results of the sensitivity analyses</w:t>
      </w:r>
      <w:r w:rsidR="00FE3ADA" w:rsidRPr="00A74194">
        <w:t xml:space="preserve"> conducted in the resubmission</w:t>
      </w:r>
      <w:r w:rsidRPr="00A74194">
        <w:t>.</w:t>
      </w:r>
      <w:r w:rsidR="00A23A22" w:rsidRPr="00A74194">
        <w:t xml:space="preserve"> </w:t>
      </w:r>
    </w:p>
    <w:p w14:paraId="077A79E4" w14:textId="77777777" w:rsidR="00B159C2" w:rsidRPr="00A74194" w:rsidRDefault="00B159C2" w:rsidP="00C12A60">
      <w:pPr>
        <w:pStyle w:val="TableFigureHeading"/>
        <w:rPr>
          <w:rStyle w:val="CommentReference"/>
          <w:b/>
          <w:szCs w:val="24"/>
        </w:rPr>
      </w:pPr>
      <w:r w:rsidRPr="00A74194">
        <w:rPr>
          <w:rStyle w:val="CommentReference"/>
          <w:b/>
          <w:szCs w:val="24"/>
        </w:rPr>
        <w:t xml:space="preserve">Figure </w:t>
      </w:r>
      <w:r w:rsidR="00BC5630" w:rsidRPr="00A74194">
        <w:rPr>
          <w:rStyle w:val="CommentReference"/>
          <w:b/>
          <w:szCs w:val="24"/>
        </w:rPr>
        <w:t>4</w:t>
      </w:r>
      <w:r w:rsidRPr="00A74194">
        <w:rPr>
          <w:rStyle w:val="CommentReference"/>
          <w:b/>
          <w:szCs w:val="24"/>
        </w:rPr>
        <w:t>: UDCA Inadequate Responders Population—Effective Price</w:t>
      </w:r>
    </w:p>
    <w:p w14:paraId="00A2C2C0" w14:textId="77777777" w:rsidR="00B159C2" w:rsidRPr="00A74194" w:rsidRDefault="009B604D" w:rsidP="00C12A60">
      <w:pPr>
        <w:pStyle w:val="3-BodyText"/>
        <w:numPr>
          <w:ilvl w:val="0"/>
          <w:numId w:val="0"/>
        </w:numPr>
        <w:spacing w:after="0"/>
      </w:pPr>
      <w:r>
        <w:rPr>
          <w:noProof/>
        </w:rPr>
        <w:drawing>
          <wp:inline distT="0" distB="0" distL="0" distR="0" wp14:anchorId="0FEC3E9C" wp14:editId="4EC6234B">
            <wp:extent cx="5732145" cy="3042745"/>
            <wp:effectExtent l="0" t="0" r="1905" b="5715"/>
            <wp:docPr id="2" name="Picture 2" title="Figure 4: UDCA Inadequate Responders Population—Effective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40126" cy="3046982"/>
                    </a:xfrm>
                    <a:prstGeom prst="rect">
                      <a:avLst/>
                    </a:prstGeom>
                  </pic:spPr>
                </pic:pic>
              </a:graphicData>
            </a:graphic>
          </wp:inline>
        </w:drawing>
      </w:r>
    </w:p>
    <w:p w14:paraId="7F15E596" w14:textId="77777777" w:rsidR="000F7F68" w:rsidRPr="00A74194" w:rsidRDefault="000F7F68" w:rsidP="00193A76">
      <w:pPr>
        <w:pStyle w:val="TableSource"/>
      </w:pPr>
      <w:r w:rsidRPr="00A74194">
        <w:t>ALP = alkaline phosphatase; Bili = bilirubin; CC= compensated cirrhosis; HCC = hepatocellular cancer; ICER = incremental cost effectiveness ratio; LT = live transplant; OCA = obeticholic acid; UDCA = ursodeoxycholic acid; ULN = upper limit of normal</w:t>
      </w:r>
    </w:p>
    <w:p w14:paraId="06D91ADB" w14:textId="2C4F3D1B" w:rsidR="00B159C2" w:rsidRPr="00A74194" w:rsidRDefault="00B159C2" w:rsidP="004C40A4">
      <w:pPr>
        <w:pStyle w:val="TableSource"/>
      </w:pPr>
      <w:r w:rsidRPr="00A74194">
        <w:t>Source: Figure 33</w:t>
      </w:r>
      <w:r w:rsidR="00044AB6" w:rsidRPr="00A74194">
        <w:t>,</w:t>
      </w:r>
      <w:r w:rsidRPr="00A74194">
        <w:t xml:space="preserve"> p176 of the resubmission.</w:t>
      </w:r>
    </w:p>
    <w:p w14:paraId="51E7F2EA" w14:textId="77777777" w:rsidR="00B159C2" w:rsidRPr="00A74194" w:rsidRDefault="00B159C2" w:rsidP="00581B67">
      <w:pPr>
        <w:pStyle w:val="3-BodyText"/>
      </w:pPr>
      <w:r w:rsidRPr="00A74194">
        <w:lastRenderedPageBreak/>
        <w:t xml:space="preserve">Figure </w:t>
      </w:r>
      <w:r w:rsidR="00BC5630" w:rsidRPr="00A74194">
        <w:t>5</w:t>
      </w:r>
      <w:r w:rsidRPr="00A74194">
        <w:t xml:space="preserve"> presents the ICER by the time horizon.</w:t>
      </w:r>
      <w:r w:rsidR="00581B67" w:rsidRPr="00A74194">
        <w:rPr>
          <w:i/>
        </w:rPr>
        <w:t xml:space="preserve"> </w:t>
      </w:r>
      <w:r w:rsidR="00581B67" w:rsidRPr="00A74194">
        <w:t>The ICER was highly sensitive to the time horizon up to around 20 years.</w:t>
      </w:r>
    </w:p>
    <w:p w14:paraId="4A5ECD0E" w14:textId="77777777" w:rsidR="00B159C2" w:rsidRPr="00A74194" w:rsidRDefault="00B159C2" w:rsidP="00B159C2">
      <w:pPr>
        <w:keepNext/>
        <w:rPr>
          <w:rStyle w:val="CommentReference"/>
        </w:rPr>
      </w:pPr>
      <w:r w:rsidRPr="00A74194">
        <w:rPr>
          <w:rStyle w:val="CommentReference"/>
        </w:rPr>
        <w:t xml:space="preserve">Figure </w:t>
      </w:r>
      <w:r w:rsidR="00BC5630" w:rsidRPr="00A74194">
        <w:rPr>
          <w:rStyle w:val="CommentReference"/>
        </w:rPr>
        <w:t>5</w:t>
      </w:r>
      <w:r w:rsidRPr="00A74194">
        <w:rPr>
          <w:rStyle w:val="CommentReference"/>
        </w:rPr>
        <w:t>: ICER by time horizon, UDCA inadequate response patients (effective prices)</w:t>
      </w:r>
    </w:p>
    <w:p w14:paraId="31ED67F4" w14:textId="77777777" w:rsidR="00B159C2" w:rsidRPr="00A74194" w:rsidRDefault="009B604D" w:rsidP="00B159C2">
      <w:pPr>
        <w:rPr>
          <w:rFonts w:asciiTheme="minorHAnsi" w:hAnsiTheme="minorHAnsi"/>
          <w:i/>
          <w:highlight w:val="yellow"/>
        </w:rPr>
      </w:pPr>
      <w:bookmarkStart w:id="45" w:name="_GoBack"/>
      <w:r>
        <w:rPr>
          <w:noProof/>
        </w:rPr>
        <w:drawing>
          <wp:inline distT="0" distB="0" distL="0" distR="0" wp14:anchorId="012B95AB" wp14:editId="6FA62A89">
            <wp:extent cx="5732145" cy="3461385"/>
            <wp:effectExtent l="0" t="0" r="1905" b="5715"/>
            <wp:docPr id="1" name="Picture 1" title="Figure 5: ICER by time horizon, UDCA inadequate response patients (effective pr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32145" cy="3461385"/>
                    </a:xfrm>
                    <a:prstGeom prst="rect">
                      <a:avLst/>
                    </a:prstGeom>
                  </pic:spPr>
                </pic:pic>
              </a:graphicData>
            </a:graphic>
          </wp:inline>
        </w:drawing>
      </w:r>
      <w:bookmarkEnd w:id="45"/>
    </w:p>
    <w:p w14:paraId="7BB9DB9F" w14:textId="77777777" w:rsidR="00B159C2" w:rsidRPr="00A74194" w:rsidRDefault="00B159C2" w:rsidP="00B159C2">
      <w:pPr>
        <w:rPr>
          <w:rFonts w:ascii="Arial Narrow" w:hAnsi="Arial Narrow"/>
          <w:sz w:val="18"/>
          <w:szCs w:val="18"/>
        </w:rPr>
      </w:pPr>
      <w:r w:rsidRPr="00A74194">
        <w:rPr>
          <w:rFonts w:ascii="Arial Narrow" w:hAnsi="Arial Narrow"/>
          <w:sz w:val="18"/>
          <w:szCs w:val="18"/>
        </w:rPr>
        <w:t>ICER</w:t>
      </w:r>
      <w:r w:rsidR="000F7F68" w:rsidRPr="00A74194">
        <w:rPr>
          <w:rFonts w:ascii="Arial Narrow" w:hAnsi="Arial Narrow"/>
          <w:sz w:val="18"/>
          <w:szCs w:val="18"/>
        </w:rPr>
        <w:t xml:space="preserve"> =</w:t>
      </w:r>
      <w:r w:rsidRPr="00A74194">
        <w:rPr>
          <w:rFonts w:ascii="Arial Narrow" w:hAnsi="Arial Narrow"/>
          <w:sz w:val="18"/>
          <w:szCs w:val="18"/>
        </w:rPr>
        <w:t xml:space="preserve"> incremental cost-effectiveness ratio; QALY</w:t>
      </w:r>
      <w:r w:rsidR="000F7F68" w:rsidRPr="00A74194">
        <w:rPr>
          <w:rFonts w:ascii="Arial Narrow" w:hAnsi="Arial Narrow"/>
          <w:sz w:val="18"/>
          <w:szCs w:val="18"/>
        </w:rPr>
        <w:t xml:space="preserve"> =</w:t>
      </w:r>
      <w:r w:rsidRPr="00A74194">
        <w:rPr>
          <w:rFonts w:ascii="Arial Narrow" w:hAnsi="Arial Narrow"/>
          <w:sz w:val="18"/>
          <w:szCs w:val="18"/>
        </w:rPr>
        <w:t xml:space="preserve"> qu</w:t>
      </w:r>
      <w:r w:rsidR="000F7F68" w:rsidRPr="00A74194">
        <w:rPr>
          <w:rFonts w:ascii="Arial Narrow" w:hAnsi="Arial Narrow"/>
          <w:sz w:val="18"/>
          <w:szCs w:val="18"/>
        </w:rPr>
        <w:t>ality adjusted life years; UDCA =</w:t>
      </w:r>
      <w:r w:rsidRPr="00A74194">
        <w:rPr>
          <w:rFonts w:ascii="Arial Narrow" w:hAnsi="Arial Narrow"/>
          <w:sz w:val="18"/>
          <w:szCs w:val="18"/>
        </w:rPr>
        <w:t xml:space="preserve"> ursodeoxycholic acid.</w:t>
      </w:r>
    </w:p>
    <w:p w14:paraId="242B56C1" w14:textId="77777777" w:rsidR="00B159C2" w:rsidRPr="00A74194" w:rsidRDefault="00B159C2" w:rsidP="00B159C2">
      <w:pPr>
        <w:pStyle w:val="ListParagraph"/>
      </w:pPr>
      <w:r w:rsidRPr="00A74194">
        <w:rPr>
          <w:rFonts w:ascii="Arial Narrow" w:hAnsi="Arial Narrow"/>
          <w:sz w:val="18"/>
          <w:szCs w:val="18"/>
        </w:rPr>
        <w:t>Source: compiled during the evaluation using the economic model</w:t>
      </w:r>
    </w:p>
    <w:p w14:paraId="2DABE47C" w14:textId="77777777" w:rsidR="00C36334" w:rsidRPr="00A74194" w:rsidRDefault="00C36334" w:rsidP="00C36334">
      <w:pPr>
        <w:pStyle w:val="3-BodyText"/>
      </w:pPr>
      <w:r w:rsidRPr="00A74194">
        <w:rPr>
          <w:iCs/>
        </w:rPr>
        <w:t>Table 11 summarizes the results of additional sensitivity analyses conducted during the evaluation.</w:t>
      </w:r>
    </w:p>
    <w:p w14:paraId="36692FA1" w14:textId="77777777" w:rsidR="00C36334" w:rsidRPr="00A74194" w:rsidRDefault="00C36334" w:rsidP="00F22259">
      <w:pPr>
        <w:keepNext/>
        <w:jc w:val="left"/>
        <w:rPr>
          <w:rFonts w:ascii="Arial Narrow" w:eastAsiaTheme="majorEastAsia" w:hAnsi="Arial Narrow" w:cstheme="majorBidi"/>
          <w:b/>
          <w:bCs/>
          <w:sz w:val="20"/>
        </w:rPr>
      </w:pPr>
      <w:r w:rsidRPr="00A74194">
        <w:rPr>
          <w:rFonts w:ascii="Arial Narrow" w:eastAsiaTheme="majorEastAsia" w:hAnsi="Arial Narrow" w:cstheme="majorBidi"/>
          <w:b/>
          <w:bCs/>
          <w:sz w:val="20"/>
        </w:rPr>
        <w:lastRenderedPageBreak/>
        <w:t>Table 11: Results of sensitivity analyses conducting during evaluation</w:t>
      </w:r>
    </w:p>
    <w:tbl>
      <w:tblPr>
        <w:tblW w:w="9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1134"/>
        <w:gridCol w:w="1134"/>
        <w:gridCol w:w="1086"/>
      </w:tblGrid>
      <w:tr w:rsidR="00C36334" w:rsidRPr="00A74194" w14:paraId="748E6A33" w14:textId="77777777" w:rsidTr="00DD4407">
        <w:trPr>
          <w:tblHeader/>
        </w:trPr>
        <w:tc>
          <w:tcPr>
            <w:tcW w:w="5949" w:type="dxa"/>
            <w:tcMar>
              <w:left w:w="28" w:type="dxa"/>
              <w:right w:w="28" w:type="dxa"/>
            </w:tcMar>
          </w:tcPr>
          <w:p w14:paraId="7C55115F" w14:textId="77777777" w:rsidR="00C36334" w:rsidRPr="00A74194" w:rsidRDefault="00C36334" w:rsidP="00F22259">
            <w:pPr>
              <w:keepNext/>
              <w:jc w:val="left"/>
              <w:rPr>
                <w:rFonts w:ascii="Arial Narrow" w:eastAsiaTheme="majorEastAsia" w:hAnsi="Arial Narrow" w:cs="Times New Roman"/>
                <w:b/>
                <w:sz w:val="20"/>
              </w:rPr>
            </w:pPr>
            <w:r w:rsidRPr="00A74194">
              <w:rPr>
                <w:rFonts w:ascii="Arial Narrow" w:eastAsiaTheme="majorEastAsia" w:hAnsi="Arial Narrow" w:cs="Times New Roman"/>
                <w:b/>
                <w:sz w:val="20"/>
              </w:rPr>
              <w:t>Analyses</w:t>
            </w:r>
          </w:p>
        </w:tc>
        <w:tc>
          <w:tcPr>
            <w:tcW w:w="1134" w:type="dxa"/>
            <w:tcMar>
              <w:left w:w="28" w:type="dxa"/>
              <w:right w:w="28" w:type="dxa"/>
            </w:tcMar>
          </w:tcPr>
          <w:p w14:paraId="66885A34" w14:textId="77777777" w:rsidR="00C36334" w:rsidRPr="00A74194" w:rsidRDefault="00C36334" w:rsidP="00F22259">
            <w:pPr>
              <w:keepNext/>
              <w:jc w:val="center"/>
              <w:rPr>
                <w:rFonts w:ascii="Arial Narrow" w:eastAsiaTheme="majorEastAsia" w:hAnsi="Arial Narrow" w:cs="Times New Roman"/>
                <w:b/>
                <w:sz w:val="20"/>
              </w:rPr>
            </w:pPr>
            <w:r w:rsidRPr="00A74194">
              <w:rPr>
                <w:rFonts w:ascii="Arial Narrow" w:eastAsiaTheme="majorEastAsia" w:hAnsi="Arial Narrow" w:cs="Times New Roman"/>
                <w:b/>
                <w:sz w:val="20"/>
              </w:rPr>
              <w:t>Incremental cost</w:t>
            </w:r>
          </w:p>
        </w:tc>
        <w:tc>
          <w:tcPr>
            <w:tcW w:w="1134" w:type="dxa"/>
            <w:tcMar>
              <w:left w:w="28" w:type="dxa"/>
              <w:right w:w="28" w:type="dxa"/>
            </w:tcMar>
          </w:tcPr>
          <w:p w14:paraId="17F95DED" w14:textId="77777777" w:rsidR="00C36334" w:rsidRPr="00A74194" w:rsidRDefault="00C36334" w:rsidP="00F22259">
            <w:pPr>
              <w:keepNext/>
              <w:jc w:val="center"/>
              <w:rPr>
                <w:rFonts w:ascii="Arial Narrow" w:eastAsiaTheme="majorEastAsia" w:hAnsi="Arial Narrow" w:cs="Times New Roman"/>
                <w:b/>
                <w:sz w:val="20"/>
              </w:rPr>
            </w:pPr>
            <w:r w:rsidRPr="00A74194">
              <w:rPr>
                <w:rFonts w:ascii="Arial Narrow" w:eastAsiaTheme="majorEastAsia" w:hAnsi="Arial Narrow" w:cs="Times New Roman"/>
                <w:b/>
                <w:sz w:val="20"/>
              </w:rPr>
              <w:t>Incremental QALY</w:t>
            </w:r>
          </w:p>
        </w:tc>
        <w:tc>
          <w:tcPr>
            <w:tcW w:w="1086" w:type="dxa"/>
            <w:tcMar>
              <w:left w:w="28" w:type="dxa"/>
              <w:right w:w="28" w:type="dxa"/>
            </w:tcMar>
          </w:tcPr>
          <w:p w14:paraId="54950930" w14:textId="77777777" w:rsidR="00C36334" w:rsidRPr="00A74194" w:rsidRDefault="00C36334" w:rsidP="00F22259">
            <w:pPr>
              <w:keepNext/>
              <w:jc w:val="center"/>
              <w:rPr>
                <w:rFonts w:ascii="Arial Narrow" w:eastAsiaTheme="majorEastAsia" w:hAnsi="Arial Narrow" w:cs="Times New Roman"/>
                <w:b/>
                <w:sz w:val="20"/>
              </w:rPr>
            </w:pPr>
            <w:r w:rsidRPr="00A74194">
              <w:rPr>
                <w:rFonts w:ascii="Arial Narrow" w:eastAsiaTheme="majorEastAsia" w:hAnsi="Arial Narrow" w:cs="Times New Roman"/>
                <w:b/>
                <w:sz w:val="20"/>
              </w:rPr>
              <w:t>ICER</w:t>
            </w:r>
          </w:p>
        </w:tc>
      </w:tr>
      <w:tr w:rsidR="00C36334" w:rsidRPr="00B90E05" w14:paraId="3988D85D" w14:textId="77777777" w:rsidTr="00DD4407">
        <w:tc>
          <w:tcPr>
            <w:tcW w:w="5949" w:type="dxa"/>
            <w:tcMar>
              <w:left w:w="28" w:type="dxa"/>
              <w:right w:w="28" w:type="dxa"/>
            </w:tcMar>
          </w:tcPr>
          <w:p w14:paraId="168D18B9" w14:textId="77777777" w:rsidR="00C36334" w:rsidRPr="00A74194" w:rsidRDefault="00C36334" w:rsidP="00F22259">
            <w:pPr>
              <w:keepNext/>
              <w:jc w:val="left"/>
              <w:rPr>
                <w:rFonts w:ascii="Arial Narrow" w:eastAsiaTheme="majorEastAsia" w:hAnsi="Arial Narrow" w:cstheme="majorBidi"/>
                <w:b/>
                <w:bCs/>
                <w:sz w:val="20"/>
              </w:rPr>
            </w:pPr>
            <w:r w:rsidRPr="00A74194">
              <w:rPr>
                <w:rFonts w:ascii="Arial Narrow" w:eastAsiaTheme="majorEastAsia" w:hAnsi="Arial Narrow" w:cstheme="majorBidi"/>
                <w:b/>
                <w:bCs/>
                <w:sz w:val="20"/>
              </w:rPr>
              <w:t>Base case</w:t>
            </w:r>
          </w:p>
        </w:tc>
        <w:tc>
          <w:tcPr>
            <w:tcW w:w="1134" w:type="dxa"/>
            <w:tcMar>
              <w:left w:w="28" w:type="dxa"/>
              <w:right w:w="28" w:type="dxa"/>
            </w:tcMar>
          </w:tcPr>
          <w:p w14:paraId="3DFA1DCA" w14:textId="77777777" w:rsidR="00C36334" w:rsidRPr="00027EBC" w:rsidRDefault="00027EBC" w:rsidP="00F22259">
            <w:pPr>
              <w:keepNext/>
              <w:jc w:val="center"/>
              <w:rPr>
                <w:rFonts w:ascii="Arial Narrow" w:eastAsiaTheme="majorEastAsia" w:hAnsi="Arial Narrow" w:cstheme="majorBidi"/>
                <w:b/>
                <w:bCs/>
                <w:sz w:val="20"/>
                <w:highlight w:val="black"/>
              </w:rPr>
            </w:pPr>
            <w:r>
              <w:rPr>
                <w:rFonts w:ascii="Arial Narrow" w:eastAsiaTheme="majorEastAsia" w:hAnsi="Arial Narrow" w:cstheme="majorBidi"/>
                <w:b/>
                <w:bCs/>
                <w:noProof/>
                <w:color w:val="000000"/>
                <w:sz w:val="20"/>
                <w:highlight w:val="black"/>
              </w:rPr>
              <w:t>'''''''''''''''''</w:t>
            </w:r>
          </w:p>
        </w:tc>
        <w:tc>
          <w:tcPr>
            <w:tcW w:w="1134" w:type="dxa"/>
            <w:tcMar>
              <w:left w:w="28" w:type="dxa"/>
              <w:right w:w="28" w:type="dxa"/>
            </w:tcMar>
          </w:tcPr>
          <w:p w14:paraId="3F55AB25" w14:textId="77777777" w:rsidR="00C36334" w:rsidRPr="00A74194" w:rsidRDefault="00C36334" w:rsidP="00F22259">
            <w:pPr>
              <w:keepNext/>
              <w:jc w:val="center"/>
              <w:rPr>
                <w:rFonts w:ascii="Arial Narrow" w:eastAsiaTheme="majorEastAsia" w:hAnsi="Arial Narrow" w:cstheme="majorBidi"/>
                <w:b/>
                <w:bCs/>
                <w:sz w:val="20"/>
              </w:rPr>
            </w:pPr>
            <w:r w:rsidRPr="00A74194">
              <w:rPr>
                <w:rFonts w:ascii="Arial Narrow" w:eastAsiaTheme="majorEastAsia" w:hAnsi="Arial Narrow" w:cstheme="majorBidi"/>
                <w:b/>
                <w:bCs/>
                <w:sz w:val="20"/>
              </w:rPr>
              <w:t>2.033</w:t>
            </w:r>
          </w:p>
        </w:tc>
        <w:tc>
          <w:tcPr>
            <w:tcW w:w="1086" w:type="dxa"/>
            <w:tcMar>
              <w:left w:w="28" w:type="dxa"/>
              <w:right w:w="28" w:type="dxa"/>
            </w:tcMar>
          </w:tcPr>
          <w:p w14:paraId="54937F56" w14:textId="77777777" w:rsidR="00C36334" w:rsidRPr="00027EBC" w:rsidRDefault="00027EBC" w:rsidP="00F22259">
            <w:pPr>
              <w:keepNext/>
              <w:jc w:val="center"/>
              <w:rPr>
                <w:rFonts w:ascii="Arial Narrow" w:eastAsiaTheme="majorEastAsia" w:hAnsi="Arial Narrow" w:cstheme="majorBidi"/>
                <w:b/>
                <w:bCs/>
                <w:sz w:val="20"/>
              </w:rPr>
            </w:pPr>
            <w:r>
              <w:rPr>
                <w:rFonts w:ascii="Arial Narrow" w:eastAsiaTheme="majorEastAsia" w:hAnsi="Arial Narrow" w:cstheme="majorBidi"/>
                <w:b/>
                <w:bCs/>
                <w:noProof/>
                <w:color w:val="000000"/>
                <w:sz w:val="20"/>
                <w:highlight w:val="black"/>
              </w:rPr>
              <w:t>''''''''''''''''</w:t>
            </w:r>
            <w:r w:rsidR="00B90E05" w:rsidRPr="00B90E05">
              <w:rPr>
                <w:rFonts w:ascii="Arial Narrow" w:eastAsiaTheme="majorEastAsia" w:hAnsi="Arial Narrow" w:cstheme="majorBidi"/>
                <w:b/>
                <w:bCs/>
                <w:sz w:val="20"/>
                <w:vertAlign w:val="superscript"/>
              </w:rPr>
              <w:t>1</w:t>
            </w:r>
          </w:p>
        </w:tc>
      </w:tr>
      <w:tr w:rsidR="00C36334" w:rsidRPr="00B90E05" w14:paraId="21D1AA64" w14:textId="77777777" w:rsidTr="00DD4407">
        <w:tc>
          <w:tcPr>
            <w:tcW w:w="5949" w:type="dxa"/>
            <w:tcMar>
              <w:left w:w="28" w:type="dxa"/>
              <w:right w:w="28" w:type="dxa"/>
            </w:tcMar>
          </w:tcPr>
          <w:p w14:paraId="51E1449F" w14:textId="77777777" w:rsidR="00C36334" w:rsidRPr="00A74194" w:rsidRDefault="00C36334" w:rsidP="00F22259">
            <w:pPr>
              <w:keepNext/>
              <w:widowControl w:val="0"/>
              <w:jc w:val="left"/>
              <w:rPr>
                <w:rFonts w:ascii="Arial Narrow" w:eastAsiaTheme="majorEastAsia" w:hAnsi="Arial Narrow" w:cstheme="majorBidi"/>
                <w:bCs/>
                <w:sz w:val="20"/>
              </w:rPr>
            </w:pPr>
            <w:r w:rsidRPr="00A74194">
              <w:rPr>
                <w:rFonts w:ascii="Arial Narrow" w:eastAsiaTheme="majorEastAsia" w:hAnsi="Arial Narrow" w:cstheme="majorBidi"/>
                <w:bCs/>
                <w:sz w:val="20"/>
              </w:rPr>
              <w:t>Baseline health state distribution</w:t>
            </w:r>
          </w:p>
          <w:p w14:paraId="4A1263A0" w14:textId="77777777" w:rsidR="00C36334" w:rsidRPr="00A74194" w:rsidRDefault="00D45AC7" w:rsidP="00F22259">
            <w:pPr>
              <w:keepNext/>
              <w:widowControl w:val="0"/>
              <w:ind w:left="357" w:hanging="357"/>
              <w:jc w:val="left"/>
              <w:rPr>
                <w:rFonts w:ascii="Arial Narrow" w:eastAsiaTheme="majorEastAsia" w:hAnsi="Arial Narrow" w:cstheme="majorBidi"/>
                <w:bCs/>
                <w:sz w:val="20"/>
              </w:rPr>
            </w:pPr>
            <w:r w:rsidRPr="00A74194">
              <w:rPr>
                <w:rFonts w:ascii="Arial Narrow" w:eastAsiaTheme="majorEastAsia" w:hAnsi="Arial Narrow" w:cstheme="majorBidi"/>
                <w:bCs/>
                <w:sz w:val="20"/>
              </w:rPr>
              <w:t xml:space="preserve">- </w:t>
            </w:r>
            <w:r w:rsidR="00C36334" w:rsidRPr="00A74194">
              <w:rPr>
                <w:rFonts w:ascii="Arial Narrow" w:eastAsiaTheme="majorEastAsia" w:hAnsi="Arial Narrow" w:cstheme="majorBidi"/>
                <w:bCs/>
                <w:sz w:val="20"/>
              </w:rPr>
              <w:t>using 2019 values (see Table 8)</w:t>
            </w:r>
          </w:p>
        </w:tc>
        <w:tc>
          <w:tcPr>
            <w:tcW w:w="1134" w:type="dxa"/>
            <w:tcMar>
              <w:left w:w="28" w:type="dxa"/>
              <w:right w:w="28" w:type="dxa"/>
            </w:tcMar>
            <w:vAlign w:val="bottom"/>
          </w:tcPr>
          <w:p w14:paraId="3E84BF20" w14:textId="77777777" w:rsidR="00C36334" w:rsidRPr="00027EBC" w:rsidRDefault="00027EBC" w:rsidP="00F22259">
            <w:pPr>
              <w:keepNext/>
              <w:widowControl w:val="0"/>
              <w:jc w:val="center"/>
              <w:rPr>
                <w:rFonts w:ascii="Arial Narrow" w:eastAsiaTheme="majorEastAsia" w:hAnsi="Arial Narrow" w:cstheme="majorBidi"/>
                <w:bCs/>
                <w:sz w:val="20"/>
                <w:highlight w:val="black"/>
              </w:rPr>
            </w:pPr>
            <w:r>
              <w:rPr>
                <w:rFonts w:ascii="Arial Narrow" w:eastAsiaTheme="majorEastAsia" w:hAnsi="Arial Narrow" w:cstheme="majorBidi"/>
                <w:bCs/>
                <w:noProof/>
                <w:color w:val="000000"/>
                <w:sz w:val="20"/>
                <w:highlight w:val="black"/>
              </w:rPr>
              <w:t>''''''''''''''''''''''</w:t>
            </w:r>
          </w:p>
        </w:tc>
        <w:tc>
          <w:tcPr>
            <w:tcW w:w="1134" w:type="dxa"/>
            <w:tcMar>
              <w:left w:w="28" w:type="dxa"/>
              <w:right w:w="28" w:type="dxa"/>
            </w:tcMar>
            <w:vAlign w:val="bottom"/>
          </w:tcPr>
          <w:p w14:paraId="05A50BD7" w14:textId="77777777" w:rsidR="00C36334" w:rsidRPr="00A74194" w:rsidRDefault="00C36334" w:rsidP="00F22259">
            <w:pPr>
              <w:keepNext/>
              <w:widowControl w:val="0"/>
              <w:jc w:val="center"/>
              <w:rPr>
                <w:rFonts w:ascii="Arial Narrow" w:eastAsiaTheme="majorEastAsia" w:hAnsi="Arial Narrow" w:cstheme="majorBidi"/>
                <w:bCs/>
                <w:sz w:val="20"/>
              </w:rPr>
            </w:pPr>
            <w:r w:rsidRPr="00A74194">
              <w:rPr>
                <w:rFonts w:ascii="Arial Narrow" w:eastAsiaTheme="majorEastAsia" w:hAnsi="Arial Narrow" w:cstheme="majorBidi"/>
                <w:bCs/>
                <w:sz w:val="20"/>
              </w:rPr>
              <w:t>2.107</w:t>
            </w:r>
          </w:p>
        </w:tc>
        <w:tc>
          <w:tcPr>
            <w:tcW w:w="1086" w:type="dxa"/>
            <w:tcMar>
              <w:left w:w="28" w:type="dxa"/>
              <w:right w:w="28" w:type="dxa"/>
            </w:tcMar>
            <w:vAlign w:val="bottom"/>
          </w:tcPr>
          <w:p w14:paraId="27C3E916" w14:textId="77777777" w:rsidR="00C36334" w:rsidRPr="00027EBC" w:rsidRDefault="00027EBC" w:rsidP="00F22259">
            <w:pPr>
              <w:keepNext/>
              <w:widowControl w:val="0"/>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B90E05" w:rsidRPr="00B90E05">
              <w:rPr>
                <w:rFonts w:ascii="Arial Narrow" w:eastAsiaTheme="majorEastAsia" w:hAnsi="Arial Narrow" w:cstheme="majorBidi"/>
                <w:bCs/>
                <w:sz w:val="20"/>
                <w:vertAlign w:val="superscript"/>
              </w:rPr>
              <w:t>1</w:t>
            </w:r>
          </w:p>
        </w:tc>
      </w:tr>
      <w:tr w:rsidR="00C36334" w:rsidRPr="00B90E05" w14:paraId="5CB2A3E8" w14:textId="77777777" w:rsidTr="00DD4407">
        <w:tc>
          <w:tcPr>
            <w:tcW w:w="5949" w:type="dxa"/>
            <w:tcMar>
              <w:left w:w="28" w:type="dxa"/>
              <w:right w:w="28" w:type="dxa"/>
            </w:tcMar>
          </w:tcPr>
          <w:p w14:paraId="0382770E" w14:textId="77777777" w:rsidR="00C36334" w:rsidRPr="00A74194" w:rsidRDefault="00C36334" w:rsidP="00F22259">
            <w:pPr>
              <w:keepNext/>
              <w:widowControl w:val="0"/>
              <w:jc w:val="left"/>
              <w:rPr>
                <w:rFonts w:ascii="Arial Narrow" w:eastAsiaTheme="majorEastAsia" w:hAnsi="Arial Narrow" w:cstheme="majorBidi"/>
                <w:bCs/>
                <w:sz w:val="20"/>
              </w:rPr>
            </w:pPr>
            <w:r w:rsidRPr="00A74194">
              <w:rPr>
                <w:rFonts w:ascii="Arial Narrow" w:eastAsiaTheme="majorEastAsia" w:hAnsi="Arial Narrow" w:cstheme="majorBidi"/>
                <w:bCs/>
                <w:sz w:val="20"/>
              </w:rPr>
              <w:t>Dose of OCA</w:t>
            </w:r>
            <w:r w:rsidR="00FE4239" w:rsidRPr="00A74194">
              <w:rPr>
                <w:rFonts w:ascii="Arial Narrow" w:eastAsiaTheme="majorEastAsia" w:hAnsi="Arial Narrow" w:cstheme="majorBidi"/>
                <w:bCs/>
                <w:sz w:val="20"/>
              </w:rPr>
              <w:t xml:space="preserve"> (base case assumed 21% on dose every other day)</w:t>
            </w:r>
          </w:p>
          <w:p w14:paraId="3F1DF475" w14:textId="77777777" w:rsidR="00C36334" w:rsidRPr="00A74194" w:rsidRDefault="00D45AC7" w:rsidP="00F22259">
            <w:pPr>
              <w:keepNext/>
              <w:widowControl w:val="0"/>
              <w:jc w:val="left"/>
              <w:rPr>
                <w:rFonts w:ascii="Arial Narrow" w:eastAsiaTheme="majorEastAsia" w:hAnsi="Arial Narrow" w:cstheme="majorBidi"/>
                <w:bCs/>
                <w:sz w:val="20"/>
              </w:rPr>
            </w:pPr>
            <w:r w:rsidRPr="00A74194">
              <w:rPr>
                <w:rFonts w:ascii="Arial Narrow" w:eastAsiaTheme="majorEastAsia" w:hAnsi="Arial Narrow" w:cstheme="majorBidi"/>
                <w:bCs/>
                <w:sz w:val="20"/>
              </w:rPr>
              <w:t xml:space="preserve">- </w:t>
            </w:r>
            <w:r w:rsidR="00C36334" w:rsidRPr="00A74194">
              <w:rPr>
                <w:rFonts w:ascii="Arial Narrow" w:eastAsiaTheme="majorEastAsia" w:hAnsi="Arial Narrow" w:cstheme="majorBidi"/>
                <w:bCs/>
                <w:sz w:val="20"/>
              </w:rPr>
              <w:t>Patients on full dose</w:t>
            </w:r>
          </w:p>
        </w:tc>
        <w:tc>
          <w:tcPr>
            <w:tcW w:w="1134" w:type="dxa"/>
            <w:tcMar>
              <w:left w:w="28" w:type="dxa"/>
              <w:right w:w="28" w:type="dxa"/>
            </w:tcMar>
            <w:vAlign w:val="bottom"/>
          </w:tcPr>
          <w:p w14:paraId="7B37F1F6" w14:textId="77777777" w:rsidR="00C36334" w:rsidRPr="00027EBC" w:rsidRDefault="00027EBC" w:rsidP="00F22259">
            <w:pPr>
              <w:keepNext/>
              <w:widowControl w:val="0"/>
              <w:jc w:val="center"/>
              <w:rPr>
                <w:rFonts w:ascii="Arial Narrow" w:eastAsiaTheme="majorEastAsia" w:hAnsi="Arial Narrow" w:cstheme="majorBidi"/>
                <w:bCs/>
                <w:sz w:val="20"/>
                <w:highlight w:val="black"/>
              </w:rPr>
            </w:pPr>
            <w:r>
              <w:rPr>
                <w:rFonts w:ascii="Arial Narrow" w:eastAsiaTheme="majorEastAsia" w:hAnsi="Arial Narrow" w:cstheme="majorBidi"/>
                <w:bCs/>
                <w:noProof/>
                <w:color w:val="000000"/>
                <w:sz w:val="20"/>
                <w:highlight w:val="black"/>
              </w:rPr>
              <w:t>''''''''''''''''''''</w:t>
            </w:r>
          </w:p>
        </w:tc>
        <w:tc>
          <w:tcPr>
            <w:tcW w:w="1134" w:type="dxa"/>
            <w:tcMar>
              <w:left w:w="28" w:type="dxa"/>
              <w:right w:w="28" w:type="dxa"/>
            </w:tcMar>
            <w:vAlign w:val="bottom"/>
          </w:tcPr>
          <w:p w14:paraId="2C4A52D2" w14:textId="77777777" w:rsidR="00C36334" w:rsidRPr="00A74194" w:rsidRDefault="00C36334" w:rsidP="00F22259">
            <w:pPr>
              <w:keepNext/>
              <w:widowControl w:val="0"/>
              <w:jc w:val="center"/>
              <w:rPr>
                <w:rFonts w:ascii="Arial Narrow" w:eastAsiaTheme="majorEastAsia" w:hAnsi="Arial Narrow" w:cstheme="majorBidi"/>
                <w:bCs/>
                <w:sz w:val="20"/>
              </w:rPr>
            </w:pPr>
            <w:r w:rsidRPr="00A74194">
              <w:rPr>
                <w:rFonts w:ascii="Arial Narrow" w:eastAsiaTheme="majorEastAsia" w:hAnsi="Arial Narrow" w:cstheme="majorBidi"/>
                <w:bCs/>
                <w:sz w:val="20"/>
              </w:rPr>
              <w:t>2.033</w:t>
            </w:r>
          </w:p>
        </w:tc>
        <w:tc>
          <w:tcPr>
            <w:tcW w:w="1086" w:type="dxa"/>
            <w:tcMar>
              <w:left w:w="28" w:type="dxa"/>
              <w:right w:w="28" w:type="dxa"/>
            </w:tcMar>
            <w:vAlign w:val="bottom"/>
          </w:tcPr>
          <w:p w14:paraId="3A57FDDC" w14:textId="77777777" w:rsidR="00C36334" w:rsidRPr="00027EBC" w:rsidRDefault="00027EBC" w:rsidP="00F22259">
            <w:pPr>
              <w:keepNext/>
              <w:widowControl w:val="0"/>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 xml:space="preserve">''''''''''''''''''''' </w:t>
            </w:r>
            <w:r w:rsidR="00B90E05" w:rsidRPr="00B90E05">
              <w:rPr>
                <w:rFonts w:ascii="Arial Narrow" w:eastAsiaTheme="majorEastAsia" w:hAnsi="Arial Narrow" w:cstheme="majorBidi"/>
                <w:bCs/>
                <w:sz w:val="20"/>
                <w:vertAlign w:val="superscript"/>
              </w:rPr>
              <w:t>2</w:t>
            </w:r>
          </w:p>
        </w:tc>
      </w:tr>
      <w:tr w:rsidR="00C36334" w:rsidRPr="00B90E05" w14:paraId="144631E0" w14:textId="77777777" w:rsidTr="00DD4407">
        <w:tc>
          <w:tcPr>
            <w:tcW w:w="5949" w:type="dxa"/>
            <w:tcMar>
              <w:left w:w="28" w:type="dxa"/>
              <w:right w:w="28" w:type="dxa"/>
            </w:tcMar>
          </w:tcPr>
          <w:p w14:paraId="4C46E3F5" w14:textId="77777777" w:rsidR="00C36334" w:rsidRPr="00A74194" w:rsidRDefault="00C36334" w:rsidP="00F22259">
            <w:pPr>
              <w:keepNext/>
              <w:widowControl w:val="0"/>
              <w:jc w:val="left"/>
              <w:rPr>
                <w:rFonts w:ascii="Arial Narrow" w:eastAsiaTheme="majorEastAsia" w:hAnsi="Arial Narrow" w:cstheme="majorBidi"/>
                <w:bCs/>
                <w:sz w:val="20"/>
              </w:rPr>
            </w:pPr>
            <w:r w:rsidRPr="00A74194">
              <w:rPr>
                <w:rFonts w:ascii="Arial Narrow" w:eastAsiaTheme="majorEastAsia" w:hAnsi="Arial Narrow" w:cstheme="majorBidi"/>
                <w:bCs/>
                <w:sz w:val="20"/>
              </w:rPr>
              <w:t>Discount rate (base case 5% costs and outcomes)</w:t>
            </w:r>
          </w:p>
          <w:p w14:paraId="56A3FE53" w14:textId="77777777" w:rsidR="00C36334" w:rsidRPr="00A74194" w:rsidRDefault="00D45AC7" w:rsidP="00F22259">
            <w:pPr>
              <w:keepNext/>
              <w:widowControl w:val="0"/>
              <w:jc w:val="left"/>
              <w:rPr>
                <w:rFonts w:ascii="Arial Narrow" w:eastAsiaTheme="majorEastAsia" w:hAnsi="Arial Narrow" w:cstheme="majorBidi"/>
                <w:bCs/>
                <w:sz w:val="20"/>
              </w:rPr>
            </w:pPr>
            <w:r w:rsidRPr="00A74194">
              <w:rPr>
                <w:rFonts w:ascii="Arial Narrow" w:eastAsiaTheme="majorEastAsia" w:hAnsi="Arial Narrow" w:cstheme="majorBidi"/>
                <w:bCs/>
                <w:sz w:val="20"/>
              </w:rPr>
              <w:t xml:space="preserve">- </w:t>
            </w:r>
            <w:r w:rsidR="00C36334" w:rsidRPr="00A74194">
              <w:rPr>
                <w:rFonts w:ascii="Arial Narrow" w:eastAsiaTheme="majorEastAsia" w:hAnsi="Arial Narrow" w:cstheme="majorBidi"/>
                <w:bCs/>
                <w:sz w:val="20"/>
              </w:rPr>
              <w:t>0% costs and outcomes</w:t>
            </w:r>
          </w:p>
          <w:p w14:paraId="6C60AB90" w14:textId="77777777" w:rsidR="00C36334" w:rsidRPr="00A74194" w:rsidRDefault="00D45AC7" w:rsidP="00F22259">
            <w:pPr>
              <w:keepNext/>
              <w:widowControl w:val="0"/>
              <w:jc w:val="left"/>
              <w:rPr>
                <w:rFonts w:ascii="Arial Narrow" w:eastAsiaTheme="majorEastAsia" w:hAnsi="Arial Narrow" w:cstheme="majorBidi"/>
                <w:bCs/>
                <w:sz w:val="20"/>
              </w:rPr>
            </w:pPr>
            <w:r w:rsidRPr="00A74194">
              <w:rPr>
                <w:rFonts w:ascii="Arial Narrow" w:eastAsiaTheme="majorEastAsia" w:hAnsi="Arial Narrow" w:cstheme="majorBidi"/>
                <w:bCs/>
                <w:sz w:val="20"/>
              </w:rPr>
              <w:t xml:space="preserve">- </w:t>
            </w:r>
            <w:r w:rsidR="00C36334" w:rsidRPr="00A74194">
              <w:rPr>
                <w:rFonts w:ascii="Arial Narrow" w:eastAsiaTheme="majorEastAsia" w:hAnsi="Arial Narrow" w:cstheme="majorBidi"/>
                <w:bCs/>
                <w:sz w:val="20"/>
              </w:rPr>
              <w:t>3.5% costs and outcomes</w:t>
            </w:r>
          </w:p>
        </w:tc>
        <w:tc>
          <w:tcPr>
            <w:tcW w:w="1134" w:type="dxa"/>
            <w:tcMar>
              <w:left w:w="28" w:type="dxa"/>
              <w:right w:w="28" w:type="dxa"/>
            </w:tcMar>
          </w:tcPr>
          <w:p w14:paraId="53A2A55A" w14:textId="77777777" w:rsidR="00C36334" w:rsidRPr="00027EBC" w:rsidRDefault="00C36334" w:rsidP="00F22259">
            <w:pPr>
              <w:keepNext/>
              <w:widowControl w:val="0"/>
              <w:jc w:val="center"/>
              <w:rPr>
                <w:rFonts w:ascii="Arial Narrow" w:eastAsiaTheme="majorEastAsia" w:hAnsi="Arial Narrow" w:cstheme="majorBidi"/>
                <w:bCs/>
                <w:sz w:val="20"/>
              </w:rPr>
            </w:pPr>
          </w:p>
          <w:p w14:paraId="21AE5938" w14:textId="77777777" w:rsidR="00C36334" w:rsidRPr="00027EBC" w:rsidRDefault="00027EBC" w:rsidP="00F22259">
            <w:pPr>
              <w:keepNext/>
              <w:widowControl w:val="0"/>
              <w:jc w:val="center"/>
              <w:rPr>
                <w:rFonts w:ascii="Arial Narrow" w:eastAsiaTheme="majorEastAsia" w:hAnsi="Arial Narrow" w:cstheme="majorBidi"/>
                <w:bCs/>
                <w:sz w:val="20"/>
                <w:highlight w:val="black"/>
              </w:rPr>
            </w:pPr>
            <w:r>
              <w:rPr>
                <w:rFonts w:ascii="Arial Narrow" w:eastAsiaTheme="majorEastAsia" w:hAnsi="Arial Narrow" w:cstheme="majorBidi"/>
                <w:bCs/>
                <w:noProof/>
                <w:color w:val="000000"/>
                <w:sz w:val="20"/>
                <w:highlight w:val="black"/>
              </w:rPr>
              <w:t>'''''''''''''''''''''</w:t>
            </w:r>
          </w:p>
          <w:p w14:paraId="38A185EC" w14:textId="77777777" w:rsidR="00C36334" w:rsidRPr="00027EBC" w:rsidRDefault="00027EBC" w:rsidP="00F22259">
            <w:pPr>
              <w:keepNext/>
              <w:widowControl w:val="0"/>
              <w:jc w:val="center"/>
              <w:rPr>
                <w:rFonts w:ascii="Arial Narrow" w:eastAsiaTheme="majorEastAsia" w:hAnsi="Arial Narrow" w:cstheme="majorBidi"/>
                <w:bCs/>
                <w:sz w:val="20"/>
                <w:highlight w:val="black"/>
              </w:rPr>
            </w:pPr>
            <w:r>
              <w:rPr>
                <w:rFonts w:ascii="Arial Narrow" w:eastAsiaTheme="majorEastAsia" w:hAnsi="Arial Narrow" w:cstheme="majorBidi"/>
                <w:bCs/>
                <w:noProof/>
                <w:color w:val="000000"/>
                <w:sz w:val="20"/>
                <w:highlight w:val="black"/>
              </w:rPr>
              <w:t>''''''''''''''''''''''</w:t>
            </w:r>
          </w:p>
        </w:tc>
        <w:tc>
          <w:tcPr>
            <w:tcW w:w="1134" w:type="dxa"/>
            <w:tcMar>
              <w:left w:w="28" w:type="dxa"/>
              <w:right w:w="28" w:type="dxa"/>
            </w:tcMar>
          </w:tcPr>
          <w:p w14:paraId="279B7AA3" w14:textId="77777777" w:rsidR="00C36334" w:rsidRPr="00A74194" w:rsidRDefault="00C36334" w:rsidP="00F22259">
            <w:pPr>
              <w:keepNext/>
              <w:widowControl w:val="0"/>
              <w:jc w:val="center"/>
              <w:rPr>
                <w:rFonts w:ascii="Arial Narrow" w:eastAsiaTheme="majorEastAsia" w:hAnsi="Arial Narrow" w:cstheme="majorBidi"/>
                <w:bCs/>
                <w:sz w:val="20"/>
              </w:rPr>
            </w:pPr>
          </w:p>
          <w:p w14:paraId="12BC9922" w14:textId="77777777" w:rsidR="00C36334" w:rsidRPr="00A74194" w:rsidRDefault="00C36334" w:rsidP="00F22259">
            <w:pPr>
              <w:keepNext/>
              <w:widowControl w:val="0"/>
              <w:jc w:val="center"/>
              <w:rPr>
                <w:rFonts w:ascii="Arial Narrow" w:eastAsiaTheme="majorEastAsia" w:hAnsi="Arial Narrow" w:cstheme="majorBidi"/>
                <w:bCs/>
                <w:sz w:val="20"/>
              </w:rPr>
            </w:pPr>
            <w:r w:rsidRPr="00A74194">
              <w:rPr>
                <w:rFonts w:ascii="Arial Narrow" w:eastAsiaTheme="majorEastAsia" w:hAnsi="Arial Narrow" w:cstheme="majorBidi"/>
                <w:bCs/>
                <w:sz w:val="20"/>
              </w:rPr>
              <w:t>4.285</w:t>
            </w:r>
          </w:p>
          <w:p w14:paraId="684B5FA0" w14:textId="77777777" w:rsidR="00C36334" w:rsidRPr="00A74194" w:rsidRDefault="00C36334" w:rsidP="00F22259">
            <w:pPr>
              <w:keepNext/>
              <w:widowControl w:val="0"/>
              <w:jc w:val="center"/>
              <w:rPr>
                <w:rFonts w:ascii="Arial Narrow" w:eastAsiaTheme="majorEastAsia" w:hAnsi="Arial Narrow" w:cstheme="majorBidi"/>
                <w:bCs/>
                <w:sz w:val="20"/>
              </w:rPr>
            </w:pPr>
            <w:r w:rsidRPr="00A74194">
              <w:rPr>
                <w:rFonts w:ascii="Arial Narrow" w:eastAsiaTheme="majorEastAsia" w:hAnsi="Arial Narrow" w:cstheme="majorBidi"/>
                <w:bCs/>
                <w:sz w:val="20"/>
              </w:rPr>
              <w:t>2.496</w:t>
            </w:r>
          </w:p>
        </w:tc>
        <w:tc>
          <w:tcPr>
            <w:tcW w:w="1086" w:type="dxa"/>
            <w:tcMar>
              <w:left w:w="28" w:type="dxa"/>
              <w:right w:w="28" w:type="dxa"/>
            </w:tcMar>
          </w:tcPr>
          <w:p w14:paraId="2EA078C2" w14:textId="77777777" w:rsidR="00C36334" w:rsidRPr="00027EBC" w:rsidRDefault="00C36334" w:rsidP="00F22259">
            <w:pPr>
              <w:keepNext/>
              <w:widowControl w:val="0"/>
              <w:jc w:val="center"/>
              <w:rPr>
                <w:rFonts w:ascii="Arial Narrow" w:eastAsiaTheme="majorEastAsia" w:hAnsi="Arial Narrow" w:cstheme="majorBidi"/>
                <w:bCs/>
                <w:sz w:val="20"/>
              </w:rPr>
            </w:pPr>
          </w:p>
          <w:p w14:paraId="5D457913" w14:textId="77777777" w:rsidR="00C36334" w:rsidRPr="00027EBC" w:rsidRDefault="00027EBC" w:rsidP="00F22259">
            <w:pPr>
              <w:keepNext/>
              <w:widowControl w:val="0"/>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B90E05" w:rsidRPr="00B90E05">
              <w:rPr>
                <w:rFonts w:ascii="Arial Narrow" w:eastAsiaTheme="majorEastAsia" w:hAnsi="Arial Narrow" w:cstheme="majorBidi"/>
                <w:bCs/>
                <w:sz w:val="20"/>
                <w:vertAlign w:val="superscript"/>
              </w:rPr>
              <w:t>3</w:t>
            </w:r>
          </w:p>
          <w:p w14:paraId="4D42BC7F" w14:textId="77777777" w:rsidR="00C36334" w:rsidRPr="00027EBC" w:rsidRDefault="00027EBC" w:rsidP="00F22259">
            <w:pPr>
              <w:keepNext/>
              <w:widowControl w:val="0"/>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B07D58" w:rsidRPr="00B07D58">
              <w:rPr>
                <w:rFonts w:ascii="Arial Narrow" w:eastAsiaTheme="majorEastAsia" w:hAnsi="Arial Narrow" w:cstheme="majorBidi"/>
                <w:bCs/>
                <w:sz w:val="20"/>
                <w:vertAlign w:val="superscript"/>
              </w:rPr>
              <w:t>1</w:t>
            </w:r>
          </w:p>
        </w:tc>
      </w:tr>
      <w:tr w:rsidR="00C36334" w:rsidRPr="00B90E05" w14:paraId="3B04E5C0" w14:textId="77777777" w:rsidTr="00DD4407">
        <w:tc>
          <w:tcPr>
            <w:tcW w:w="5949" w:type="dxa"/>
            <w:tcMar>
              <w:left w:w="28" w:type="dxa"/>
              <w:right w:w="28" w:type="dxa"/>
            </w:tcMar>
          </w:tcPr>
          <w:p w14:paraId="63F41AC4" w14:textId="77777777" w:rsidR="00C36334" w:rsidRPr="00A74194" w:rsidRDefault="00C36334" w:rsidP="00F22259">
            <w:pPr>
              <w:keepNext/>
              <w:widowControl w:val="0"/>
              <w:jc w:val="left"/>
              <w:rPr>
                <w:rFonts w:ascii="Arial Narrow" w:eastAsiaTheme="majorEastAsia" w:hAnsi="Arial Narrow" w:cstheme="majorBidi"/>
                <w:bCs/>
                <w:sz w:val="20"/>
              </w:rPr>
            </w:pPr>
            <w:r w:rsidRPr="00A74194">
              <w:rPr>
                <w:rFonts w:ascii="Arial Narrow" w:eastAsiaTheme="majorEastAsia" w:hAnsi="Arial Narrow" w:cstheme="majorBidi"/>
                <w:bCs/>
                <w:sz w:val="20"/>
              </w:rPr>
              <w:t>Time horizon (base case 30 years)</w:t>
            </w:r>
          </w:p>
          <w:p w14:paraId="26B3BA7B" w14:textId="77777777" w:rsidR="00C36334" w:rsidRPr="00A74194" w:rsidRDefault="00D45AC7" w:rsidP="00F22259">
            <w:pPr>
              <w:keepNext/>
              <w:widowControl w:val="0"/>
              <w:jc w:val="left"/>
              <w:rPr>
                <w:rFonts w:ascii="Arial Narrow" w:eastAsiaTheme="majorEastAsia" w:hAnsi="Arial Narrow" w:cstheme="majorBidi"/>
                <w:bCs/>
                <w:sz w:val="20"/>
              </w:rPr>
            </w:pPr>
            <w:r w:rsidRPr="00A74194">
              <w:rPr>
                <w:rFonts w:ascii="Arial Narrow" w:eastAsiaTheme="majorEastAsia" w:hAnsi="Arial Narrow" w:cstheme="majorBidi"/>
                <w:bCs/>
                <w:sz w:val="20"/>
              </w:rPr>
              <w:t xml:space="preserve">- </w:t>
            </w:r>
            <w:r w:rsidR="00C36334" w:rsidRPr="00A74194">
              <w:rPr>
                <w:rFonts w:ascii="Arial Narrow" w:eastAsiaTheme="majorEastAsia" w:hAnsi="Arial Narrow" w:cstheme="majorBidi"/>
                <w:bCs/>
                <w:sz w:val="20"/>
              </w:rPr>
              <w:t>5 years</w:t>
            </w:r>
          </w:p>
          <w:p w14:paraId="5805BC07" w14:textId="77777777" w:rsidR="00C36334" w:rsidRPr="00A74194" w:rsidRDefault="00D45AC7" w:rsidP="00F22259">
            <w:pPr>
              <w:keepNext/>
              <w:widowControl w:val="0"/>
              <w:jc w:val="left"/>
              <w:rPr>
                <w:rFonts w:ascii="Arial Narrow" w:eastAsiaTheme="majorEastAsia" w:hAnsi="Arial Narrow" w:cstheme="majorBidi"/>
                <w:bCs/>
                <w:sz w:val="20"/>
              </w:rPr>
            </w:pPr>
            <w:r w:rsidRPr="00A74194">
              <w:rPr>
                <w:rFonts w:ascii="Arial Narrow" w:eastAsiaTheme="majorEastAsia" w:hAnsi="Arial Narrow" w:cstheme="majorBidi"/>
                <w:bCs/>
                <w:sz w:val="20"/>
              </w:rPr>
              <w:t xml:space="preserve">- </w:t>
            </w:r>
            <w:r w:rsidR="00C36334" w:rsidRPr="00A74194">
              <w:rPr>
                <w:rFonts w:ascii="Arial Narrow" w:eastAsiaTheme="majorEastAsia" w:hAnsi="Arial Narrow" w:cstheme="majorBidi"/>
                <w:bCs/>
                <w:sz w:val="20"/>
              </w:rPr>
              <w:t>10 years</w:t>
            </w:r>
          </w:p>
          <w:p w14:paraId="6F0B2CFC" w14:textId="77777777" w:rsidR="00C36334" w:rsidRPr="00A74194" w:rsidRDefault="00D45AC7" w:rsidP="00F22259">
            <w:pPr>
              <w:keepNext/>
              <w:widowControl w:val="0"/>
              <w:jc w:val="left"/>
              <w:rPr>
                <w:rFonts w:ascii="Arial Narrow" w:eastAsiaTheme="majorEastAsia" w:hAnsi="Arial Narrow" w:cstheme="majorBidi"/>
                <w:bCs/>
                <w:sz w:val="20"/>
              </w:rPr>
            </w:pPr>
            <w:r w:rsidRPr="00A74194">
              <w:rPr>
                <w:rFonts w:ascii="Arial Narrow" w:eastAsiaTheme="majorEastAsia" w:hAnsi="Arial Narrow" w:cstheme="majorBidi"/>
                <w:bCs/>
                <w:sz w:val="20"/>
              </w:rPr>
              <w:t xml:space="preserve">- </w:t>
            </w:r>
            <w:r w:rsidR="00C36334" w:rsidRPr="00A74194">
              <w:rPr>
                <w:rFonts w:ascii="Arial Narrow" w:eastAsiaTheme="majorEastAsia" w:hAnsi="Arial Narrow" w:cstheme="majorBidi"/>
                <w:bCs/>
                <w:sz w:val="20"/>
              </w:rPr>
              <w:t>20 years</w:t>
            </w:r>
          </w:p>
          <w:p w14:paraId="1AC9B496" w14:textId="77777777" w:rsidR="00C36334" w:rsidRPr="00A74194" w:rsidRDefault="00D45AC7" w:rsidP="00F22259">
            <w:pPr>
              <w:keepNext/>
              <w:widowControl w:val="0"/>
              <w:jc w:val="left"/>
              <w:rPr>
                <w:rFonts w:ascii="Arial Narrow" w:eastAsiaTheme="majorEastAsia" w:hAnsi="Arial Narrow" w:cstheme="majorBidi"/>
                <w:bCs/>
                <w:sz w:val="20"/>
              </w:rPr>
            </w:pPr>
            <w:r w:rsidRPr="00A74194">
              <w:rPr>
                <w:rFonts w:ascii="Arial Narrow" w:eastAsiaTheme="majorEastAsia" w:hAnsi="Arial Narrow" w:cstheme="majorBidi"/>
                <w:bCs/>
                <w:sz w:val="20"/>
              </w:rPr>
              <w:t xml:space="preserve">- </w:t>
            </w:r>
            <w:r w:rsidR="00C36334" w:rsidRPr="00A74194">
              <w:rPr>
                <w:rFonts w:ascii="Arial Narrow" w:eastAsiaTheme="majorEastAsia" w:hAnsi="Arial Narrow" w:cstheme="majorBidi"/>
                <w:bCs/>
                <w:sz w:val="20"/>
              </w:rPr>
              <w:t>50 years</w:t>
            </w:r>
          </w:p>
        </w:tc>
        <w:tc>
          <w:tcPr>
            <w:tcW w:w="1134" w:type="dxa"/>
            <w:tcMar>
              <w:left w:w="28" w:type="dxa"/>
              <w:right w:w="28" w:type="dxa"/>
            </w:tcMar>
          </w:tcPr>
          <w:p w14:paraId="4721ADD7" w14:textId="77777777" w:rsidR="00C36334" w:rsidRPr="00027EBC" w:rsidRDefault="00C36334" w:rsidP="00F22259">
            <w:pPr>
              <w:keepNext/>
              <w:widowControl w:val="0"/>
              <w:jc w:val="center"/>
              <w:rPr>
                <w:rFonts w:ascii="Arial Narrow" w:eastAsiaTheme="majorEastAsia" w:hAnsi="Arial Narrow" w:cstheme="majorBidi"/>
                <w:bCs/>
                <w:sz w:val="20"/>
              </w:rPr>
            </w:pPr>
          </w:p>
          <w:p w14:paraId="7216F8A7" w14:textId="77777777" w:rsidR="00C36334" w:rsidRPr="00027EBC" w:rsidRDefault="00027EBC" w:rsidP="00F22259">
            <w:pPr>
              <w:keepNext/>
              <w:widowControl w:val="0"/>
              <w:jc w:val="center"/>
              <w:rPr>
                <w:rFonts w:ascii="Arial Narrow" w:eastAsiaTheme="majorEastAsia" w:hAnsi="Arial Narrow" w:cstheme="majorBidi"/>
                <w:bCs/>
                <w:sz w:val="20"/>
                <w:highlight w:val="black"/>
              </w:rPr>
            </w:pPr>
            <w:r>
              <w:rPr>
                <w:rFonts w:ascii="Arial Narrow" w:eastAsiaTheme="majorEastAsia" w:hAnsi="Arial Narrow" w:cstheme="majorBidi"/>
                <w:bCs/>
                <w:noProof/>
                <w:color w:val="000000"/>
                <w:sz w:val="20"/>
                <w:highlight w:val="black"/>
              </w:rPr>
              <w:t>''''''''''''''''''''''</w:t>
            </w:r>
          </w:p>
          <w:p w14:paraId="764E1FEB" w14:textId="77777777" w:rsidR="00C36334" w:rsidRPr="00027EBC" w:rsidRDefault="00027EBC" w:rsidP="00F22259">
            <w:pPr>
              <w:keepNext/>
              <w:widowControl w:val="0"/>
              <w:jc w:val="center"/>
              <w:rPr>
                <w:rFonts w:ascii="Arial Narrow" w:eastAsiaTheme="majorEastAsia" w:hAnsi="Arial Narrow" w:cstheme="majorBidi"/>
                <w:bCs/>
                <w:sz w:val="20"/>
                <w:highlight w:val="black"/>
              </w:rPr>
            </w:pPr>
            <w:r>
              <w:rPr>
                <w:rFonts w:ascii="Arial Narrow" w:eastAsiaTheme="majorEastAsia" w:hAnsi="Arial Narrow" w:cstheme="majorBidi"/>
                <w:bCs/>
                <w:noProof/>
                <w:color w:val="000000"/>
                <w:sz w:val="20"/>
                <w:highlight w:val="black"/>
              </w:rPr>
              <w:t>''''''''''''''''''''</w:t>
            </w:r>
          </w:p>
          <w:p w14:paraId="2E2B60F3" w14:textId="77777777" w:rsidR="00C36334" w:rsidRPr="00027EBC" w:rsidRDefault="00027EBC" w:rsidP="00F22259">
            <w:pPr>
              <w:keepNext/>
              <w:widowControl w:val="0"/>
              <w:jc w:val="center"/>
              <w:rPr>
                <w:rFonts w:ascii="Arial Narrow" w:eastAsiaTheme="majorEastAsia" w:hAnsi="Arial Narrow" w:cstheme="majorBidi"/>
                <w:bCs/>
                <w:sz w:val="20"/>
                <w:highlight w:val="black"/>
              </w:rPr>
            </w:pPr>
            <w:r>
              <w:rPr>
                <w:rFonts w:ascii="Arial Narrow" w:eastAsiaTheme="majorEastAsia" w:hAnsi="Arial Narrow" w:cstheme="majorBidi"/>
                <w:bCs/>
                <w:noProof/>
                <w:color w:val="000000"/>
                <w:sz w:val="20"/>
                <w:highlight w:val="black"/>
              </w:rPr>
              <w:t>'''''''''''''''''''''''</w:t>
            </w:r>
          </w:p>
          <w:p w14:paraId="51331761" w14:textId="77777777" w:rsidR="00C36334" w:rsidRPr="00027EBC" w:rsidRDefault="00027EBC" w:rsidP="00F22259">
            <w:pPr>
              <w:keepNext/>
              <w:widowControl w:val="0"/>
              <w:jc w:val="center"/>
              <w:rPr>
                <w:rFonts w:ascii="Arial Narrow" w:eastAsiaTheme="majorEastAsia" w:hAnsi="Arial Narrow" w:cstheme="majorBidi"/>
                <w:bCs/>
                <w:sz w:val="20"/>
                <w:highlight w:val="black"/>
              </w:rPr>
            </w:pPr>
            <w:r>
              <w:rPr>
                <w:rFonts w:ascii="Arial Narrow" w:eastAsiaTheme="majorEastAsia" w:hAnsi="Arial Narrow" w:cstheme="majorBidi"/>
                <w:bCs/>
                <w:noProof/>
                <w:color w:val="000000"/>
                <w:sz w:val="20"/>
                <w:highlight w:val="black"/>
              </w:rPr>
              <w:t>'''''''''''''''''''''''</w:t>
            </w:r>
          </w:p>
        </w:tc>
        <w:tc>
          <w:tcPr>
            <w:tcW w:w="1134" w:type="dxa"/>
            <w:tcMar>
              <w:left w:w="28" w:type="dxa"/>
              <w:right w:w="28" w:type="dxa"/>
            </w:tcMar>
          </w:tcPr>
          <w:p w14:paraId="3014BA8F" w14:textId="77777777" w:rsidR="00C36334" w:rsidRPr="00A74194" w:rsidRDefault="00C36334" w:rsidP="00F22259">
            <w:pPr>
              <w:keepNext/>
              <w:widowControl w:val="0"/>
              <w:jc w:val="center"/>
              <w:rPr>
                <w:rFonts w:ascii="Arial Narrow" w:eastAsiaTheme="majorEastAsia" w:hAnsi="Arial Narrow" w:cstheme="majorBidi"/>
                <w:bCs/>
                <w:sz w:val="20"/>
              </w:rPr>
            </w:pPr>
          </w:p>
          <w:p w14:paraId="2645BD05" w14:textId="77777777" w:rsidR="00C36334" w:rsidRPr="00A74194" w:rsidRDefault="00C36334" w:rsidP="00F22259">
            <w:pPr>
              <w:keepNext/>
              <w:widowControl w:val="0"/>
              <w:jc w:val="center"/>
              <w:rPr>
                <w:rFonts w:ascii="Arial Narrow" w:eastAsiaTheme="majorEastAsia" w:hAnsi="Arial Narrow" w:cstheme="majorBidi"/>
                <w:bCs/>
                <w:sz w:val="20"/>
              </w:rPr>
            </w:pPr>
            <w:r w:rsidRPr="00A74194">
              <w:rPr>
                <w:rFonts w:ascii="Arial Narrow" w:eastAsiaTheme="majorEastAsia" w:hAnsi="Arial Narrow" w:cstheme="majorBidi"/>
                <w:bCs/>
                <w:sz w:val="20"/>
              </w:rPr>
              <w:t>0.262</w:t>
            </w:r>
          </w:p>
          <w:p w14:paraId="5C711DB7" w14:textId="77777777" w:rsidR="00C36334" w:rsidRPr="00A74194" w:rsidRDefault="00C36334" w:rsidP="00F22259">
            <w:pPr>
              <w:keepNext/>
              <w:widowControl w:val="0"/>
              <w:jc w:val="center"/>
              <w:rPr>
                <w:rFonts w:ascii="Arial Narrow" w:eastAsiaTheme="majorEastAsia" w:hAnsi="Arial Narrow" w:cstheme="majorBidi"/>
                <w:bCs/>
                <w:sz w:val="20"/>
              </w:rPr>
            </w:pPr>
            <w:r w:rsidRPr="00A74194">
              <w:rPr>
                <w:rFonts w:ascii="Arial Narrow" w:eastAsiaTheme="majorEastAsia" w:hAnsi="Arial Narrow" w:cstheme="majorBidi"/>
                <w:bCs/>
                <w:sz w:val="20"/>
              </w:rPr>
              <w:t>0.682</w:t>
            </w:r>
          </w:p>
          <w:p w14:paraId="7A8DD875" w14:textId="77777777" w:rsidR="00C36334" w:rsidRPr="00A74194" w:rsidRDefault="00C36334" w:rsidP="00F22259">
            <w:pPr>
              <w:keepNext/>
              <w:widowControl w:val="0"/>
              <w:jc w:val="center"/>
              <w:rPr>
                <w:rFonts w:ascii="Arial Narrow" w:eastAsiaTheme="majorEastAsia" w:hAnsi="Arial Narrow" w:cstheme="majorBidi"/>
                <w:bCs/>
                <w:sz w:val="20"/>
              </w:rPr>
            </w:pPr>
            <w:r w:rsidRPr="00A74194">
              <w:rPr>
                <w:rFonts w:ascii="Arial Narrow" w:eastAsiaTheme="majorEastAsia" w:hAnsi="Arial Narrow" w:cstheme="majorBidi"/>
                <w:bCs/>
                <w:sz w:val="20"/>
              </w:rPr>
              <w:t>1.498</w:t>
            </w:r>
          </w:p>
          <w:p w14:paraId="2EB5FEAF" w14:textId="77777777" w:rsidR="00C36334" w:rsidRPr="00A74194" w:rsidRDefault="00C36334" w:rsidP="00F22259">
            <w:pPr>
              <w:keepNext/>
              <w:widowControl w:val="0"/>
              <w:jc w:val="center"/>
              <w:rPr>
                <w:rFonts w:ascii="Arial Narrow" w:eastAsiaTheme="majorEastAsia" w:hAnsi="Arial Narrow" w:cstheme="majorBidi"/>
                <w:bCs/>
                <w:sz w:val="20"/>
              </w:rPr>
            </w:pPr>
            <w:r w:rsidRPr="00A74194">
              <w:rPr>
                <w:rFonts w:ascii="Arial Narrow" w:eastAsiaTheme="majorEastAsia" w:hAnsi="Arial Narrow" w:cstheme="majorBidi"/>
                <w:bCs/>
                <w:sz w:val="20"/>
              </w:rPr>
              <w:t>2.235</w:t>
            </w:r>
          </w:p>
        </w:tc>
        <w:tc>
          <w:tcPr>
            <w:tcW w:w="1086" w:type="dxa"/>
            <w:tcMar>
              <w:left w:w="28" w:type="dxa"/>
              <w:right w:w="28" w:type="dxa"/>
            </w:tcMar>
          </w:tcPr>
          <w:p w14:paraId="16F854EC" w14:textId="77777777" w:rsidR="00C36334" w:rsidRPr="00027EBC" w:rsidRDefault="00C36334" w:rsidP="00F22259">
            <w:pPr>
              <w:keepNext/>
              <w:widowControl w:val="0"/>
              <w:jc w:val="center"/>
              <w:rPr>
                <w:rFonts w:ascii="Arial Narrow" w:eastAsiaTheme="majorEastAsia" w:hAnsi="Arial Narrow" w:cstheme="majorBidi"/>
                <w:bCs/>
                <w:sz w:val="20"/>
              </w:rPr>
            </w:pPr>
          </w:p>
          <w:p w14:paraId="4FDE90F0" w14:textId="77777777" w:rsidR="00C36334" w:rsidRPr="00027EBC" w:rsidRDefault="00027EBC" w:rsidP="00F22259">
            <w:pPr>
              <w:keepNext/>
              <w:widowControl w:val="0"/>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B07D58" w:rsidRPr="00B07D58">
              <w:rPr>
                <w:rFonts w:ascii="Arial Narrow" w:eastAsiaTheme="majorEastAsia" w:hAnsi="Arial Narrow" w:cstheme="majorBidi"/>
                <w:bCs/>
                <w:sz w:val="20"/>
                <w:vertAlign w:val="superscript"/>
              </w:rPr>
              <w:t>4</w:t>
            </w:r>
          </w:p>
          <w:p w14:paraId="286B31AA" w14:textId="77777777" w:rsidR="00C36334" w:rsidRPr="00027EBC" w:rsidRDefault="00027EBC" w:rsidP="00F22259">
            <w:pPr>
              <w:keepNext/>
              <w:widowControl w:val="0"/>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B07D58" w:rsidRPr="00B07D58">
              <w:rPr>
                <w:rFonts w:ascii="Arial Narrow" w:eastAsiaTheme="majorEastAsia" w:hAnsi="Arial Narrow" w:cstheme="majorBidi"/>
                <w:bCs/>
                <w:sz w:val="20"/>
                <w:vertAlign w:val="superscript"/>
              </w:rPr>
              <w:t>5</w:t>
            </w:r>
          </w:p>
          <w:p w14:paraId="335CFE81" w14:textId="77777777" w:rsidR="00C36334" w:rsidRPr="00027EBC" w:rsidRDefault="00027EBC" w:rsidP="00F22259">
            <w:pPr>
              <w:keepNext/>
              <w:widowControl w:val="0"/>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B07D58" w:rsidRPr="00B07D58">
              <w:rPr>
                <w:rFonts w:ascii="Arial Narrow" w:eastAsiaTheme="majorEastAsia" w:hAnsi="Arial Narrow" w:cstheme="majorBidi"/>
                <w:bCs/>
                <w:sz w:val="20"/>
                <w:vertAlign w:val="superscript"/>
              </w:rPr>
              <w:t>2</w:t>
            </w:r>
          </w:p>
          <w:p w14:paraId="119C7A1A" w14:textId="77777777" w:rsidR="00C36334" w:rsidRPr="00027EBC" w:rsidRDefault="00027EBC" w:rsidP="00F22259">
            <w:pPr>
              <w:keepNext/>
              <w:widowControl w:val="0"/>
              <w:jc w:val="center"/>
              <w:rPr>
                <w:rFonts w:ascii="Arial Narrow" w:eastAsiaTheme="majorEastAsia" w:hAnsi="Arial Narrow" w:cstheme="majorBidi"/>
                <w:bCs/>
                <w:sz w:val="20"/>
                <w:highlight w:val="black"/>
              </w:rPr>
            </w:pPr>
            <w:r>
              <w:rPr>
                <w:rFonts w:ascii="Arial Narrow" w:eastAsiaTheme="majorEastAsia" w:hAnsi="Arial Narrow" w:cstheme="majorBidi"/>
                <w:bCs/>
                <w:noProof/>
                <w:color w:val="000000"/>
                <w:sz w:val="20"/>
                <w:highlight w:val="black"/>
              </w:rPr>
              <w:t>'''''''''''''''''''''''</w:t>
            </w:r>
          </w:p>
        </w:tc>
      </w:tr>
      <w:tr w:rsidR="00C36334" w:rsidRPr="00B90E05" w14:paraId="4C7858AD" w14:textId="77777777" w:rsidTr="00DD4407">
        <w:tc>
          <w:tcPr>
            <w:tcW w:w="5949" w:type="dxa"/>
            <w:tcMar>
              <w:left w:w="28" w:type="dxa"/>
              <w:right w:w="28" w:type="dxa"/>
            </w:tcMar>
          </w:tcPr>
          <w:p w14:paraId="45EEDA54" w14:textId="77777777" w:rsidR="00C36334" w:rsidRPr="00A74194" w:rsidRDefault="00C36334" w:rsidP="00F22259">
            <w:pPr>
              <w:keepNext/>
              <w:widowControl w:val="0"/>
              <w:jc w:val="left"/>
              <w:rPr>
                <w:rFonts w:ascii="Arial Narrow" w:eastAsiaTheme="majorEastAsia" w:hAnsi="Arial Narrow" w:cstheme="majorBidi"/>
                <w:bCs/>
                <w:sz w:val="20"/>
              </w:rPr>
            </w:pPr>
            <w:r w:rsidRPr="00A74194">
              <w:rPr>
                <w:rFonts w:ascii="Arial Narrow" w:eastAsiaTheme="majorEastAsia" w:hAnsi="Arial Narrow" w:cstheme="majorBidi"/>
                <w:bCs/>
                <w:sz w:val="20"/>
              </w:rPr>
              <w:t>Mortality rate</w:t>
            </w:r>
            <w:r w:rsidR="00FE4239" w:rsidRPr="00A74194">
              <w:rPr>
                <w:rFonts w:ascii="Arial Narrow" w:eastAsiaTheme="majorEastAsia" w:hAnsi="Arial Narrow" w:cstheme="majorBidi"/>
                <w:bCs/>
                <w:sz w:val="20"/>
              </w:rPr>
              <w:t xml:space="preserve"> </w:t>
            </w:r>
            <w:r w:rsidR="0073110A" w:rsidRPr="00A74194">
              <w:rPr>
                <w:rFonts w:ascii="Arial Narrow" w:eastAsiaTheme="majorEastAsia" w:hAnsi="Arial Narrow" w:cstheme="majorBidi"/>
                <w:bCs/>
                <w:sz w:val="20"/>
              </w:rPr>
              <w:t xml:space="preserve">from DCC to death </w:t>
            </w:r>
            <w:r w:rsidR="00FE4239" w:rsidRPr="00A74194">
              <w:rPr>
                <w:rFonts w:ascii="Arial Narrow" w:eastAsiaTheme="majorEastAsia" w:hAnsi="Arial Narrow" w:cstheme="majorBidi"/>
                <w:bCs/>
                <w:sz w:val="20"/>
              </w:rPr>
              <w:t>(base case used 12.9% at 1 year)</w:t>
            </w:r>
          </w:p>
          <w:p w14:paraId="773AB1B6" w14:textId="77777777" w:rsidR="00C36334" w:rsidRPr="00A74194" w:rsidRDefault="00D45AC7" w:rsidP="00F22259">
            <w:pPr>
              <w:keepNext/>
              <w:widowControl w:val="0"/>
              <w:jc w:val="left"/>
              <w:rPr>
                <w:rFonts w:ascii="Arial Narrow" w:eastAsiaTheme="majorEastAsia" w:hAnsi="Arial Narrow" w:cstheme="majorBidi"/>
                <w:bCs/>
                <w:sz w:val="20"/>
              </w:rPr>
            </w:pPr>
            <w:r w:rsidRPr="00A74194">
              <w:rPr>
                <w:rFonts w:ascii="Arial Narrow" w:eastAsiaTheme="majorEastAsia" w:hAnsi="Arial Narrow" w:cstheme="majorBidi"/>
                <w:bCs/>
                <w:sz w:val="20"/>
              </w:rPr>
              <w:t xml:space="preserve">- </w:t>
            </w:r>
            <w:r w:rsidR="00C36334" w:rsidRPr="00A74194">
              <w:rPr>
                <w:rFonts w:ascii="Arial Narrow" w:eastAsiaTheme="majorEastAsia" w:hAnsi="Arial Narrow" w:cstheme="majorBidi"/>
                <w:bCs/>
                <w:sz w:val="20"/>
              </w:rPr>
              <w:t xml:space="preserve">9% </w:t>
            </w:r>
            <w:r w:rsidR="0073110A" w:rsidRPr="00A74194">
              <w:rPr>
                <w:rFonts w:ascii="Arial Narrow" w:eastAsiaTheme="majorEastAsia" w:hAnsi="Arial Narrow" w:cstheme="majorBidi"/>
                <w:bCs/>
                <w:sz w:val="20"/>
              </w:rPr>
              <w:t>over</w:t>
            </w:r>
            <w:r w:rsidR="00C36334" w:rsidRPr="00A74194">
              <w:rPr>
                <w:rFonts w:ascii="Arial Narrow" w:eastAsiaTheme="majorEastAsia" w:hAnsi="Arial Narrow" w:cstheme="majorBidi"/>
                <w:bCs/>
                <w:sz w:val="20"/>
              </w:rPr>
              <w:t xml:space="preserve"> 5 years (</w:t>
            </w:r>
            <w:r w:rsidR="0073110A" w:rsidRPr="00A74194">
              <w:rPr>
                <w:rFonts w:ascii="Arial Narrow" w:eastAsiaTheme="majorEastAsia" w:hAnsi="Arial Narrow" w:cstheme="majorBidi"/>
                <w:bCs/>
                <w:sz w:val="20"/>
              </w:rPr>
              <w:t>Fattovich 1997</w:t>
            </w:r>
            <w:r w:rsidR="00C36334" w:rsidRPr="00A74194">
              <w:rPr>
                <w:rFonts w:ascii="Arial Narrow" w:eastAsiaTheme="majorEastAsia" w:hAnsi="Arial Narrow" w:cstheme="majorBidi"/>
                <w:bCs/>
                <w:sz w:val="20"/>
              </w:rPr>
              <w:t>)</w:t>
            </w:r>
            <w:r w:rsidR="00FE4239" w:rsidRPr="00A74194">
              <w:rPr>
                <w:rFonts w:ascii="Arial Narrow" w:eastAsiaTheme="majorEastAsia" w:hAnsi="Arial Narrow" w:cstheme="majorBidi"/>
                <w:bCs/>
                <w:sz w:val="20"/>
              </w:rPr>
              <w:t xml:space="preserve"> </w:t>
            </w:r>
          </w:p>
        </w:tc>
        <w:tc>
          <w:tcPr>
            <w:tcW w:w="1134" w:type="dxa"/>
            <w:tcMar>
              <w:left w:w="28" w:type="dxa"/>
              <w:right w:w="28" w:type="dxa"/>
            </w:tcMar>
            <w:vAlign w:val="bottom"/>
          </w:tcPr>
          <w:p w14:paraId="21C09439" w14:textId="77777777" w:rsidR="00C36334" w:rsidRPr="00027EBC" w:rsidRDefault="00027EBC" w:rsidP="00F22259">
            <w:pPr>
              <w:keepNext/>
              <w:widowControl w:val="0"/>
              <w:jc w:val="center"/>
              <w:rPr>
                <w:rFonts w:ascii="Arial Narrow" w:eastAsiaTheme="majorEastAsia" w:hAnsi="Arial Narrow" w:cstheme="majorBidi"/>
                <w:bCs/>
                <w:sz w:val="20"/>
                <w:highlight w:val="black"/>
              </w:rPr>
            </w:pPr>
            <w:r>
              <w:rPr>
                <w:rFonts w:ascii="Arial Narrow" w:eastAsiaTheme="majorEastAsia" w:hAnsi="Arial Narrow" w:cstheme="majorBidi"/>
                <w:bCs/>
                <w:noProof/>
                <w:color w:val="000000"/>
                <w:sz w:val="20"/>
                <w:highlight w:val="black"/>
              </w:rPr>
              <w:t>'''''''''''''''''''''''</w:t>
            </w:r>
          </w:p>
        </w:tc>
        <w:tc>
          <w:tcPr>
            <w:tcW w:w="1134" w:type="dxa"/>
            <w:tcMar>
              <w:left w:w="28" w:type="dxa"/>
              <w:right w:w="28" w:type="dxa"/>
            </w:tcMar>
            <w:vAlign w:val="bottom"/>
          </w:tcPr>
          <w:p w14:paraId="740300FB" w14:textId="77777777" w:rsidR="00C36334" w:rsidRPr="00A74194" w:rsidRDefault="00C36334" w:rsidP="00F22259">
            <w:pPr>
              <w:keepNext/>
              <w:widowControl w:val="0"/>
              <w:jc w:val="center"/>
              <w:rPr>
                <w:rFonts w:ascii="Arial Narrow" w:eastAsiaTheme="majorEastAsia" w:hAnsi="Arial Narrow" w:cstheme="majorBidi"/>
                <w:bCs/>
                <w:sz w:val="20"/>
              </w:rPr>
            </w:pPr>
            <w:r w:rsidRPr="00A74194">
              <w:rPr>
                <w:rFonts w:ascii="Arial Narrow" w:eastAsiaTheme="majorEastAsia" w:hAnsi="Arial Narrow" w:cstheme="majorBidi"/>
                <w:bCs/>
                <w:sz w:val="20"/>
              </w:rPr>
              <w:t>1.868</w:t>
            </w:r>
          </w:p>
        </w:tc>
        <w:tc>
          <w:tcPr>
            <w:tcW w:w="1086" w:type="dxa"/>
            <w:tcMar>
              <w:left w:w="28" w:type="dxa"/>
              <w:right w:w="28" w:type="dxa"/>
            </w:tcMar>
            <w:vAlign w:val="bottom"/>
          </w:tcPr>
          <w:p w14:paraId="324998D1" w14:textId="77777777" w:rsidR="00C36334" w:rsidRPr="00027EBC" w:rsidRDefault="00027EBC" w:rsidP="00F22259">
            <w:pPr>
              <w:keepNext/>
              <w:widowControl w:val="0"/>
              <w:jc w:val="center"/>
              <w:rPr>
                <w:rFonts w:ascii="Arial Narrow" w:eastAsiaTheme="majorEastAsia" w:hAnsi="Arial Narrow" w:cstheme="majorBidi"/>
                <w:bCs/>
                <w:sz w:val="20"/>
                <w:highlight w:val="black"/>
              </w:rPr>
            </w:pPr>
            <w:r>
              <w:rPr>
                <w:rFonts w:ascii="Arial Narrow" w:eastAsiaTheme="majorEastAsia" w:hAnsi="Arial Narrow" w:cstheme="majorBidi"/>
                <w:bCs/>
                <w:noProof/>
                <w:color w:val="000000"/>
                <w:sz w:val="20"/>
                <w:highlight w:val="black"/>
              </w:rPr>
              <w:t>''''''''''''''''''''</w:t>
            </w:r>
          </w:p>
        </w:tc>
      </w:tr>
      <w:tr w:rsidR="00C36334" w:rsidRPr="00B90E05" w14:paraId="5178EF87" w14:textId="77777777" w:rsidTr="00DD4407">
        <w:tc>
          <w:tcPr>
            <w:tcW w:w="5949" w:type="dxa"/>
            <w:tcMar>
              <w:left w:w="28" w:type="dxa"/>
              <w:right w:w="28" w:type="dxa"/>
            </w:tcMar>
          </w:tcPr>
          <w:p w14:paraId="3FEEBB04" w14:textId="77777777" w:rsidR="00C36334" w:rsidRPr="00A74194" w:rsidRDefault="00C36334" w:rsidP="00F22259">
            <w:pPr>
              <w:keepNext/>
              <w:widowControl w:val="0"/>
              <w:jc w:val="left"/>
              <w:rPr>
                <w:rFonts w:ascii="Arial Narrow" w:eastAsiaTheme="majorEastAsia" w:hAnsi="Arial Narrow" w:cstheme="majorBidi"/>
                <w:bCs/>
                <w:sz w:val="20"/>
              </w:rPr>
            </w:pPr>
            <w:r w:rsidRPr="00A74194">
              <w:rPr>
                <w:rFonts w:ascii="Arial Narrow" w:eastAsiaTheme="majorEastAsia" w:hAnsi="Arial Narrow" w:cstheme="majorBidi"/>
                <w:bCs/>
                <w:sz w:val="20"/>
              </w:rPr>
              <w:t>Discontinuation proportion in cycle</w:t>
            </w:r>
            <w:r w:rsidR="00FE4239" w:rsidRPr="00A74194">
              <w:rPr>
                <w:rFonts w:ascii="Arial Narrow" w:eastAsiaTheme="majorEastAsia" w:hAnsi="Arial Narrow" w:cstheme="majorBidi"/>
                <w:bCs/>
                <w:sz w:val="20"/>
              </w:rPr>
              <w:t xml:space="preserve"> (base case used 49.3%)</w:t>
            </w:r>
          </w:p>
          <w:p w14:paraId="44895DF2" w14:textId="77777777" w:rsidR="00C36334" w:rsidRPr="00A74194" w:rsidRDefault="00DD4407" w:rsidP="00F22259">
            <w:pPr>
              <w:keepNext/>
              <w:widowControl w:val="0"/>
              <w:jc w:val="left"/>
              <w:rPr>
                <w:rFonts w:ascii="Arial Narrow" w:eastAsiaTheme="majorEastAsia" w:hAnsi="Arial Narrow" w:cstheme="majorBidi"/>
                <w:bCs/>
                <w:sz w:val="20"/>
              </w:rPr>
            </w:pPr>
            <w:r w:rsidRPr="00A74194">
              <w:rPr>
                <w:rFonts w:ascii="Arial Narrow" w:eastAsiaTheme="majorEastAsia" w:hAnsi="Arial Narrow" w:cstheme="majorBidi"/>
                <w:bCs/>
                <w:sz w:val="20"/>
              </w:rPr>
              <w:t xml:space="preserve">- </w:t>
            </w:r>
            <w:r w:rsidR="00C36334" w:rsidRPr="00A74194">
              <w:rPr>
                <w:rFonts w:ascii="Arial Narrow" w:eastAsiaTheme="majorEastAsia" w:hAnsi="Arial Narrow" w:cstheme="majorBidi"/>
                <w:bCs/>
                <w:sz w:val="20"/>
              </w:rPr>
              <w:t>Changed proportion in cycle 4 so that discontinuation adds to 54% at 12 months (instead of 49.3% currently)</w:t>
            </w:r>
          </w:p>
        </w:tc>
        <w:tc>
          <w:tcPr>
            <w:tcW w:w="1134" w:type="dxa"/>
            <w:tcMar>
              <w:left w:w="28" w:type="dxa"/>
              <w:right w:w="28" w:type="dxa"/>
            </w:tcMar>
            <w:vAlign w:val="bottom"/>
          </w:tcPr>
          <w:p w14:paraId="64E5F06B" w14:textId="77777777" w:rsidR="00C36334" w:rsidRPr="00027EBC" w:rsidRDefault="00027EBC" w:rsidP="00F22259">
            <w:pPr>
              <w:keepNext/>
              <w:widowControl w:val="0"/>
              <w:jc w:val="center"/>
              <w:rPr>
                <w:rFonts w:ascii="Arial Narrow" w:eastAsiaTheme="majorEastAsia" w:hAnsi="Arial Narrow" w:cstheme="majorBidi"/>
                <w:bCs/>
                <w:sz w:val="20"/>
                <w:highlight w:val="black"/>
              </w:rPr>
            </w:pPr>
            <w:r>
              <w:rPr>
                <w:rFonts w:ascii="Arial Narrow" w:eastAsiaTheme="majorEastAsia" w:hAnsi="Arial Narrow" w:cstheme="majorBidi"/>
                <w:bCs/>
                <w:noProof/>
                <w:color w:val="000000"/>
                <w:sz w:val="20"/>
                <w:highlight w:val="black"/>
              </w:rPr>
              <w:t>''''''''''''''''''''</w:t>
            </w:r>
          </w:p>
        </w:tc>
        <w:tc>
          <w:tcPr>
            <w:tcW w:w="1134" w:type="dxa"/>
            <w:tcMar>
              <w:left w:w="28" w:type="dxa"/>
              <w:right w:w="28" w:type="dxa"/>
            </w:tcMar>
            <w:vAlign w:val="bottom"/>
          </w:tcPr>
          <w:p w14:paraId="64451B1A" w14:textId="77777777" w:rsidR="00C36334" w:rsidRPr="00A74194" w:rsidRDefault="00C36334" w:rsidP="00F22259">
            <w:pPr>
              <w:keepNext/>
              <w:widowControl w:val="0"/>
              <w:jc w:val="center"/>
              <w:rPr>
                <w:rFonts w:ascii="Arial Narrow" w:eastAsiaTheme="majorEastAsia" w:hAnsi="Arial Narrow" w:cstheme="majorBidi"/>
                <w:bCs/>
                <w:sz w:val="20"/>
              </w:rPr>
            </w:pPr>
            <w:r w:rsidRPr="00A74194">
              <w:rPr>
                <w:rFonts w:ascii="Arial Narrow" w:eastAsiaTheme="majorEastAsia" w:hAnsi="Arial Narrow" w:cstheme="majorBidi"/>
                <w:bCs/>
                <w:sz w:val="20"/>
              </w:rPr>
              <w:t>1.893</w:t>
            </w:r>
          </w:p>
        </w:tc>
        <w:tc>
          <w:tcPr>
            <w:tcW w:w="1086" w:type="dxa"/>
            <w:tcMar>
              <w:left w:w="28" w:type="dxa"/>
              <w:right w:w="28" w:type="dxa"/>
            </w:tcMar>
            <w:vAlign w:val="bottom"/>
          </w:tcPr>
          <w:p w14:paraId="4A2D934E" w14:textId="77777777" w:rsidR="00C36334" w:rsidRPr="00027EBC" w:rsidRDefault="00027EBC" w:rsidP="00F22259">
            <w:pPr>
              <w:keepNext/>
              <w:widowControl w:val="0"/>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B07D58" w:rsidRPr="00B07D58">
              <w:rPr>
                <w:rFonts w:ascii="Arial Narrow" w:eastAsiaTheme="majorEastAsia" w:hAnsi="Arial Narrow" w:cstheme="majorBidi"/>
                <w:bCs/>
                <w:sz w:val="20"/>
                <w:vertAlign w:val="superscript"/>
              </w:rPr>
              <w:t>1</w:t>
            </w:r>
          </w:p>
        </w:tc>
      </w:tr>
      <w:tr w:rsidR="00C36334" w:rsidRPr="00B90E05" w14:paraId="57EFDF71" w14:textId="77777777" w:rsidTr="00DD4407">
        <w:tc>
          <w:tcPr>
            <w:tcW w:w="5949" w:type="dxa"/>
            <w:tcMar>
              <w:left w:w="28" w:type="dxa"/>
              <w:right w:w="28" w:type="dxa"/>
            </w:tcMar>
          </w:tcPr>
          <w:p w14:paraId="2789DFDE" w14:textId="77777777" w:rsidR="00FE4239" w:rsidRPr="00A74194" w:rsidRDefault="00FE4239" w:rsidP="00F22259">
            <w:pPr>
              <w:keepNext/>
              <w:widowControl w:val="0"/>
              <w:jc w:val="left"/>
              <w:rPr>
                <w:rFonts w:ascii="Arial Narrow" w:eastAsiaTheme="majorEastAsia" w:hAnsi="Arial Narrow" w:cstheme="majorBidi"/>
                <w:bCs/>
                <w:sz w:val="20"/>
              </w:rPr>
            </w:pPr>
            <w:r w:rsidRPr="00A74194">
              <w:rPr>
                <w:rFonts w:ascii="Arial Narrow" w:eastAsiaTheme="majorEastAsia" w:hAnsi="Arial Narrow" w:cstheme="majorBidi"/>
                <w:bCs/>
                <w:sz w:val="20"/>
              </w:rPr>
              <w:t>Utilities in mild and moderate health states (base case used 0.84 for mild and moderate from Younossi et al 2001)</w:t>
            </w:r>
          </w:p>
          <w:p w14:paraId="6F5E089C" w14:textId="77777777" w:rsidR="00C36334" w:rsidRPr="00A74194" w:rsidRDefault="00DD4407" w:rsidP="00F22259">
            <w:pPr>
              <w:keepNext/>
              <w:widowControl w:val="0"/>
              <w:jc w:val="left"/>
              <w:rPr>
                <w:rFonts w:ascii="Arial Narrow" w:eastAsiaTheme="majorEastAsia" w:hAnsi="Arial Narrow" w:cstheme="majorBidi"/>
                <w:bCs/>
                <w:sz w:val="20"/>
              </w:rPr>
            </w:pPr>
            <w:r w:rsidRPr="00A74194">
              <w:rPr>
                <w:rFonts w:ascii="Arial Narrow" w:eastAsiaTheme="majorEastAsia" w:hAnsi="Arial Narrow" w:cstheme="majorBidi"/>
                <w:bCs/>
                <w:sz w:val="20"/>
              </w:rPr>
              <w:t xml:space="preserve">- </w:t>
            </w:r>
            <w:r w:rsidR="00FE4239" w:rsidRPr="00A74194">
              <w:rPr>
                <w:rFonts w:ascii="Arial Narrow" w:eastAsiaTheme="majorEastAsia" w:hAnsi="Arial Narrow" w:cstheme="majorBidi"/>
                <w:bCs/>
                <w:sz w:val="20"/>
              </w:rPr>
              <w:t>M</w:t>
            </w:r>
            <w:r w:rsidR="00C36334" w:rsidRPr="00A74194">
              <w:rPr>
                <w:rFonts w:ascii="Arial Narrow" w:eastAsiaTheme="majorEastAsia" w:hAnsi="Arial Narrow" w:cstheme="majorBidi"/>
                <w:bCs/>
                <w:sz w:val="20"/>
              </w:rPr>
              <w:t>ild (0.77) and moderate (0.66) biochemical health state utilities from Wright (2006)</w:t>
            </w:r>
          </w:p>
        </w:tc>
        <w:tc>
          <w:tcPr>
            <w:tcW w:w="1134" w:type="dxa"/>
            <w:tcMar>
              <w:left w:w="28" w:type="dxa"/>
              <w:right w:w="28" w:type="dxa"/>
            </w:tcMar>
          </w:tcPr>
          <w:p w14:paraId="057D3506" w14:textId="77777777" w:rsidR="00DD4407" w:rsidRPr="00027EBC" w:rsidRDefault="00DD4407" w:rsidP="00F22259">
            <w:pPr>
              <w:keepNext/>
              <w:widowControl w:val="0"/>
              <w:jc w:val="center"/>
              <w:rPr>
                <w:rFonts w:ascii="Arial Narrow" w:hAnsi="Arial Narrow"/>
                <w:sz w:val="20"/>
                <w:szCs w:val="20"/>
              </w:rPr>
            </w:pPr>
          </w:p>
          <w:p w14:paraId="2F67CD78" w14:textId="77777777" w:rsidR="00DD4407" w:rsidRPr="00027EBC" w:rsidRDefault="00DD4407" w:rsidP="00F22259">
            <w:pPr>
              <w:keepNext/>
              <w:widowControl w:val="0"/>
              <w:jc w:val="center"/>
              <w:rPr>
                <w:rFonts w:ascii="Arial Narrow" w:hAnsi="Arial Narrow"/>
                <w:sz w:val="20"/>
                <w:szCs w:val="20"/>
              </w:rPr>
            </w:pPr>
          </w:p>
          <w:p w14:paraId="3C424777" w14:textId="77777777" w:rsidR="00C36334" w:rsidRPr="00027EBC" w:rsidRDefault="00027EBC" w:rsidP="00F22259">
            <w:pPr>
              <w:keepNext/>
              <w:widowControl w:val="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Mar>
              <w:left w:w="28" w:type="dxa"/>
              <w:right w:w="28" w:type="dxa"/>
            </w:tcMar>
          </w:tcPr>
          <w:p w14:paraId="55BC7606" w14:textId="77777777" w:rsidR="00DD4407" w:rsidRPr="00A74194" w:rsidRDefault="00DD4407" w:rsidP="00F22259">
            <w:pPr>
              <w:keepNext/>
              <w:widowControl w:val="0"/>
              <w:jc w:val="center"/>
              <w:rPr>
                <w:rFonts w:ascii="Arial Narrow" w:hAnsi="Arial Narrow"/>
                <w:sz w:val="20"/>
                <w:szCs w:val="20"/>
              </w:rPr>
            </w:pPr>
          </w:p>
          <w:p w14:paraId="3A089D32" w14:textId="77777777" w:rsidR="00DD4407" w:rsidRPr="00A74194" w:rsidRDefault="00DD4407" w:rsidP="00F22259">
            <w:pPr>
              <w:keepNext/>
              <w:widowControl w:val="0"/>
              <w:jc w:val="center"/>
              <w:rPr>
                <w:rFonts w:ascii="Arial Narrow" w:hAnsi="Arial Narrow"/>
                <w:sz w:val="20"/>
                <w:szCs w:val="20"/>
              </w:rPr>
            </w:pPr>
          </w:p>
          <w:p w14:paraId="778358E8" w14:textId="77777777" w:rsidR="00C36334" w:rsidRPr="00A74194" w:rsidRDefault="00C36334" w:rsidP="00F22259">
            <w:pPr>
              <w:keepNext/>
              <w:widowControl w:val="0"/>
              <w:jc w:val="center"/>
              <w:rPr>
                <w:rFonts w:ascii="Arial Narrow" w:hAnsi="Arial Narrow"/>
                <w:sz w:val="20"/>
                <w:szCs w:val="20"/>
              </w:rPr>
            </w:pPr>
            <w:r w:rsidRPr="00A74194">
              <w:rPr>
                <w:rFonts w:ascii="Arial Narrow" w:hAnsi="Arial Narrow"/>
                <w:sz w:val="20"/>
                <w:szCs w:val="20"/>
              </w:rPr>
              <w:t>1.515</w:t>
            </w:r>
          </w:p>
        </w:tc>
        <w:tc>
          <w:tcPr>
            <w:tcW w:w="1086" w:type="dxa"/>
            <w:tcMar>
              <w:left w:w="28" w:type="dxa"/>
              <w:right w:w="28" w:type="dxa"/>
            </w:tcMar>
          </w:tcPr>
          <w:p w14:paraId="04F6C302" w14:textId="77777777" w:rsidR="00DD4407" w:rsidRPr="00027EBC" w:rsidRDefault="00DD4407" w:rsidP="00F22259">
            <w:pPr>
              <w:keepNext/>
              <w:widowControl w:val="0"/>
              <w:jc w:val="center"/>
              <w:rPr>
                <w:rFonts w:ascii="Arial Narrow" w:eastAsiaTheme="majorEastAsia" w:hAnsi="Arial Narrow" w:cstheme="majorBidi"/>
                <w:bCs/>
                <w:sz w:val="20"/>
              </w:rPr>
            </w:pPr>
          </w:p>
          <w:p w14:paraId="09A3C79F" w14:textId="77777777" w:rsidR="00DD4407" w:rsidRPr="00027EBC" w:rsidRDefault="00DD4407" w:rsidP="00F22259">
            <w:pPr>
              <w:keepNext/>
              <w:widowControl w:val="0"/>
              <w:jc w:val="center"/>
              <w:rPr>
                <w:rFonts w:ascii="Arial Narrow" w:eastAsiaTheme="majorEastAsia" w:hAnsi="Arial Narrow" w:cstheme="majorBidi"/>
                <w:bCs/>
                <w:sz w:val="20"/>
              </w:rPr>
            </w:pPr>
          </w:p>
          <w:p w14:paraId="6B2DD276" w14:textId="77777777" w:rsidR="00C36334" w:rsidRPr="00027EBC" w:rsidRDefault="00027EBC" w:rsidP="00F22259">
            <w:pPr>
              <w:keepNext/>
              <w:widowControl w:val="0"/>
              <w:jc w:val="center"/>
              <w:rPr>
                <w:rFonts w:ascii="Arial Narrow" w:hAnsi="Arial Narrow"/>
                <w:sz w:val="20"/>
                <w:szCs w:val="20"/>
                <w:highlight w:val="black"/>
              </w:rPr>
            </w:pPr>
            <w:r>
              <w:rPr>
                <w:rFonts w:ascii="Arial Narrow" w:eastAsiaTheme="majorEastAsia" w:hAnsi="Arial Narrow" w:cstheme="majorBidi"/>
                <w:bCs/>
                <w:noProof/>
                <w:color w:val="000000"/>
                <w:sz w:val="20"/>
                <w:highlight w:val="black"/>
              </w:rPr>
              <w:t>'''''''''''''''''''''''''</w:t>
            </w:r>
          </w:p>
        </w:tc>
      </w:tr>
      <w:tr w:rsidR="00C36334" w:rsidRPr="00B90E05" w14:paraId="4E19AAB4" w14:textId="77777777" w:rsidTr="00DD4407">
        <w:tc>
          <w:tcPr>
            <w:tcW w:w="5949" w:type="dxa"/>
            <w:tcMar>
              <w:left w:w="28" w:type="dxa"/>
              <w:right w:w="28" w:type="dxa"/>
            </w:tcMar>
          </w:tcPr>
          <w:p w14:paraId="285BE584" w14:textId="77777777" w:rsidR="00FE4239" w:rsidRPr="00A74194" w:rsidRDefault="00FE4239" w:rsidP="00F22259">
            <w:pPr>
              <w:keepNext/>
              <w:widowControl w:val="0"/>
              <w:jc w:val="left"/>
              <w:rPr>
                <w:rFonts w:ascii="Arial Narrow" w:eastAsiaTheme="majorEastAsia" w:hAnsi="Arial Narrow" w:cstheme="majorBidi"/>
                <w:bCs/>
                <w:sz w:val="20"/>
              </w:rPr>
            </w:pPr>
            <w:r w:rsidRPr="00A74194">
              <w:rPr>
                <w:rFonts w:ascii="Arial Narrow" w:eastAsiaTheme="majorEastAsia" w:hAnsi="Arial Narrow" w:cstheme="majorBidi"/>
                <w:bCs/>
                <w:sz w:val="20"/>
              </w:rPr>
              <w:t>Disutility for pruritus (base case -0.03 for 1 year)</w:t>
            </w:r>
          </w:p>
          <w:p w14:paraId="6880CF45" w14:textId="77777777" w:rsidR="00C36334" w:rsidRPr="00A74194" w:rsidRDefault="00DD4407" w:rsidP="00F22259">
            <w:pPr>
              <w:keepNext/>
              <w:widowControl w:val="0"/>
              <w:jc w:val="left"/>
              <w:rPr>
                <w:rFonts w:ascii="Arial Narrow" w:eastAsiaTheme="majorEastAsia" w:hAnsi="Arial Narrow" w:cstheme="majorBidi"/>
                <w:bCs/>
                <w:sz w:val="20"/>
              </w:rPr>
            </w:pPr>
            <w:r w:rsidRPr="00A74194">
              <w:rPr>
                <w:rFonts w:ascii="Arial Narrow" w:eastAsiaTheme="majorEastAsia" w:hAnsi="Arial Narrow" w:cstheme="majorBidi"/>
                <w:bCs/>
                <w:sz w:val="20"/>
              </w:rPr>
              <w:t xml:space="preserve">- </w:t>
            </w:r>
            <w:r w:rsidR="00F14C26" w:rsidRPr="00A74194">
              <w:rPr>
                <w:rFonts w:ascii="Arial Narrow" w:eastAsiaTheme="majorEastAsia" w:hAnsi="Arial Narrow" w:cstheme="majorBidi"/>
                <w:bCs/>
                <w:sz w:val="20"/>
              </w:rPr>
              <w:t>-</w:t>
            </w:r>
            <w:r w:rsidR="00C36334" w:rsidRPr="00A74194">
              <w:rPr>
                <w:rFonts w:ascii="Arial Narrow" w:eastAsiaTheme="majorEastAsia" w:hAnsi="Arial Narrow" w:cstheme="majorBidi"/>
                <w:bCs/>
                <w:sz w:val="20"/>
              </w:rPr>
              <w:t xml:space="preserve">0.03* </w:t>
            </w:r>
            <w:r w:rsidR="00FE4239" w:rsidRPr="00A74194">
              <w:rPr>
                <w:rFonts w:ascii="Arial Narrow" w:eastAsiaTheme="majorEastAsia" w:hAnsi="Arial Narrow" w:cstheme="majorBidi"/>
                <w:bCs/>
                <w:sz w:val="20"/>
              </w:rPr>
              <w:t>in</w:t>
            </w:r>
            <w:r w:rsidR="00C36334" w:rsidRPr="00A74194">
              <w:rPr>
                <w:rFonts w:ascii="Arial Narrow" w:eastAsiaTheme="majorEastAsia" w:hAnsi="Arial Narrow" w:cstheme="majorBidi"/>
                <w:bCs/>
                <w:sz w:val="20"/>
              </w:rPr>
              <w:t xml:space="preserve"> years 2-30</w:t>
            </w:r>
          </w:p>
          <w:p w14:paraId="309C6D7F" w14:textId="77777777" w:rsidR="00FE4239" w:rsidRPr="00A74194" w:rsidRDefault="00DD4407" w:rsidP="00F22259">
            <w:pPr>
              <w:keepNext/>
              <w:widowControl w:val="0"/>
              <w:jc w:val="left"/>
              <w:rPr>
                <w:rFonts w:eastAsiaTheme="majorEastAsia"/>
              </w:rPr>
            </w:pPr>
            <w:r w:rsidRPr="00A74194">
              <w:rPr>
                <w:rFonts w:ascii="Arial Narrow" w:eastAsiaTheme="majorEastAsia" w:hAnsi="Arial Narrow" w:cstheme="majorBidi"/>
                <w:bCs/>
                <w:sz w:val="20"/>
              </w:rPr>
              <w:t xml:space="preserve">- </w:t>
            </w:r>
            <w:r w:rsidR="00F14C26" w:rsidRPr="00A74194">
              <w:rPr>
                <w:rFonts w:ascii="Arial Narrow" w:eastAsiaTheme="majorEastAsia" w:hAnsi="Arial Narrow" w:cstheme="majorBidi"/>
                <w:bCs/>
                <w:sz w:val="20"/>
              </w:rPr>
              <w:t>-</w:t>
            </w:r>
            <w:r w:rsidR="00FE4239" w:rsidRPr="00A74194">
              <w:rPr>
                <w:rFonts w:ascii="Arial Narrow" w:eastAsiaTheme="majorEastAsia" w:hAnsi="Arial Narrow" w:cstheme="majorBidi"/>
                <w:bCs/>
                <w:sz w:val="20"/>
              </w:rPr>
              <w:t>0.015* in years 2-30</w:t>
            </w:r>
          </w:p>
        </w:tc>
        <w:tc>
          <w:tcPr>
            <w:tcW w:w="1134" w:type="dxa"/>
            <w:tcMar>
              <w:left w:w="28" w:type="dxa"/>
              <w:right w:w="28" w:type="dxa"/>
            </w:tcMar>
          </w:tcPr>
          <w:p w14:paraId="7C217C65" w14:textId="77777777" w:rsidR="00FE4239" w:rsidRPr="00027EBC" w:rsidRDefault="00FE4239" w:rsidP="00F22259">
            <w:pPr>
              <w:keepNext/>
              <w:widowControl w:val="0"/>
              <w:jc w:val="center"/>
              <w:rPr>
                <w:rFonts w:ascii="Arial Narrow" w:hAnsi="Arial Narrow"/>
                <w:sz w:val="20"/>
                <w:szCs w:val="20"/>
              </w:rPr>
            </w:pPr>
          </w:p>
          <w:p w14:paraId="2BAE3809" w14:textId="77777777" w:rsidR="00C36334" w:rsidRPr="00027EBC" w:rsidRDefault="00027EBC" w:rsidP="00F22259">
            <w:pPr>
              <w:keepNext/>
              <w:widowControl w:val="0"/>
              <w:jc w:val="center"/>
              <w:rPr>
                <w:rFonts w:ascii="Arial Narrow" w:hAnsi="Arial Narrow"/>
                <w:sz w:val="20"/>
                <w:szCs w:val="20"/>
                <w:highlight w:val="black"/>
              </w:rPr>
            </w:pPr>
            <w:r>
              <w:rPr>
                <w:rFonts w:ascii="Arial Narrow" w:hAnsi="Arial Narrow"/>
                <w:noProof/>
                <w:color w:val="000000"/>
                <w:sz w:val="20"/>
                <w:szCs w:val="20"/>
                <w:highlight w:val="black"/>
              </w:rPr>
              <w:t>''''''''''''''''''''</w:t>
            </w:r>
          </w:p>
          <w:p w14:paraId="55A88929" w14:textId="77777777" w:rsidR="00FE4239" w:rsidRPr="00027EBC" w:rsidRDefault="00027EBC" w:rsidP="00F22259">
            <w:pPr>
              <w:keepNext/>
              <w:widowControl w:val="0"/>
              <w:jc w:val="center"/>
              <w:rPr>
                <w:rFonts w:ascii="Arial Narrow" w:eastAsiaTheme="majorEastAsia" w:hAnsi="Arial Narrow" w:cstheme="majorBidi"/>
                <w:bCs/>
                <w:sz w:val="20"/>
                <w:szCs w:val="20"/>
                <w:highlight w:val="black"/>
              </w:rPr>
            </w:pPr>
            <w:r>
              <w:rPr>
                <w:rFonts w:ascii="Arial Narrow" w:hAnsi="Arial Narrow"/>
                <w:noProof/>
                <w:color w:val="000000"/>
                <w:sz w:val="20"/>
                <w:szCs w:val="20"/>
                <w:highlight w:val="black"/>
              </w:rPr>
              <w:t>'''''''''''''''''''''</w:t>
            </w:r>
          </w:p>
        </w:tc>
        <w:tc>
          <w:tcPr>
            <w:tcW w:w="1134" w:type="dxa"/>
            <w:tcMar>
              <w:left w:w="28" w:type="dxa"/>
              <w:right w:w="28" w:type="dxa"/>
            </w:tcMar>
          </w:tcPr>
          <w:p w14:paraId="3DA2C635" w14:textId="77777777" w:rsidR="00FE4239" w:rsidRPr="00A74194" w:rsidRDefault="00FE4239" w:rsidP="00F22259">
            <w:pPr>
              <w:keepNext/>
              <w:widowControl w:val="0"/>
              <w:jc w:val="center"/>
              <w:rPr>
                <w:rFonts w:ascii="Arial Narrow" w:hAnsi="Arial Narrow"/>
                <w:sz w:val="20"/>
                <w:szCs w:val="20"/>
              </w:rPr>
            </w:pPr>
          </w:p>
          <w:p w14:paraId="289AB0B4" w14:textId="77777777" w:rsidR="00C36334" w:rsidRPr="00A74194" w:rsidRDefault="00C36334" w:rsidP="00F22259">
            <w:pPr>
              <w:keepNext/>
              <w:widowControl w:val="0"/>
              <w:jc w:val="center"/>
              <w:rPr>
                <w:rFonts w:ascii="Arial Narrow" w:hAnsi="Arial Narrow"/>
                <w:sz w:val="20"/>
                <w:szCs w:val="20"/>
              </w:rPr>
            </w:pPr>
            <w:r w:rsidRPr="00A74194">
              <w:rPr>
                <w:rFonts w:ascii="Arial Narrow" w:hAnsi="Arial Narrow"/>
                <w:sz w:val="20"/>
                <w:szCs w:val="20"/>
              </w:rPr>
              <w:t>1.572</w:t>
            </w:r>
          </w:p>
          <w:p w14:paraId="5179ADE0" w14:textId="77777777" w:rsidR="00FE4239" w:rsidRPr="00A74194" w:rsidRDefault="00FE4239" w:rsidP="00F22259">
            <w:pPr>
              <w:keepNext/>
              <w:widowControl w:val="0"/>
              <w:jc w:val="center"/>
              <w:rPr>
                <w:rFonts w:ascii="Arial Narrow" w:eastAsiaTheme="majorEastAsia" w:hAnsi="Arial Narrow" w:cstheme="majorBidi"/>
                <w:bCs/>
                <w:sz w:val="20"/>
                <w:szCs w:val="20"/>
              </w:rPr>
            </w:pPr>
            <w:r w:rsidRPr="00A74194">
              <w:rPr>
                <w:rFonts w:ascii="Arial Narrow" w:hAnsi="Arial Narrow"/>
                <w:sz w:val="20"/>
                <w:szCs w:val="20"/>
              </w:rPr>
              <w:t>1.788</w:t>
            </w:r>
          </w:p>
        </w:tc>
        <w:tc>
          <w:tcPr>
            <w:tcW w:w="1086" w:type="dxa"/>
            <w:tcMar>
              <w:left w:w="28" w:type="dxa"/>
              <w:right w:w="28" w:type="dxa"/>
            </w:tcMar>
          </w:tcPr>
          <w:p w14:paraId="441044F7" w14:textId="77777777" w:rsidR="00FE4239" w:rsidRPr="00027EBC" w:rsidRDefault="00FE4239" w:rsidP="00F22259">
            <w:pPr>
              <w:keepNext/>
              <w:widowControl w:val="0"/>
              <w:jc w:val="center"/>
              <w:rPr>
                <w:rFonts w:ascii="Arial Narrow" w:hAnsi="Arial Narrow"/>
                <w:sz w:val="20"/>
                <w:szCs w:val="20"/>
              </w:rPr>
            </w:pPr>
          </w:p>
          <w:p w14:paraId="3F32825C" w14:textId="77777777" w:rsidR="00C36334" w:rsidRPr="00027EBC" w:rsidRDefault="00027EBC" w:rsidP="00F22259">
            <w:pPr>
              <w:keepNext/>
              <w:widowControl w:val="0"/>
              <w:jc w:val="center"/>
              <w:rPr>
                <w:rFonts w:ascii="Arial Narrow" w:hAnsi="Arial Narrow"/>
                <w:sz w:val="20"/>
                <w:szCs w:val="20"/>
              </w:rPr>
            </w:pPr>
            <w:r>
              <w:rPr>
                <w:rFonts w:ascii="Arial Narrow" w:hAnsi="Arial Narrow"/>
                <w:noProof/>
                <w:color w:val="000000"/>
                <w:sz w:val="20"/>
                <w:szCs w:val="20"/>
                <w:highlight w:val="black"/>
              </w:rPr>
              <w:t>''''''''''''''''''''''</w:t>
            </w:r>
            <w:r w:rsidR="00B07D58" w:rsidRPr="00B07D58">
              <w:rPr>
                <w:rFonts w:ascii="Arial Narrow" w:hAnsi="Arial Narrow"/>
                <w:sz w:val="20"/>
                <w:szCs w:val="20"/>
                <w:vertAlign w:val="superscript"/>
              </w:rPr>
              <w:t>2</w:t>
            </w:r>
          </w:p>
          <w:p w14:paraId="0FBFD9F8" w14:textId="77777777" w:rsidR="00FE4239" w:rsidRPr="00027EBC" w:rsidRDefault="00027EBC" w:rsidP="00F22259">
            <w:pPr>
              <w:keepNext/>
              <w:widowControl w:val="0"/>
              <w:jc w:val="center"/>
              <w:rPr>
                <w:rFonts w:ascii="Arial Narrow" w:eastAsiaTheme="majorEastAsia" w:hAnsi="Arial Narrow" w:cstheme="majorBidi"/>
                <w:bCs/>
                <w:sz w:val="20"/>
                <w:szCs w:val="20"/>
              </w:rPr>
            </w:pPr>
            <w:r>
              <w:rPr>
                <w:rFonts w:ascii="Arial Narrow" w:hAnsi="Arial Narrow"/>
                <w:noProof/>
                <w:color w:val="000000"/>
                <w:sz w:val="20"/>
                <w:szCs w:val="20"/>
                <w:highlight w:val="black"/>
              </w:rPr>
              <w:t>'''''''''''''''''''''</w:t>
            </w:r>
            <w:r w:rsidR="003770BE">
              <w:rPr>
                <w:rFonts w:ascii="Arial Narrow" w:hAnsi="Arial Narrow"/>
                <w:sz w:val="20"/>
                <w:szCs w:val="20"/>
                <w:vertAlign w:val="superscript"/>
              </w:rPr>
              <w:t>2</w:t>
            </w:r>
          </w:p>
        </w:tc>
      </w:tr>
    </w:tbl>
    <w:p w14:paraId="49B68A4A" w14:textId="77777777" w:rsidR="000F7F68" w:rsidRPr="00A74194" w:rsidRDefault="000F7F68" w:rsidP="00C36334">
      <w:pPr>
        <w:rPr>
          <w:rFonts w:ascii="Arial Narrow" w:hAnsi="Arial Narrow"/>
          <w:sz w:val="18"/>
        </w:rPr>
      </w:pPr>
      <w:r w:rsidRPr="00A74194">
        <w:rPr>
          <w:rFonts w:ascii="Arial Narrow" w:hAnsi="Arial Narrow"/>
          <w:sz w:val="18"/>
        </w:rPr>
        <w:t>DCC = decompensated cirrhosis; DPMQ = dispensed price for maximum quantity; ICER = incremental cost effectiveness ratio; OCA = obeticholic acid; QALY = quality adjusted life year</w:t>
      </w:r>
    </w:p>
    <w:p w14:paraId="7AE41CFC" w14:textId="77777777" w:rsidR="00C36334" w:rsidRPr="00A74194" w:rsidRDefault="00C36334" w:rsidP="00C36334">
      <w:pPr>
        <w:rPr>
          <w:rFonts w:ascii="Arial Narrow" w:hAnsi="Arial Narrow"/>
          <w:sz w:val="18"/>
        </w:rPr>
      </w:pPr>
      <w:r w:rsidRPr="00A74194">
        <w:rPr>
          <w:rFonts w:ascii="Arial Narrow" w:hAnsi="Arial Narrow"/>
          <w:sz w:val="18"/>
        </w:rPr>
        <w:t xml:space="preserve">*Ideally this value would be precisely calculated using the number of patients who are continuing in the model. </w:t>
      </w:r>
    </w:p>
    <w:p w14:paraId="1C38E32A" w14:textId="77777777" w:rsidR="00C36334" w:rsidRDefault="00C36334" w:rsidP="00C36334">
      <w:pPr>
        <w:rPr>
          <w:rFonts w:ascii="Arial Narrow" w:hAnsi="Arial Narrow"/>
          <w:sz w:val="18"/>
        </w:rPr>
      </w:pPr>
      <w:r w:rsidRPr="00A74194">
        <w:rPr>
          <w:rFonts w:ascii="Arial Narrow" w:hAnsi="Arial Narrow"/>
          <w:sz w:val="18"/>
        </w:rPr>
        <w:t>Source: compiled during the evaluation using the economic model</w:t>
      </w:r>
    </w:p>
    <w:p w14:paraId="4D6F8039" w14:textId="77777777" w:rsidR="00B90E05" w:rsidRPr="00B90E05" w:rsidRDefault="00B90E05" w:rsidP="00B90E05">
      <w:pPr>
        <w:rPr>
          <w:rFonts w:ascii="Arial Narrow" w:hAnsi="Arial Narrow"/>
          <w:i/>
          <w:sz w:val="16"/>
        </w:rPr>
      </w:pPr>
      <w:r w:rsidRPr="00B90E05">
        <w:rPr>
          <w:rFonts w:ascii="Arial Narrow" w:hAnsi="Arial Narrow"/>
          <w:i/>
          <w:sz w:val="16"/>
        </w:rPr>
        <w:t>The redacted values correspond to the following ranges:</w:t>
      </w:r>
    </w:p>
    <w:p w14:paraId="4996ECDD" w14:textId="77777777" w:rsidR="00B90E05" w:rsidRPr="00B90E05" w:rsidRDefault="00B90E05" w:rsidP="00B90E05">
      <w:pPr>
        <w:rPr>
          <w:rFonts w:ascii="Arial Narrow" w:hAnsi="Arial Narrow"/>
          <w:i/>
          <w:sz w:val="16"/>
        </w:rPr>
      </w:pPr>
      <w:r w:rsidRPr="00B90E05">
        <w:rPr>
          <w:rFonts w:ascii="Arial Narrow" w:hAnsi="Arial Narrow"/>
          <w:i/>
          <w:sz w:val="16"/>
          <w:vertAlign w:val="superscript"/>
        </w:rPr>
        <w:t>1</w:t>
      </w:r>
      <w:r w:rsidRPr="00B90E05">
        <w:rPr>
          <w:rFonts w:ascii="Arial Narrow" w:hAnsi="Arial Narrow"/>
          <w:i/>
          <w:sz w:val="16"/>
        </w:rPr>
        <w:t>$</w:t>
      </w:r>
      <w:r w:rsidR="003770BE">
        <w:rPr>
          <w:rFonts w:ascii="Arial Narrow" w:hAnsi="Arial Narrow"/>
          <w:i/>
          <w:sz w:val="16"/>
        </w:rPr>
        <w:t>75,</w:t>
      </w:r>
      <w:r w:rsidRPr="00B90E05">
        <w:rPr>
          <w:rFonts w:ascii="Arial Narrow" w:hAnsi="Arial Narrow"/>
          <w:i/>
          <w:sz w:val="16"/>
        </w:rPr>
        <w:t>000 to &lt;$</w:t>
      </w:r>
      <w:r w:rsidR="003770BE">
        <w:rPr>
          <w:rFonts w:ascii="Arial Narrow" w:hAnsi="Arial Narrow"/>
          <w:i/>
          <w:sz w:val="16"/>
        </w:rPr>
        <w:t>95</w:t>
      </w:r>
      <w:r w:rsidRPr="00B90E05">
        <w:rPr>
          <w:rFonts w:ascii="Arial Narrow" w:hAnsi="Arial Narrow"/>
          <w:i/>
          <w:sz w:val="16"/>
        </w:rPr>
        <w:t>,000/QALY gained</w:t>
      </w:r>
    </w:p>
    <w:p w14:paraId="3E09B22D" w14:textId="77777777" w:rsidR="00B90E05" w:rsidRPr="00B90E05" w:rsidRDefault="00B90E05" w:rsidP="00B90E05">
      <w:pPr>
        <w:rPr>
          <w:rFonts w:ascii="Arial Narrow" w:hAnsi="Arial Narrow"/>
          <w:i/>
          <w:sz w:val="16"/>
        </w:rPr>
      </w:pPr>
      <w:r w:rsidRPr="00B90E05">
        <w:rPr>
          <w:rFonts w:ascii="Arial Narrow" w:hAnsi="Arial Narrow"/>
          <w:i/>
          <w:sz w:val="16"/>
          <w:vertAlign w:val="superscript"/>
        </w:rPr>
        <w:t>2</w:t>
      </w:r>
      <w:r w:rsidRPr="00B90E05">
        <w:rPr>
          <w:rFonts w:ascii="Arial Narrow" w:hAnsi="Arial Narrow"/>
          <w:i/>
          <w:sz w:val="16"/>
        </w:rPr>
        <w:t>$</w:t>
      </w:r>
      <w:r w:rsidR="003770BE">
        <w:rPr>
          <w:rFonts w:ascii="Arial Narrow" w:hAnsi="Arial Narrow"/>
          <w:i/>
          <w:sz w:val="16"/>
        </w:rPr>
        <w:t>95,</w:t>
      </w:r>
      <w:r w:rsidRPr="00B90E05">
        <w:rPr>
          <w:rFonts w:ascii="Arial Narrow" w:hAnsi="Arial Narrow"/>
          <w:i/>
          <w:sz w:val="16"/>
        </w:rPr>
        <w:t>000 to &lt;$1</w:t>
      </w:r>
      <w:r w:rsidR="003770BE">
        <w:rPr>
          <w:rFonts w:ascii="Arial Narrow" w:hAnsi="Arial Narrow"/>
          <w:i/>
          <w:sz w:val="16"/>
        </w:rPr>
        <w:t>15</w:t>
      </w:r>
      <w:r w:rsidRPr="00B90E05">
        <w:rPr>
          <w:rFonts w:ascii="Arial Narrow" w:hAnsi="Arial Narrow"/>
          <w:i/>
          <w:sz w:val="16"/>
        </w:rPr>
        <w:t>,000/QALY gained</w:t>
      </w:r>
    </w:p>
    <w:p w14:paraId="150544AA" w14:textId="77777777" w:rsidR="00B90E05" w:rsidRPr="00B90E05" w:rsidRDefault="00B90E05" w:rsidP="00B90E05">
      <w:pPr>
        <w:rPr>
          <w:rFonts w:ascii="Arial Narrow" w:hAnsi="Arial Narrow"/>
          <w:i/>
          <w:sz w:val="16"/>
        </w:rPr>
      </w:pPr>
      <w:r w:rsidRPr="00B90E05">
        <w:rPr>
          <w:rFonts w:ascii="Arial Narrow" w:hAnsi="Arial Narrow"/>
          <w:i/>
          <w:sz w:val="16"/>
          <w:vertAlign w:val="superscript"/>
        </w:rPr>
        <w:t>3</w:t>
      </w:r>
      <w:r w:rsidRPr="00B90E05">
        <w:rPr>
          <w:rFonts w:ascii="Arial Narrow" w:hAnsi="Arial Narrow"/>
          <w:i/>
          <w:sz w:val="16"/>
        </w:rPr>
        <w:t>$7</w:t>
      </w:r>
      <w:r w:rsidR="003770BE">
        <w:rPr>
          <w:rFonts w:ascii="Arial Narrow" w:hAnsi="Arial Narrow"/>
          <w:i/>
          <w:sz w:val="16"/>
        </w:rPr>
        <w:t>5</w:t>
      </w:r>
      <w:r w:rsidRPr="00B90E05">
        <w:rPr>
          <w:rFonts w:ascii="Arial Narrow" w:hAnsi="Arial Narrow"/>
          <w:i/>
          <w:sz w:val="16"/>
        </w:rPr>
        <w:t>,000 to &lt;$9</w:t>
      </w:r>
      <w:r w:rsidR="003770BE">
        <w:rPr>
          <w:rFonts w:ascii="Arial Narrow" w:hAnsi="Arial Narrow"/>
          <w:i/>
          <w:sz w:val="16"/>
        </w:rPr>
        <w:t>5</w:t>
      </w:r>
      <w:r w:rsidRPr="00B90E05">
        <w:rPr>
          <w:rFonts w:ascii="Arial Narrow" w:hAnsi="Arial Narrow"/>
          <w:i/>
          <w:sz w:val="16"/>
        </w:rPr>
        <w:t>,000/QALY gained</w:t>
      </w:r>
    </w:p>
    <w:p w14:paraId="0627D8D8" w14:textId="77777777" w:rsidR="00B90E05" w:rsidRPr="00B90E05" w:rsidRDefault="00B90E05" w:rsidP="00B90E05">
      <w:pPr>
        <w:rPr>
          <w:rFonts w:ascii="Arial Narrow" w:hAnsi="Arial Narrow"/>
          <w:i/>
          <w:sz w:val="16"/>
        </w:rPr>
      </w:pPr>
      <w:r w:rsidRPr="00B90E05">
        <w:rPr>
          <w:rFonts w:ascii="Arial Narrow" w:hAnsi="Arial Narrow"/>
          <w:i/>
          <w:sz w:val="16"/>
          <w:vertAlign w:val="superscript"/>
        </w:rPr>
        <w:t>4</w:t>
      </w:r>
      <w:r w:rsidRPr="00B90E05">
        <w:rPr>
          <w:rFonts w:ascii="Arial Narrow" w:hAnsi="Arial Narrow"/>
          <w:i/>
          <w:sz w:val="16"/>
        </w:rPr>
        <w:t>$255,000 to &lt;$355,000/QALY gained</w:t>
      </w:r>
    </w:p>
    <w:p w14:paraId="41B69AF4" w14:textId="77777777" w:rsidR="00B90E05" w:rsidRPr="00B90E05" w:rsidRDefault="00B90E05" w:rsidP="00B90E05">
      <w:pPr>
        <w:rPr>
          <w:rFonts w:ascii="Arial Narrow" w:hAnsi="Arial Narrow"/>
          <w:i/>
          <w:sz w:val="16"/>
        </w:rPr>
      </w:pPr>
      <w:r w:rsidRPr="00B90E05">
        <w:rPr>
          <w:rFonts w:ascii="Arial Narrow" w:hAnsi="Arial Narrow"/>
          <w:i/>
          <w:sz w:val="16"/>
          <w:vertAlign w:val="superscript"/>
        </w:rPr>
        <w:t>5</w:t>
      </w:r>
      <w:r w:rsidRPr="00B90E05">
        <w:rPr>
          <w:rFonts w:ascii="Arial Narrow" w:hAnsi="Arial Narrow"/>
          <w:i/>
          <w:sz w:val="16"/>
        </w:rPr>
        <w:t>$135,000 to &lt;$155,000/QALY gained</w:t>
      </w:r>
    </w:p>
    <w:p w14:paraId="15635D3B" w14:textId="77777777" w:rsidR="00B90E05" w:rsidRPr="00A74194" w:rsidRDefault="00B90E05" w:rsidP="00C36334">
      <w:pPr>
        <w:rPr>
          <w:rFonts w:ascii="Arial Narrow" w:hAnsi="Arial Narrow"/>
          <w:sz w:val="18"/>
        </w:rPr>
      </w:pPr>
    </w:p>
    <w:p w14:paraId="1FFC6B11" w14:textId="77777777" w:rsidR="00B159C2" w:rsidRPr="00A74194" w:rsidRDefault="00B159C2" w:rsidP="00B159C2">
      <w:pPr>
        <w:pStyle w:val="3-BodyText"/>
        <w:rPr>
          <w:iCs/>
        </w:rPr>
      </w:pPr>
      <w:r w:rsidRPr="00A74194">
        <w:rPr>
          <w:iCs/>
        </w:rPr>
        <w:t xml:space="preserve">The model was sensitive to the time horizon, proportion of people on </w:t>
      </w:r>
      <w:r w:rsidR="00BF6464" w:rsidRPr="00A74194">
        <w:rPr>
          <w:iCs/>
        </w:rPr>
        <w:t>half dose (dose every other day)</w:t>
      </w:r>
      <w:r w:rsidRPr="00A74194">
        <w:rPr>
          <w:iCs/>
        </w:rPr>
        <w:t xml:space="preserve">, </w:t>
      </w:r>
      <w:r w:rsidR="00153407" w:rsidRPr="00A74194">
        <w:rPr>
          <w:iCs/>
        </w:rPr>
        <w:t>the application of disutility for prurit</w:t>
      </w:r>
      <w:r w:rsidR="002C054A" w:rsidRPr="00A74194">
        <w:rPr>
          <w:iCs/>
        </w:rPr>
        <w:t>u</w:t>
      </w:r>
      <w:r w:rsidR="00153407" w:rsidRPr="00A74194">
        <w:rPr>
          <w:iCs/>
        </w:rPr>
        <w:t xml:space="preserve">s beyond </w:t>
      </w:r>
      <w:r w:rsidR="00645009" w:rsidRPr="00A74194">
        <w:rPr>
          <w:iCs/>
        </w:rPr>
        <w:t>Y</w:t>
      </w:r>
      <w:r w:rsidR="00153407" w:rsidRPr="00A74194">
        <w:rPr>
          <w:iCs/>
        </w:rPr>
        <w:t xml:space="preserve">ear 1, </w:t>
      </w:r>
      <w:r w:rsidRPr="00A74194">
        <w:rPr>
          <w:iCs/>
        </w:rPr>
        <w:t>utility values in the biochemical health states, transition probabilities between biochemical health states (i.e. moderate risk to high risk)</w:t>
      </w:r>
      <w:r w:rsidR="00153407" w:rsidRPr="00A74194">
        <w:rPr>
          <w:iCs/>
        </w:rPr>
        <w:t>.</w:t>
      </w:r>
    </w:p>
    <w:p w14:paraId="31A41B5B" w14:textId="77777777" w:rsidR="00DD4407" w:rsidRPr="00A74194" w:rsidRDefault="00DD4407" w:rsidP="00DD4407">
      <w:pPr>
        <w:pStyle w:val="4-SubsectionHeading"/>
      </w:pPr>
      <w:bookmarkStart w:id="46" w:name="_Toc50371942"/>
      <w:r w:rsidRPr="00A74194">
        <w:lastRenderedPageBreak/>
        <w:t>Drug cost/patient/year</w:t>
      </w:r>
      <w:bookmarkEnd w:id="46"/>
    </w:p>
    <w:p w14:paraId="7FBA4407" w14:textId="77777777" w:rsidR="00343C18" w:rsidRPr="00A74194" w:rsidRDefault="00343C18" w:rsidP="00343C18">
      <w:pPr>
        <w:pStyle w:val="ListParagraph"/>
        <w:keepNext/>
        <w:numPr>
          <w:ilvl w:val="1"/>
          <w:numId w:val="1"/>
        </w:numPr>
        <w:spacing w:after="160"/>
      </w:pPr>
      <w:r w:rsidRPr="00A74194">
        <w:t>The drug cost per patient per year is presented in Table 12.</w:t>
      </w:r>
    </w:p>
    <w:p w14:paraId="27D0B5CF" w14:textId="77777777" w:rsidR="00343C18" w:rsidRPr="00A74194" w:rsidRDefault="00343C18" w:rsidP="00343C18">
      <w:pPr>
        <w:keepNext/>
        <w:rPr>
          <w:rStyle w:val="CommentReference"/>
        </w:rPr>
      </w:pPr>
      <w:r w:rsidRPr="00A74194">
        <w:rPr>
          <w:rStyle w:val="CommentReference"/>
        </w:rPr>
        <w:t>Table 12: Drug cost per patient for OCA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64"/>
        <w:gridCol w:w="2126"/>
        <w:gridCol w:w="2409"/>
        <w:gridCol w:w="2218"/>
      </w:tblGrid>
      <w:tr w:rsidR="00DD4407" w:rsidRPr="00A74194" w14:paraId="028D64A5" w14:textId="77777777" w:rsidTr="00DD4407">
        <w:trPr>
          <w:jc w:val="center"/>
        </w:trPr>
        <w:tc>
          <w:tcPr>
            <w:tcW w:w="1255" w:type="pct"/>
            <w:tcBorders>
              <w:top w:val="single" w:sz="4" w:space="0" w:color="auto"/>
              <w:left w:val="single" w:sz="4" w:space="0" w:color="auto"/>
              <w:bottom w:val="single" w:sz="4" w:space="0" w:color="auto"/>
              <w:right w:val="single" w:sz="4" w:space="0" w:color="auto"/>
            </w:tcBorders>
            <w:vAlign w:val="center"/>
          </w:tcPr>
          <w:p w14:paraId="0CDB8405" w14:textId="77777777" w:rsidR="00343C18" w:rsidRPr="00A74194" w:rsidRDefault="00343C18" w:rsidP="00A00045">
            <w:pPr>
              <w:keepNext/>
              <w:spacing w:line="256" w:lineRule="auto"/>
              <w:jc w:val="left"/>
              <w:rPr>
                <w:szCs w:val="20"/>
              </w:rPr>
            </w:pPr>
          </w:p>
        </w:tc>
        <w:tc>
          <w:tcPr>
            <w:tcW w:w="1179" w:type="pct"/>
            <w:tcBorders>
              <w:top w:val="single" w:sz="4" w:space="0" w:color="auto"/>
              <w:left w:val="single" w:sz="4" w:space="0" w:color="auto"/>
              <w:bottom w:val="single" w:sz="4" w:space="0" w:color="auto"/>
              <w:right w:val="single" w:sz="4" w:space="0" w:color="auto"/>
            </w:tcBorders>
            <w:vAlign w:val="center"/>
            <w:hideMark/>
          </w:tcPr>
          <w:p w14:paraId="5C6461AC" w14:textId="77777777" w:rsidR="00343C18" w:rsidRPr="00A74194" w:rsidRDefault="00343C18" w:rsidP="00A00045">
            <w:pPr>
              <w:keepNext/>
              <w:spacing w:line="256" w:lineRule="auto"/>
              <w:jc w:val="center"/>
              <w:rPr>
                <w:rFonts w:ascii="Arial Narrow" w:hAnsi="Arial Narrow"/>
                <w:b/>
                <w:sz w:val="20"/>
              </w:rPr>
            </w:pPr>
            <w:r w:rsidRPr="00A74194">
              <w:rPr>
                <w:rFonts w:ascii="Arial Narrow" w:hAnsi="Arial Narrow"/>
                <w:b/>
                <w:sz w:val="20"/>
              </w:rPr>
              <w:t xml:space="preserve">OCA +/- UDCA </w:t>
            </w:r>
            <w:r w:rsidRPr="00A74194">
              <w:rPr>
                <w:rFonts w:ascii="Arial Narrow" w:hAnsi="Arial Narrow"/>
                <w:b/>
                <w:sz w:val="20"/>
              </w:rPr>
              <w:br/>
              <w:t>5-10</w:t>
            </w:r>
            <w:r w:rsidR="00DD4407" w:rsidRPr="00A74194">
              <w:rPr>
                <w:rFonts w:ascii="Arial Narrow" w:hAnsi="Arial Narrow"/>
                <w:b/>
                <w:sz w:val="20"/>
              </w:rPr>
              <w:t xml:space="preserve"> </w:t>
            </w:r>
            <w:r w:rsidRPr="00A74194">
              <w:rPr>
                <w:rFonts w:ascii="Arial Narrow" w:hAnsi="Arial Narrow"/>
                <w:b/>
                <w:sz w:val="20"/>
              </w:rPr>
              <w:t>mg titration</w:t>
            </w:r>
          </w:p>
          <w:p w14:paraId="1203E39F" w14:textId="77777777" w:rsidR="00343C18" w:rsidRPr="00A74194" w:rsidRDefault="00343C18" w:rsidP="00A00045">
            <w:pPr>
              <w:keepNext/>
              <w:spacing w:line="256" w:lineRule="auto"/>
              <w:jc w:val="center"/>
              <w:rPr>
                <w:rFonts w:ascii="Arial Narrow" w:hAnsi="Arial Narrow"/>
                <w:b/>
                <w:sz w:val="20"/>
              </w:rPr>
            </w:pPr>
          </w:p>
          <w:p w14:paraId="3A3FFFF6" w14:textId="77777777" w:rsidR="00343C18" w:rsidRPr="00A74194" w:rsidRDefault="00343C18" w:rsidP="00A00045">
            <w:pPr>
              <w:keepNext/>
              <w:spacing w:line="256" w:lineRule="auto"/>
              <w:jc w:val="center"/>
              <w:rPr>
                <w:rFonts w:ascii="Arial Narrow" w:hAnsi="Arial Narrow"/>
                <w:b/>
                <w:sz w:val="20"/>
              </w:rPr>
            </w:pPr>
            <w:r w:rsidRPr="00A74194">
              <w:rPr>
                <w:rFonts w:ascii="Arial Narrow" w:hAnsi="Arial Narrow"/>
                <w:b/>
                <w:sz w:val="20"/>
              </w:rPr>
              <w:t>Trial dose and duration</w:t>
            </w:r>
          </w:p>
        </w:tc>
        <w:tc>
          <w:tcPr>
            <w:tcW w:w="1336" w:type="pct"/>
            <w:tcBorders>
              <w:top w:val="single" w:sz="4" w:space="0" w:color="auto"/>
              <w:left w:val="single" w:sz="4" w:space="0" w:color="auto"/>
              <w:bottom w:val="single" w:sz="4" w:space="0" w:color="auto"/>
              <w:right w:val="single" w:sz="4" w:space="0" w:color="auto"/>
            </w:tcBorders>
            <w:vAlign w:val="center"/>
            <w:hideMark/>
          </w:tcPr>
          <w:p w14:paraId="444B58DC" w14:textId="77777777" w:rsidR="00343C18" w:rsidRPr="00A74194" w:rsidRDefault="00343C18" w:rsidP="00A00045">
            <w:pPr>
              <w:keepNext/>
              <w:spacing w:line="256" w:lineRule="auto"/>
              <w:jc w:val="center"/>
              <w:rPr>
                <w:rFonts w:ascii="Arial Narrow" w:hAnsi="Arial Narrow"/>
                <w:b/>
                <w:sz w:val="20"/>
              </w:rPr>
            </w:pPr>
            <w:r w:rsidRPr="00A74194">
              <w:rPr>
                <w:rFonts w:ascii="Arial Narrow" w:hAnsi="Arial Narrow"/>
                <w:b/>
                <w:sz w:val="20"/>
              </w:rPr>
              <w:t xml:space="preserve">OCA +/- UDCA </w:t>
            </w:r>
            <w:r w:rsidRPr="00A74194">
              <w:rPr>
                <w:rFonts w:ascii="Arial Narrow" w:hAnsi="Arial Narrow"/>
                <w:b/>
                <w:sz w:val="20"/>
              </w:rPr>
              <w:br/>
              <w:t>5-10</w:t>
            </w:r>
            <w:r w:rsidR="00DD4407" w:rsidRPr="00A74194">
              <w:rPr>
                <w:rFonts w:ascii="Arial Narrow" w:hAnsi="Arial Narrow"/>
                <w:b/>
                <w:sz w:val="20"/>
              </w:rPr>
              <w:t xml:space="preserve"> </w:t>
            </w:r>
            <w:r w:rsidRPr="00A74194">
              <w:rPr>
                <w:rFonts w:ascii="Arial Narrow" w:hAnsi="Arial Narrow"/>
                <w:b/>
                <w:sz w:val="20"/>
              </w:rPr>
              <w:t>mg titration</w:t>
            </w:r>
          </w:p>
          <w:p w14:paraId="199CB742" w14:textId="77777777" w:rsidR="00343C18" w:rsidRPr="00A74194" w:rsidRDefault="00343C18" w:rsidP="00A00045">
            <w:pPr>
              <w:keepNext/>
              <w:spacing w:line="256" w:lineRule="auto"/>
              <w:jc w:val="center"/>
              <w:rPr>
                <w:rFonts w:ascii="Arial Narrow" w:hAnsi="Arial Narrow"/>
                <w:b/>
                <w:sz w:val="20"/>
              </w:rPr>
            </w:pPr>
          </w:p>
          <w:p w14:paraId="2C2F0F75" w14:textId="77777777" w:rsidR="00343C18" w:rsidRPr="00A74194" w:rsidRDefault="00343C18" w:rsidP="00A00045">
            <w:pPr>
              <w:keepNext/>
              <w:spacing w:line="256" w:lineRule="auto"/>
              <w:jc w:val="center"/>
              <w:rPr>
                <w:rFonts w:ascii="Arial Narrow" w:hAnsi="Arial Narrow"/>
                <w:b/>
                <w:sz w:val="20"/>
              </w:rPr>
            </w:pPr>
            <w:r w:rsidRPr="00A74194">
              <w:rPr>
                <w:rFonts w:ascii="Arial Narrow" w:hAnsi="Arial Narrow"/>
                <w:b/>
                <w:sz w:val="20"/>
              </w:rPr>
              <w:t>Model</w:t>
            </w:r>
          </w:p>
        </w:tc>
        <w:tc>
          <w:tcPr>
            <w:tcW w:w="1230" w:type="pct"/>
            <w:tcBorders>
              <w:top w:val="single" w:sz="4" w:space="0" w:color="auto"/>
              <w:left w:val="single" w:sz="4" w:space="0" w:color="auto"/>
              <w:bottom w:val="single" w:sz="4" w:space="0" w:color="auto"/>
              <w:right w:val="single" w:sz="4" w:space="0" w:color="auto"/>
            </w:tcBorders>
            <w:vAlign w:val="center"/>
            <w:hideMark/>
          </w:tcPr>
          <w:p w14:paraId="2470C2FD" w14:textId="77777777" w:rsidR="00343C18" w:rsidRPr="00A74194" w:rsidRDefault="00343C18" w:rsidP="00A00045">
            <w:pPr>
              <w:keepNext/>
              <w:spacing w:line="256" w:lineRule="auto"/>
              <w:jc w:val="center"/>
              <w:rPr>
                <w:rFonts w:ascii="Arial Narrow" w:hAnsi="Arial Narrow"/>
                <w:b/>
                <w:sz w:val="20"/>
              </w:rPr>
            </w:pPr>
            <w:r w:rsidRPr="00A74194">
              <w:rPr>
                <w:rFonts w:ascii="Arial Narrow" w:hAnsi="Arial Narrow"/>
                <w:b/>
                <w:sz w:val="20"/>
              </w:rPr>
              <w:t xml:space="preserve">OCA + UDCA </w:t>
            </w:r>
            <w:r w:rsidRPr="00A74194">
              <w:rPr>
                <w:rFonts w:ascii="Arial Narrow" w:hAnsi="Arial Narrow"/>
                <w:b/>
                <w:sz w:val="20"/>
              </w:rPr>
              <w:br/>
              <w:t>5-10</w:t>
            </w:r>
            <w:r w:rsidR="00DD4407" w:rsidRPr="00A74194">
              <w:rPr>
                <w:rFonts w:ascii="Arial Narrow" w:hAnsi="Arial Narrow"/>
                <w:b/>
                <w:sz w:val="20"/>
              </w:rPr>
              <w:t xml:space="preserve"> </w:t>
            </w:r>
            <w:r w:rsidRPr="00A74194">
              <w:rPr>
                <w:rFonts w:ascii="Arial Narrow" w:hAnsi="Arial Narrow"/>
                <w:b/>
                <w:sz w:val="20"/>
              </w:rPr>
              <w:t>mg titration</w:t>
            </w:r>
          </w:p>
          <w:p w14:paraId="14F52254" w14:textId="77777777" w:rsidR="00343C18" w:rsidRPr="00A74194" w:rsidRDefault="00343C18" w:rsidP="00A00045">
            <w:pPr>
              <w:keepNext/>
              <w:spacing w:line="256" w:lineRule="auto"/>
              <w:jc w:val="center"/>
              <w:rPr>
                <w:rFonts w:ascii="Arial Narrow" w:hAnsi="Arial Narrow"/>
                <w:b/>
                <w:sz w:val="20"/>
              </w:rPr>
            </w:pPr>
          </w:p>
          <w:p w14:paraId="1B32AFC2" w14:textId="77777777" w:rsidR="00343C18" w:rsidRPr="00A74194" w:rsidRDefault="00343C18" w:rsidP="00A00045">
            <w:pPr>
              <w:keepNext/>
              <w:spacing w:line="256" w:lineRule="auto"/>
              <w:jc w:val="center"/>
              <w:rPr>
                <w:rFonts w:ascii="Arial Narrow" w:hAnsi="Arial Narrow"/>
                <w:b/>
                <w:sz w:val="20"/>
              </w:rPr>
            </w:pPr>
            <w:r w:rsidRPr="00A74194">
              <w:rPr>
                <w:rFonts w:ascii="Arial Narrow" w:hAnsi="Arial Narrow"/>
                <w:b/>
                <w:sz w:val="20"/>
              </w:rPr>
              <w:t>Financial estimates</w:t>
            </w:r>
          </w:p>
        </w:tc>
      </w:tr>
      <w:tr w:rsidR="00DD4407" w:rsidRPr="00A74194" w14:paraId="405B7382" w14:textId="77777777" w:rsidTr="00DD4407">
        <w:trPr>
          <w:jc w:val="center"/>
        </w:trPr>
        <w:tc>
          <w:tcPr>
            <w:tcW w:w="1255" w:type="pct"/>
            <w:tcBorders>
              <w:top w:val="single" w:sz="4" w:space="0" w:color="auto"/>
              <w:left w:val="single" w:sz="4" w:space="0" w:color="auto"/>
              <w:bottom w:val="single" w:sz="4" w:space="0" w:color="auto"/>
              <w:right w:val="single" w:sz="4" w:space="0" w:color="auto"/>
            </w:tcBorders>
            <w:vAlign w:val="center"/>
            <w:hideMark/>
          </w:tcPr>
          <w:p w14:paraId="055AC624" w14:textId="77777777" w:rsidR="00343C18" w:rsidRPr="00A74194" w:rsidRDefault="00343C18" w:rsidP="00A00045">
            <w:pPr>
              <w:keepNext/>
              <w:spacing w:line="256" w:lineRule="auto"/>
              <w:jc w:val="left"/>
              <w:rPr>
                <w:rFonts w:ascii="Arial Narrow" w:hAnsi="Arial Narrow"/>
                <w:sz w:val="20"/>
              </w:rPr>
            </w:pPr>
            <w:r w:rsidRPr="00A74194">
              <w:rPr>
                <w:rFonts w:ascii="Arial Narrow" w:hAnsi="Arial Narrow"/>
                <w:sz w:val="20"/>
              </w:rPr>
              <w:t>Mean dose of OCA</w:t>
            </w:r>
          </w:p>
        </w:tc>
        <w:tc>
          <w:tcPr>
            <w:tcW w:w="1179" w:type="pct"/>
            <w:tcBorders>
              <w:top w:val="single" w:sz="4" w:space="0" w:color="auto"/>
              <w:left w:val="single" w:sz="4" w:space="0" w:color="auto"/>
              <w:bottom w:val="single" w:sz="4" w:space="0" w:color="auto"/>
              <w:right w:val="single" w:sz="4" w:space="0" w:color="auto"/>
            </w:tcBorders>
            <w:vAlign w:val="center"/>
          </w:tcPr>
          <w:p w14:paraId="06700F67" w14:textId="77777777" w:rsidR="00343C18" w:rsidRPr="00A74194" w:rsidRDefault="00343C18" w:rsidP="00A00045">
            <w:pPr>
              <w:keepNext/>
              <w:spacing w:line="256" w:lineRule="auto"/>
              <w:jc w:val="center"/>
              <w:rPr>
                <w:rFonts w:ascii="Arial Narrow" w:hAnsi="Arial Narrow"/>
                <w:sz w:val="20"/>
              </w:rPr>
            </w:pPr>
            <w:r w:rsidRPr="00A74194">
              <w:rPr>
                <w:rFonts w:ascii="Arial Narrow" w:hAnsi="Arial Narrow"/>
                <w:sz w:val="20"/>
              </w:rPr>
              <w:t>6.2</w:t>
            </w:r>
            <w:r w:rsidR="00DD4407" w:rsidRPr="00A74194">
              <w:rPr>
                <w:rFonts w:ascii="Arial Narrow" w:hAnsi="Arial Narrow"/>
                <w:sz w:val="20"/>
              </w:rPr>
              <w:t xml:space="preserve"> </w:t>
            </w:r>
            <w:r w:rsidRPr="00A74194">
              <w:rPr>
                <w:rFonts w:ascii="Arial Narrow" w:hAnsi="Arial Narrow"/>
                <w:sz w:val="20"/>
              </w:rPr>
              <w:t>mg</w:t>
            </w:r>
          </w:p>
        </w:tc>
        <w:tc>
          <w:tcPr>
            <w:tcW w:w="1336" w:type="pct"/>
            <w:tcBorders>
              <w:top w:val="single" w:sz="4" w:space="0" w:color="auto"/>
              <w:left w:val="single" w:sz="4" w:space="0" w:color="auto"/>
              <w:bottom w:val="single" w:sz="4" w:space="0" w:color="auto"/>
              <w:right w:val="single" w:sz="4" w:space="0" w:color="auto"/>
            </w:tcBorders>
            <w:vAlign w:val="center"/>
          </w:tcPr>
          <w:p w14:paraId="140B8EFE" w14:textId="77777777" w:rsidR="00343C18" w:rsidRPr="00A74194" w:rsidRDefault="0001665F" w:rsidP="00A00045">
            <w:pPr>
              <w:keepNext/>
              <w:spacing w:line="256" w:lineRule="auto"/>
              <w:jc w:val="center"/>
              <w:rPr>
                <w:rFonts w:ascii="Arial Narrow" w:hAnsi="Arial Narrow"/>
                <w:sz w:val="20"/>
              </w:rPr>
            </w:pPr>
            <w:r w:rsidRPr="00A74194">
              <w:rPr>
                <w:rFonts w:ascii="Arial Narrow" w:hAnsi="Arial Narrow"/>
                <w:sz w:val="20"/>
              </w:rPr>
              <w:t>2</w:t>
            </w:r>
            <w:r w:rsidR="003C7FC0" w:rsidRPr="00A74194">
              <w:rPr>
                <w:rFonts w:ascii="Arial Narrow" w:hAnsi="Arial Narrow"/>
                <w:sz w:val="20"/>
              </w:rPr>
              <w:t>1</w:t>
            </w:r>
            <w:r w:rsidRPr="00A74194">
              <w:rPr>
                <w:rFonts w:ascii="Arial Narrow" w:hAnsi="Arial Narrow"/>
                <w:sz w:val="20"/>
              </w:rPr>
              <w:t xml:space="preserve">% </w:t>
            </w:r>
            <w:r w:rsidR="00DD4407" w:rsidRPr="00A74194">
              <w:rPr>
                <w:rFonts w:ascii="Arial Narrow" w:hAnsi="Arial Narrow"/>
                <w:sz w:val="20"/>
              </w:rPr>
              <w:t xml:space="preserve">of patients </w:t>
            </w:r>
            <w:r w:rsidRPr="00A74194">
              <w:rPr>
                <w:rFonts w:ascii="Arial Narrow" w:hAnsi="Arial Narrow"/>
                <w:sz w:val="20"/>
              </w:rPr>
              <w:t>dose every other day</w:t>
            </w:r>
            <w:r w:rsidR="00DD4407" w:rsidRPr="00A74194">
              <w:rPr>
                <w:rFonts w:ascii="Arial Narrow" w:hAnsi="Arial Narrow"/>
                <w:sz w:val="20"/>
              </w:rPr>
              <w:t xml:space="preserve"> from Y</w:t>
            </w:r>
            <w:r w:rsidR="003C7FC0" w:rsidRPr="00A74194">
              <w:rPr>
                <w:rFonts w:ascii="Arial Narrow" w:hAnsi="Arial Narrow"/>
                <w:sz w:val="20"/>
              </w:rPr>
              <w:t>ear 2+</w:t>
            </w:r>
          </w:p>
        </w:tc>
        <w:tc>
          <w:tcPr>
            <w:tcW w:w="1230" w:type="pct"/>
            <w:tcBorders>
              <w:top w:val="single" w:sz="4" w:space="0" w:color="auto"/>
              <w:left w:val="single" w:sz="4" w:space="0" w:color="auto"/>
              <w:bottom w:val="single" w:sz="4" w:space="0" w:color="auto"/>
              <w:right w:val="single" w:sz="4" w:space="0" w:color="auto"/>
            </w:tcBorders>
            <w:vAlign w:val="center"/>
          </w:tcPr>
          <w:p w14:paraId="1A7973C8" w14:textId="77777777" w:rsidR="00343C18" w:rsidRPr="00A74194" w:rsidRDefault="00343C18" w:rsidP="00A00045">
            <w:pPr>
              <w:keepNext/>
              <w:spacing w:line="256" w:lineRule="auto"/>
              <w:jc w:val="center"/>
              <w:rPr>
                <w:rFonts w:ascii="Arial Narrow" w:hAnsi="Arial Narrow"/>
                <w:sz w:val="20"/>
              </w:rPr>
            </w:pPr>
            <w:r w:rsidRPr="00A74194">
              <w:rPr>
                <w:rFonts w:ascii="Arial Narrow" w:hAnsi="Arial Narrow"/>
                <w:sz w:val="20"/>
              </w:rPr>
              <w:t>NA</w:t>
            </w:r>
            <w:r w:rsidR="009873A6" w:rsidRPr="00A74194">
              <w:rPr>
                <w:rFonts w:ascii="Arial Narrow" w:hAnsi="Arial Narrow"/>
                <w:sz w:val="20"/>
              </w:rPr>
              <w:t>*</w:t>
            </w:r>
          </w:p>
        </w:tc>
      </w:tr>
      <w:tr w:rsidR="00DD4407" w:rsidRPr="00A74194" w14:paraId="67ADD203" w14:textId="77777777" w:rsidTr="00DD4407">
        <w:trPr>
          <w:jc w:val="center"/>
        </w:trPr>
        <w:tc>
          <w:tcPr>
            <w:tcW w:w="1255" w:type="pct"/>
            <w:tcBorders>
              <w:top w:val="single" w:sz="4" w:space="0" w:color="auto"/>
              <w:left w:val="single" w:sz="4" w:space="0" w:color="auto"/>
              <w:bottom w:val="single" w:sz="4" w:space="0" w:color="auto"/>
              <w:right w:val="single" w:sz="4" w:space="0" w:color="auto"/>
            </w:tcBorders>
            <w:vAlign w:val="center"/>
            <w:hideMark/>
          </w:tcPr>
          <w:p w14:paraId="0F6B1061" w14:textId="77777777" w:rsidR="00343C18" w:rsidRPr="00A74194" w:rsidRDefault="00343C18" w:rsidP="00A00045">
            <w:pPr>
              <w:keepNext/>
              <w:spacing w:line="256" w:lineRule="auto"/>
              <w:jc w:val="left"/>
              <w:rPr>
                <w:rFonts w:ascii="Arial Narrow" w:hAnsi="Arial Narrow"/>
                <w:sz w:val="20"/>
              </w:rPr>
            </w:pPr>
            <w:r w:rsidRPr="00A74194">
              <w:rPr>
                <w:rFonts w:ascii="Arial Narrow" w:hAnsi="Arial Narrow"/>
                <w:sz w:val="20"/>
              </w:rPr>
              <w:t>Mean duration of OCA</w:t>
            </w:r>
          </w:p>
        </w:tc>
        <w:tc>
          <w:tcPr>
            <w:tcW w:w="1179" w:type="pct"/>
            <w:tcBorders>
              <w:top w:val="single" w:sz="4" w:space="0" w:color="auto"/>
              <w:left w:val="single" w:sz="4" w:space="0" w:color="auto"/>
              <w:bottom w:val="single" w:sz="4" w:space="0" w:color="auto"/>
              <w:right w:val="single" w:sz="4" w:space="0" w:color="auto"/>
            </w:tcBorders>
            <w:vAlign w:val="center"/>
          </w:tcPr>
          <w:p w14:paraId="19601E06" w14:textId="77777777" w:rsidR="00343C18" w:rsidRPr="00A74194" w:rsidRDefault="00343C18" w:rsidP="00A00045">
            <w:pPr>
              <w:keepNext/>
              <w:spacing w:line="256" w:lineRule="auto"/>
              <w:jc w:val="center"/>
              <w:rPr>
                <w:rFonts w:ascii="Arial Narrow" w:hAnsi="Arial Narrow"/>
                <w:sz w:val="20"/>
              </w:rPr>
            </w:pPr>
            <w:r w:rsidRPr="00A74194">
              <w:rPr>
                <w:rFonts w:ascii="Arial Narrow" w:hAnsi="Arial Narrow"/>
                <w:sz w:val="20"/>
              </w:rPr>
              <w:t>341.7 days</w:t>
            </w:r>
          </w:p>
        </w:tc>
        <w:tc>
          <w:tcPr>
            <w:tcW w:w="1336" w:type="pct"/>
            <w:tcBorders>
              <w:top w:val="single" w:sz="4" w:space="0" w:color="auto"/>
              <w:left w:val="single" w:sz="4" w:space="0" w:color="auto"/>
              <w:bottom w:val="single" w:sz="4" w:space="0" w:color="auto"/>
              <w:right w:val="single" w:sz="4" w:space="0" w:color="auto"/>
            </w:tcBorders>
            <w:vAlign w:val="center"/>
          </w:tcPr>
          <w:p w14:paraId="176C9C48" w14:textId="77777777" w:rsidR="00343C18" w:rsidRPr="00A74194" w:rsidRDefault="00343C18" w:rsidP="0001665F">
            <w:pPr>
              <w:keepNext/>
              <w:spacing w:line="256" w:lineRule="auto"/>
              <w:jc w:val="center"/>
              <w:rPr>
                <w:rFonts w:ascii="Arial Narrow" w:hAnsi="Arial Narrow"/>
                <w:sz w:val="20"/>
              </w:rPr>
            </w:pPr>
            <w:r w:rsidRPr="00A74194">
              <w:rPr>
                <w:rFonts w:ascii="Arial Narrow" w:hAnsi="Arial Narrow"/>
                <w:sz w:val="20"/>
              </w:rPr>
              <w:t xml:space="preserve">365 days per year. </w:t>
            </w:r>
            <w:r w:rsidRPr="00A74194">
              <w:rPr>
                <w:rFonts w:ascii="Arial Narrow" w:hAnsi="Arial Narrow"/>
                <w:sz w:val="20"/>
              </w:rPr>
              <w:br/>
              <w:t>9.86% discontinue after 3 months and 44.1% discontinue at 12 months.</w:t>
            </w:r>
          </w:p>
        </w:tc>
        <w:tc>
          <w:tcPr>
            <w:tcW w:w="1230" w:type="pct"/>
            <w:tcBorders>
              <w:top w:val="single" w:sz="4" w:space="0" w:color="auto"/>
              <w:left w:val="single" w:sz="4" w:space="0" w:color="auto"/>
              <w:bottom w:val="single" w:sz="4" w:space="0" w:color="auto"/>
              <w:right w:val="single" w:sz="4" w:space="0" w:color="auto"/>
            </w:tcBorders>
            <w:vAlign w:val="center"/>
          </w:tcPr>
          <w:p w14:paraId="3CB4304D" w14:textId="77777777" w:rsidR="00343C18" w:rsidRPr="00A74194" w:rsidRDefault="00343C18" w:rsidP="00A00045">
            <w:pPr>
              <w:keepNext/>
              <w:spacing w:line="256" w:lineRule="auto"/>
              <w:jc w:val="center"/>
              <w:rPr>
                <w:rFonts w:ascii="Arial Narrow" w:hAnsi="Arial Narrow"/>
                <w:sz w:val="20"/>
              </w:rPr>
            </w:pPr>
            <w:r w:rsidRPr="00A74194">
              <w:rPr>
                <w:rFonts w:ascii="Arial Narrow" w:hAnsi="Arial Narrow"/>
                <w:sz w:val="20"/>
              </w:rPr>
              <w:t xml:space="preserve">365 days per year. </w:t>
            </w:r>
            <w:r w:rsidRPr="00A74194">
              <w:rPr>
                <w:rFonts w:ascii="Arial Narrow" w:hAnsi="Arial Narrow"/>
                <w:sz w:val="20"/>
              </w:rPr>
              <w:br/>
              <w:t>54% discontinue at 12 months.</w:t>
            </w:r>
          </w:p>
        </w:tc>
      </w:tr>
      <w:tr w:rsidR="00DD4407" w:rsidRPr="00A74194" w14:paraId="7E9F86CF" w14:textId="77777777" w:rsidTr="00DD4407">
        <w:trPr>
          <w:jc w:val="center"/>
        </w:trPr>
        <w:tc>
          <w:tcPr>
            <w:tcW w:w="1255" w:type="pct"/>
            <w:tcBorders>
              <w:top w:val="single" w:sz="4" w:space="0" w:color="auto"/>
              <w:left w:val="single" w:sz="4" w:space="0" w:color="auto"/>
              <w:bottom w:val="single" w:sz="4" w:space="0" w:color="auto"/>
              <w:right w:val="single" w:sz="4" w:space="0" w:color="auto"/>
            </w:tcBorders>
            <w:vAlign w:val="center"/>
            <w:hideMark/>
          </w:tcPr>
          <w:p w14:paraId="125EA757" w14:textId="77777777" w:rsidR="00343C18" w:rsidRPr="00A74194" w:rsidRDefault="00343C18" w:rsidP="00A00045">
            <w:pPr>
              <w:keepNext/>
              <w:spacing w:line="256" w:lineRule="auto"/>
              <w:jc w:val="left"/>
              <w:rPr>
                <w:rFonts w:ascii="Arial Narrow" w:hAnsi="Arial Narrow"/>
                <w:sz w:val="20"/>
              </w:rPr>
            </w:pPr>
            <w:r w:rsidRPr="00A74194">
              <w:rPr>
                <w:rFonts w:ascii="Arial Narrow" w:hAnsi="Arial Narrow"/>
                <w:sz w:val="20"/>
              </w:rPr>
              <w:t>Cost/patient/month of OCA (effective price)</w:t>
            </w:r>
          </w:p>
        </w:tc>
        <w:tc>
          <w:tcPr>
            <w:tcW w:w="1179" w:type="pct"/>
            <w:tcBorders>
              <w:top w:val="single" w:sz="4" w:space="0" w:color="auto"/>
              <w:left w:val="single" w:sz="4" w:space="0" w:color="auto"/>
              <w:bottom w:val="single" w:sz="4" w:space="0" w:color="auto"/>
              <w:right w:val="single" w:sz="4" w:space="0" w:color="auto"/>
            </w:tcBorders>
            <w:vAlign w:val="center"/>
          </w:tcPr>
          <w:p w14:paraId="54467DCF" w14:textId="77777777" w:rsidR="00343C18" w:rsidRPr="00A74194" w:rsidRDefault="00DD4407" w:rsidP="00A00045">
            <w:pPr>
              <w:keepNext/>
              <w:spacing w:line="256" w:lineRule="auto"/>
              <w:jc w:val="center"/>
              <w:rPr>
                <w:rFonts w:ascii="Arial Narrow" w:hAnsi="Arial Narrow"/>
                <w:sz w:val="20"/>
              </w:rPr>
            </w:pPr>
            <w:r w:rsidRPr="00A74194">
              <w:rPr>
                <w:rFonts w:ascii="Arial Narrow" w:hAnsi="Arial Narrow" w:cs="Calibri"/>
                <w:sz w:val="20"/>
              </w:rPr>
              <w:t>$</w:t>
            </w:r>
            <w:r w:rsidR="00027EBC">
              <w:rPr>
                <w:rFonts w:ascii="Arial Narrow" w:hAnsi="Arial Narrow" w:cs="Calibri"/>
                <w:noProof/>
                <w:color w:val="000000"/>
                <w:sz w:val="20"/>
                <w:highlight w:val="black"/>
              </w:rPr>
              <w:t>''''''''''''''''''''''</w:t>
            </w:r>
            <w:r w:rsidR="00DC66CF" w:rsidRPr="00A74194">
              <w:rPr>
                <w:rFonts w:ascii="Arial Narrow" w:hAnsi="Arial Narrow" w:cs="Calibri"/>
                <w:sz w:val="20"/>
              </w:rPr>
              <w:t>*</w:t>
            </w:r>
            <w:r w:rsidR="009873A6" w:rsidRPr="00A74194">
              <w:rPr>
                <w:rFonts w:ascii="Arial Narrow" w:hAnsi="Arial Narrow" w:cs="Calibri"/>
                <w:sz w:val="20"/>
              </w:rPr>
              <w:t>*</w:t>
            </w:r>
          </w:p>
        </w:tc>
        <w:tc>
          <w:tcPr>
            <w:tcW w:w="1336" w:type="pct"/>
            <w:tcBorders>
              <w:top w:val="single" w:sz="4" w:space="0" w:color="auto"/>
              <w:left w:val="single" w:sz="4" w:space="0" w:color="auto"/>
              <w:bottom w:val="single" w:sz="4" w:space="0" w:color="auto"/>
              <w:right w:val="single" w:sz="4" w:space="0" w:color="auto"/>
            </w:tcBorders>
            <w:vAlign w:val="center"/>
          </w:tcPr>
          <w:p w14:paraId="2F5559CC" w14:textId="77777777" w:rsidR="00343C18" w:rsidRPr="00A74194" w:rsidRDefault="00DD4407" w:rsidP="00AF231E">
            <w:pPr>
              <w:keepNext/>
              <w:spacing w:line="256" w:lineRule="auto"/>
              <w:jc w:val="center"/>
              <w:rPr>
                <w:rFonts w:ascii="Arial" w:hAnsi="Arial"/>
                <w:sz w:val="20"/>
                <w:szCs w:val="20"/>
              </w:rPr>
            </w:pPr>
            <w:r w:rsidRPr="00A74194">
              <w:rPr>
                <w:rFonts w:ascii="Arial Narrow" w:hAnsi="Arial Narrow" w:cs="Calibri"/>
                <w:sz w:val="20"/>
              </w:rPr>
              <w:t>$</w:t>
            </w:r>
            <w:r w:rsidR="00027EBC">
              <w:rPr>
                <w:rFonts w:ascii="Arial Narrow" w:hAnsi="Arial Narrow" w:cs="Calibri"/>
                <w:noProof/>
                <w:color w:val="000000"/>
                <w:sz w:val="20"/>
                <w:highlight w:val="black"/>
              </w:rPr>
              <w:t>''''''''''''''''''''</w:t>
            </w:r>
            <w:r w:rsidR="00DC66CF" w:rsidRPr="00A74194">
              <w:rPr>
                <w:rFonts w:ascii="Arial Narrow" w:hAnsi="Arial Narrow" w:cs="Calibri"/>
                <w:sz w:val="20"/>
              </w:rPr>
              <w:t>*</w:t>
            </w:r>
            <w:r w:rsidR="009873A6" w:rsidRPr="00A74194">
              <w:rPr>
                <w:rFonts w:ascii="Arial Narrow" w:hAnsi="Arial Narrow" w:cs="Calibri"/>
                <w:sz w:val="20"/>
              </w:rPr>
              <w:t>*</w:t>
            </w:r>
          </w:p>
        </w:tc>
        <w:tc>
          <w:tcPr>
            <w:tcW w:w="1230" w:type="pct"/>
            <w:tcBorders>
              <w:top w:val="single" w:sz="4" w:space="0" w:color="auto"/>
              <w:left w:val="single" w:sz="4" w:space="0" w:color="auto"/>
              <w:bottom w:val="single" w:sz="4" w:space="0" w:color="auto"/>
              <w:right w:val="single" w:sz="4" w:space="0" w:color="auto"/>
            </w:tcBorders>
            <w:vAlign w:val="center"/>
          </w:tcPr>
          <w:p w14:paraId="7862BAA7" w14:textId="77777777" w:rsidR="00343C18" w:rsidRPr="00A74194" w:rsidRDefault="00AF231E" w:rsidP="00DD4407">
            <w:pPr>
              <w:keepNext/>
              <w:spacing w:line="256" w:lineRule="auto"/>
              <w:jc w:val="center"/>
              <w:rPr>
                <w:rFonts w:ascii="Arial Narrow" w:hAnsi="Arial Narrow"/>
                <w:sz w:val="20"/>
              </w:rPr>
            </w:pPr>
            <w:r w:rsidRPr="00A74194">
              <w:rPr>
                <w:rFonts w:ascii="Arial Narrow" w:hAnsi="Arial Narrow" w:cs="Calibri"/>
                <w:sz w:val="20"/>
              </w:rPr>
              <w:t>$</w:t>
            </w:r>
            <w:r w:rsidR="00027EBC">
              <w:rPr>
                <w:rFonts w:ascii="Arial Narrow" w:hAnsi="Arial Narrow" w:cs="Calibri"/>
                <w:noProof/>
                <w:color w:val="000000"/>
                <w:sz w:val="20"/>
                <w:highlight w:val="black"/>
              </w:rPr>
              <w:t>''''''''''''''''''''''</w:t>
            </w:r>
            <w:r w:rsidR="00DC66CF" w:rsidRPr="00A74194">
              <w:rPr>
                <w:rFonts w:ascii="Arial Narrow" w:hAnsi="Arial Narrow" w:cs="Calibri"/>
                <w:sz w:val="20"/>
              </w:rPr>
              <w:t>*</w:t>
            </w:r>
            <w:r w:rsidR="009873A6" w:rsidRPr="00A74194">
              <w:rPr>
                <w:rFonts w:ascii="Arial Narrow" w:hAnsi="Arial Narrow" w:cs="Calibri"/>
                <w:sz w:val="20"/>
              </w:rPr>
              <w:t>*</w:t>
            </w:r>
          </w:p>
        </w:tc>
      </w:tr>
      <w:tr w:rsidR="00DD4407" w:rsidRPr="00A74194" w14:paraId="3A3B41F1" w14:textId="77777777" w:rsidTr="00DD4407">
        <w:trPr>
          <w:jc w:val="center"/>
        </w:trPr>
        <w:tc>
          <w:tcPr>
            <w:tcW w:w="1255" w:type="pct"/>
            <w:tcBorders>
              <w:top w:val="single" w:sz="4" w:space="0" w:color="auto"/>
              <w:left w:val="single" w:sz="4" w:space="0" w:color="auto"/>
              <w:bottom w:val="single" w:sz="4" w:space="0" w:color="auto"/>
              <w:right w:val="single" w:sz="4" w:space="0" w:color="auto"/>
            </w:tcBorders>
            <w:vAlign w:val="center"/>
            <w:hideMark/>
          </w:tcPr>
          <w:p w14:paraId="4903B400" w14:textId="77777777" w:rsidR="00343C18" w:rsidRPr="00A74194" w:rsidRDefault="00343C18" w:rsidP="00A00045">
            <w:pPr>
              <w:keepNext/>
              <w:spacing w:line="256" w:lineRule="auto"/>
              <w:jc w:val="left"/>
              <w:rPr>
                <w:rFonts w:ascii="Arial Narrow" w:hAnsi="Arial Narrow"/>
                <w:sz w:val="20"/>
              </w:rPr>
            </w:pPr>
            <w:r w:rsidRPr="00A74194">
              <w:rPr>
                <w:rFonts w:ascii="Arial Narrow" w:hAnsi="Arial Narrow"/>
                <w:sz w:val="20"/>
              </w:rPr>
              <w:t>Cost/patient/year (chronic) of OCA (effective price)</w:t>
            </w:r>
          </w:p>
        </w:tc>
        <w:tc>
          <w:tcPr>
            <w:tcW w:w="1179" w:type="pct"/>
            <w:tcBorders>
              <w:top w:val="single" w:sz="4" w:space="0" w:color="auto"/>
              <w:left w:val="single" w:sz="4" w:space="0" w:color="auto"/>
              <w:bottom w:val="single" w:sz="4" w:space="0" w:color="auto"/>
              <w:right w:val="single" w:sz="4" w:space="0" w:color="auto"/>
            </w:tcBorders>
            <w:vAlign w:val="center"/>
          </w:tcPr>
          <w:p w14:paraId="2E1D4722" w14:textId="77777777" w:rsidR="00343C18" w:rsidRPr="00A74194" w:rsidRDefault="0001665F" w:rsidP="00DD4407">
            <w:pPr>
              <w:keepNext/>
              <w:spacing w:line="256" w:lineRule="auto"/>
              <w:jc w:val="center"/>
              <w:rPr>
                <w:rFonts w:ascii="Arial Narrow" w:hAnsi="Arial Narrow"/>
                <w:sz w:val="20"/>
                <w:highlight w:val="yellow"/>
              </w:rPr>
            </w:pPr>
            <w:r w:rsidRPr="00A74194">
              <w:rPr>
                <w:rFonts w:ascii="Arial Narrow" w:hAnsi="Arial Narrow" w:cs="Calibri"/>
                <w:sz w:val="20"/>
              </w:rPr>
              <w:t>$</w:t>
            </w:r>
            <w:r w:rsidR="00027EBC">
              <w:rPr>
                <w:rFonts w:ascii="Arial Narrow" w:hAnsi="Arial Narrow" w:cs="Calibri"/>
                <w:noProof/>
                <w:color w:val="000000"/>
                <w:sz w:val="20"/>
                <w:highlight w:val="black"/>
              </w:rPr>
              <w:t>''''''''''''''''''''''''''</w:t>
            </w:r>
            <w:r w:rsidR="00343C18" w:rsidRPr="00A74194">
              <w:rPr>
                <w:rFonts w:ascii="Arial Narrow" w:hAnsi="Arial Narrow" w:cs="Calibri"/>
                <w:sz w:val="20"/>
              </w:rPr>
              <w:t>*</w:t>
            </w:r>
            <w:r w:rsidR="00DC66CF" w:rsidRPr="00A74194">
              <w:rPr>
                <w:rFonts w:ascii="Arial Narrow" w:hAnsi="Arial Narrow" w:cs="Calibri"/>
                <w:sz w:val="20"/>
              </w:rPr>
              <w:t>*</w:t>
            </w:r>
            <w:r w:rsidR="009873A6" w:rsidRPr="00A74194">
              <w:rPr>
                <w:rFonts w:ascii="Arial Narrow" w:hAnsi="Arial Narrow" w:cs="Calibri"/>
                <w:sz w:val="20"/>
              </w:rPr>
              <w:t>*</w:t>
            </w:r>
          </w:p>
        </w:tc>
        <w:tc>
          <w:tcPr>
            <w:tcW w:w="1336" w:type="pct"/>
            <w:tcBorders>
              <w:top w:val="single" w:sz="4" w:space="0" w:color="auto"/>
              <w:left w:val="single" w:sz="4" w:space="0" w:color="auto"/>
              <w:bottom w:val="single" w:sz="4" w:space="0" w:color="auto"/>
              <w:right w:val="single" w:sz="4" w:space="0" w:color="auto"/>
            </w:tcBorders>
            <w:vAlign w:val="center"/>
          </w:tcPr>
          <w:p w14:paraId="343EA2BE" w14:textId="77777777" w:rsidR="00343C18" w:rsidRPr="00A74194" w:rsidRDefault="0001665F" w:rsidP="00DD4407">
            <w:pPr>
              <w:keepNext/>
              <w:spacing w:line="256" w:lineRule="auto"/>
              <w:jc w:val="center"/>
              <w:rPr>
                <w:rFonts w:ascii="Arial Narrow" w:hAnsi="Arial Narrow" w:cs="Calibri"/>
                <w:sz w:val="20"/>
              </w:rPr>
            </w:pPr>
            <w:r w:rsidRPr="00A74194">
              <w:rPr>
                <w:rFonts w:ascii="Arial Narrow" w:hAnsi="Arial Narrow" w:cs="Calibri"/>
                <w:sz w:val="20"/>
              </w:rPr>
              <w:t>$</w:t>
            </w:r>
            <w:r w:rsidR="00027EBC">
              <w:rPr>
                <w:rFonts w:ascii="Arial Narrow" w:hAnsi="Arial Narrow" w:cs="Calibri"/>
                <w:noProof/>
                <w:color w:val="000000"/>
                <w:sz w:val="20"/>
                <w:highlight w:val="black"/>
              </w:rPr>
              <w:t>''''''''''''''''''''''''''</w:t>
            </w:r>
            <w:r w:rsidRPr="00A74194">
              <w:rPr>
                <w:rFonts w:ascii="Arial Narrow" w:hAnsi="Arial Narrow" w:cs="Calibri"/>
                <w:sz w:val="20"/>
              </w:rPr>
              <w:t>***</w:t>
            </w:r>
            <w:r w:rsidR="009873A6" w:rsidRPr="00A74194">
              <w:rPr>
                <w:rFonts w:ascii="Arial Narrow" w:hAnsi="Arial Narrow" w:cs="Calibri"/>
                <w:sz w:val="20"/>
              </w:rPr>
              <w:t>*</w:t>
            </w:r>
          </w:p>
        </w:tc>
        <w:tc>
          <w:tcPr>
            <w:tcW w:w="1230" w:type="pct"/>
            <w:tcBorders>
              <w:top w:val="single" w:sz="4" w:space="0" w:color="auto"/>
              <w:left w:val="single" w:sz="4" w:space="0" w:color="auto"/>
              <w:bottom w:val="single" w:sz="4" w:space="0" w:color="auto"/>
              <w:right w:val="single" w:sz="4" w:space="0" w:color="auto"/>
            </w:tcBorders>
            <w:vAlign w:val="center"/>
          </w:tcPr>
          <w:p w14:paraId="61F6201F" w14:textId="77777777" w:rsidR="00343C18" w:rsidRPr="00A74194" w:rsidRDefault="00DC66CF" w:rsidP="00DD4407">
            <w:pPr>
              <w:keepNext/>
              <w:spacing w:line="256" w:lineRule="auto"/>
              <w:jc w:val="center"/>
              <w:rPr>
                <w:rFonts w:ascii="Arial Narrow" w:hAnsi="Arial Narrow"/>
                <w:sz w:val="20"/>
                <w:highlight w:val="yellow"/>
              </w:rPr>
            </w:pPr>
            <w:r w:rsidRPr="00A74194">
              <w:rPr>
                <w:rFonts w:ascii="Arial Narrow" w:hAnsi="Arial Narrow"/>
                <w:sz w:val="20"/>
              </w:rPr>
              <w:t>$</w:t>
            </w:r>
            <w:r w:rsidR="00027EBC">
              <w:rPr>
                <w:rFonts w:ascii="Arial Narrow" w:hAnsi="Arial Narrow"/>
                <w:noProof/>
                <w:color w:val="000000"/>
                <w:sz w:val="20"/>
                <w:highlight w:val="black"/>
              </w:rPr>
              <w:t>'''''''''''''''''''''''''</w:t>
            </w:r>
            <w:r w:rsidRPr="00A74194">
              <w:rPr>
                <w:rFonts w:ascii="Arial Narrow" w:hAnsi="Arial Narrow"/>
                <w:sz w:val="20"/>
              </w:rPr>
              <w:t>***</w:t>
            </w:r>
            <w:r w:rsidR="009873A6" w:rsidRPr="00A74194">
              <w:rPr>
                <w:rFonts w:ascii="Arial Narrow" w:hAnsi="Arial Narrow"/>
                <w:sz w:val="20"/>
              </w:rPr>
              <w:t>*</w:t>
            </w:r>
          </w:p>
        </w:tc>
      </w:tr>
    </w:tbl>
    <w:p w14:paraId="0E5D9DFC" w14:textId="77777777" w:rsidR="00343C18" w:rsidRPr="00A74194" w:rsidRDefault="00343C18" w:rsidP="00343C18">
      <w:pPr>
        <w:rPr>
          <w:rFonts w:ascii="Arial Narrow" w:hAnsi="Arial Narrow"/>
          <w:sz w:val="18"/>
          <w:szCs w:val="18"/>
        </w:rPr>
      </w:pPr>
      <w:r w:rsidRPr="00A74194">
        <w:rPr>
          <w:rFonts w:ascii="Arial Narrow" w:hAnsi="Arial Narrow"/>
          <w:sz w:val="18"/>
          <w:szCs w:val="18"/>
        </w:rPr>
        <w:t>NA</w:t>
      </w:r>
      <w:r w:rsidR="000F7F68" w:rsidRPr="00A74194">
        <w:rPr>
          <w:rFonts w:ascii="Arial Narrow" w:hAnsi="Arial Narrow"/>
          <w:sz w:val="18"/>
          <w:szCs w:val="18"/>
        </w:rPr>
        <w:t xml:space="preserve"> =</w:t>
      </w:r>
      <w:r w:rsidRPr="00A74194">
        <w:rPr>
          <w:rFonts w:ascii="Arial Narrow" w:hAnsi="Arial Narrow"/>
          <w:sz w:val="18"/>
          <w:szCs w:val="18"/>
        </w:rPr>
        <w:t xml:space="preserve"> not applicable</w:t>
      </w:r>
      <w:r w:rsidR="009873A6" w:rsidRPr="00A74194">
        <w:rPr>
          <w:rFonts w:ascii="Arial Narrow" w:hAnsi="Arial Narrow"/>
          <w:sz w:val="18"/>
          <w:szCs w:val="18"/>
        </w:rPr>
        <w:t>;</w:t>
      </w:r>
      <w:r w:rsidRPr="00A74194">
        <w:rPr>
          <w:rFonts w:ascii="Arial Narrow" w:hAnsi="Arial Narrow"/>
          <w:sz w:val="18"/>
          <w:szCs w:val="18"/>
        </w:rPr>
        <w:t xml:space="preserve"> OCA = obeticholic acid; UDCA = ursodeoxycholic acid.</w:t>
      </w:r>
    </w:p>
    <w:p w14:paraId="38828172" w14:textId="77777777" w:rsidR="009873A6" w:rsidRPr="00A74194" w:rsidRDefault="00DC66CF" w:rsidP="00343C18">
      <w:pPr>
        <w:rPr>
          <w:rFonts w:ascii="Arial Narrow" w:hAnsi="Arial Narrow"/>
          <w:sz w:val="18"/>
          <w:szCs w:val="18"/>
        </w:rPr>
      </w:pPr>
      <w:r w:rsidRPr="00A74194">
        <w:rPr>
          <w:rFonts w:ascii="Arial Narrow" w:hAnsi="Arial Narrow"/>
          <w:sz w:val="18"/>
          <w:szCs w:val="18"/>
        </w:rPr>
        <w:t>*</w:t>
      </w:r>
      <w:r w:rsidR="00343C18" w:rsidRPr="00A74194">
        <w:rPr>
          <w:rFonts w:ascii="Arial Narrow" w:hAnsi="Arial Narrow"/>
          <w:sz w:val="18"/>
          <w:szCs w:val="18"/>
        </w:rPr>
        <w:t xml:space="preserve"> </w:t>
      </w:r>
      <w:r w:rsidR="009873A6" w:rsidRPr="00A74194">
        <w:rPr>
          <w:rFonts w:ascii="Arial Narrow" w:hAnsi="Arial Narrow"/>
          <w:sz w:val="18"/>
          <w:szCs w:val="18"/>
        </w:rPr>
        <w:t>The resubmission did not estimate the proportion using 5 mg versus 10 mg due to flat pricing</w:t>
      </w:r>
    </w:p>
    <w:p w14:paraId="01ACD566" w14:textId="77777777" w:rsidR="00343C18" w:rsidRPr="00A74194" w:rsidRDefault="009873A6" w:rsidP="00343C18">
      <w:pPr>
        <w:rPr>
          <w:rFonts w:ascii="Arial Narrow" w:hAnsi="Arial Narrow"/>
          <w:sz w:val="18"/>
          <w:szCs w:val="18"/>
        </w:rPr>
      </w:pPr>
      <w:r w:rsidRPr="00A74194">
        <w:rPr>
          <w:rFonts w:ascii="Arial Narrow" w:hAnsi="Arial Narrow"/>
          <w:sz w:val="18"/>
          <w:szCs w:val="18"/>
        </w:rPr>
        <w:t xml:space="preserve">** </w:t>
      </w:r>
      <w:r w:rsidR="00343C18" w:rsidRPr="00A74194">
        <w:rPr>
          <w:rFonts w:ascii="Arial Narrow" w:hAnsi="Arial Narrow"/>
          <w:sz w:val="18"/>
          <w:szCs w:val="18"/>
        </w:rPr>
        <w:t>Price per 30 tablet pack</w:t>
      </w:r>
    </w:p>
    <w:p w14:paraId="5E835B81" w14:textId="77777777" w:rsidR="00343C18" w:rsidRPr="00A74194" w:rsidRDefault="00343C18" w:rsidP="00343C18">
      <w:pPr>
        <w:rPr>
          <w:rFonts w:ascii="Arial Narrow" w:hAnsi="Arial Narrow"/>
          <w:sz w:val="18"/>
          <w:szCs w:val="18"/>
        </w:rPr>
      </w:pPr>
      <w:r w:rsidRPr="00A74194">
        <w:rPr>
          <w:rFonts w:ascii="Arial Narrow" w:hAnsi="Arial Narrow"/>
          <w:sz w:val="18"/>
          <w:szCs w:val="18"/>
        </w:rPr>
        <w:t>*</w:t>
      </w:r>
      <w:r w:rsidR="00DC66CF" w:rsidRPr="00A74194">
        <w:rPr>
          <w:rFonts w:ascii="Arial Narrow" w:hAnsi="Arial Narrow"/>
          <w:sz w:val="18"/>
          <w:szCs w:val="18"/>
        </w:rPr>
        <w:t>*</w:t>
      </w:r>
      <w:r w:rsidR="009873A6" w:rsidRPr="00A74194">
        <w:rPr>
          <w:rFonts w:ascii="Arial Narrow" w:hAnsi="Arial Narrow"/>
          <w:sz w:val="18"/>
          <w:szCs w:val="18"/>
        </w:rPr>
        <w:t>*</w:t>
      </w:r>
      <w:r w:rsidRPr="00A74194">
        <w:rPr>
          <w:rFonts w:ascii="Arial Narrow" w:hAnsi="Arial Narrow"/>
          <w:sz w:val="18"/>
          <w:szCs w:val="18"/>
        </w:rPr>
        <w:t xml:space="preserve"> Calculated during evaluation using </w:t>
      </w:r>
      <w:r w:rsidR="00FD7E15" w:rsidRPr="00A74194">
        <w:rPr>
          <w:rFonts w:ascii="Arial Narrow" w:hAnsi="Arial Narrow"/>
          <w:sz w:val="18"/>
          <w:szCs w:val="18"/>
        </w:rPr>
        <w:t>Ocaliva Economic Evaluation PBAC July 2020 FINALxlsm</w:t>
      </w:r>
      <w:r w:rsidRPr="00A74194">
        <w:rPr>
          <w:rFonts w:ascii="Arial Narrow" w:hAnsi="Arial Narrow"/>
          <w:sz w:val="18"/>
          <w:szCs w:val="18"/>
        </w:rPr>
        <w:t xml:space="preserve"> assuming mean duration of 341.7 days.</w:t>
      </w:r>
    </w:p>
    <w:p w14:paraId="705A5F92" w14:textId="77777777" w:rsidR="00343C18" w:rsidRPr="00A74194" w:rsidRDefault="00343C18" w:rsidP="00343C18">
      <w:pPr>
        <w:rPr>
          <w:rFonts w:ascii="Arial Narrow" w:hAnsi="Arial Narrow"/>
          <w:sz w:val="18"/>
          <w:szCs w:val="18"/>
        </w:rPr>
      </w:pPr>
      <w:r w:rsidRPr="00A74194">
        <w:rPr>
          <w:rFonts w:ascii="Arial Narrow" w:hAnsi="Arial Narrow"/>
          <w:sz w:val="18"/>
          <w:szCs w:val="18"/>
        </w:rPr>
        <w:t>***</w:t>
      </w:r>
      <w:r w:rsidR="009873A6" w:rsidRPr="00A74194">
        <w:rPr>
          <w:rFonts w:ascii="Arial Narrow" w:hAnsi="Arial Narrow"/>
          <w:sz w:val="18"/>
          <w:szCs w:val="18"/>
        </w:rPr>
        <w:t>*</w:t>
      </w:r>
      <w:r w:rsidRPr="00A74194">
        <w:rPr>
          <w:rFonts w:ascii="Arial Narrow" w:hAnsi="Arial Narrow"/>
          <w:sz w:val="18"/>
          <w:szCs w:val="18"/>
        </w:rPr>
        <w:t xml:space="preserve"> Assuming patients continue treatment</w:t>
      </w:r>
    </w:p>
    <w:p w14:paraId="5611509C" w14:textId="77777777" w:rsidR="00343C18" w:rsidRPr="00A74194" w:rsidRDefault="00343C18" w:rsidP="00343C18">
      <w:pPr>
        <w:rPr>
          <w:rFonts w:ascii="Arial Narrow" w:hAnsi="Arial Narrow"/>
          <w:sz w:val="18"/>
          <w:szCs w:val="18"/>
        </w:rPr>
      </w:pPr>
      <w:r w:rsidRPr="00A74194">
        <w:rPr>
          <w:rFonts w:ascii="Arial Narrow" w:hAnsi="Arial Narrow"/>
          <w:sz w:val="18"/>
          <w:szCs w:val="18"/>
        </w:rPr>
        <w:t>Source: Table 52, p200 of CSR for POISE study (Attachment 2), sheet Treatment costs</w:t>
      </w:r>
      <w:r w:rsidR="00DC66CF" w:rsidRPr="00A74194">
        <w:rPr>
          <w:rFonts w:ascii="Arial Narrow" w:hAnsi="Arial Narrow"/>
          <w:sz w:val="18"/>
          <w:szCs w:val="18"/>
        </w:rPr>
        <w:t xml:space="preserve"> of Ocaliva Economic Evaluation PBAC July 2020 FINAL.xlsm,</w:t>
      </w:r>
      <w:r w:rsidRPr="00A74194">
        <w:rPr>
          <w:rFonts w:ascii="Arial Narrow" w:hAnsi="Arial Narrow"/>
          <w:sz w:val="18"/>
          <w:szCs w:val="18"/>
        </w:rPr>
        <w:t xml:space="preserve"> and Table</w:t>
      </w:r>
      <w:r w:rsidR="00DC66CF" w:rsidRPr="00A74194">
        <w:rPr>
          <w:rFonts w:ascii="Arial Narrow" w:hAnsi="Arial Narrow"/>
          <w:sz w:val="18"/>
          <w:szCs w:val="18"/>
        </w:rPr>
        <w:t xml:space="preserve"> 55</w:t>
      </w:r>
      <w:r w:rsidRPr="00A74194">
        <w:rPr>
          <w:rFonts w:ascii="Arial Narrow" w:hAnsi="Arial Narrow"/>
          <w:sz w:val="18"/>
          <w:szCs w:val="18"/>
        </w:rPr>
        <w:t xml:space="preserve"> p1</w:t>
      </w:r>
      <w:r w:rsidR="00DC66CF" w:rsidRPr="00A74194">
        <w:rPr>
          <w:rFonts w:ascii="Arial Narrow" w:hAnsi="Arial Narrow"/>
          <w:sz w:val="18"/>
          <w:szCs w:val="18"/>
        </w:rPr>
        <w:t>65</w:t>
      </w:r>
      <w:r w:rsidRPr="00A74194">
        <w:rPr>
          <w:rFonts w:ascii="Arial Narrow" w:hAnsi="Arial Narrow"/>
          <w:sz w:val="18"/>
          <w:szCs w:val="18"/>
        </w:rPr>
        <w:t xml:space="preserve"> of the resubmission.</w:t>
      </w:r>
    </w:p>
    <w:p w14:paraId="714E5227" w14:textId="77777777" w:rsidR="00DD4407" w:rsidRPr="00A74194" w:rsidRDefault="00DD4407" w:rsidP="00DD4407">
      <w:pPr>
        <w:pStyle w:val="4-SubsectionHeading"/>
      </w:pPr>
      <w:bookmarkStart w:id="47" w:name="_Toc50371943"/>
      <w:r w:rsidRPr="00A74194">
        <w:t>Estimated PBS usage &amp; financial implications</w:t>
      </w:r>
      <w:bookmarkEnd w:id="47"/>
    </w:p>
    <w:p w14:paraId="64B28812" w14:textId="77777777" w:rsidR="00D020D2" w:rsidRPr="00A74194" w:rsidRDefault="00B159C2" w:rsidP="00B159C2">
      <w:pPr>
        <w:pStyle w:val="3-BodyText"/>
      </w:pPr>
      <w:r w:rsidRPr="00A74194">
        <w:t xml:space="preserve">This </w:t>
      </w:r>
      <w:r w:rsidR="00F512C6" w:rsidRPr="00A74194">
        <w:t>re</w:t>
      </w:r>
      <w:r w:rsidRPr="00A74194">
        <w:t xml:space="preserve">submission </w:t>
      </w:r>
      <w:r w:rsidR="00F512C6" w:rsidRPr="00A74194">
        <w:t xml:space="preserve">was </w:t>
      </w:r>
      <w:r w:rsidR="00CD35D4" w:rsidRPr="00A74194">
        <w:t xml:space="preserve">not </w:t>
      </w:r>
      <w:r w:rsidRPr="00A74194">
        <w:t xml:space="preserve">considered by DUSC. </w:t>
      </w:r>
    </w:p>
    <w:p w14:paraId="301AF594" w14:textId="77777777" w:rsidR="00B159C2" w:rsidRPr="00A74194" w:rsidRDefault="00B159C2" w:rsidP="00B159C2">
      <w:pPr>
        <w:pStyle w:val="3-BodyText"/>
      </w:pPr>
      <w:r w:rsidRPr="00A74194">
        <w:t xml:space="preserve">The resubmission used a market share approach to estimate the financial impact of listing OCA on the PBS and RPBS for the treatment of PBC. The key data sources were UDCA PBS utilisation data from the DUSC advice to the November 2018 and March 2019 submission, a specialist survey, and the POISE trial. </w:t>
      </w:r>
      <w:r w:rsidRPr="00A74194">
        <w:rPr>
          <w:iCs/>
        </w:rPr>
        <w:t>This approach was unchanged from the 2019 submission and changed from the 2018 submission which used an epidemiology approach.</w:t>
      </w:r>
      <w:r w:rsidRPr="00A74194">
        <w:t xml:space="preserve"> </w:t>
      </w:r>
    </w:p>
    <w:p w14:paraId="154BFCD8" w14:textId="77777777" w:rsidR="00B159C2" w:rsidRPr="00A74194" w:rsidRDefault="00B159C2" w:rsidP="00B159C2">
      <w:pPr>
        <w:pStyle w:val="3-BodyText"/>
      </w:pPr>
      <w:r w:rsidRPr="00A74194">
        <w:t xml:space="preserve">Table </w:t>
      </w:r>
      <w:r w:rsidR="00426DDA" w:rsidRPr="00A74194">
        <w:t xml:space="preserve">13 </w:t>
      </w:r>
      <w:r w:rsidRPr="00A74194">
        <w:t xml:space="preserve">presents the key inputs for the financial estimates. </w:t>
      </w:r>
    </w:p>
    <w:p w14:paraId="1F2FA849" w14:textId="77777777" w:rsidR="00B159C2" w:rsidRPr="00A74194" w:rsidRDefault="00B159C2" w:rsidP="00F22259">
      <w:pPr>
        <w:pStyle w:val="TableFigureHeading"/>
        <w:rPr>
          <w:rStyle w:val="CommentReference"/>
          <w:b/>
        </w:rPr>
      </w:pPr>
      <w:r w:rsidRPr="00A74194">
        <w:rPr>
          <w:rStyle w:val="CommentReference"/>
          <w:b/>
        </w:rPr>
        <w:lastRenderedPageBreak/>
        <w:t>Table 1</w:t>
      </w:r>
      <w:r w:rsidR="00426DDA" w:rsidRPr="00A74194">
        <w:rPr>
          <w:rStyle w:val="CommentReference"/>
          <w:b/>
        </w:rPr>
        <w:t>3</w:t>
      </w:r>
      <w:r w:rsidRPr="00A74194">
        <w:rPr>
          <w:rStyle w:val="CommentReference"/>
          <w:b/>
        </w:rPr>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14"/>
        <w:gridCol w:w="3244"/>
        <w:gridCol w:w="4059"/>
      </w:tblGrid>
      <w:tr w:rsidR="00B159C2" w:rsidRPr="00A74194" w14:paraId="38B4CF45" w14:textId="77777777" w:rsidTr="001A3A98">
        <w:trPr>
          <w:tblHeader/>
        </w:trPr>
        <w:tc>
          <w:tcPr>
            <w:tcW w:w="950" w:type="pct"/>
            <w:shd w:val="clear" w:color="auto" w:fill="auto"/>
            <w:vAlign w:val="center"/>
          </w:tcPr>
          <w:p w14:paraId="0257CCBE" w14:textId="77777777" w:rsidR="00B159C2" w:rsidRPr="00A74194" w:rsidRDefault="00B159C2" w:rsidP="00F22259">
            <w:pPr>
              <w:pStyle w:val="In-tableHeading"/>
              <w:rPr>
                <w:lang w:val="en-AU"/>
              </w:rPr>
            </w:pPr>
            <w:r w:rsidRPr="00A74194">
              <w:rPr>
                <w:lang w:val="en-AU"/>
              </w:rPr>
              <w:t>Parameter</w:t>
            </w:r>
          </w:p>
        </w:tc>
        <w:tc>
          <w:tcPr>
            <w:tcW w:w="1799" w:type="pct"/>
            <w:shd w:val="clear" w:color="auto" w:fill="auto"/>
            <w:vAlign w:val="center"/>
          </w:tcPr>
          <w:p w14:paraId="7D564ECA" w14:textId="77777777" w:rsidR="00B159C2" w:rsidRPr="00A74194" w:rsidRDefault="00B159C2" w:rsidP="00F22259">
            <w:pPr>
              <w:pStyle w:val="In-tableHeading"/>
              <w:rPr>
                <w:lang w:val="en-AU"/>
              </w:rPr>
            </w:pPr>
            <w:r w:rsidRPr="00A74194">
              <w:rPr>
                <w:lang w:val="en-AU"/>
              </w:rPr>
              <w:t>Value applied and source</w:t>
            </w:r>
          </w:p>
        </w:tc>
        <w:tc>
          <w:tcPr>
            <w:tcW w:w="2251" w:type="pct"/>
            <w:shd w:val="clear" w:color="auto" w:fill="auto"/>
            <w:vAlign w:val="center"/>
          </w:tcPr>
          <w:p w14:paraId="73199D4F" w14:textId="77777777" w:rsidR="00B159C2" w:rsidRPr="00A74194" w:rsidRDefault="00B159C2" w:rsidP="00F22259">
            <w:pPr>
              <w:pStyle w:val="In-tableHeading"/>
              <w:rPr>
                <w:lang w:val="en-AU"/>
              </w:rPr>
            </w:pPr>
            <w:r w:rsidRPr="00A74194">
              <w:rPr>
                <w:lang w:val="en-AU"/>
              </w:rPr>
              <w:t>Comment</w:t>
            </w:r>
          </w:p>
        </w:tc>
      </w:tr>
      <w:tr w:rsidR="00B159C2" w:rsidRPr="00A74194" w14:paraId="06D802B3" w14:textId="77777777" w:rsidTr="001A3A98">
        <w:tc>
          <w:tcPr>
            <w:tcW w:w="950" w:type="pct"/>
            <w:shd w:val="clear" w:color="auto" w:fill="auto"/>
          </w:tcPr>
          <w:p w14:paraId="0B804F61" w14:textId="77777777" w:rsidR="00B159C2" w:rsidRPr="00A74194" w:rsidRDefault="00B159C2" w:rsidP="00F22259">
            <w:pPr>
              <w:pStyle w:val="TableText0"/>
            </w:pPr>
            <w:r w:rsidRPr="00A74194">
              <w:rPr>
                <w:snapToGrid w:val="0"/>
              </w:rPr>
              <w:t>Population of UDCA treated patients</w:t>
            </w:r>
          </w:p>
        </w:tc>
        <w:tc>
          <w:tcPr>
            <w:tcW w:w="1799" w:type="pct"/>
            <w:shd w:val="clear" w:color="auto" w:fill="auto"/>
          </w:tcPr>
          <w:p w14:paraId="5471F063" w14:textId="77777777" w:rsidR="00B159C2" w:rsidRPr="00A74194" w:rsidRDefault="00B159C2" w:rsidP="00F22259">
            <w:pPr>
              <w:pStyle w:val="TableText0"/>
            </w:pPr>
            <w:r w:rsidRPr="00A74194">
              <w:t>Year 1: 11,968</w:t>
            </w:r>
          </w:p>
          <w:p w14:paraId="321FEFFD" w14:textId="77777777" w:rsidR="00B159C2" w:rsidRPr="00A74194" w:rsidRDefault="00B159C2" w:rsidP="00F22259">
            <w:pPr>
              <w:pStyle w:val="TableText0"/>
            </w:pPr>
            <w:r w:rsidRPr="00A74194">
              <w:t>Year 2: 13,164</w:t>
            </w:r>
          </w:p>
          <w:p w14:paraId="0E469794" w14:textId="77777777" w:rsidR="00B159C2" w:rsidRPr="00A74194" w:rsidRDefault="00B159C2" w:rsidP="00F22259">
            <w:pPr>
              <w:pStyle w:val="TableText0"/>
            </w:pPr>
            <w:r w:rsidRPr="00A74194">
              <w:t>Year 3: 14,481</w:t>
            </w:r>
          </w:p>
          <w:p w14:paraId="4531B400" w14:textId="77777777" w:rsidR="00B159C2" w:rsidRPr="00A74194" w:rsidRDefault="00B159C2" w:rsidP="00F22259">
            <w:pPr>
              <w:pStyle w:val="TableText0"/>
            </w:pPr>
            <w:r w:rsidRPr="00A74194">
              <w:t>Year 4: 15,929</w:t>
            </w:r>
          </w:p>
          <w:p w14:paraId="1ED3366C" w14:textId="77777777" w:rsidR="00B159C2" w:rsidRPr="00A74194" w:rsidRDefault="00B159C2" w:rsidP="00F22259">
            <w:pPr>
              <w:pStyle w:val="TableText0"/>
            </w:pPr>
            <w:r w:rsidRPr="00A74194">
              <w:t>Year 5: 17,522</w:t>
            </w:r>
          </w:p>
          <w:p w14:paraId="27DB9F95" w14:textId="77777777" w:rsidR="00B159C2" w:rsidRPr="00A74194" w:rsidRDefault="00B159C2" w:rsidP="00F22259">
            <w:pPr>
              <w:pStyle w:val="TableText0"/>
            </w:pPr>
            <w:r w:rsidRPr="00A74194">
              <w:t>Year 6: 19,274</w:t>
            </w:r>
          </w:p>
          <w:p w14:paraId="2F85E282" w14:textId="77777777" w:rsidR="00B159C2" w:rsidRPr="00A74194" w:rsidRDefault="00B159C2" w:rsidP="00F22259">
            <w:pPr>
              <w:pStyle w:val="TableText0"/>
            </w:pPr>
            <w:r w:rsidRPr="00A74194">
              <w:t xml:space="preserve">Sourced from </w:t>
            </w:r>
            <w:r w:rsidRPr="00A74194">
              <w:rPr>
                <w:rStyle w:val="MainBodyTextEmphasiswithBold"/>
                <w:b w:val="0"/>
                <w:bCs w:val="0"/>
              </w:rPr>
              <w:t>DUSC utilisation estimates.</w:t>
            </w:r>
          </w:p>
        </w:tc>
        <w:tc>
          <w:tcPr>
            <w:tcW w:w="2251" w:type="pct"/>
            <w:shd w:val="clear" w:color="auto" w:fill="auto"/>
          </w:tcPr>
          <w:p w14:paraId="3E4F64BA" w14:textId="77777777" w:rsidR="00B159C2" w:rsidRPr="00A74194" w:rsidRDefault="00645009" w:rsidP="00F22259">
            <w:pPr>
              <w:pStyle w:val="TableText0"/>
            </w:pPr>
            <w:r w:rsidRPr="00A74194">
              <w:t>-</w:t>
            </w:r>
          </w:p>
        </w:tc>
      </w:tr>
      <w:tr w:rsidR="00B159C2" w:rsidRPr="00A74194" w14:paraId="32781B97" w14:textId="77777777" w:rsidTr="001A3A98">
        <w:tc>
          <w:tcPr>
            <w:tcW w:w="950" w:type="pct"/>
            <w:shd w:val="clear" w:color="auto" w:fill="auto"/>
          </w:tcPr>
          <w:p w14:paraId="27EC3950" w14:textId="77777777" w:rsidR="00B159C2" w:rsidRPr="00A74194" w:rsidRDefault="00B159C2" w:rsidP="00F22259">
            <w:pPr>
              <w:pStyle w:val="TableText0"/>
              <w:widowControl w:val="0"/>
            </w:pPr>
            <w:r w:rsidRPr="00A74194">
              <w:rPr>
                <w:snapToGrid w:val="0"/>
              </w:rPr>
              <w:t>Proportion of patients on UDCA who are being treated for PBC</w:t>
            </w:r>
          </w:p>
        </w:tc>
        <w:tc>
          <w:tcPr>
            <w:tcW w:w="1799" w:type="pct"/>
            <w:shd w:val="clear" w:color="auto" w:fill="auto"/>
          </w:tcPr>
          <w:p w14:paraId="2C5F72F4" w14:textId="77777777" w:rsidR="00B159C2" w:rsidRPr="00A74194" w:rsidRDefault="00B159C2" w:rsidP="00F22259">
            <w:pPr>
              <w:pStyle w:val="TableText0"/>
              <w:widowControl w:val="0"/>
              <w:rPr>
                <w:bCs w:val="0"/>
              </w:rPr>
            </w:pPr>
            <w:r w:rsidRPr="00A74194">
              <w:t>100%</w:t>
            </w:r>
          </w:p>
          <w:p w14:paraId="64C9B9A7" w14:textId="77777777" w:rsidR="00B159C2" w:rsidRPr="00A74194" w:rsidRDefault="00B159C2" w:rsidP="00F22259">
            <w:pPr>
              <w:pStyle w:val="NoSpacing"/>
              <w:keepNext/>
              <w:jc w:val="left"/>
            </w:pPr>
            <w:r w:rsidRPr="00A74194">
              <w:rPr>
                <w:rFonts w:ascii="Arial Narrow" w:eastAsiaTheme="majorEastAsia" w:hAnsi="Arial Narrow" w:cstheme="majorBidi"/>
                <w:snapToGrid/>
                <w:sz w:val="20"/>
                <w:szCs w:val="24"/>
                <w:lang w:eastAsia="en-AU"/>
              </w:rPr>
              <w:t xml:space="preserve">ESC/PBAC advice stated as ‘estimate should be close to 100%’. </w:t>
            </w:r>
            <w:r w:rsidRPr="00A74194">
              <w:rPr>
                <w:rFonts w:ascii="Arial Narrow" w:eastAsiaTheme="majorEastAsia" w:hAnsi="Arial Narrow" w:cstheme="majorBidi"/>
                <w:b/>
                <w:snapToGrid/>
                <w:sz w:val="20"/>
                <w:szCs w:val="24"/>
                <w:lang w:eastAsia="en-AU"/>
              </w:rPr>
              <w:t>(</w:t>
            </w:r>
            <w:r w:rsidRPr="00A74194">
              <w:rPr>
                <w:rFonts w:ascii="Arial Narrow" w:eastAsiaTheme="majorEastAsia" w:hAnsi="Arial Narrow" w:cstheme="majorBidi"/>
                <w:snapToGrid/>
                <w:sz w:val="20"/>
                <w:szCs w:val="24"/>
                <w:lang w:eastAsia="en-AU"/>
              </w:rPr>
              <w:t>paragraph 6.42, obeticholic acid PSD, July 2019).</w:t>
            </w:r>
          </w:p>
        </w:tc>
        <w:tc>
          <w:tcPr>
            <w:tcW w:w="2251" w:type="pct"/>
            <w:shd w:val="clear" w:color="auto" w:fill="auto"/>
          </w:tcPr>
          <w:p w14:paraId="29E432A8" w14:textId="77777777" w:rsidR="00B159C2" w:rsidRPr="00A74194" w:rsidRDefault="00B159C2" w:rsidP="00F22259">
            <w:pPr>
              <w:pStyle w:val="TableText0"/>
              <w:widowControl w:val="0"/>
            </w:pPr>
            <w:r w:rsidRPr="00A74194">
              <w:rPr>
                <w:iCs/>
              </w:rPr>
              <w:t xml:space="preserve">This addresses </w:t>
            </w:r>
            <w:r w:rsidR="00D020D2" w:rsidRPr="00A74194">
              <w:rPr>
                <w:iCs/>
              </w:rPr>
              <w:t xml:space="preserve">previous </w:t>
            </w:r>
            <w:r w:rsidR="00914A50" w:rsidRPr="00A74194">
              <w:rPr>
                <w:iCs/>
              </w:rPr>
              <w:t>advice</w:t>
            </w:r>
            <w:r w:rsidR="000A7AF0" w:rsidRPr="00A74194">
              <w:rPr>
                <w:iCs/>
              </w:rPr>
              <w:t xml:space="preserve"> from the ESC</w:t>
            </w:r>
            <w:r w:rsidR="004055EA" w:rsidRPr="00A74194">
              <w:rPr>
                <w:iCs/>
              </w:rPr>
              <w:t xml:space="preserve"> </w:t>
            </w:r>
            <w:r w:rsidR="00914A50" w:rsidRPr="00A74194">
              <w:rPr>
                <w:snapToGrid w:val="0"/>
              </w:rPr>
              <w:t xml:space="preserve">(paragraph 6.42, obeticholic acid PSD, July 2019) that </w:t>
            </w:r>
            <w:r w:rsidR="00914A50" w:rsidRPr="00A74194">
              <w:t xml:space="preserve">this estimate should be </w:t>
            </w:r>
            <w:r w:rsidR="00914A50" w:rsidRPr="00A74194">
              <w:rPr>
                <w:snapToGrid w:val="0"/>
              </w:rPr>
              <w:t>100%</w:t>
            </w:r>
            <w:r w:rsidR="00914A50" w:rsidRPr="00A74194">
              <w:rPr>
                <w:iCs/>
              </w:rPr>
              <w:t xml:space="preserve">. This </w:t>
            </w:r>
            <w:r w:rsidRPr="00A74194">
              <w:rPr>
                <w:iCs/>
              </w:rPr>
              <w:t xml:space="preserve">reflects that UDCA is the only PBS listed treatment for PBC. </w:t>
            </w:r>
          </w:p>
        </w:tc>
      </w:tr>
      <w:tr w:rsidR="00B159C2" w:rsidRPr="00A74194" w14:paraId="5FA4BE06" w14:textId="77777777" w:rsidTr="001A3A98">
        <w:tc>
          <w:tcPr>
            <w:tcW w:w="950" w:type="pct"/>
            <w:shd w:val="clear" w:color="auto" w:fill="auto"/>
          </w:tcPr>
          <w:p w14:paraId="44C7516A" w14:textId="77777777" w:rsidR="00B159C2" w:rsidRPr="00A74194" w:rsidRDefault="00B159C2" w:rsidP="00F22259">
            <w:pPr>
              <w:pStyle w:val="TableText0"/>
              <w:widowControl w:val="0"/>
            </w:pPr>
            <w:r w:rsidRPr="00A74194">
              <w:rPr>
                <w:snapToGrid w:val="0"/>
              </w:rPr>
              <w:t>Annual growth rate of UDCA treated patients</w:t>
            </w:r>
          </w:p>
        </w:tc>
        <w:tc>
          <w:tcPr>
            <w:tcW w:w="1799" w:type="pct"/>
            <w:shd w:val="clear" w:color="auto" w:fill="auto"/>
          </w:tcPr>
          <w:p w14:paraId="2D8B1604" w14:textId="77777777" w:rsidR="00B159C2" w:rsidRPr="00A74194" w:rsidRDefault="00B159C2" w:rsidP="00F22259">
            <w:pPr>
              <w:pStyle w:val="TableText0"/>
              <w:widowControl w:val="0"/>
            </w:pPr>
            <w:r w:rsidRPr="00A74194">
              <w:t>10%</w:t>
            </w:r>
          </w:p>
          <w:p w14:paraId="4BD86E5F" w14:textId="77777777" w:rsidR="00B159C2" w:rsidRPr="00A74194" w:rsidRDefault="00B159C2" w:rsidP="00F22259">
            <w:pPr>
              <w:pStyle w:val="TableText0"/>
              <w:widowControl w:val="0"/>
            </w:pPr>
            <w:r w:rsidRPr="00A74194">
              <w:rPr>
                <w:iCs/>
                <w:snapToGrid w:val="0"/>
              </w:rPr>
              <w:t xml:space="preserve">DUSC data </w:t>
            </w:r>
            <w:r w:rsidRPr="00A74194">
              <w:t xml:space="preserve">(PBAC PSD July 2019, item </w:t>
            </w:r>
            <w:r w:rsidR="004055EA" w:rsidRPr="00A74194">
              <w:t xml:space="preserve">6.42 and </w:t>
            </w:r>
            <w:r w:rsidRPr="00A74194">
              <w:t>7.11).</w:t>
            </w:r>
          </w:p>
        </w:tc>
        <w:tc>
          <w:tcPr>
            <w:tcW w:w="2251" w:type="pct"/>
            <w:shd w:val="clear" w:color="auto" w:fill="auto"/>
          </w:tcPr>
          <w:p w14:paraId="490F00F6" w14:textId="77777777" w:rsidR="00B159C2" w:rsidRPr="00A74194" w:rsidRDefault="00B159C2" w:rsidP="00F22259">
            <w:pPr>
              <w:pStyle w:val="TableText0"/>
              <w:widowControl w:val="0"/>
            </w:pPr>
            <w:r w:rsidRPr="00A74194">
              <w:rPr>
                <w:iCs/>
              </w:rPr>
              <w:t xml:space="preserve">This addresses </w:t>
            </w:r>
            <w:r w:rsidR="00D020D2" w:rsidRPr="00A74194">
              <w:rPr>
                <w:iCs/>
              </w:rPr>
              <w:t xml:space="preserve">previous </w:t>
            </w:r>
            <w:r w:rsidR="000A7AF0" w:rsidRPr="00A74194">
              <w:rPr>
                <w:iCs/>
              </w:rPr>
              <w:t>advice</w:t>
            </w:r>
            <w:r w:rsidRPr="00A74194">
              <w:rPr>
                <w:iCs/>
              </w:rPr>
              <w:t xml:space="preserve"> </w:t>
            </w:r>
            <w:r w:rsidR="000A7AF0" w:rsidRPr="00A74194">
              <w:rPr>
                <w:iCs/>
              </w:rPr>
              <w:t xml:space="preserve">from </w:t>
            </w:r>
            <w:r w:rsidRPr="00A74194">
              <w:rPr>
                <w:iCs/>
              </w:rPr>
              <w:t xml:space="preserve">the </w:t>
            </w:r>
            <w:r w:rsidR="00E43510" w:rsidRPr="00A74194">
              <w:rPr>
                <w:iCs/>
              </w:rPr>
              <w:t xml:space="preserve">ESC </w:t>
            </w:r>
            <w:r w:rsidRPr="00A74194">
              <w:rPr>
                <w:iCs/>
              </w:rPr>
              <w:t xml:space="preserve">and the PBAC (paragraph 6.42 and 7.11, obeticholic acid PSD, July 2019). </w:t>
            </w:r>
          </w:p>
        </w:tc>
      </w:tr>
      <w:tr w:rsidR="00B34EF1" w:rsidRPr="00A74194" w14:paraId="4FD0C29F" w14:textId="77777777" w:rsidTr="001A3A98">
        <w:tc>
          <w:tcPr>
            <w:tcW w:w="950" w:type="pct"/>
            <w:shd w:val="clear" w:color="auto" w:fill="auto"/>
          </w:tcPr>
          <w:p w14:paraId="4E1AD228" w14:textId="77777777" w:rsidR="00B34EF1" w:rsidRPr="00A74194" w:rsidRDefault="00B34EF1" w:rsidP="00F22259">
            <w:pPr>
              <w:pStyle w:val="TableText0"/>
              <w:widowControl w:val="0"/>
            </w:pPr>
            <w:r w:rsidRPr="00A74194">
              <w:t>Uptake rate</w:t>
            </w:r>
          </w:p>
        </w:tc>
        <w:tc>
          <w:tcPr>
            <w:tcW w:w="1799" w:type="pct"/>
            <w:shd w:val="clear" w:color="auto" w:fill="auto"/>
          </w:tcPr>
          <w:p w14:paraId="75FD2A89" w14:textId="77777777" w:rsidR="00B34EF1" w:rsidRPr="00A74194" w:rsidRDefault="00B34EF1" w:rsidP="00F22259">
            <w:pPr>
              <w:pStyle w:val="TableText0"/>
              <w:widowControl w:val="0"/>
            </w:pPr>
            <w:r w:rsidRPr="00A74194">
              <w:t>13% in Year 1 decreasing to 3.17% in Year 6. Based on expert opinion survey.</w:t>
            </w:r>
          </w:p>
        </w:tc>
        <w:tc>
          <w:tcPr>
            <w:tcW w:w="2251" w:type="pct"/>
            <w:shd w:val="clear" w:color="auto" w:fill="auto"/>
          </w:tcPr>
          <w:p w14:paraId="0C55BA17" w14:textId="77777777" w:rsidR="00B34EF1" w:rsidRPr="00A74194" w:rsidRDefault="00D020D2" w:rsidP="00D020D2">
            <w:pPr>
              <w:pStyle w:val="TableText0"/>
              <w:widowControl w:val="0"/>
            </w:pPr>
            <w:r w:rsidRPr="00A74194">
              <w:t>The ESC considered that the uptake rates were u</w:t>
            </w:r>
            <w:r w:rsidR="00B34EF1" w:rsidRPr="00A74194">
              <w:t>ncertain as it was based on the responses of 5 specialists treating ~2.1% of patients with PBC treated with UDCA.</w:t>
            </w:r>
          </w:p>
        </w:tc>
      </w:tr>
      <w:tr w:rsidR="00897FF6" w:rsidRPr="00A74194" w14:paraId="591D3C57" w14:textId="77777777" w:rsidTr="001A3A98">
        <w:tc>
          <w:tcPr>
            <w:tcW w:w="950" w:type="pct"/>
            <w:shd w:val="clear" w:color="auto" w:fill="auto"/>
          </w:tcPr>
          <w:p w14:paraId="16C7256E" w14:textId="77777777" w:rsidR="00897FF6" w:rsidRPr="00A74194" w:rsidRDefault="00897FF6" w:rsidP="00426DDA">
            <w:pPr>
              <w:pStyle w:val="TableText0"/>
              <w:keepNext w:val="0"/>
              <w:widowControl w:val="0"/>
              <w:rPr>
                <w:snapToGrid w:val="0"/>
              </w:rPr>
            </w:pPr>
            <w:r w:rsidRPr="00A74194">
              <w:rPr>
                <w:snapToGrid w:val="0"/>
              </w:rPr>
              <w:t>Treatment utilisation</w:t>
            </w:r>
          </w:p>
        </w:tc>
        <w:tc>
          <w:tcPr>
            <w:tcW w:w="1799" w:type="pct"/>
            <w:shd w:val="clear" w:color="auto" w:fill="auto"/>
          </w:tcPr>
          <w:p w14:paraId="70F3B45D" w14:textId="77777777" w:rsidR="00897FF6" w:rsidRPr="00A74194" w:rsidRDefault="00897FF6" w:rsidP="00426DDA">
            <w:pPr>
              <w:pStyle w:val="TableText0"/>
              <w:keepNext w:val="0"/>
              <w:widowControl w:val="0"/>
              <w:rPr>
                <w:snapToGrid w:val="0"/>
              </w:rPr>
            </w:pPr>
            <w:r w:rsidRPr="00A74194">
              <w:rPr>
                <w:rStyle w:val="MainBodyTextEmphasiswithBold"/>
                <w:b w:val="0"/>
                <w:bCs w:val="0"/>
              </w:rPr>
              <w:t>F</w:t>
            </w:r>
            <w:r w:rsidRPr="00A74194">
              <w:t>ail continuation rule</w:t>
            </w:r>
            <w:r w:rsidRPr="00A74194">
              <w:rPr>
                <w:bCs w:val="0"/>
                <w:snapToGrid w:val="0"/>
              </w:rPr>
              <w:t xml:space="preserve">: </w:t>
            </w:r>
            <w:r w:rsidRPr="00A74194">
              <w:rPr>
                <w:rStyle w:val="MainBodyTextEmphasiswithBold"/>
                <w:b w:val="0"/>
                <w:bCs w:val="0"/>
              </w:rPr>
              <w:t xml:space="preserve">54% at 12 months </w:t>
            </w:r>
          </w:p>
          <w:p w14:paraId="505B57F5" w14:textId="77777777" w:rsidR="00897FF6" w:rsidRPr="00A74194" w:rsidRDefault="00897FF6" w:rsidP="00426DDA">
            <w:pPr>
              <w:pStyle w:val="TableText0"/>
              <w:keepNext w:val="0"/>
              <w:widowControl w:val="0"/>
            </w:pPr>
          </w:p>
          <w:p w14:paraId="5B4A3BBA" w14:textId="77777777" w:rsidR="00B34EF1" w:rsidRPr="00A74194" w:rsidRDefault="00B34EF1" w:rsidP="00426DDA">
            <w:pPr>
              <w:pStyle w:val="TableText0"/>
              <w:keepNext w:val="0"/>
              <w:widowControl w:val="0"/>
            </w:pPr>
          </w:p>
          <w:p w14:paraId="49E233B9" w14:textId="77777777" w:rsidR="00B34EF1" w:rsidRPr="00A74194" w:rsidRDefault="00B34EF1" w:rsidP="00426DDA">
            <w:pPr>
              <w:pStyle w:val="TableText0"/>
              <w:keepNext w:val="0"/>
              <w:widowControl w:val="0"/>
            </w:pPr>
          </w:p>
          <w:p w14:paraId="05E7224B" w14:textId="77777777" w:rsidR="00897FF6" w:rsidRPr="00A74194" w:rsidRDefault="00B34EF1" w:rsidP="00426DDA">
            <w:pPr>
              <w:pStyle w:val="TableText0"/>
              <w:keepNext w:val="0"/>
              <w:widowControl w:val="0"/>
              <w:rPr>
                <w:rStyle w:val="MainBodyTextEmphasiswithBold"/>
                <w:b w:val="0"/>
                <w:bCs w:val="0"/>
              </w:rPr>
            </w:pPr>
            <w:r w:rsidRPr="00A74194">
              <w:t>C</w:t>
            </w:r>
            <w:r w:rsidR="00897FF6" w:rsidRPr="00A74194">
              <w:t>ontinuing treatment (</w:t>
            </w:r>
            <w:r w:rsidRPr="00A74194">
              <w:t>not failing continuation rule</w:t>
            </w:r>
            <w:r w:rsidR="00897FF6" w:rsidRPr="00A74194">
              <w:t>)</w:t>
            </w:r>
            <w:r w:rsidR="00897FF6" w:rsidRPr="00A74194">
              <w:rPr>
                <w:snapToGrid w:val="0"/>
              </w:rPr>
              <w:t>:</w:t>
            </w:r>
            <w:r w:rsidR="00897FF6" w:rsidRPr="00A74194">
              <w:rPr>
                <w:rStyle w:val="MainBodyTextEmphasiswithBold"/>
                <w:b w:val="0"/>
                <w:bCs w:val="0"/>
              </w:rPr>
              <w:t xml:space="preserve"> 95% post 12 months</w:t>
            </w:r>
          </w:p>
          <w:p w14:paraId="0F1B41CF" w14:textId="77777777" w:rsidR="00897FF6" w:rsidRPr="00A74194" w:rsidRDefault="00897FF6" w:rsidP="00426DDA">
            <w:pPr>
              <w:pStyle w:val="TableText0"/>
              <w:keepNext w:val="0"/>
              <w:widowControl w:val="0"/>
            </w:pPr>
          </w:p>
          <w:p w14:paraId="23B85C45" w14:textId="77777777" w:rsidR="00D020D2" w:rsidRPr="00A74194" w:rsidRDefault="00D020D2" w:rsidP="00426DDA">
            <w:pPr>
              <w:pStyle w:val="TableText0"/>
              <w:keepNext w:val="0"/>
              <w:widowControl w:val="0"/>
            </w:pPr>
          </w:p>
          <w:p w14:paraId="72B89423" w14:textId="77777777" w:rsidR="00897FF6" w:rsidRPr="00A74194" w:rsidRDefault="00897FF6" w:rsidP="00426DDA">
            <w:pPr>
              <w:pStyle w:val="TableText0"/>
              <w:keepNext w:val="0"/>
              <w:widowControl w:val="0"/>
            </w:pPr>
            <w:r w:rsidRPr="00A74194">
              <w:t xml:space="preserve">Adherence: </w:t>
            </w:r>
            <w:r w:rsidRPr="00A74194">
              <w:rPr>
                <w:rStyle w:val="MainBodyTextEmphasiswithBold"/>
                <w:b w:val="0"/>
                <w:bCs w:val="0"/>
              </w:rPr>
              <w:t>93.55%</w:t>
            </w:r>
          </w:p>
        </w:tc>
        <w:tc>
          <w:tcPr>
            <w:tcW w:w="2251" w:type="pct"/>
            <w:shd w:val="clear" w:color="auto" w:fill="auto"/>
          </w:tcPr>
          <w:p w14:paraId="2E17F116" w14:textId="77777777" w:rsidR="00897FF6" w:rsidRPr="00A74194" w:rsidRDefault="00DF7870" w:rsidP="00426DDA">
            <w:pPr>
              <w:pStyle w:val="TableText0"/>
              <w:keepNext w:val="0"/>
              <w:widowControl w:val="0"/>
              <w:rPr>
                <w:iCs/>
              </w:rPr>
            </w:pPr>
            <w:r>
              <w:rPr>
                <w:rStyle w:val="MainBodyTextEmphasiswithBold"/>
                <w:b w:val="0"/>
                <w:bCs w:val="0"/>
              </w:rPr>
              <w:t>Consistent with trial results</w:t>
            </w:r>
            <w:r w:rsidR="00B34EF1" w:rsidRPr="00A74194">
              <w:rPr>
                <w:rStyle w:val="MainBodyTextEmphasiswithBold"/>
                <w:b w:val="0"/>
              </w:rPr>
              <w:t>.</w:t>
            </w:r>
            <w:r w:rsidR="00B34EF1" w:rsidRPr="00A74194">
              <w:rPr>
                <w:iCs/>
              </w:rPr>
              <w:t xml:space="preserve"> </w:t>
            </w:r>
          </w:p>
          <w:p w14:paraId="6788A1E5" w14:textId="77777777" w:rsidR="00B34EF1" w:rsidRPr="00A74194" w:rsidRDefault="00B34EF1" w:rsidP="00426DDA">
            <w:pPr>
              <w:pStyle w:val="TableText0"/>
              <w:keepNext w:val="0"/>
              <w:widowControl w:val="0"/>
              <w:rPr>
                <w:iCs/>
              </w:rPr>
            </w:pPr>
          </w:p>
          <w:p w14:paraId="7FB7C446" w14:textId="77777777" w:rsidR="00B34EF1" w:rsidRPr="00A74194" w:rsidRDefault="00B34EF1" w:rsidP="00426DDA">
            <w:pPr>
              <w:pStyle w:val="TableText0"/>
              <w:keepNext w:val="0"/>
              <w:widowControl w:val="0"/>
              <w:rPr>
                <w:iCs/>
              </w:rPr>
            </w:pPr>
            <w:r w:rsidRPr="00A74194">
              <w:rPr>
                <w:iCs/>
              </w:rPr>
              <w:t xml:space="preserve">Assumed. This is uncertain and </w:t>
            </w:r>
            <w:r w:rsidR="00D020D2" w:rsidRPr="00A74194">
              <w:rPr>
                <w:iCs/>
              </w:rPr>
              <w:t xml:space="preserve">the ESC considered that it </w:t>
            </w:r>
            <w:r w:rsidRPr="00A74194">
              <w:rPr>
                <w:iCs/>
              </w:rPr>
              <w:t>is likely to be over-estimating the number of continuing patients.</w:t>
            </w:r>
          </w:p>
          <w:p w14:paraId="47F1BBD2" w14:textId="77777777" w:rsidR="00B34EF1" w:rsidRPr="00A74194" w:rsidRDefault="00B34EF1" w:rsidP="00426DDA">
            <w:pPr>
              <w:pStyle w:val="TableText0"/>
              <w:keepNext w:val="0"/>
              <w:widowControl w:val="0"/>
              <w:rPr>
                <w:iCs/>
              </w:rPr>
            </w:pPr>
          </w:p>
          <w:p w14:paraId="1FBF5403" w14:textId="77777777" w:rsidR="00B34EF1" w:rsidRPr="00A74194" w:rsidRDefault="00B34EF1" w:rsidP="00426DDA">
            <w:pPr>
              <w:pStyle w:val="TableText0"/>
              <w:keepNext w:val="0"/>
              <w:widowControl w:val="0"/>
              <w:rPr>
                <w:bCs w:val="0"/>
                <w:snapToGrid w:val="0"/>
              </w:rPr>
            </w:pPr>
            <w:r w:rsidRPr="00A74194">
              <w:rPr>
                <w:bCs w:val="0"/>
                <w:snapToGrid w:val="0"/>
              </w:rPr>
              <w:t xml:space="preserve">The completion rate at 12 months was 90% for the OCA titration group and 88% for the OCA 10 mg </w:t>
            </w:r>
            <w:r w:rsidR="00E540D1" w:rsidRPr="00A74194">
              <w:rPr>
                <w:bCs w:val="0"/>
                <w:snapToGrid w:val="0"/>
              </w:rPr>
              <w:t xml:space="preserve">group. </w:t>
            </w:r>
            <w:r w:rsidRPr="00A74194">
              <w:rPr>
                <w:bCs w:val="0"/>
                <w:snapToGrid w:val="0"/>
              </w:rPr>
              <w:t xml:space="preserve">The </w:t>
            </w:r>
            <w:r w:rsidR="00D020D2" w:rsidRPr="00A74194">
              <w:rPr>
                <w:bCs w:val="0"/>
                <w:snapToGrid w:val="0"/>
              </w:rPr>
              <w:t xml:space="preserve">ESC considered that the </w:t>
            </w:r>
            <w:r w:rsidRPr="00A74194">
              <w:rPr>
                <w:bCs w:val="0"/>
                <w:snapToGrid w:val="0"/>
              </w:rPr>
              <w:t>adherence rate may be overestimated.</w:t>
            </w:r>
          </w:p>
          <w:p w14:paraId="0A06C013" w14:textId="77777777" w:rsidR="00B34EF1" w:rsidRPr="00A74194" w:rsidRDefault="00B34EF1" w:rsidP="00426DDA">
            <w:pPr>
              <w:pStyle w:val="TableText0"/>
              <w:keepNext w:val="0"/>
              <w:widowControl w:val="0"/>
              <w:rPr>
                <w:iCs/>
              </w:rPr>
            </w:pPr>
          </w:p>
          <w:p w14:paraId="4003493B" w14:textId="77777777" w:rsidR="00B34EF1" w:rsidRPr="00A74194" w:rsidRDefault="00B34EF1" w:rsidP="00426DDA">
            <w:pPr>
              <w:pStyle w:val="TableText0"/>
              <w:keepNext w:val="0"/>
              <w:widowControl w:val="0"/>
              <w:rPr>
                <w:iCs/>
              </w:rPr>
            </w:pPr>
            <w:r w:rsidRPr="00A74194">
              <w:rPr>
                <w:iCs/>
              </w:rPr>
              <w:t xml:space="preserve">The resubmission did not </w:t>
            </w:r>
            <w:r w:rsidRPr="00A74194">
              <w:t xml:space="preserve">assume that 21% of patients receive a half dose (dose every other day) after the first year of treatment, </w:t>
            </w:r>
            <w:r w:rsidR="00645009" w:rsidRPr="00A74194">
              <w:t>which was in</w:t>
            </w:r>
            <w:r w:rsidRPr="00A74194">
              <w:t>consistent with the economic model.</w:t>
            </w:r>
            <w:r w:rsidR="00D020D2" w:rsidRPr="00A74194">
              <w:t xml:space="preserve"> The ESC noted that the PSCR provided revised financial estimates which included 21% of patients receiving half dose OCA.</w:t>
            </w:r>
          </w:p>
        </w:tc>
      </w:tr>
      <w:tr w:rsidR="00B159C2" w:rsidRPr="00A74194" w14:paraId="36A7ECBC" w14:textId="77777777" w:rsidTr="001A3A98">
        <w:tc>
          <w:tcPr>
            <w:tcW w:w="950" w:type="pct"/>
            <w:shd w:val="clear" w:color="auto" w:fill="auto"/>
          </w:tcPr>
          <w:p w14:paraId="51A0C2A0" w14:textId="77777777" w:rsidR="00B159C2" w:rsidRPr="00A74194" w:rsidRDefault="00B159C2" w:rsidP="00426DDA">
            <w:pPr>
              <w:pStyle w:val="TableText0"/>
              <w:keepNext w:val="0"/>
              <w:widowControl w:val="0"/>
            </w:pPr>
            <w:r w:rsidRPr="00A74194">
              <w:t>Grandfathered patients</w:t>
            </w:r>
          </w:p>
        </w:tc>
        <w:tc>
          <w:tcPr>
            <w:tcW w:w="1799" w:type="pct"/>
            <w:shd w:val="clear" w:color="auto" w:fill="auto"/>
          </w:tcPr>
          <w:p w14:paraId="1F5758FB" w14:textId="77777777" w:rsidR="00B159C2" w:rsidRPr="00A74194" w:rsidRDefault="00B159C2" w:rsidP="00426DDA">
            <w:pPr>
              <w:pStyle w:val="TableText0"/>
              <w:keepNext w:val="0"/>
              <w:widowControl w:val="0"/>
            </w:pPr>
            <w:r w:rsidRPr="00A74194">
              <w:t>6 per year</w:t>
            </w:r>
          </w:p>
        </w:tc>
        <w:tc>
          <w:tcPr>
            <w:tcW w:w="2251" w:type="pct"/>
            <w:shd w:val="clear" w:color="auto" w:fill="auto"/>
          </w:tcPr>
          <w:p w14:paraId="74FD5B63" w14:textId="77777777" w:rsidR="00B159C2" w:rsidRPr="00A74194" w:rsidRDefault="00B159C2" w:rsidP="00426DDA">
            <w:pPr>
              <w:pStyle w:val="TableText0"/>
              <w:keepNext w:val="0"/>
              <w:widowControl w:val="0"/>
            </w:pPr>
            <w:r w:rsidRPr="00A74194">
              <w:rPr>
                <w:iCs/>
              </w:rPr>
              <w:t xml:space="preserve">This is unchanged from the previous submission. The </w:t>
            </w:r>
            <w:r w:rsidR="00D020D2" w:rsidRPr="00A74194">
              <w:rPr>
                <w:iCs/>
              </w:rPr>
              <w:t xml:space="preserve">ESC noted that the </w:t>
            </w:r>
            <w:r w:rsidRPr="00A74194">
              <w:rPr>
                <w:iCs/>
              </w:rPr>
              <w:t xml:space="preserve">addition of </w:t>
            </w:r>
            <w:r w:rsidRPr="00A74194">
              <w:rPr>
                <w:snapToGrid w:val="0"/>
              </w:rPr>
              <w:t>grandfathered patients every year (rather than once), has overestimated the number of patients treated</w:t>
            </w:r>
          </w:p>
        </w:tc>
      </w:tr>
      <w:tr w:rsidR="00B159C2" w:rsidRPr="00A74194" w14:paraId="01B33AE8" w14:textId="77777777" w:rsidTr="001A3A98">
        <w:tc>
          <w:tcPr>
            <w:tcW w:w="950" w:type="pct"/>
            <w:shd w:val="clear" w:color="auto" w:fill="auto"/>
          </w:tcPr>
          <w:p w14:paraId="6331C73B" w14:textId="77777777" w:rsidR="00B159C2" w:rsidRPr="00A74194" w:rsidRDefault="00B159C2" w:rsidP="00426DDA">
            <w:pPr>
              <w:pStyle w:val="TableText0"/>
              <w:keepNext w:val="0"/>
              <w:widowControl w:val="0"/>
            </w:pPr>
            <w:r w:rsidRPr="00A74194">
              <w:t>MBS item</w:t>
            </w:r>
          </w:p>
        </w:tc>
        <w:tc>
          <w:tcPr>
            <w:tcW w:w="1799" w:type="pct"/>
            <w:shd w:val="clear" w:color="auto" w:fill="auto"/>
          </w:tcPr>
          <w:p w14:paraId="07B50199" w14:textId="77777777" w:rsidR="00B159C2" w:rsidRPr="00A74194" w:rsidRDefault="00B159C2" w:rsidP="00426DDA">
            <w:pPr>
              <w:pStyle w:val="TableText0"/>
              <w:keepNext w:val="0"/>
              <w:widowControl w:val="0"/>
              <w:rPr>
                <w:szCs w:val="20"/>
              </w:rPr>
            </w:pPr>
            <w:r w:rsidRPr="00A74194">
              <w:rPr>
                <w:rFonts w:cs="Calibri"/>
                <w:color w:val="000000"/>
                <w:szCs w:val="20"/>
              </w:rPr>
              <w:t xml:space="preserve">MBS </w:t>
            </w:r>
            <w:r w:rsidRPr="00A74194">
              <w:rPr>
                <w:szCs w:val="20"/>
              </w:rPr>
              <w:t>Item 119</w:t>
            </w:r>
            <w:r w:rsidR="00A00045" w:rsidRPr="00A74194">
              <w:rPr>
                <w:szCs w:val="20"/>
              </w:rPr>
              <w:t xml:space="preserve"> (one extra specialist consultation to assess tolerability of OCA)</w:t>
            </w:r>
          </w:p>
          <w:p w14:paraId="460AF1EB" w14:textId="77777777" w:rsidR="00B7575B" w:rsidRPr="00A74194" w:rsidRDefault="00B7575B" w:rsidP="00426DDA">
            <w:pPr>
              <w:pStyle w:val="TableText0"/>
              <w:keepNext w:val="0"/>
              <w:widowControl w:val="0"/>
              <w:rPr>
                <w:szCs w:val="20"/>
              </w:rPr>
            </w:pPr>
          </w:p>
          <w:p w14:paraId="2CEFAC13" w14:textId="77777777" w:rsidR="00B7575B" w:rsidRPr="00A74194" w:rsidRDefault="00B7575B" w:rsidP="00426DDA">
            <w:pPr>
              <w:pStyle w:val="TableText0"/>
              <w:keepNext w:val="0"/>
              <w:widowControl w:val="0"/>
              <w:rPr>
                <w:szCs w:val="20"/>
              </w:rPr>
            </w:pPr>
          </w:p>
          <w:p w14:paraId="01A9175E" w14:textId="77777777" w:rsidR="00B159C2" w:rsidRPr="00A74194" w:rsidRDefault="00B159C2" w:rsidP="00426DDA">
            <w:pPr>
              <w:pStyle w:val="TableText0"/>
              <w:keepNext w:val="0"/>
              <w:widowControl w:val="0"/>
            </w:pPr>
            <w:r w:rsidRPr="00A74194">
              <w:rPr>
                <w:rFonts w:cs="Calibri"/>
                <w:color w:val="000000"/>
                <w:szCs w:val="20"/>
              </w:rPr>
              <w:t xml:space="preserve">MBS </w:t>
            </w:r>
            <w:r w:rsidRPr="00A74194">
              <w:rPr>
                <w:szCs w:val="20"/>
              </w:rPr>
              <w:t>Item 23</w:t>
            </w:r>
            <w:r w:rsidR="00B7575B" w:rsidRPr="00A74194">
              <w:rPr>
                <w:szCs w:val="20"/>
              </w:rPr>
              <w:t xml:space="preserve"> (2 GP consultations to manage pruritus)</w:t>
            </w:r>
          </w:p>
        </w:tc>
        <w:tc>
          <w:tcPr>
            <w:tcW w:w="2251" w:type="pct"/>
            <w:shd w:val="clear" w:color="auto" w:fill="auto"/>
          </w:tcPr>
          <w:p w14:paraId="4EF2290B" w14:textId="77777777" w:rsidR="00B7575B" w:rsidRPr="00A74194" w:rsidRDefault="00B7575B" w:rsidP="00426DDA">
            <w:pPr>
              <w:pStyle w:val="TableText0"/>
              <w:keepNext w:val="0"/>
              <w:widowControl w:val="0"/>
            </w:pPr>
            <w:r w:rsidRPr="00A74194">
              <w:rPr>
                <w:iCs/>
              </w:rPr>
              <w:t xml:space="preserve">This is uncertain as the assessment visit with a </w:t>
            </w:r>
            <w:r w:rsidR="00453148" w:rsidRPr="00A74194">
              <w:rPr>
                <w:iCs/>
              </w:rPr>
              <w:t>specialist</w:t>
            </w:r>
            <w:r w:rsidRPr="00A74194">
              <w:rPr>
                <w:iCs/>
              </w:rPr>
              <w:t xml:space="preserve"> will align with standard annual care so is unlikely to create any additional costs to the MBS</w:t>
            </w:r>
            <w:r w:rsidR="00B159C2" w:rsidRPr="00A74194">
              <w:t>.</w:t>
            </w:r>
          </w:p>
          <w:p w14:paraId="3B1D782B" w14:textId="77777777" w:rsidR="00B7575B" w:rsidRPr="00A74194" w:rsidRDefault="00B7575B" w:rsidP="00426DDA">
            <w:pPr>
              <w:pStyle w:val="TableText0"/>
              <w:keepNext w:val="0"/>
              <w:widowControl w:val="0"/>
            </w:pPr>
          </w:p>
          <w:p w14:paraId="7497E182" w14:textId="77777777" w:rsidR="00B159C2" w:rsidRPr="00A74194" w:rsidRDefault="00B7575B" w:rsidP="00426DDA">
            <w:pPr>
              <w:pStyle w:val="TableText0"/>
              <w:keepNext w:val="0"/>
              <w:widowControl w:val="0"/>
            </w:pPr>
            <w:r w:rsidRPr="00A74194">
              <w:rPr>
                <w:iCs/>
              </w:rPr>
              <w:t>It is unlikely for a GP to treat pruritus as patients will have regular consultation with specialists to assess tolerability.</w:t>
            </w:r>
          </w:p>
        </w:tc>
      </w:tr>
    </w:tbl>
    <w:p w14:paraId="53E7815D" w14:textId="77777777" w:rsidR="00044AB6" w:rsidRPr="00A74194" w:rsidRDefault="000F7F68" w:rsidP="00044AB6">
      <w:pPr>
        <w:rPr>
          <w:rFonts w:ascii="Arial Narrow" w:hAnsi="Arial Narrow"/>
          <w:sz w:val="18"/>
          <w:szCs w:val="18"/>
        </w:rPr>
      </w:pPr>
      <w:r w:rsidRPr="00A74194">
        <w:rPr>
          <w:rFonts w:ascii="Arial Narrow" w:hAnsi="Arial Narrow"/>
          <w:sz w:val="18"/>
          <w:szCs w:val="18"/>
        </w:rPr>
        <w:t xml:space="preserve">DUSC = Drug Utilisation Sub-Committee; ESC = Economic Sub-Committee; </w:t>
      </w:r>
      <w:r w:rsidR="00AF03B9" w:rsidRPr="00A74194">
        <w:rPr>
          <w:rFonts w:ascii="Arial Narrow" w:hAnsi="Arial Narrow"/>
          <w:sz w:val="18"/>
          <w:szCs w:val="18"/>
        </w:rPr>
        <w:t xml:space="preserve">GP = general practitioner; </w:t>
      </w:r>
      <w:r w:rsidRPr="00A74194">
        <w:rPr>
          <w:rFonts w:ascii="Arial Narrow" w:hAnsi="Arial Narrow"/>
          <w:sz w:val="18"/>
          <w:szCs w:val="18"/>
        </w:rPr>
        <w:t xml:space="preserve">MBS: Medical Benefits Schedule; OCA = obeticholic acid; PBAC: Pharmaceutical Benefits Advisory Committee; PBC = primary biliary cholangitis; PSCR = pre-Sub-Committee response; PSD = product summary document; </w:t>
      </w:r>
      <w:r w:rsidR="00044AB6" w:rsidRPr="00A74194">
        <w:rPr>
          <w:rFonts w:ascii="Arial Narrow" w:hAnsi="Arial Narrow"/>
          <w:sz w:val="18"/>
          <w:szCs w:val="18"/>
        </w:rPr>
        <w:t>UDCA</w:t>
      </w:r>
      <w:r w:rsidRPr="00A74194">
        <w:rPr>
          <w:rFonts w:ascii="Arial Narrow" w:hAnsi="Arial Narrow"/>
          <w:sz w:val="18"/>
          <w:szCs w:val="18"/>
        </w:rPr>
        <w:t xml:space="preserve"> =</w:t>
      </w:r>
      <w:r w:rsidR="00044AB6" w:rsidRPr="00A74194">
        <w:rPr>
          <w:rFonts w:ascii="Arial Narrow" w:hAnsi="Arial Narrow"/>
          <w:sz w:val="18"/>
          <w:szCs w:val="18"/>
        </w:rPr>
        <w:t xml:space="preserve"> ursodeoxycholic acid </w:t>
      </w:r>
    </w:p>
    <w:p w14:paraId="735AB7A2" w14:textId="77777777" w:rsidR="00B159C2" w:rsidRPr="00A74194" w:rsidRDefault="00B159C2" w:rsidP="00B159C2">
      <w:pPr>
        <w:pStyle w:val="TableFigureFooter"/>
      </w:pPr>
      <w:r w:rsidRPr="00A74194">
        <w:t>Source: Table 70, p184-186 of the resubmission.</w:t>
      </w:r>
    </w:p>
    <w:p w14:paraId="7A43B371" w14:textId="77777777" w:rsidR="00B159C2" w:rsidRPr="00A74194" w:rsidRDefault="00A23A22" w:rsidP="00B159C2">
      <w:pPr>
        <w:pStyle w:val="TableFigureFooter"/>
        <w:rPr>
          <w:strike/>
        </w:rPr>
      </w:pPr>
      <w:r w:rsidRPr="00A74194">
        <w:rPr>
          <w:strike/>
        </w:rPr>
        <w:t xml:space="preserve"> </w:t>
      </w:r>
    </w:p>
    <w:p w14:paraId="1247DDFB" w14:textId="77777777" w:rsidR="00B159C2" w:rsidRPr="00A74194" w:rsidRDefault="00B159C2" w:rsidP="00B159C2">
      <w:pPr>
        <w:pStyle w:val="3-BodyText"/>
      </w:pPr>
      <w:r w:rsidRPr="00A74194">
        <w:lastRenderedPageBreak/>
        <w:t>Table 1</w:t>
      </w:r>
      <w:r w:rsidR="00426DDA" w:rsidRPr="00A74194">
        <w:t>4</w:t>
      </w:r>
      <w:r w:rsidRPr="00A74194">
        <w:t xml:space="preserve"> presents the estimated use and financial implications.</w:t>
      </w:r>
      <w:r w:rsidR="00BF09B9" w:rsidRPr="00A74194">
        <w:t xml:space="preserve"> Updated financial implications applying the effective DPMQ offered in the pre-PBAC response have been added.</w:t>
      </w:r>
    </w:p>
    <w:p w14:paraId="6A1B9742" w14:textId="77777777" w:rsidR="00B159C2" w:rsidRPr="00A74194" w:rsidRDefault="00B159C2" w:rsidP="00B159C2">
      <w:pPr>
        <w:pStyle w:val="TableFigureHeading"/>
      </w:pPr>
      <w:r w:rsidRPr="00A74194">
        <w:rPr>
          <w:rStyle w:val="CommentReference"/>
          <w:b/>
        </w:rPr>
        <w:t>Table 1</w:t>
      </w:r>
      <w:r w:rsidR="00426DDA" w:rsidRPr="00A74194">
        <w:rPr>
          <w:rStyle w:val="CommentReference"/>
          <w:b/>
        </w:rPr>
        <w:t>4</w:t>
      </w:r>
      <w:r w:rsidRPr="00A74194">
        <w:rPr>
          <w:rStyle w:val="CommentReference"/>
          <w:b/>
        </w:rPr>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2"/>
        <w:gridCol w:w="1167"/>
        <w:gridCol w:w="1167"/>
        <w:gridCol w:w="1167"/>
        <w:gridCol w:w="1167"/>
        <w:gridCol w:w="1167"/>
        <w:gridCol w:w="1170"/>
      </w:tblGrid>
      <w:tr w:rsidR="00B159C2" w:rsidRPr="00A74194" w14:paraId="54C059FD" w14:textId="77777777" w:rsidTr="007E12FF">
        <w:trPr>
          <w:tblHeader/>
        </w:trPr>
        <w:tc>
          <w:tcPr>
            <w:tcW w:w="1116" w:type="pct"/>
            <w:shd w:val="clear" w:color="auto" w:fill="auto"/>
            <w:vAlign w:val="center"/>
          </w:tcPr>
          <w:p w14:paraId="3F86BE35" w14:textId="77777777" w:rsidR="00B159C2" w:rsidRPr="00A74194" w:rsidRDefault="00B159C2" w:rsidP="007E12FF">
            <w:pPr>
              <w:pStyle w:val="In-tableHeading"/>
              <w:jc w:val="center"/>
              <w:rPr>
                <w:szCs w:val="20"/>
                <w:lang w:val="en-AU"/>
              </w:rPr>
            </w:pPr>
          </w:p>
        </w:tc>
        <w:tc>
          <w:tcPr>
            <w:tcW w:w="647" w:type="pct"/>
            <w:shd w:val="clear" w:color="auto" w:fill="auto"/>
            <w:vAlign w:val="center"/>
          </w:tcPr>
          <w:p w14:paraId="2F3BBB11" w14:textId="77777777" w:rsidR="00B159C2" w:rsidRPr="00A74194" w:rsidRDefault="00B159C2" w:rsidP="007E12FF">
            <w:pPr>
              <w:pStyle w:val="Tabletext"/>
              <w:jc w:val="center"/>
              <w:rPr>
                <w:b/>
                <w:szCs w:val="20"/>
              </w:rPr>
            </w:pPr>
            <w:r w:rsidRPr="00A74194">
              <w:rPr>
                <w:b/>
                <w:szCs w:val="20"/>
              </w:rPr>
              <w:t>Year 1</w:t>
            </w:r>
          </w:p>
          <w:p w14:paraId="21843D6A" w14:textId="77777777" w:rsidR="00B159C2" w:rsidRPr="00A74194" w:rsidRDefault="00B159C2" w:rsidP="007E12FF">
            <w:pPr>
              <w:pStyle w:val="In-tableHeading"/>
              <w:jc w:val="center"/>
              <w:rPr>
                <w:szCs w:val="20"/>
                <w:lang w:val="en-AU"/>
              </w:rPr>
            </w:pPr>
            <w:r w:rsidRPr="00A74194">
              <w:rPr>
                <w:szCs w:val="20"/>
                <w:lang w:val="en-AU"/>
              </w:rPr>
              <w:t>(2021)</w:t>
            </w:r>
          </w:p>
        </w:tc>
        <w:tc>
          <w:tcPr>
            <w:tcW w:w="647" w:type="pct"/>
            <w:shd w:val="clear" w:color="auto" w:fill="auto"/>
            <w:vAlign w:val="center"/>
          </w:tcPr>
          <w:p w14:paraId="6934D4DC" w14:textId="77777777" w:rsidR="00B159C2" w:rsidRPr="00A74194" w:rsidRDefault="00B159C2" w:rsidP="007E12FF">
            <w:pPr>
              <w:pStyle w:val="Tabletext"/>
              <w:jc w:val="center"/>
              <w:rPr>
                <w:b/>
                <w:szCs w:val="20"/>
              </w:rPr>
            </w:pPr>
            <w:r w:rsidRPr="00A74194">
              <w:rPr>
                <w:b/>
                <w:szCs w:val="20"/>
              </w:rPr>
              <w:t>Year 2</w:t>
            </w:r>
          </w:p>
          <w:p w14:paraId="2AD6F575" w14:textId="77777777" w:rsidR="00B159C2" w:rsidRPr="00A74194" w:rsidRDefault="00B159C2" w:rsidP="007E12FF">
            <w:pPr>
              <w:pStyle w:val="In-tableHeading"/>
              <w:jc w:val="center"/>
              <w:rPr>
                <w:szCs w:val="20"/>
                <w:lang w:val="en-AU"/>
              </w:rPr>
            </w:pPr>
            <w:r w:rsidRPr="00A74194">
              <w:rPr>
                <w:szCs w:val="20"/>
                <w:lang w:val="en-AU"/>
              </w:rPr>
              <w:t>(2022)</w:t>
            </w:r>
          </w:p>
        </w:tc>
        <w:tc>
          <w:tcPr>
            <w:tcW w:w="647" w:type="pct"/>
            <w:shd w:val="clear" w:color="auto" w:fill="auto"/>
            <w:vAlign w:val="center"/>
          </w:tcPr>
          <w:p w14:paraId="139354CF" w14:textId="77777777" w:rsidR="00B159C2" w:rsidRPr="00A74194" w:rsidRDefault="00B159C2" w:rsidP="007E12FF">
            <w:pPr>
              <w:pStyle w:val="Tabletext"/>
              <w:jc w:val="center"/>
              <w:rPr>
                <w:b/>
                <w:szCs w:val="20"/>
              </w:rPr>
            </w:pPr>
            <w:r w:rsidRPr="00A74194">
              <w:rPr>
                <w:b/>
                <w:szCs w:val="20"/>
              </w:rPr>
              <w:t>Year 3</w:t>
            </w:r>
          </w:p>
          <w:p w14:paraId="162951BC" w14:textId="77777777" w:rsidR="00B159C2" w:rsidRPr="00A74194" w:rsidRDefault="00B159C2" w:rsidP="007E12FF">
            <w:pPr>
              <w:pStyle w:val="In-tableHeading"/>
              <w:jc w:val="center"/>
              <w:rPr>
                <w:szCs w:val="20"/>
                <w:lang w:val="en-AU"/>
              </w:rPr>
            </w:pPr>
            <w:r w:rsidRPr="00A74194">
              <w:rPr>
                <w:szCs w:val="20"/>
                <w:lang w:val="en-AU"/>
              </w:rPr>
              <w:t>(2023)</w:t>
            </w:r>
          </w:p>
        </w:tc>
        <w:tc>
          <w:tcPr>
            <w:tcW w:w="647" w:type="pct"/>
            <w:shd w:val="clear" w:color="auto" w:fill="auto"/>
            <w:vAlign w:val="center"/>
          </w:tcPr>
          <w:p w14:paraId="4A31462E" w14:textId="77777777" w:rsidR="00B159C2" w:rsidRPr="00A74194" w:rsidRDefault="00B159C2" w:rsidP="007E12FF">
            <w:pPr>
              <w:pStyle w:val="Tabletext"/>
              <w:jc w:val="center"/>
              <w:rPr>
                <w:b/>
                <w:szCs w:val="20"/>
              </w:rPr>
            </w:pPr>
            <w:r w:rsidRPr="00A74194">
              <w:rPr>
                <w:b/>
                <w:szCs w:val="20"/>
              </w:rPr>
              <w:t>Year 4</w:t>
            </w:r>
          </w:p>
          <w:p w14:paraId="5F5E24FB" w14:textId="77777777" w:rsidR="00B159C2" w:rsidRPr="00A74194" w:rsidRDefault="00B159C2" w:rsidP="007E12FF">
            <w:pPr>
              <w:pStyle w:val="In-tableHeading"/>
              <w:jc w:val="center"/>
              <w:rPr>
                <w:szCs w:val="20"/>
                <w:lang w:val="en-AU"/>
              </w:rPr>
            </w:pPr>
            <w:r w:rsidRPr="00A74194">
              <w:rPr>
                <w:szCs w:val="20"/>
                <w:lang w:val="en-AU"/>
              </w:rPr>
              <w:t>(2024)</w:t>
            </w:r>
          </w:p>
        </w:tc>
        <w:tc>
          <w:tcPr>
            <w:tcW w:w="647" w:type="pct"/>
            <w:shd w:val="clear" w:color="auto" w:fill="auto"/>
            <w:vAlign w:val="center"/>
          </w:tcPr>
          <w:p w14:paraId="39BD9BF5" w14:textId="77777777" w:rsidR="00B159C2" w:rsidRPr="00A74194" w:rsidRDefault="00B159C2" w:rsidP="007E12FF">
            <w:pPr>
              <w:pStyle w:val="Tabletext"/>
              <w:jc w:val="center"/>
              <w:rPr>
                <w:b/>
                <w:szCs w:val="20"/>
              </w:rPr>
            </w:pPr>
            <w:r w:rsidRPr="00A74194">
              <w:rPr>
                <w:b/>
                <w:szCs w:val="20"/>
              </w:rPr>
              <w:t>Year 5</w:t>
            </w:r>
          </w:p>
          <w:p w14:paraId="3A14D9A0" w14:textId="77777777" w:rsidR="00B159C2" w:rsidRPr="00A74194" w:rsidRDefault="00B159C2" w:rsidP="007E12FF">
            <w:pPr>
              <w:pStyle w:val="In-tableHeading"/>
              <w:jc w:val="center"/>
              <w:rPr>
                <w:szCs w:val="20"/>
                <w:lang w:val="en-AU"/>
              </w:rPr>
            </w:pPr>
            <w:r w:rsidRPr="00A74194">
              <w:rPr>
                <w:szCs w:val="20"/>
                <w:lang w:val="en-AU"/>
              </w:rPr>
              <w:t>(2025)</w:t>
            </w:r>
          </w:p>
        </w:tc>
        <w:tc>
          <w:tcPr>
            <w:tcW w:w="649" w:type="pct"/>
          </w:tcPr>
          <w:p w14:paraId="4CED9DE0" w14:textId="77777777" w:rsidR="00B159C2" w:rsidRPr="00A74194" w:rsidRDefault="00B159C2" w:rsidP="007E12FF">
            <w:pPr>
              <w:pStyle w:val="Tabletext"/>
              <w:jc w:val="center"/>
              <w:rPr>
                <w:b/>
                <w:szCs w:val="20"/>
              </w:rPr>
            </w:pPr>
            <w:r w:rsidRPr="00A74194">
              <w:rPr>
                <w:b/>
                <w:szCs w:val="20"/>
              </w:rPr>
              <w:t>Year 6</w:t>
            </w:r>
          </w:p>
          <w:p w14:paraId="52CE708B" w14:textId="77777777" w:rsidR="00B159C2" w:rsidRPr="00A74194" w:rsidRDefault="00B159C2" w:rsidP="007E12FF">
            <w:pPr>
              <w:pStyle w:val="In-tableHeading"/>
              <w:jc w:val="center"/>
              <w:rPr>
                <w:szCs w:val="20"/>
                <w:lang w:val="en-AU"/>
              </w:rPr>
            </w:pPr>
            <w:r w:rsidRPr="00A74194">
              <w:rPr>
                <w:szCs w:val="20"/>
                <w:lang w:val="en-AU"/>
              </w:rPr>
              <w:t>(2026)</w:t>
            </w:r>
          </w:p>
        </w:tc>
      </w:tr>
      <w:tr w:rsidR="00B159C2" w:rsidRPr="00A74194" w14:paraId="7ABA1EBC" w14:textId="77777777" w:rsidTr="007E12FF">
        <w:tc>
          <w:tcPr>
            <w:tcW w:w="5000" w:type="pct"/>
            <w:gridSpan w:val="7"/>
            <w:shd w:val="clear" w:color="auto" w:fill="auto"/>
            <w:vAlign w:val="center"/>
          </w:tcPr>
          <w:p w14:paraId="7249226A" w14:textId="77777777" w:rsidR="00B159C2" w:rsidRPr="00A74194" w:rsidRDefault="00B159C2" w:rsidP="007E12FF">
            <w:pPr>
              <w:pStyle w:val="In-tableHeading"/>
              <w:rPr>
                <w:bCs/>
                <w:color w:val="000000"/>
                <w:szCs w:val="20"/>
                <w:lang w:val="en-AU"/>
              </w:rPr>
            </w:pPr>
            <w:r w:rsidRPr="00A74194">
              <w:rPr>
                <w:bCs/>
                <w:color w:val="000000"/>
                <w:szCs w:val="20"/>
                <w:lang w:val="en-AU"/>
              </w:rPr>
              <w:t>Estimated extent of use</w:t>
            </w:r>
          </w:p>
        </w:tc>
      </w:tr>
      <w:tr w:rsidR="00B159C2" w:rsidRPr="00A74194" w14:paraId="1AA7E0D5" w14:textId="77777777" w:rsidTr="007E12FF">
        <w:tc>
          <w:tcPr>
            <w:tcW w:w="1116" w:type="pct"/>
            <w:shd w:val="clear" w:color="auto" w:fill="auto"/>
            <w:vAlign w:val="center"/>
          </w:tcPr>
          <w:p w14:paraId="513A1798" w14:textId="77777777" w:rsidR="00B159C2" w:rsidRPr="00A74194" w:rsidRDefault="00B159C2" w:rsidP="007E12FF">
            <w:pPr>
              <w:pStyle w:val="TableText0"/>
              <w:rPr>
                <w:szCs w:val="20"/>
              </w:rPr>
            </w:pPr>
            <w:r w:rsidRPr="00A74194">
              <w:rPr>
                <w:szCs w:val="20"/>
              </w:rPr>
              <w:t>Number of patients treated</w:t>
            </w:r>
          </w:p>
        </w:tc>
        <w:tc>
          <w:tcPr>
            <w:tcW w:w="647" w:type="pct"/>
            <w:shd w:val="clear" w:color="auto" w:fill="auto"/>
          </w:tcPr>
          <w:p w14:paraId="3CA80174" w14:textId="77777777" w:rsidR="00B159C2" w:rsidRPr="00027EBC" w:rsidRDefault="00027EBC" w:rsidP="007E12FF">
            <w:pPr>
              <w:pStyle w:val="TableText0"/>
              <w:jc w:val="center"/>
              <w:rPr>
                <w:color w:val="000000"/>
                <w:szCs w:val="20"/>
              </w:rPr>
            </w:pPr>
            <w:r>
              <w:rPr>
                <w:noProof/>
                <w:color w:val="000000"/>
                <w:szCs w:val="20"/>
                <w:highlight w:val="black"/>
              </w:rPr>
              <w:t>''''''''''''</w:t>
            </w:r>
            <w:r w:rsidR="00AA1ABD" w:rsidRPr="00AA1ABD">
              <w:rPr>
                <w:szCs w:val="20"/>
                <w:vertAlign w:val="superscript"/>
              </w:rPr>
              <w:t>1</w:t>
            </w:r>
          </w:p>
        </w:tc>
        <w:tc>
          <w:tcPr>
            <w:tcW w:w="647" w:type="pct"/>
            <w:shd w:val="clear" w:color="auto" w:fill="auto"/>
          </w:tcPr>
          <w:p w14:paraId="144C93D0" w14:textId="77777777" w:rsidR="00B159C2" w:rsidRPr="00027EBC" w:rsidRDefault="00027EBC" w:rsidP="007E12FF">
            <w:pPr>
              <w:pStyle w:val="TableText0"/>
              <w:jc w:val="center"/>
              <w:rPr>
                <w:color w:val="000000"/>
                <w:szCs w:val="20"/>
              </w:rPr>
            </w:pPr>
            <w:r>
              <w:rPr>
                <w:noProof/>
                <w:color w:val="000000"/>
                <w:szCs w:val="20"/>
                <w:highlight w:val="black"/>
              </w:rPr>
              <w:t>''''''''''''</w:t>
            </w:r>
            <w:r w:rsidR="00AA1ABD" w:rsidRPr="00AA1ABD">
              <w:rPr>
                <w:szCs w:val="20"/>
                <w:vertAlign w:val="superscript"/>
              </w:rPr>
              <w:t>1</w:t>
            </w:r>
          </w:p>
        </w:tc>
        <w:tc>
          <w:tcPr>
            <w:tcW w:w="647" w:type="pct"/>
            <w:shd w:val="clear" w:color="auto" w:fill="auto"/>
          </w:tcPr>
          <w:p w14:paraId="58CF4FC7" w14:textId="77777777" w:rsidR="00B159C2" w:rsidRPr="00027EBC" w:rsidRDefault="00027EBC" w:rsidP="007E12FF">
            <w:pPr>
              <w:pStyle w:val="TableText0"/>
              <w:jc w:val="center"/>
              <w:rPr>
                <w:color w:val="000000"/>
                <w:szCs w:val="20"/>
              </w:rPr>
            </w:pPr>
            <w:r>
              <w:rPr>
                <w:noProof/>
                <w:color w:val="000000"/>
                <w:szCs w:val="20"/>
                <w:highlight w:val="black"/>
              </w:rPr>
              <w:t>'''''''''''''</w:t>
            </w:r>
            <w:r w:rsidR="00AA1ABD" w:rsidRPr="00AA1ABD">
              <w:rPr>
                <w:szCs w:val="20"/>
                <w:vertAlign w:val="superscript"/>
              </w:rPr>
              <w:t>1</w:t>
            </w:r>
          </w:p>
        </w:tc>
        <w:tc>
          <w:tcPr>
            <w:tcW w:w="647" w:type="pct"/>
            <w:shd w:val="clear" w:color="auto" w:fill="auto"/>
          </w:tcPr>
          <w:p w14:paraId="24346E7F" w14:textId="77777777" w:rsidR="00B159C2" w:rsidRPr="00027EBC" w:rsidRDefault="00027EBC" w:rsidP="007E12FF">
            <w:pPr>
              <w:pStyle w:val="TableText0"/>
              <w:jc w:val="center"/>
              <w:rPr>
                <w:color w:val="000000"/>
                <w:szCs w:val="20"/>
              </w:rPr>
            </w:pPr>
            <w:r>
              <w:rPr>
                <w:noProof/>
                <w:color w:val="000000"/>
                <w:szCs w:val="20"/>
                <w:highlight w:val="black"/>
              </w:rPr>
              <w:t>''''''''''''</w:t>
            </w:r>
            <w:r w:rsidR="00AA1ABD" w:rsidRPr="00AA1ABD">
              <w:rPr>
                <w:szCs w:val="20"/>
                <w:vertAlign w:val="superscript"/>
              </w:rPr>
              <w:t>1</w:t>
            </w:r>
          </w:p>
        </w:tc>
        <w:tc>
          <w:tcPr>
            <w:tcW w:w="647" w:type="pct"/>
            <w:shd w:val="clear" w:color="auto" w:fill="auto"/>
          </w:tcPr>
          <w:p w14:paraId="0A7FB284" w14:textId="77777777" w:rsidR="00B159C2" w:rsidRPr="00027EBC" w:rsidRDefault="00027EBC" w:rsidP="007E12FF">
            <w:pPr>
              <w:pStyle w:val="TableText0"/>
              <w:jc w:val="center"/>
              <w:rPr>
                <w:color w:val="000000"/>
                <w:szCs w:val="20"/>
              </w:rPr>
            </w:pPr>
            <w:r>
              <w:rPr>
                <w:noProof/>
                <w:color w:val="000000"/>
                <w:szCs w:val="20"/>
                <w:highlight w:val="black"/>
              </w:rPr>
              <w:t>'''''''''''''</w:t>
            </w:r>
            <w:r w:rsidR="00AA1ABD" w:rsidRPr="00AA1ABD">
              <w:rPr>
                <w:szCs w:val="20"/>
                <w:vertAlign w:val="superscript"/>
              </w:rPr>
              <w:t>1</w:t>
            </w:r>
          </w:p>
        </w:tc>
        <w:tc>
          <w:tcPr>
            <w:tcW w:w="649" w:type="pct"/>
          </w:tcPr>
          <w:p w14:paraId="5FF02427" w14:textId="77777777" w:rsidR="00B159C2" w:rsidRPr="00027EBC" w:rsidRDefault="00027EBC" w:rsidP="007E12FF">
            <w:pPr>
              <w:pStyle w:val="TableText0"/>
              <w:jc w:val="center"/>
              <w:rPr>
                <w:color w:val="000000"/>
                <w:szCs w:val="20"/>
              </w:rPr>
            </w:pPr>
            <w:r>
              <w:rPr>
                <w:noProof/>
                <w:color w:val="000000"/>
                <w:szCs w:val="20"/>
                <w:highlight w:val="black"/>
              </w:rPr>
              <w:t>''''''''''''</w:t>
            </w:r>
            <w:r w:rsidR="00AA1ABD" w:rsidRPr="00AA1ABD">
              <w:rPr>
                <w:szCs w:val="20"/>
                <w:vertAlign w:val="superscript"/>
              </w:rPr>
              <w:t>1</w:t>
            </w:r>
          </w:p>
        </w:tc>
      </w:tr>
      <w:tr w:rsidR="00B159C2" w:rsidRPr="00A74194" w14:paraId="673B574D" w14:textId="77777777" w:rsidTr="007E12FF">
        <w:tc>
          <w:tcPr>
            <w:tcW w:w="1116" w:type="pct"/>
            <w:shd w:val="clear" w:color="auto" w:fill="auto"/>
            <w:vAlign w:val="center"/>
          </w:tcPr>
          <w:p w14:paraId="35691E1A" w14:textId="77777777" w:rsidR="00B159C2" w:rsidRPr="00A74194" w:rsidRDefault="00B159C2" w:rsidP="007E12FF">
            <w:pPr>
              <w:pStyle w:val="TableText0"/>
              <w:rPr>
                <w:szCs w:val="20"/>
              </w:rPr>
            </w:pPr>
            <w:r w:rsidRPr="00A74194">
              <w:rPr>
                <w:szCs w:val="20"/>
              </w:rPr>
              <w:t>Number of scripts dispensed</w:t>
            </w:r>
            <w:r w:rsidRPr="00A74194">
              <w:rPr>
                <w:szCs w:val="20"/>
                <w:vertAlign w:val="superscript"/>
              </w:rPr>
              <w:t>a</w:t>
            </w:r>
          </w:p>
        </w:tc>
        <w:tc>
          <w:tcPr>
            <w:tcW w:w="647" w:type="pct"/>
            <w:shd w:val="clear" w:color="auto" w:fill="auto"/>
            <w:vAlign w:val="center"/>
          </w:tcPr>
          <w:p w14:paraId="1CB4934E" w14:textId="77777777" w:rsidR="00B159C2" w:rsidRPr="00A74194" w:rsidRDefault="00027EBC" w:rsidP="007E12FF">
            <w:pPr>
              <w:pStyle w:val="TableText0"/>
              <w:jc w:val="center"/>
              <w:rPr>
                <w:color w:val="000000"/>
                <w:szCs w:val="20"/>
              </w:rPr>
            </w:pPr>
            <w:r>
              <w:rPr>
                <w:rFonts w:cs="Arial"/>
                <w:noProof/>
                <w:color w:val="000000"/>
                <w:szCs w:val="20"/>
                <w:highlight w:val="black"/>
              </w:rPr>
              <w:t>''''''''''''''''''</w:t>
            </w:r>
            <w:r w:rsidR="00AA1ABD" w:rsidRPr="00AA1ABD">
              <w:rPr>
                <w:rFonts w:cs="Arial"/>
                <w:color w:val="000000"/>
                <w:szCs w:val="20"/>
                <w:vertAlign w:val="superscript"/>
              </w:rPr>
              <w:t>2</w:t>
            </w:r>
          </w:p>
        </w:tc>
        <w:tc>
          <w:tcPr>
            <w:tcW w:w="647" w:type="pct"/>
            <w:shd w:val="clear" w:color="auto" w:fill="auto"/>
            <w:vAlign w:val="center"/>
          </w:tcPr>
          <w:p w14:paraId="5683D23B" w14:textId="77777777" w:rsidR="00B159C2" w:rsidRPr="00A74194" w:rsidRDefault="00027EBC" w:rsidP="007E12FF">
            <w:pPr>
              <w:pStyle w:val="TableText0"/>
              <w:jc w:val="center"/>
              <w:rPr>
                <w:color w:val="000000"/>
                <w:szCs w:val="20"/>
              </w:rPr>
            </w:pPr>
            <w:r>
              <w:rPr>
                <w:rFonts w:cs="Arial"/>
                <w:noProof/>
                <w:color w:val="000000"/>
                <w:szCs w:val="20"/>
                <w:highlight w:val="black"/>
              </w:rPr>
              <w:t>''''''''''''''''</w:t>
            </w:r>
            <w:r w:rsidR="00AA1ABD" w:rsidRPr="00AA1ABD">
              <w:rPr>
                <w:rFonts w:cs="Arial"/>
                <w:color w:val="000000"/>
                <w:szCs w:val="20"/>
                <w:vertAlign w:val="superscript"/>
              </w:rPr>
              <w:t>2</w:t>
            </w:r>
          </w:p>
        </w:tc>
        <w:tc>
          <w:tcPr>
            <w:tcW w:w="647" w:type="pct"/>
            <w:shd w:val="clear" w:color="auto" w:fill="auto"/>
            <w:vAlign w:val="center"/>
          </w:tcPr>
          <w:p w14:paraId="1A24F26F" w14:textId="77777777" w:rsidR="00B159C2" w:rsidRPr="00A74194" w:rsidRDefault="00027EBC" w:rsidP="007E12FF">
            <w:pPr>
              <w:pStyle w:val="TableText0"/>
              <w:jc w:val="center"/>
              <w:rPr>
                <w:color w:val="000000"/>
                <w:szCs w:val="20"/>
              </w:rPr>
            </w:pPr>
            <w:r>
              <w:rPr>
                <w:rFonts w:cs="Arial"/>
                <w:noProof/>
                <w:color w:val="000000"/>
                <w:szCs w:val="20"/>
                <w:highlight w:val="black"/>
              </w:rPr>
              <w:t>''''''''''''''''</w:t>
            </w:r>
            <w:r w:rsidR="00AA1ABD" w:rsidRPr="00AA1ABD">
              <w:rPr>
                <w:rFonts w:cs="Arial"/>
                <w:color w:val="000000"/>
                <w:szCs w:val="20"/>
                <w:vertAlign w:val="superscript"/>
              </w:rPr>
              <w:t>2</w:t>
            </w:r>
            <w:r w:rsidR="00B159C2" w:rsidRPr="00AA1ABD">
              <w:rPr>
                <w:rFonts w:cs="Arial"/>
                <w:color w:val="000000"/>
                <w:szCs w:val="20"/>
                <w:vertAlign w:val="superscript"/>
              </w:rPr>
              <w:t xml:space="preserve"> </w:t>
            </w:r>
          </w:p>
        </w:tc>
        <w:tc>
          <w:tcPr>
            <w:tcW w:w="647" w:type="pct"/>
            <w:shd w:val="clear" w:color="auto" w:fill="auto"/>
            <w:vAlign w:val="center"/>
          </w:tcPr>
          <w:p w14:paraId="16754D5D" w14:textId="77777777" w:rsidR="00B159C2" w:rsidRPr="00A74194" w:rsidRDefault="00027EBC" w:rsidP="007E12FF">
            <w:pPr>
              <w:pStyle w:val="TableText0"/>
              <w:jc w:val="center"/>
              <w:rPr>
                <w:color w:val="000000"/>
                <w:szCs w:val="20"/>
              </w:rPr>
            </w:pPr>
            <w:r>
              <w:rPr>
                <w:rFonts w:cs="Arial"/>
                <w:noProof/>
                <w:color w:val="000000"/>
                <w:szCs w:val="20"/>
                <w:highlight w:val="black"/>
              </w:rPr>
              <w:t>''''''''''''''''</w:t>
            </w:r>
            <w:r w:rsidR="00AA1ABD" w:rsidRPr="00AA1ABD">
              <w:rPr>
                <w:rFonts w:cs="Arial"/>
                <w:color w:val="000000"/>
                <w:szCs w:val="20"/>
                <w:vertAlign w:val="superscript"/>
              </w:rPr>
              <w:t>2</w:t>
            </w:r>
            <w:r w:rsidR="00B159C2" w:rsidRPr="00A74194">
              <w:rPr>
                <w:rFonts w:cs="Arial"/>
                <w:color w:val="000000"/>
                <w:szCs w:val="20"/>
              </w:rPr>
              <w:t xml:space="preserve"> </w:t>
            </w:r>
          </w:p>
        </w:tc>
        <w:tc>
          <w:tcPr>
            <w:tcW w:w="647" w:type="pct"/>
            <w:shd w:val="clear" w:color="auto" w:fill="auto"/>
            <w:vAlign w:val="center"/>
          </w:tcPr>
          <w:p w14:paraId="2D25B5BD" w14:textId="77777777" w:rsidR="00B159C2" w:rsidRPr="00A74194" w:rsidRDefault="00027EBC" w:rsidP="007E12FF">
            <w:pPr>
              <w:pStyle w:val="TableText0"/>
              <w:jc w:val="center"/>
              <w:rPr>
                <w:color w:val="000000"/>
                <w:szCs w:val="20"/>
              </w:rPr>
            </w:pPr>
            <w:r>
              <w:rPr>
                <w:rFonts w:cs="Arial"/>
                <w:noProof/>
                <w:color w:val="000000"/>
                <w:szCs w:val="20"/>
                <w:highlight w:val="black"/>
              </w:rPr>
              <w:t>'''''''''''''''''</w:t>
            </w:r>
            <w:r w:rsidR="00AA1ABD" w:rsidRPr="00AA1ABD">
              <w:rPr>
                <w:rFonts w:cs="Arial"/>
                <w:color w:val="000000"/>
                <w:szCs w:val="20"/>
                <w:vertAlign w:val="superscript"/>
              </w:rPr>
              <w:t>2</w:t>
            </w:r>
            <w:r w:rsidR="00B159C2" w:rsidRPr="00A74194">
              <w:rPr>
                <w:rFonts w:cs="Arial"/>
                <w:color w:val="000000"/>
                <w:szCs w:val="20"/>
              </w:rPr>
              <w:t xml:space="preserve"> </w:t>
            </w:r>
          </w:p>
        </w:tc>
        <w:tc>
          <w:tcPr>
            <w:tcW w:w="649" w:type="pct"/>
            <w:vAlign w:val="center"/>
          </w:tcPr>
          <w:p w14:paraId="1AB9DC0B" w14:textId="77777777" w:rsidR="00B159C2" w:rsidRPr="00A74194" w:rsidRDefault="00027EBC" w:rsidP="007E12FF">
            <w:pPr>
              <w:pStyle w:val="TableText0"/>
              <w:jc w:val="center"/>
              <w:rPr>
                <w:color w:val="000000"/>
                <w:szCs w:val="20"/>
              </w:rPr>
            </w:pPr>
            <w:r>
              <w:rPr>
                <w:rFonts w:cs="Arial"/>
                <w:noProof/>
                <w:color w:val="000000"/>
                <w:szCs w:val="20"/>
                <w:highlight w:val="black"/>
              </w:rPr>
              <w:t>''''''''''''''''''</w:t>
            </w:r>
            <w:r w:rsidR="00AA1ABD" w:rsidRPr="00AA1ABD">
              <w:rPr>
                <w:rFonts w:cs="Arial"/>
                <w:color w:val="000000"/>
                <w:szCs w:val="20"/>
                <w:vertAlign w:val="superscript"/>
              </w:rPr>
              <w:t>2</w:t>
            </w:r>
            <w:r w:rsidR="00B159C2" w:rsidRPr="00AA1ABD">
              <w:rPr>
                <w:rFonts w:cs="Arial"/>
                <w:color w:val="000000"/>
                <w:szCs w:val="20"/>
                <w:vertAlign w:val="superscript"/>
              </w:rPr>
              <w:t xml:space="preserve"> </w:t>
            </w:r>
          </w:p>
        </w:tc>
      </w:tr>
      <w:tr w:rsidR="00B159C2" w:rsidRPr="00A74194" w14:paraId="5D65DFDB" w14:textId="77777777" w:rsidTr="007E12FF">
        <w:tc>
          <w:tcPr>
            <w:tcW w:w="5000" w:type="pct"/>
            <w:gridSpan w:val="7"/>
            <w:shd w:val="clear" w:color="auto" w:fill="auto"/>
            <w:vAlign w:val="center"/>
          </w:tcPr>
          <w:p w14:paraId="6A9125D9" w14:textId="77777777" w:rsidR="00B159C2" w:rsidRPr="00A74194" w:rsidRDefault="00B159C2" w:rsidP="007E12FF">
            <w:pPr>
              <w:pStyle w:val="In-tableHeading"/>
              <w:rPr>
                <w:szCs w:val="20"/>
                <w:lang w:val="en-AU"/>
              </w:rPr>
            </w:pPr>
            <w:r w:rsidRPr="00A74194">
              <w:rPr>
                <w:szCs w:val="20"/>
                <w:lang w:val="en-AU"/>
              </w:rPr>
              <w:t>Estimated financial implications of OCA</w:t>
            </w:r>
          </w:p>
        </w:tc>
      </w:tr>
      <w:tr w:rsidR="00B159C2" w:rsidRPr="00A74194" w14:paraId="27797AEF" w14:textId="77777777" w:rsidTr="00867023">
        <w:tc>
          <w:tcPr>
            <w:tcW w:w="1116" w:type="pct"/>
            <w:shd w:val="clear" w:color="auto" w:fill="auto"/>
            <w:vAlign w:val="center"/>
          </w:tcPr>
          <w:p w14:paraId="2849AF39" w14:textId="23C2D7F7" w:rsidR="00B159C2" w:rsidRPr="00A74194" w:rsidRDefault="00B159C2" w:rsidP="007E12FF">
            <w:pPr>
              <w:pStyle w:val="TableText0"/>
              <w:rPr>
                <w:szCs w:val="20"/>
              </w:rPr>
            </w:pPr>
            <w:r w:rsidRPr="00A74194">
              <w:rPr>
                <w:szCs w:val="20"/>
              </w:rPr>
              <w:t xml:space="preserve">Cost to PBS/RPBS less </w:t>
            </w:r>
            <w:r w:rsidR="00523A93" w:rsidRPr="00A74194">
              <w:rPr>
                <w:szCs w:val="20"/>
              </w:rPr>
              <w:t>co-payments</w:t>
            </w:r>
          </w:p>
        </w:tc>
        <w:tc>
          <w:tcPr>
            <w:tcW w:w="647" w:type="pct"/>
            <w:shd w:val="clear" w:color="auto" w:fill="auto"/>
            <w:vAlign w:val="center"/>
          </w:tcPr>
          <w:p w14:paraId="2DD3EF4E" w14:textId="77777777" w:rsidR="00B159C2" w:rsidRPr="00A74194" w:rsidRDefault="00B159C2" w:rsidP="00867023">
            <w:pPr>
              <w:pStyle w:val="TableText0"/>
              <w:jc w:val="center"/>
              <w:rPr>
                <w:szCs w:val="20"/>
              </w:rPr>
            </w:pPr>
            <w:r w:rsidRPr="00A74194">
              <w:rPr>
                <w:szCs w:val="20"/>
              </w:rPr>
              <w:t>$</w:t>
            </w:r>
            <w:r w:rsidR="00027EBC">
              <w:rPr>
                <w:noProof/>
                <w:color w:val="000000"/>
                <w:szCs w:val="20"/>
                <w:highlight w:val="black"/>
              </w:rPr>
              <w:t>''''''''''''''''''''''''''''</w:t>
            </w:r>
            <w:r w:rsidR="00AA1ABD" w:rsidRPr="00AA1ABD">
              <w:rPr>
                <w:szCs w:val="20"/>
                <w:vertAlign w:val="superscript"/>
              </w:rPr>
              <w:t>3</w:t>
            </w:r>
          </w:p>
        </w:tc>
        <w:tc>
          <w:tcPr>
            <w:tcW w:w="647" w:type="pct"/>
            <w:shd w:val="clear" w:color="auto" w:fill="auto"/>
            <w:vAlign w:val="center"/>
          </w:tcPr>
          <w:p w14:paraId="369055C2" w14:textId="77777777" w:rsidR="00B159C2" w:rsidRPr="00A74194" w:rsidRDefault="00B159C2" w:rsidP="00867023">
            <w:pPr>
              <w:pStyle w:val="TableText0"/>
              <w:jc w:val="center"/>
              <w:rPr>
                <w:szCs w:val="20"/>
              </w:rPr>
            </w:pPr>
            <w:r w:rsidRPr="00A74194">
              <w:rPr>
                <w:szCs w:val="20"/>
              </w:rPr>
              <w:t>$</w:t>
            </w:r>
            <w:r w:rsidR="00027EBC">
              <w:rPr>
                <w:noProof/>
                <w:color w:val="000000"/>
                <w:szCs w:val="20"/>
                <w:highlight w:val="black"/>
              </w:rPr>
              <w:t>'''''''''''''''''''''''''''''</w:t>
            </w:r>
            <w:r w:rsidR="00AA1ABD" w:rsidRPr="00AA1ABD">
              <w:rPr>
                <w:szCs w:val="20"/>
                <w:vertAlign w:val="superscript"/>
              </w:rPr>
              <w:t>3</w:t>
            </w:r>
          </w:p>
        </w:tc>
        <w:tc>
          <w:tcPr>
            <w:tcW w:w="647" w:type="pct"/>
            <w:shd w:val="clear" w:color="auto" w:fill="auto"/>
            <w:vAlign w:val="center"/>
          </w:tcPr>
          <w:p w14:paraId="5A36C5D2" w14:textId="77777777" w:rsidR="00B159C2" w:rsidRPr="00A74194" w:rsidRDefault="00B159C2" w:rsidP="00867023">
            <w:pPr>
              <w:pStyle w:val="TableText0"/>
              <w:jc w:val="center"/>
              <w:rPr>
                <w:szCs w:val="20"/>
              </w:rPr>
            </w:pPr>
            <w:r w:rsidRPr="00A74194">
              <w:rPr>
                <w:szCs w:val="20"/>
              </w:rPr>
              <w:t>$</w:t>
            </w:r>
            <w:r w:rsidR="00027EBC">
              <w:rPr>
                <w:noProof/>
                <w:color w:val="000000"/>
                <w:szCs w:val="20"/>
                <w:highlight w:val="black"/>
              </w:rPr>
              <w:t>'''''''''''''''''''''''''''</w:t>
            </w:r>
            <w:r w:rsidR="00AA1ABD" w:rsidRPr="00AA1ABD">
              <w:rPr>
                <w:szCs w:val="20"/>
                <w:vertAlign w:val="superscript"/>
              </w:rPr>
              <w:t>3</w:t>
            </w:r>
          </w:p>
        </w:tc>
        <w:tc>
          <w:tcPr>
            <w:tcW w:w="647" w:type="pct"/>
            <w:shd w:val="clear" w:color="auto" w:fill="auto"/>
            <w:vAlign w:val="center"/>
          </w:tcPr>
          <w:p w14:paraId="024FFB09" w14:textId="77777777" w:rsidR="00B159C2" w:rsidRPr="00A74194" w:rsidRDefault="00B159C2" w:rsidP="00867023">
            <w:pPr>
              <w:pStyle w:val="TableText0"/>
              <w:jc w:val="center"/>
              <w:rPr>
                <w:szCs w:val="20"/>
              </w:rPr>
            </w:pPr>
            <w:r w:rsidRPr="00A74194">
              <w:rPr>
                <w:szCs w:val="20"/>
              </w:rPr>
              <w:t>$</w:t>
            </w:r>
            <w:r w:rsidR="00027EBC">
              <w:rPr>
                <w:noProof/>
                <w:color w:val="000000"/>
                <w:szCs w:val="20"/>
                <w:highlight w:val="black"/>
              </w:rPr>
              <w:t>''''''''''''''''''''''''''</w:t>
            </w:r>
            <w:r w:rsidR="00AA1ABD" w:rsidRPr="00AA1ABD">
              <w:rPr>
                <w:szCs w:val="20"/>
                <w:vertAlign w:val="superscript"/>
              </w:rPr>
              <w:t>3</w:t>
            </w:r>
          </w:p>
        </w:tc>
        <w:tc>
          <w:tcPr>
            <w:tcW w:w="647" w:type="pct"/>
            <w:shd w:val="clear" w:color="auto" w:fill="auto"/>
            <w:vAlign w:val="center"/>
          </w:tcPr>
          <w:p w14:paraId="515E3168" w14:textId="77777777" w:rsidR="00B159C2" w:rsidRPr="00A74194" w:rsidRDefault="00B159C2" w:rsidP="00867023">
            <w:pPr>
              <w:pStyle w:val="TableText0"/>
              <w:jc w:val="center"/>
              <w:rPr>
                <w:szCs w:val="20"/>
              </w:rPr>
            </w:pPr>
            <w:r w:rsidRPr="00A74194">
              <w:rPr>
                <w:szCs w:val="20"/>
              </w:rPr>
              <w:t>$</w:t>
            </w:r>
            <w:r w:rsidR="00027EBC">
              <w:rPr>
                <w:noProof/>
                <w:color w:val="000000"/>
                <w:szCs w:val="20"/>
                <w:highlight w:val="black"/>
              </w:rPr>
              <w:t>'''''''''''''''''''''''''''</w:t>
            </w:r>
            <w:r w:rsidR="00AA1ABD" w:rsidRPr="00AA1ABD">
              <w:rPr>
                <w:szCs w:val="20"/>
                <w:vertAlign w:val="superscript"/>
              </w:rPr>
              <w:t>3</w:t>
            </w:r>
          </w:p>
        </w:tc>
        <w:tc>
          <w:tcPr>
            <w:tcW w:w="649" w:type="pct"/>
            <w:vAlign w:val="center"/>
          </w:tcPr>
          <w:p w14:paraId="259A31E9" w14:textId="77777777" w:rsidR="00B159C2" w:rsidRPr="00A74194" w:rsidRDefault="00B159C2" w:rsidP="00867023">
            <w:pPr>
              <w:pStyle w:val="TableText0"/>
              <w:jc w:val="center"/>
              <w:rPr>
                <w:szCs w:val="20"/>
              </w:rPr>
            </w:pPr>
            <w:r w:rsidRPr="00A74194">
              <w:rPr>
                <w:szCs w:val="20"/>
              </w:rPr>
              <w:t>$</w:t>
            </w:r>
            <w:r w:rsidR="00027EBC">
              <w:rPr>
                <w:noProof/>
                <w:color w:val="000000"/>
                <w:szCs w:val="20"/>
                <w:highlight w:val="black"/>
              </w:rPr>
              <w:t>''''''''''''''''''''''''''</w:t>
            </w:r>
            <w:r w:rsidR="00AA1ABD" w:rsidRPr="00AA1ABD">
              <w:rPr>
                <w:szCs w:val="20"/>
                <w:vertAlign w:val="superscript"/>
              </w:rPr>
              <w:t>4</w:t>
            </w:r>
          </w:p>
        </w:tc>
      </w:tr>
      <w:tr w:rsidR="00B159C2" w:rsidRPr="00A74194" w14:paraId="6369D224" w14:textId="77777777" w:rsidTr="007E12FF">
        <w:tc>
          <w:tcPr>
            <w:tcW w:w="5000" w:type="pct"/>
            <w:gridSpan w:val="7"/>
            <w:shd w:val="clear" w:color="auto" w:fill="auto"/>
            <w:vAlign w:val="center"/>
          </w:tcPr>
          <w:p w14:paraId="7A6DDAA4" w14:textId="77777777" w:rsidR="00B159C2" w:rsidRPr="00A74194" w:rsidRDefault="00B159C2" w:rsidP="007E12FF">
            <w:pPr>
              <w:pStyle w:val="TableText0"/>
              <w:rPr>
                <w:b/>
                <w:bCs w:val="0"/>
                <w:szCs w:val="20"/>
              </w:rPr>
            </w:pPr>
            <w:r w:rsidRPr="00A74194">
              <w:rPr>
                <w:b/>
                <w:bCs w:val="0"/>
                <w:szCs w:val="20"/>
              </w:rPr>
              <w:t>Estimated financial implications for cholestyramine</w:t>
            </w:r>
          </w:p>
        </w:tc>
      </w:tr>
      <w:tr w:rsidR="00B159C2" w:rsidRPr="00A74194" w14:paraId="668493F4" w14:textId="77777777" w:rsidTr="007E12FF">
        <w:tc>
          <w:tcPr>
            <w:tcW w:w="1116" w:type="pct"/>
            <w:shd w:val="clear" w:color="auto" w:fill="auto"/>
            <w:vAlign w:val="center"/>
          </w:tcPr>
          <w:p w14:paraId="6DAFA5FD" w14:textId="65DFB32B" w:rsidR="00B159C2" w:rsidRPr="00A74194" w:rsidRDefault="00B159C2" w:rsidP="007E12FF">
            <w:pPr>
              <w:pStyle w:val="TableText0"/>
              <w:rPr>
                <w:szCs w:val="20"/>
              </w:rPr>
            </w:pPr>
            <w:r w:rsidRPr="00A74194">
              <w:rPr>
                <w:szCs w:val="20"/>
              </w:rPr>
              <w:t xml:space="preserve">Cost to PBS/RPBS less </w:t>
            </w:r>
            <w:r w:rsidR="00523A93" w:rsidRPr="00A74194">
              <w:rPr>
                <w:szCs w:val="20"/>
              </w:rPr>
              <w:t>co-payments</w:t>
            </w:r>
          </w:p>
        </w:tc>
        <w:tc>
          <w:tcPr>
            <w:tcW w:w="647" w:type="pct"/>
            <w:shd w:val="clear" w:color="auto" w:fill="auto"/>
            <w:vAlign w:val="center"/>
          </w:tcPr>
          <w:p w14:paraId="067FBEDE" w14:textId="77777777" w:rsidR="00B159C2" w:rsidRPr="00A74194" w:rsidRDefault="00B159C2" w:rsidP="007E12FF">
            <w:pPr>
              <w:pStyle w:val="TableText0"/>
              <w:jc w:val="center"/>
              <w:rPr>
                <w:bCs w:val="0"/>
                <w:szCs w:val="20"/>
              </w:rPr>
            </w:pPr>
            <w:r w:rsidRPr="00A74194">
              <w:rPr>
                <w:rFonts w:cs="Arial"/>
                <w:bCs w:val="0"/>
                <w:color w:val="000000"/>
                <w:szCs w:val="20"/>
              </w:rPr>
              <w:t>$</w:t>
            </w:r>
            <w:r w:rsidR="00027EBC">
              <w:rPr>
                <w:rFonts w:cs="Arial"/>
                <w:bCs w:val="0"/>
                <w:noProof/>
                <w:color w:val="000000"/>
                <w:szCs w:val="20"/>
                <w:highlight w:val="black"/>
              </w:rPr>
              <w:t>'''''''''''''''''''''</w:t>
            </w:r>
            <w:r w:rsidR="00AA1ABD" w:rsidRPr="00AA1ABD">
              <w:rPr>
                <w:rFonts w:cs="Arial"/>
                <w:bCs w:val="0"/>
                <w:color w:val="000000"/>
                <w:szCs w:val="20"/>
                <w:vertAlign w:val="superscript"/>
              </w:rPr>
              <w:t>5</w:t>
            </w:r>
          </w:p>
        </w:tc>
        <w:tc>
          <w:tcPr>
            <w:tcW w:w="647" w:type="pct"/>
            <w:shd w:val="clear" w:color="auto" w:fill="auto"/>
            <w:vAlign w:val="center"/>
          </w:tcPr>
          <w:p w14:paraId="6DCA0A1C" w14:textId="77777777" w:rsidR="00B159C2" w:rsidRPr="00A74194" w:rsidRDefault="00B159C2" w:rsidP="007E12FF">
            <w:pPr>
              <w:pStyle w:val="TableText0"/>
              <w:jc w:val="center"/>
              <w:rPr>
                <w:bCs w:val="0"/>
                <w:szCs w:val="20"/>
              </w:rPr>
            </w:pPr>
            <w:r w:rsidRPr="00A74194">
              <w:rPr>
                <w:rFonts w:cs="Arial"/>
                <w:bCs w:val="0"/>
                <w:color w:val="000000"/>
                <w:szCs w:val="20"/>
              </w:rPr>
              <w:t>$</w:t>
            </w:r>
            <w:r w:rsidR="00027EBC">
              <w:rPr>
                <w:rFonts w:cs="Arial"/>
                <w:bCs w:val="0"/>
                <w:noProof/>
                <w:color w:val="000000"/>
                <w:szCs w:val="20"/>
                <w:highlight w:val="black"/>
              </w:rPr>
              <w:t>''''''''''''''''''''''</w:t>
            </w:r>
            <w:r w:rsidR="00AA1ABD" w:rsidRPr="00AA1ABD">
              <w:rPr>
                <w:rFonts w:cs="Arial"/>
                <w:bCs w:val="0"/>
                <w:color w:val="000000"/>
                <w:szCs w:val="20"/>
                <w:vertAlign w:val="superscript"/>
              </w:rPr>
              <w:t>5</w:t>
            </w:r>
          </w:p>
        </w:tc>
        <w:tc>
          <w:tcPr>
            <w:tcW w:w="647" w:type="pct"/>
            <w:shd w:val="clear" w:color="auto" w:fill="auto"/>
            <w:vAlign w:val="center"/>
          </w:tcPr>
          <w:p w14:paraId="7AF2CE9A" w14:textId="77777777" w:rsidR="00B159C2" w:rsidRPr="00A74194" w:rsidRDefault="00B159C2" w:rsidP="007E12FF">
            <w:pPr>
              <w:pStyle w:val="TableText0"/>
              <w:jc w:val="center"/>
              <w:rPr>
                <w:bCs w:val="0"/>
                <w:szCs w:val="20"/>
              </w:rPr>
            </w:pPr>
            <w:r w:rsidRPr="00A74194">
              <w:rPr>
                <w:rFonts w:cs="Arial"/>
                <w:bCs w:val="0"/>
                <w:color w:val="000000"/>
                <w:szCs w:val="20"/>
              </w:rPr>
              <w:t>$</w:t>
            </w:r>
            <w:r w:rsidR="00027EBC">
              <w:rPr>
                <w:rFonts w:cs="Arial"/>
                <w:bCs w:val="0"/>
                <w:noProof/>
                <w:color w:val="000000"/>
                <w:szCs w:val="20"/>
                <w:highlight w:val="black"/>
              </w:rPr>
              <w:t>''''''''''''''''''''''</w:t>
            </w:r>
            <w:r w:rsidR="00AA1ABD" w:rsidRPr="00AA1ABD">
              <w:rPr>
                <w:rFonts w:cs="Arial"/>
                <w:bCs w:val="0"/>
                <w:color w:val="000000"/>
                <w:szCs w:val="20"/>
                <w:vertAlign w:val="superscript"/>
              </w:rPr>
              <w:t>5</w:t>
            </w:r>
          </w:p>
        </w:tc>
        <w:tc>
          <w:tcPr>
            <w:tcW w:w="647" w:type="pct"/>
            <w:shd w:val="clear" w:color="auto" w:fill="auto"/>
            <w:vAlign w:val="center"/>
          </w:tcPr>
          <w:p w14:paraId="4FECE2A7" w14:textId="77777777" w:rsidR="00B159C2" w:rsidRPr="00A74194" w:rsidRDefault="00B159C2" w:rsidP="007E12FF">
            <w:pPr>
              <w:pStyle w:val="TableText0"/>
              <w:jc w:val="center"/>
              <w:rPr>
                <w:bCs w:val="0"/>
                <w:szCs w:val="20"/>
              </w:rPr>
            </w:pPr>
            <w:r w:rsidRPr="00A74194">
              <w:rPr>
                <w:rFonts w:cs="Arial"/>
                <w:bCs w:val="0"/>
                <w:color w:val="000000"/>
                <w:szCs w:val="20"/>
              </w:rPr>
              <w:t>$</w:t>
            </w:r>
            <w:r w:rsidR="00027EBC">
              <w:rPr>
                <w:rFonts w:cs="Arial"/>
                <w:bCs w:val="0"/>
                <w:noProof/>
                <w:color w:val="000000"/>
                <w:szCs w:val="20"/>
                <w:highlight w:val="black"/>
              </w:rPr>
              <w:t>'''''''''''''''''''</w:t>
            </w:r>
            <w:r w:rsidR="00AA1ABD" w:rsidRPr="00AA1ABD">
              <w:rPr>
                <w:rFonts w:cs="Arial"/>
                <w:bCs w:val="0"/>
                <w:color w:val="000000"/>
                <w:szCs w:val="20"/>
                <w:vertAlign w:val="superscript"/>
              </w:rPr>
              <w:t>5</w:t>
            </w:r>
          </w:p>
        </w:tc>
        <w:tc>
          <w:tcPr>
            <w:tcW w:w="647" w:type="pct"/>
            <w:shd w:val="clear" w:color="auto" w:fill="auto"/>
            <w:vAlign w:val="center"/>
          </w:tcPr>
          <w:p w14:paraId="4DC0127C" w14:textId="77777777" w:rsidR="00B159C2" w:rsidRPr="00A74194" w:rsidRDefault="00B159C2" w:rsidP="007E12FF">
            <w:pPr>
              <w:pStyle w:val="TableText0"/>
              <w:jc w:val="center"/>
              <w:rPr>
                <w:bCs w:val="0"/>
                <w:szCs w:val="20"/>
              </w:rPr>
            </w:pPr>
            <w:r w:rsidRPr="00A74194">
              <w:rPr>
                <w:rFonts w:cs="Arial"/>
                <w:bCs w:val="0"/>
                <w:color w:val="000000"/>
                <w:szCs w:val="20"/>
              </w:rPr>
              <w:t>$</w:t>
            </w:r>
            <w:r w:rsidR="00027EBC">
              <w:rPr>
                <w:rFonts w:cs="Arial"/>
                <w:bCs w:val="0"/>
                <w:noProof/>
                <w:color w:val="000000"/>
                <w:szCs w:val="20"/>
                <w:highlight w:val="black"/>
              </w:rPr>
              <w:t>''''''''''''''''''''</w:t>
            </w:r>
            <w:r w:rsidR="00AA1ABD" w:rsidRPr="00AA1ABD">
              <w:rPr>
                <w:rFonts w:cs="Arial"/>
                <w:bCs w:val="0"/>
                <w:color w:val="000000"/>
                <w:szCs w:val="20"/>
                <w:vertAlign w:val="superscript"/>
              </w:rPr>
              <w:t>5</w:t>
            </w:r>
          </w:p>
        </w:tc>
        <w:tc>
          <w:tcPr>
            <w:tcW w:w="649" w:type="pct"/>
            <w:vAlign w:val="center"/>
          </w:tcPr>
          <w:p w14:paraId="5C91F583" w14:textId="77777777" w:rsidR="00B159C2" w:rsidRPr="00A74194" w:rsidRDefault="00B159C2" w:rsidP="007E12FF">
            <w:pPr>
              <w:pStyle w:val="TableText0"/>
              <w:jc w:val="center"/>
              <w:rPr>
                <w:bCs w:val="0"/>
                <w:szCs w:val="20"/>
              </w:rPr>
            </w:pPr>
            <w:r w:rsidRPr="00A74194">
              <w:rPr>
                <w:rFonts w:cs="Arial"/>
                <w:bCs w:val="0"/>
                <w:color w:val="000000"/>
                <w:szCs w:val="20"/>
              </w:rPr>
              <w:t>$</w:t>
            </w:r>
            <w:r w:rsidR="00027EBC">
              <w:rPr>
                <w:rFonts w:cs="Arial"/>
                <w:bCs w:val="0"/>
                <w:noProof/>
                <w:color w:val="000000"/>
                <w:szCs w:val="20"/>
                <w:highlight w:val="black"/>
              </w:rPr>
              <w:t>'''''''''''''''''''''</w:t>
            </w:r>
            <w:r w:rsidR="00AA1ABD" w:rsidRPr="00AA1ABD">
              <w:rPr>
                <w:rFonts w:cs="Arial"/>
                <w:bCs w:val="0"/>
                <w:color w:val="000000"/>
                <w:szCs w:val="20"/>
                <w:vertAlign w:val="superscript"/>
              </w:rPr>
              <w:t>5</w:t>
            </w:r>
          </w:p>
        </w:tc>
      </w:tr>
      <w:tr w:rsidR="00B159C2" w:rsidRPr="00A74194" w14:paraId="622756E8" w14:textId="77777777" w:rsidTr="007E12FF">
        <w:tc>
          <w:tcPr>
            <w:tcW w:w="5000" w:type="pct"/>
            <w:gridSpan w:val="7"/>
            <w:shd w:val="clear" w:color="auto" w:fill="auto"/>
            <w:vAlign w:val="center"/>
          </w:tcPr>
          <w:p w14:paraId="072CF107" w14:textId="77777777" w:rsidR="00B159C2" w:rsidRPr="00A74194" w:rsidRDefault="00B159C2" w:rsidP="007E12FF">
            <w:pPr>
              <w:pStyle w:val="In-tableHeading"/>
              <w:rPr>
                <w:szCs w:val="20"/>
                <w:lang w:val="en-AU"/>
              </w:rPr>
            </w:pPr>
            <w:r w:rsidRPr="00A74194">
              <w:rPr>
                <w:szCs w:val="20"/>
                <w:lang w:val="en-AU"/>
              </w:rPr>
              <w:t>Net financial implications</w:t>
            </w:r>
            <w:r w:rsidRPr="00A74194">
              <w:rPr>
                <w:color w:val="4BACC6" w:themeColor="accent5"/>
                <w:szCs w:val="20"/>
                <w:lang w:val="en-AU"/>
              </w:rPr>
              <w:t xml:space="preserve"> </w:t>
            </w:r>
          </w:p>
        </w:tc>
      </w:tr>
      <w:tr w:rsidR="00B159C2" w:rsidRPr="00A74194" w14:paraId="4361E9E2" w14:textId="77777777" w:rsidTr="007E12FF">
        <w:tc>
          <w:tcPr>
            <w:tcW w:w="1116" w:type="pct"/>
            <w:shd w:val="clear" w:color="auto" w:fill="auto"/>
            <w:vAlign w:val="center"/>
          </w:tcPr>
          <w:p w14:paraId="1A3DF96B" w14:textId="77777777" w:rsidR="00B159C2" w:rsidRPr="00A74194" w:rsidRDefault="00B159C2" w:rsidP="007E12FF">
            <w:pPr>
              <w:pStyle w:val="TableText0"/>
              <w:rPr>
                <w:szCs w:val="20"/>
              </w:rPr>
            </w:pPr>
            <w:r w:rsidRPr="00A74194">
              <w:rPr>
                <w:szCs w:val="20"/>
              </w:rPr>
              <w:t>Net cost to PBS/RPBS</w:t>
            </w:r>
          </w:p>
        </w:tc>
        <w:tc>
          <w:tcPr>
            <w:tcW w:w="647" w:type="pct"/>
            <w:shd w:val="clear" w:color="auto" w:fill="auto"/>
          </w:tcPr>
          <w:p w14:paraId="5696505E" w14:textId="77777777" w:rsidR="00B159C2" w:rsidRPr="00A74194" w:rsidRDefault="00B159C2" w:rsidP="007E12FF">
            <w:pPr>
              <w:pStyle w:val="TableText0"/>
              <w:jc w:val="center"/>
              <w:rPr>
                <w:szCs w:val="20"/>
              </w:rPr>
            </w:pPr>
            <w:r w:rsidRPr="00A74194">
              <w:rPr>
                <w:szCs w:val="20"/>
              </w:rPr>
              <w:t>$</w:t>
            </w:r>
            <w:r w:rsidR="00027EBC">
              <w:rPr>
                <w:noProof/>
                <w:color w:val="000000"/>
                <w:szCs w:val="20"/>
                <w:highlight w:val="black"/>
              </w:rPr>
              <w:t>'''''''''''''''''''''''''''</w:t>
            </w:r>
            <w:r w:rsidR="00AA1ABD" w:rsidRPr="00AA1ABD">
              <w:rPr>
                <w:szCs w:val="20"/>
                <w:vertAlign w:val="superscript"/>
              </w:rPr>
              <w:t>3</w:t>
            </w:r>
            <w:r w:rsidRPr="00A74194">
              <w:rPr>
                <w:szCs w:val="20"/>
              </w:rPr>
              <w:t xml:space="preserve"> </w:t>
            </w:r>
          </w:p>
        </w:tc>
        <w:tc>
          <w:tcPr>
            <w:tcW w:w="647" w:type="pct"/>
            <w:shd w:val="clear" w:color="auto" w:fill="auto"/>
          </w:tcPr>
          <w:p w14:paraId="5F95FF76" w14:textId="77777777" w:rsidR="00B159C2" w:rsidRPr="00A74194" w:rsidRDefault="00B159C2" w:rsidP="007E12FF">
            <w:pPr>
              <w:pStyle w:val="TableText0"/>
              <w:jc w:val="center"/>
              <w:rPr>
                <w:szCs w:val="20"/>
              </w:rPr>
            </w:pPr>
            <w:r w:rsidRPr="00A74194">
              <w:rPr>
                <w:szCs w:val="20"/>
              </w:rPr>
              <w:t>$</w:t>
            </w:r>
            <w:r w:rsidR="00027EBC">
              <w:rPr>
                <w:noProof/>
                <w:color w:val="000000"/>
                <w:szCs w:val="20"/>
                <w:highlight w:val="black"/>
              </w:rPr>
              <w:t>''''''''''''''''''''''''</w:t>
            </w:r>
            <w:r w:rsidR="00AA1ABD" w:rsidRPr="00AA1ABD">
              <w:rPr>
                <w:szCs w:val="20"/>
                <w:vertAlign w:val="superscript"/>
              </w:rPr>
              <w:t>3</w:t>
            </w:r>
            <w:r w:rsidRPr="00A74194">
              <w:rPr>
                <w:szCs w:val="20"/>
              </w:rPr>
              <w:t xml:space="preserve"> </w:t>
            </w:r>
          </w:p>
        </w:tc>
        <w:tc>
          <w:tcPr>
            <w:tcW w:w="647" w:type="pct"/>
            <w:shd w:val="clear" w:color="auto" w:fill="auto"/>
          </w:tcPr>
          <w:p w14:paraId="18763F7D" w14:textId="77777777" w:rsidR="00B159C2" w:rsidRPr="00A74194" w:rsidRDefault="00B159C2" w:rsidP="007E12FF">
            <w:pPr>
              <w:pStyle w:val="TableText0"/>
              <w:jc w:val="center"/>
              <w:rPr>
                <w:szCs w:val="20"/>
              </w:rPr>
            </w:pPr>
            <w:r w:rsidRPr="00A74194">
              <w:rPr>
                <w:szCs w:val="20"/>
              </w:rPr>
              <w:t>$</w:t>
            </w:r>
            <w:r w:rsidR="00027EBC">
              <w:rPr>
                <w:noProof/>
                <w:color w:val="000000"/>
                <w:szCs w:val="20"/>
                <w:highlight w:val="black"/>
              </w:rPr>
              <w:t>'''''''''''''''''''''''''</w:t>
            </w:r>
            <w:r w:rsidR="00AA1ABD" w:rsidRPr="00AA1ABD">
              <w:rPr>
                <w:szCs w:val="20"/>
                <w:vertAlign w:val="superscript"/>
              </w:rPr>
              <w:t>3</w:t>
            </w:r>
            <w:r w:rsidRPr="00A74194">
              <w:rPr>
                <w:szCs w:val="20"/>
              </w:rPr>
              <w:t xml:space="preserve"> </w:t>
            </w:r>
          </w:p>
        </w:tc>
        <w:tc>
          <w:tcPr>
            <w:tcW w:w="647" w:type="pct"/>
            <w:shd w:val="clear" w:color="auto" w:fill="auto"/>
          </w:tcPr>
          <w:p w14:paraId="0B6E6E4A" w14:textId="77777777" w:rsidR="00B159C2" w:rsidRPr="00A74194" w:rsidRDefault="00B159C2" w:rsidP="007E12FF">
            <w:pPr>
              <w:pStyle w:val="TableText0"/>
              <w:jc w:val="center"/>
              <w:rPr>
                <w:szCs w:val="20"/>
              </w:rPr>
            </w:pPr>
            <w:r w:rsidRPr="00A74194">
              <w:rPr>
                <w:szCs w:val="20"/>
              </w:rPr>
              <w:t>$</w:t>
            </w:r>
            <w:r w:rsidR="00027EBC">
              <w:rPr>
                <w:noProof/>
                <w:color w:val="000000"/>
                <w:szCs w:val="20"/>
                <w:highlight w:val="black"/>
              </w:rPr>
              <w:t>''''''''''''''''''''''''''''</w:t>
            </w:r>
            <w:r w:rsidR="00AA1ABD" w:rsidRPr="00AA1ABD">
              <w:rPr>
                <w:szCs w:val="20"/>
                <w:vertAlign w:val="superscript"/>
              </w:rPr>
              <w:t>3</w:t>
            </w:r>
            <w:r w:rsidRPr="00A74194">
              <w:rPr>
                <w:szCs w:val="20"/>
              </w:rPr>
              <w:t xml:space="preserve"> </w:t>
            </w:r>
          </w:p>
        </w:tc>
        <w:tc>
          <w:tcPr>
            <w:tcW w:w="647" w:type="pct"/>
            <w:shd w:val="clear" w:color="auto" w:fill="auto"/>
          </w:tcPr>
          <w:p w14:paraId="2689B220" w14:textId="77777777" w:rsidR="00B159C2" w:rsidRPr="00A74194" w:rsidRDefault="00B159C2" w:rsidP="007E12FF">
            <w:pPr>
              <w:pStyle w:val="TableText0"/>
              <w:jc w:val="center"/>
              <w:rPr>
                <w:szCs w:val="20"/>
              </w:rPr>
            </w:pPr>
            <w:r w:rsidRPr="00A74194">
              <w:rPr>
                <w:szCs w:val="20"/>
              </w:rPr>
              <w:t>$</w:t>
            </w:r>
            <w:r w:rsidR="00027EBC">
              <w:rPr>
                <w:noProof/>
                <w:color w:val="000000"/>
                <w:szCs w:val="20"/>
                <w:highlight w:val="black"/>
              </w:rPr>
              <w:t>'''''''''''''''''''''''''''''</w:t>
            </w:r>
            <w:r w:rsidR="00AA1ABD" w:rsidRPr="00AA1ABD">
              <w:rPr>
                <w:szCs w:val="20"/>
                <w:vertAlign w:val="superscript"/>
              </w:rPr>
              <w:t>3</w:t>
            </w:r>
            <w:r w:rsidRPr="00A74194">
              <w:rPr>
                <w:szCs w:val="20"/>
              </w:rPr>
              <w:t xml:space="preserve"> </w:t>
            </w:r>
          </w:p>
        </w:tc>
        <w:tc>
          <w:tcPr>
            <w:tcW w:w="649" w:type="pct"/>
          </w:tcPr>
          <w:p w14:paraId="0B8333AB" w14:textId="77777777" w:rsidR="00B159C2" w:rsidRPr="00A74194" w:rsidRDefault="00B159C2" w:rsidP="007E12FF">
            <w:pPr>
              <w:pStyle w:val="TableText0"/>
              <w:jc w:val="center"/>
              <w:rPr>
                <w:szCs w:val="20"/>
              </w:rPr>
            </w:pPr>
            <w:r w:rsidRPr="00A74194">
              <w:rPr>
                <w:szCs w:val="20"/>
              </w:rPr>
              <w:t>$</w:t>
            </w:r>
            <w:r w:rsidR="00027EBC">
              <w:rPr>
                <w:noProof/>
                <w:color w:val="000000"/>
                <w:szCs w:val="20"/>
                <w:highlight w:val="black"/>
              </w:rPr>
              <w:t>''''''''''''''''''''''''</w:t>
            </w:r>
            <w:r w:rsidR="00AA1ABD" w:rsidRPr="00AA1ABD">
              <w:rPr>
                <w:szCs w:val="20"/>
                <w:vertAlign w:val="superscript"/>
              </w:rPr>
              <w:t>4</w:t>
            </w:r>
            <w:r w:rsidRPr="00A74194">
              <w:rPr>
                <w:szCs w:val="20"/>
              </w:rPr>
              <w:t xml:space="preserve"> </w:t>
            </w:r>
          </w:p>
        </w:tc>
      </w:tr>
      <w:tr w:rsidR="00B159C2" w:rsidRPr="00A74194" w14:paraId="4F3E7567" w14:textId="77777777" w:rsidTr="007E12FF">
        <w:tc>
          <w:tcPr>
            <w:tcW w:w="1116" w:type="pct"/>
            <w:shd w:val="clear" w:color="auto" w:fill="auto"/>
            <w:vAlign w:val="center"/>
          </w:tcPr>
          <w:p w14:paraId="1E5656E0" w14:textId="77777777" w:rsidR="00B159C2" w:rsidRPr="00A74194" w:rsidRDefault="00B159C2" w:rsidP="007E12FF">
            <w:pPr>
              <w:pStyle w:val="TableText0"/>
              <w:rPr>
                <w:szCs w:val="20"/>
              </w:rPr>
            </w:pPr>
            <w:r w:rsidRPr="00A74194">
              <w:rPr>
                <w:szCs w:val="20"/>
              </w:rPr>
              <w:t>Net cost to MBS</w:t>
            </w:r>
          </w:p>
        </w:tc>
        <w:tc>
          <w:tcPr>
            <w:tcW w:w="647" w:type="pct"/>
            <w:shd w:val="clear" w:color="auto" w:fill="auto"/>
            <w:vAlign w:val="center"/>
          </w:tcPr>
          <w:p w14:paraId="714F85B2" w14:textId="77777777" w:rsidR="00B159C2" w:rsidRPr="00A74194" w:rsidRDefault="00B159C2" w:rsidP="007E12FF">
            <w:pPr>
              <w:pStyle w:val="TableText0"/>
              <w:jc w:val="center"/>
              <w:rPr>
                <w:szCs w:val="20"/>
              </w:rPr>
            </w:pPr>
            <w:r w:rsidRPr="00A74194">
              <w:rPr>
                <w:iCs/>
                <w:color w:val="000000"/>
                <w:szCs w:val="20"/>
              </w:rPr>
              <w:t>$</w:t>
            </w:r>
            <w:r w:rsidR="00027EBC">
              <w:rPr>
                <w:iCs/>
                <w:noProof/>
                <w:color w:val="000000"/>
                <w:szCs w:val="20"/>
                <w:highlight w:val="black"/>
              </w:rPr>
              <w:t>''''''''''''''''</w:t>
            </w:r>
            <w:r w:rsidR="00AA1ABD" w:rsidRPr="00AA1ABD">
              <w:rPr>
                <w:iCs/>
                <w:color w:val="000000"/>
                <w:szCs w:val="20"/>
                <w:vertAlign w:val="superscript"/>
              </w:rPr>
              <w:t>5</w:t>
            </w:r>
          </w:p>
        </w:tc>
        <w:tc>
          <w:tcPr>
            <w:tcW w:w="647" w:type="pct"/>
            <w:shd w:val="clear" w:color="auto" w:fill="auto"/>
            <w:vAlign w:val="center"/>
          </w:tcPr>
          <w:p w14:paraId="12C8F1F5" w14:textId="77777777" w:rsidR="00B159C2" w:rsidRPr="00A74194" w:rsidRDefault="00B159C2" w:rsidP="007E12FF">
            <w:pPr>
              <w:pStyle w:val="TableText0"/>
              <w:jc w:val="center"/>
              <w:rPr>
                <w:szCs w:val="20"/>
              </w:rPr>
            </w:pPr>
            <w:r w:rsidRPr="00A74194">
              <w:rPr>
                <w:iCs/>
                <w:color w:val="000000"/>
                <w:szCs w:val="20"/>
              </w:rPr>
              <w:t>$</w:t>
            </w:r>
            <w:r w:rsidR="00027EBC">
              <w:rPr>
                <w:iCs/>
                <w:noProof/>
                <w:color w:val="000000"/>
                <w:szCs w:val="20"/>
                <w:highlight w:val="black"/>
              </w:rPr>
              <w:t>''''''''''''''''</w:t>
            </w:r>
            <w:r w:rsidR="00AA1ABD" w:rsidRPr="00AA1ABD">
              <w:rPr>
                <w:iCs/>
                <w:color w:val="000000"/>
                <w:szCs w:val="20"/>
                <w:vertAlign w:val="superscript"/>
              </w:rPr>
              <w:t>5</w:t>
            </w:r>
          </w:p>
        </w:tc>
        <w:tc>
          <w:tcPr>
            <w:tcW w:w="647" w:type="pct"/>
            <w:shd w:val="clear" w:color="auto" w:fill="auto"/>
            <w:vAlign w:val="center"/>
          </w:tcPr>
          <w:p w14:paraId="41F6F3E2" w14:textId="77777777" w:rsidR="00B159C2" w:rsidRPr="00A74194" w:rsidRDefault="00B159C2" w:rsidP="007E12FF">
            <w:pPr>
              <w:pStyle w:val="TableText0"/>
              <w:jc w:val="center"/>
              <w:rPr>
                <w:szCs w:val="20"/>
              </w:rPr>
            </w:pPr>
            <w:r w:rsidRPr="00A74194">
              <w:rPr>
                <w:iCs/>
                <w:color w:val="000000"/>
                <w:szCs w:val="20"/>
              </w:rPr>
              <w:t>$</w:t>
            </w:r>
            <w:r w:rsidR="00027EBC">
              <w:rPr>
                <w:iCs/>
                <w:noProof/>
                <w:color w:val="000000"/>
                <w:szCs w:val="20"/>
                <w:highlight w:val="black"/>
              </w:rPr>
              <w:t>''''''''''''''''''</w:t>
            </w:r>
            <w:r w:rsidR="00AA1ABD" w:rsidRPr="00AA1ABD">
              <w:rPr>
                <w:iCs/>
                <w:color w:val="000000"/>
                <w:szCs w:val="20"/>
                <w:vertAlign w:val="superscript"/>
              </w:rPr>
              <w:t>5</w:t>
            </w:r>
          </w:p>
        </w:tc>
        <w:tc>
          <w:tcPr>
            <w:tcW w:w="647" w:type="pct"/>
            <w:shd w:val="clear" w:color="auto" w:fill="auto"/>
            <w:vAlign w:val="center"/>
          </w:tcPr>
          <w:p w14:paraId="39F70190" w14:textId="77777777" w:rsidR="00B159C2" w:rsidRPr="00A74194" w:rsidRDefault="00B159C2" w:rsidP="007E12FF">
            <w:pPr>
              <w:pStyle w:val="TableText0"/>
              <w:jc w:val="center"/>
              <w:rPr>
                <w:szCs w:val="20"/>
              </w:rPr>
            </w:pPr>
            <w:r w:rsidRPr="00A74194">
              <w:rPr>
                <w:iCs/>
                <w:color w:val="000000"/>
                <w:szCs w:val="20"/>
              </w:rPr>
              <w:t>$</w:t>
            </w:r>
            <w:r w:rsidR="00027EBC">
              <w:rPr>
                <w:iCs/>
                <w:noProof/>
                <w:color w:val="000000"/>
                <w:szCs w:val="20"/>
                <w:highlight w:val="black"/>
              </w:rPr>
              <w:t>'''''''''''''''</w:t>
            </w:r>
            <w:r w:rsidR="00AA1ABD" w:rsidRPr="00AA1ABD">
              <w:rPr>
                <w:iCs/>
                <w:color w:val="000000"/>
                <w:szCs w:val="20"/>
                <w:vertAlign w:val="superscript"/>
              </w:rPr>
              <w:t>5</w:t>
            </w:r>
          </w:p>
        </w:tc>
        <w:tc>
          <w:tcPr>
            <w:tcW w:w="647" w:type="pct"/>
            <w:shd w:val="clear" w:color="auto" w:fill="auto"/>
            <w:vAlign w:val="center"/>
          </w:tcPr>
          <w:p w14:paraId="5403D0B2" w14:textId="77777777" w:rsidR="00B159C2" w:rsidRPr="00A74194" w:rsidRDefault="00B159C2" w:rsidP="007E12FF">
            <w:pPr>
              <w:pStyle w:val="TableText0"/>
              <w:jc w:val="center"/>
              <w:rPr>
                <w:szCs w:val="20"/>
              </w:rPr>
            </w:pPr>
            <w:r w:rsidRPr="00A74194">
              <w:rPr>
                <w:iCs/>
                <w:color w:val="000000"/>
                <w:szCs w:val="20"/>
              </w:rPr>
              <w:t>$</w:t>
            </w:r>
            <w:r w:rsidR="00027EBC">
              <w:rPr>
                <w:iCs/>
                <w:noProof/>
                <w:color w:val="000000"/>
                <w:szCs w:val="20"/>
                <w:highlight w:val="black"/>
              </w:rPr>
              <w:t>''''''''''''''''</w:t>
            </w:r>
            <w:r w:rsidR="00AA1ABD" w:rsidRPr="00AA1ABD">
              <w:rPr>
                <w:iCs/>
                <w:color w:val="000000"/>
                <w:szCs w:val="20"/>
                <w:vertAlign w:val="superscript"/>
              </w:rPr>
              <w:t>5</w:t>
            </w:r>
          </w:p>
        </w:tc>
        <w:tc>
          <w:tcPr>
            <w:tcW w:w="649" w:type="pct"/>
            <w:vAlign w:val="center"/>
          </w:tcPr>
          <w:p w14:paraId="316A1F45" w14:textId="77777777" w:rsidR="00B159C2" w:rsidRPr="00A74194" w:rsidRDefault="00B159C2" w:rsidP="007E12FF">
            <w:pPr>
              <w:pStyle w:val="TableText0"/>
              <w:jc w:val="center"/>
              <w:rPr>
                <w:szCs w:val="20"/>
              </w:rPr>
            </w:pPr>
            <w:r w:rsidRPr="00A74194">
              <w:rPr>
                <w:iCs/>
                <w:color w:val="000000"/>
                <w:szCs w:val="20"/>
              </w:rPr>
              <w:t>$</w:t>
            </w:r>
            <w:r w:rsidR="00027EBC">
              <w:rPr>
                <w:iCs/>
                <w:noProof/>
                <w:color w:val="000000"/>
                <w:szCs w:val="20"/>
                <w:highlight w:val="black"/>
              </w:rPr>
              <w:t>'''''''''''''''''</w:t>
            </w:r>
            <w:r w:rsidR="00AA1ABD" w:rsidRPr="00AA1ABD">
              <w:rPr>
                <w:iCs/>
                <w:color w:val="000000"/>
                <w:szCs w:val="20"/>
                <w:vertAlign w:val="superscript"/>
              </w:rPr>
              <w:t>5</w:t>
            </w:r>
          </w:p>
        </w:tc>
      </w:tr>
      <w:tr w:rsidR="00B159C2" w:rsidRPr="00A74194" w14:paraId="410A3D28" w14:textId="77777777" w:rsidTr="007E12FF">
        <w:tc>
          <w:tcPr>
            <w:tcW w:w="1116" w:type="pct"/>
            <w:shd w:val="clear" w:color="auto" w:fill="auto"/>
            <w:vAlign w:val="center"/>
          </w:tcPr>
          <w:p w14:paraId="2A2ADA5E" w14:textId="77777777" w:rsidR="00B159C2" w:rsidRPr="00A74194" w:rsidRDefault="00B159C2" w:rsidP="007E12FF">
            <w:pPr>
              <w:pStyle w:val="TableText0"/>
              <w:rPr>
                <w:szCs w:val="20"/>
              </w:rPr>
            </w:pPr>
            <w:r w:rsidRPr="00A74194">
              <w:rPr>
                <w:szCs w:val="20"/>
              </w:rPr>
              <w:t>Net cost to PBS/RPBS/MBS</w:t>
            </w:r>
          </w:p>
        </w:tc>
        <w:tc>
          <w:tcPr>
            <w:tcW w:w="647" w:type="pct"/>
            <w:shd w:val="clear" w:color="auto" w:fill="auto"/>
            <w:vAlign w:val="center"/>
          </w:tcPr>
          <w:p w14:paraId="49081BD8" w14:textId="77777777" w:rsidR="00B159C2" w:rsidRPr="00A74194" w:rsidRDefault="00B159C2" w:rsidP="007E12FF">
            <w:pPr>
              <w:pStyle w:val="TableText0"/>
              <w:jc w:val="center"/>
              <w:rPr>
                <w:bCs w:val="0"/>
                <w:szCs w:val="20"/>
              </w:rPr>
            </w:pPr>
            <w:r w:rsidRPr="00A74194">
              <w:rPr>
                <w:bCs w:val="0"/>
                <w:color w:val="000000"/>
                <w:szCs w:val="20"/>
              </w:rPr>
              <w:t>$</w:t>
            </w:r>
            <w:r w:rsidR="00027EBC">
              <w:rPr>
                <w:bCs w:val="0"/>
                <w:noProof/>
                <w:color w:val="000000"/>
                <w:szCs w:val="20"/>
                <w:highlight w:val="black"/>
              </w:rPr>
              <w:t>'''''''''''''''''''''''</w:t>
            </w:r>
            <w:r w:rsidR="00AA1ABD" w:rsidRPr="00AA1ABD">
              <w:rPr>
                <w:bCs w:val="0"/>
                <w:color w:val="000000"/>
                <w:szCs w:val="20"/>
                <w:vertAlign w:val="superscript"/>
              </w:rPr>
              <w:t>3</w:t>
            </w:r>
            <w:r w:rsidRPr="00A74194">
              <w:rPr>
                <w:bCs w:val="0"/>
                <w:color w:val="000000"/>
                <w:szCs w:val="20"/>
              </w:rPr>
              <w:t xml:space="preserve"> </w:t>
            </w:r>
          </w:p>
        </w:tc>
        <w:tc>
          <w:tcPr>
            <w:tcW w:w="647" w:type="pct"/>
            <w:shd w:val="clear" w:color="auto" w:fill="auto"/>
            <w:vAlign w:val="center"/>
          </w:tcPr>
          <w:p w14:paraId="57210330" w14:textId="77777777" w:rsidR="00B159C2" w:rsidRPr="00A74194" w:rsidRDefault="00B159C2" w:rsidP="007E12FF">
            <w:pPr>
              <w:pStyle w:val="TableText0"/>
              <w:jc w:val="center"/>
              <w:rPr>
                <w:bCs w:val="0"/>
                <w:szCs w:val="20"/>
              </w:rPr>
            </w:pPr>
            <w:r w:rsidRPr="00A74194">
              <w:rPr>
                <w:bCs w:val="0"/>
                <w:color w:val="000000"/>
                <w:szCs w:val="20"/>
              </w:rPr>
              <w:t>$</w:t>
            </w:r>
            <w:r w:rsidR="00027EBC">
              <w:rPr>
                <w:bCs w:val="0"/>
                <w:noProof/>
                <w:color w:val="000000"/>
                <w:szCs w:val="20"/>
                <w:highlight w:val="black"/>
              </w:rPr>
              <w:t>'''''''''''''''''''''''''''''</w:t>
            </w:r>
            <w:r w:rsidR="00AA1ABD" w:rsidRPr="00AA1ABD">
              <w:rPr>
                <w:bCs w:val="0"/>
                <w:color w:val="000000"/>
                <w:szCs w:val="20"/>
                <w:vertAlign w:val="superscript"/>
              </w:rPr>
              <w:t>3</w:t>
            </w:r>
            <w:r w:rsidRPr="00A74194">
              <w:rPr>
                <w:bCs w:val="0"/>
                <w:color w:val="000000"/>
                <w:szCs w:val="20"/>
              </w:rPr>
              <w:t xml:space="preserve"> </w:t>
            </w:r>
          </w:p>
        </w:tc>
        <w:tc>
          <w:tcPr>
            <w:tcW w:w="647" w:type="pct"/>
            <w:shd w:val="clear" w:color="auto" w:fill="auto"/>
            <w:vAlign w:val="center"/>
          </w:tcPr>
          <w:p w14:paraId="28841A7C" w14:textId="77777777" w:rsidR="00B159C2" w:rsidRPr="00A74194" w:rsidRDefault="00B159C2" w:rsidP="007E12FF">
            <w:pPr>
              <w:pStyle w:val="TableText0"/>
              <w:jc w:val="center"/>
              <w:rPr>
                <w:bCs w:val="0"/>
                <w:szCs w:val="20"/>
              </w:rPr>
            </w:pPr>
            <w:r w:rsidRPr="00A74194">
              <w:rPr>
                <w:bCs w:val="0"/>
                <w:color w:val="000000"/>
                <w:szCs w:val="20"/>
              </w:rPr>
              <w:t>$</w:t>
            </w:r>
            <w:r w:rsidR="00027EBC">
              <w:rPr>
                <w:bCs w:val="0"/>
                <w:noProof/>
                <w:color w:val="000000"/>
                <w:szCs w:val="20"/>
                <w:highlight w:val="black"/>
              </w:rPr>
              <w:t>''''''''''''''''''''''''''</w:t>
            </w:r>
            <w:r w:rsidR="00AA1ABD" w:rsidRPr="00AA1ABD">
              <w:rPr>
                <w:bCs w:val="0"/>
                <w:color w:val="000000"/>
                <w:szCs w:val="20"/>
                <w:vertAlign w:val="superscript"/>
              </w:rPr>
              <w:t>3</w:t>
            </w:r>
            <w:r w:rsidRPr="00A74194">
              <w:rPr>
                <w:bCs w:val="0"/>
                <w:color w:val="000000"/>
                <w:szCs w:val="20"/>
              </w:rPr>
              <w:t xml:space="preserve"> </w:t>
            </w:r>
          </w:p>
        </w:tc>
        <w:tc>
          <w:tcPr>
            <w:tcW w:w="647" w:type="pct"/>
            <w:shd w:val="clear" w:color="auto" w:fill="auto"/>
            <w:vAlign w:val="center"/>
          </w:tcPr>
          <w:p w14:paraId="6EF8DCEA" w14:textId="77777777" w:rsidR="00B159C2" w:rsidRPr="00A74194" w:rsidRDefault="00B159C2" w:rsidP="007E12FF">
            <w:pPr>
              <w:pStyle w:val="TableText0"/>
              <w:jc w:val="center"/>
              <w:rPr>
                <w:bCs w:val="0"/>
                <w:szCs w:val="20"/>
              </w:rPr>
            </w:pPr>
            <w:r w:rsidRPr="00A74194">
              <w:rPr>
                <w:bCs w:val="0"/>
                <w:color w:val="000000"/>
                <w:szCs w:val="20"/>
              </w:rPr>
              <w:t>$</w:t>
            </w:r>
            <w:r w:rsidR="00027EBC">
              <w:rPr>
                <w:bCs w:val="0"/>
                <w:noProof/>
                <w:color w:val="000000"/>
                <w:szCs w:val="20"/>
                <w:highlight w:val="black"/>
              </w:rPr>
              <w:t>'''''''''''''''''''''''''''''</w:t>
            </w:r>
            <w:r w:rsidR="00AA1ABD" w:rsidRPr="00AA1ABD">
              <w:rPr>
                <w:bCs w:val="0"/>
                <w:color w:val="000000"/>
                <w:szCs w:val="20"/>
                <w:vertAlign w:val="superscript"/>
              </w:rPr>
              <w:t>3</w:t>
            </w:r>
            <w:r w:rsidRPr="00A74194">
              <w:rPr>
                <w:bCs w:val="0"/>
                <w:color w:val="000000"/>
                <w:szCs w:val="20"/>
              </w:rPr>
              <w:t xml:space="preserve"> </w:t>
            </w:r>
          </w:p>
        </w:tc>
        <w:tc>
          <w:tcPr>
            <w:tcW w:w="647" w:type="pct"/>
            <w:shd w:val="clear" w:color="auto" w:fill="auto"/>
            <w:vAlign w:val="center"/>
          </w:tcPr>
          <w:p w14:paraId="5C3FDCFD" w14:textId="77777777" w:rsidR="00B159C2" w:rsidRPr="00A74194" w:rsidRDefault="00B159C2" w:rsidP="007E12FF">
            <w:pPr>
              <w:pStyle w:val="TableText0"/>
              <w:jc w:val="center"/>
              <w:rPr>
                <w:bCs w:val="0"/>
                <w:szCs w:val="20"/>
              </w:rPr>
            </w:pPr>
            <w:r w:rsidRPr="00A74194">
              <w:rPr>
                <w:bCs w:val="0"/>
                <w:color w:val="000000"/>
                <w:szCs w:val="20"/>
              </w:rPr>
              <w:t>$</w:t>
            </w:r>
            <w:r w:rsidR="00027EBC">
              <w:rPr>
                <w:bCs w:val="0"/>
                <w:noProof/>
                <w:color w:val="000000"/>
                <w:szCs w:val="20"/>
                <w:highlight w:val="black"/>
              </w:rPr>
              <w:t>''''''''''''''''''''''''</w:t>
            </w:r>
            <w:r w:rsidR="00AA1ABD" w:rsidRPr="00AA1ABD">
              <w:rPr>
                <w:bCs w:val="0"/>
                <w:color w:val="000000"/>
                <w:szCs w:val="20"/>
                <w:vertAlign w:val="superscript"/>
              </w:rPr>
              <w:t>3</w:t>
            </w:r>
            <w:r w:rsidRPr="00A74194">
              <w:rPr>
                <w:bCs w:val="0"/>
                <w:color w:val="000000"/>
                <w:szCs w:val="20"/>
              </w:rPr>
              <w:t xml:space="preserve"> </w:t>
            </w:r>
          </w:p>
        </w:tc>
        <w:tc>
          <w:tcPr>
            <w:tcW w:w="649" w:type="pct"/>
            <w:vAlign w:val="center"/>
          </w:tcPr>
          <w:p w14:paraId="190DC9FA" w14:textId="77777777" w:rsidR="00B159C2" w:rsidRPr="00A74194" w:rsidRDefault="00B159C2" w:rsidP="007E12FF">
            <w:pPr>
              <w:pStyle w:val="TableText0"/>
              <w:jc w:val="center"/>
              <w:rPr>
                <w:bCs w:val="0"/>
                <w:szCs w:val="20"/>
              </w:rPr>
            </w:pPr>
            <w:r w:rsidRPr="00A74194">
              <w:rPr>
                <w:bCs w:val="0"/>
                <w:color w:val="000000"/>
                <w:szCs w:val="20"/>
              </w:rPr>
              <w:t>$</w:t>
            </w:r>
            <w:r w:rsidR="00027EBC">
              <w:rPr>
                <w:bCs w:val="0"/>
                <w:noProof/>
                <w:color w:val="000000"/>
                <w:szCs w:val="20"/>
                <w:highlight w:val="black"/>
              </w:rPr>
              <w:t>'''''''''''''''''''''''''''</w:t>
            </w:r>
            <w:r w:rsidR="00AA1ABD" w:rsidRPr="00AA1ABD">
              <w:rPr>
                <w:bCs w:val="0"/>
                <w:color w:val="000000"/>
                <w:szCs w:val="20"/>
                <w:vertAlign w:val="superscript"/>
              </w:rPr>
              <w:t>4</w:t>
            </w:r>
            <w:r w:rsidRPr="00A74194">
              <w:rPr>
                <w:bCs w:val="0"/>
                <w:color w:val="000000"/>
                <w:szCs w:val="20"/>
              </w:rPr>
              <w:t xml:space="preserve"> </w:t>
            </w:r>
          </w:p>
        </w:tc>
      </w:tr>
      <w:tr w:rsidR="007C27EC" w:rsidRPr="00A74194" w14:paraId="62555151" w14:textId="77777777" w:rsidTr="007C27EC">
        <w:tc>
          <w:tcPr>
            <w:tcW w:w="5000" w:type="pct"/>
            <w:gridSpan w:val="7"/>
            <w:shd w:val="clear" w:color="auto" w:fill="auto"/>
            <w:vAlign w:val="center"/>
          </w:tcPr>
          <w:p w14:paraId="40D9105B" w14:textId="77777777" w:rsidR="007C27EC" w:rsidRPr="00A74194" w:rsidRDefault="007C27EC" w:rsidP="007C27EC">
            <w:pPr>
              <w:pStyle w:val="TableText0"/>
              <w:rPr>
                <w:b/>
                <w:bCs w:val="0"/>
                <w:color w:val="000000"/>
                <w:szCs w:val="20"/>
              </w:rPr>
            </w:pPr>
            <w:r w:rsidRPr="00A74194">
              <w:rPr>
                <w:b/>
                <w:szCs w:val="20"/>
              </w:rPr>
              <w:t>Pre-PBAC response</w:t>
            </w:r>
          </w:p>
        </w:tc>
      </w:tr>
      <w:tr w:rsidR="00CF31B4" w:rsidRPr="00A74194" w14:paraId="71F12724" w14:textId="77777777" w:rsidTr="00B46473">
        <w:tc>
          <w:tcPr>
            <w:tcW w:w="1116" w:type="pct"/>
            <w:shd w:val="clear" w:color="auto" w:fill="auto"/>
            <w:vAlign w:val="center"/>
          </w:tcPr>
          <w:p w14:paraId="7E1D7D98" w14:textId="77777777" w:rsidR="00CF31B4" w:rsidRPr="00A74194" w:rsidRDefault="00CF31B4" w:rsidP="00CF31B4">
            <w:pPr>
              <w:pStyle w:val="TableText0"/>
              <w:rPr>
                <w:szCs w:val="20"/>
              </w:rPr>
            </w:pPr>
            <w:r w:rsidRPr="00A74194">
              <w:rPr>
                <w:szCs w:val="20"/>
              </w:rPr>
              <w:t>Net cost to PBS/RPBS</w:t>
            </w:r>
          </w:p>
        </w:tc>
        <w:tc>
          <w:tcPr>
            <w:tcW w:w="647" w:type="pct"/>
            <w:shd w:val="clear" w:color="auto" w:fill="auto"/>
          </w:tcPr>
          <w:p w14:paraId="4C682302" w14:textId="77777777" w:rsidR="00CF31B4" w:rsidRPr="001C3E6A" w:rsidRDefault="00CF31B4" w:rsidP="00CF31B4">
            <w:pPr>
              <w:pStyle w:val="TableText0"/>
              <w:jc w:val="center"/>
              <w:rPr>
                <w:bCs w:val="0"/>
                <w:color w:val="000000"/>
                <w:szCs w:val="20"/>
              </w:rPr>
            </w:pPr>
            <w:r w:rsidRPr="000E345B">
              <w:rPr>
                <w:rFonts w:eastAsia="Times New Roman" w:cs="Arial"/>
                <w:color w:val="000000"/>
                <w:lang w:val="en-US"/>
              </w:rPr>
              <w:t>$</w:t>
            </w:r>
            <w:r w:rsidR="00027EBC">
              <w:rPr>
                <w:rFonts w:eastAsia="Times New Roman" w:cs="Arial"/>
                <w:noProof/>
                <w:color w:val="000000"/>
                <w:highlight w:val="black"/>
                <w:lang w:val="en-US"/>
              </w:rPr>
              <w:t>''''''''''''''''''''''''''</w:t>
            </w:r>
            <w:r w:rsidR="00AA1ABD" w:rsidRPr="00AA1ABD">
              <w:rPr>
                <w:rFonts w:eastAsia="Times New Roman" w:cs="Arial"/>
                <w:color w:val="000000"/>
                <w:vertAlign w:val="superscript"/>
                <w:lang w:val="en-US"/>
              </w:rPr>
              <w:t>6</w:t>
            </w:r>
            <w:r w:rsidRPr="000E345B">
              <w:rPr>
                <w:rFonts w:eastAsia="Times New Roman" w:cs="Arial"/>
                <w:color w:val="000000"/>
                <w:lang w:val="en-US"/>
              </w:rPr>
              <w:t xml:space="preserve"> </w:t>
            </w:r>
          </w:p>
        </w:tc>
        <w:tc>
          <w:tcPr>
            <w:tcW w:w="647" w:type="pct"/>
            <w:shd w:val="clear" w:color="auto" w:fill="auto"/>
          </w:tcPr>
          <w:p w14:paraId="5213E80E" w14:textId="77777777" w:rsidR="00CF31B4" w:rsidRPr="001C3E6A" w:rsidRDefault="00CF31B4" w:rsidP="00CF31B4">
            <w:pPr>
              <w:pStyle w:val="TableText0"/>
              <w:jc w:val="center"/>
              <w:rPr>
                <w:bCs w:val="0"/>
                <w:color w:val="000000"/>
                <w:szCs w:val="20"/>
              </w:rPr>
            </w:pPr>
            <w:r w:rsidRPr="000E345B">
              <w:rPr>
                <w:rFonts w:eastAsia="Times New Roman" w:cs="Arial"/>
                <w:color w:val="000000"/>
                <w:lang w:val="en-US"/>
              </w:rPr>
              <w:t>$</w:t>
            </w:r>
            <w:r w:rsidR="00027EBC">
              <w:rPr>
                <w:rFonts w:eastAsia="Times New Roman" w:cs="Arial"/>
                <w:noProof/>
                <w:color w:val="000000"/>
                <w:highlight w:val="black"/>
                <w:lang w:val="en-US"/>
              </w:rPr>
              <w:t>'''''''''''''''''''''''''''''</w:t>
            </w:r>
            <w:r w:rsidR="00AA1ABD" w:rsidRPr="00AA1ABD">
              <w:rPr>
                <w:rFonts w:eastAsia="Times New Roman" w:cs="Arial"/>
                <w:color w:val="000000"/>
                <w:vertAlign w:val="superscript"/>
                <w:lang w:val="en-US"/>
              </w:rPr>
              <w:t>6</w:t>
            </w:r>
            <w:r w:rsidRPr="000E345B">
              <w:rPr>
                <w:rFonts w:eastAsia="Times New Roman" w:cs="Arial"/>
                <w:color w:val="000000"/>
                <w:lang w:val="en-US"/>
              </w:rPr>
              <w:t xml:space="preserve"> </w:t>
            </w:r>
          </w:p>
        </w:tc>
        <w:tc>
          <w:tcPr>
            <w:tcW w:w="647" w:type="pct"/>
            <w:shd w:val="clear" w:color="auto" w:fill="auto"/>
          </w:tcPr>
          <w:p w14:paraId="60BA433E" w14:textId="77777777" w:rsidR="00CF31B4" w:rsidRPr="001C3E6A" w:rsidRDefault="00CF31B4" w:rsidP="00CF31B4">
            <w:pPr>
              <w:pStyle w:val="TableText0"/>
              <w:jc w:val="center"/>
              <w:rPr>
                <w:bCs w:val="0"/>
                <w:color w:val="000000"/>
                <w:szCs w:val="20"/>
              </w:rPr>
            </w:pPr>
            <w:r w:rsidRPr="000E345B">
              <w:rPr>
                <w:rFonts w:eastAsia="Times New Roman" w:cs="Arial"/>
                <w:color w:val="000000"/>
                <w:lang w:val="en-US"/>
              </w:rPr>
              <w:t>$</w:t>
            </w:r>
            <w:r w:rsidR="00027EBC">
              <w:rPr>
                <w:rFonts w:eastAsia="Times New Roman" w:cs="Arial"/>
                <w:noProof/>
                <w:color w:val="000000"/>
                <w:highlight w:val="black"/>
                <w:lang w:val="en-US"/>
              </w:rPr>
              <w:t>''''''''''''''''''''''''</w:t>
            </w:r>
            <w:r w:rsidR="00AA1ABD" w:rsidRPr="00AA1ABD">
              <w:rPr>
                <w:rFonts w:eastAsia="Times New Roman" w:cs="Arial"/>
                <w:color w:val="000000"/>
                <w:vertAlign w:val="superscript"/>
                <w:lang w:val="en-US"/>
              </w:rPr>
              <w:t>6</w:t>
            </w:r>
            <w:r w:rsidRPr="000E345B">
              <w:rPr>
                <w:rFonts w:eastAsia="Times New Roman" w:cs="Arial"/>
                <w:color w:val="000000"/>
                <w:lang w:val="en-US"/>
              </w:rPr>
              <w:t xml:space="preserve"> </w:t>
            </w:r>
          </w:p>
        </w:tc>
        <w:tc>
          <w:tcPr>
            <w:tcW w:w="647" w:type="pct"/>
            <w:shd w:val="clear" w:color="auto" w:fill="auto"/>
          </w:tcPr>
          <w:p w14:paraId="64B2796A" w14:textId="77777777" w:rsidR="00CF31B4" w:rsidRPr="001C3E6A" w:rsidRDefault="00CF31B4" w:rsidP="00CF31B4">
            <w:pPr>
              <w:pStyle w:val="TableText0"/>
              <w:jc w:val="center"/>
              <w:rPr>
                <w:bCs w:val="0"/>
                <w:color w:val="000000"/>
                <w:szCs w:val="20"/>
              </w:rPr>
            </w:pPr>
            <w:r w:rsidRPr="000E345B">
              <w:rPr>
                <w:rFonts w:eastAsia="Times New Roman" w:cs="Arial"/>
                <w:color w:val="000000"/>
                <w:lang w:val="en-US"/>
              </w:rPr>
              <w:t>$</w:t>
            </w:r>
            <w:r w:rsidR="00027EBC">
              <w:rPr>
                <w:rFonts w:eastAsia="Times New Roman" w:cs="Arial"/>
                <w:noProof/>
                <w:color w:val="000000"/>
                <w:highlight w:val="black"/>
                <w:lang w:val="en-US"/>
              </w:rPr>
              <w:t>'''''''''''''''''''''''''''</w:t>
            </w:r>
            <w:r w:rsidR="00AA1ABD" w:rsidRPr="00AA1ABD">
              <w:rPr>
                <w:rFonts w:eastAsia="Times New Roman" w:cs="Arial"/>
                <w:color w:val="000000"/>
                <w:vertAlign w:val="superscript"/>
                <w:lang w:val="en-US"/>
              </w:rPr>
              <w:t>3</w:t>
            </w:r>
            <w:r w:rsidRPr="000E345B">
              <w:rPr>
                <w:rFonts w:eastAsia="Times New Roman" w:cs="Arial"/>
                <w:color w:val="000000"/>
                <w:lang w:val="en-US"/>
              </w:rPr>
              <w:t xml:space="preserve"> </w:t>
            </w:r>
          </w:p>
        </w:tc>
        <w:tc>
          <w:tcPr>
            <w:tcW w:w="647" w:type="pct"/>
            <w:shd w:val="clear" w:color="auto" w:fill="auto"/>
          </w:tcPr>
          <w:p w14:paraId="2DE8B3D2" w14:textId="77777777" w:rsidR="00CF31B4" w:rsidRPr="001C3E6A" w:rsidRDefault="00CF31B4" w:rsidP="00CF31B4">
            <w:pPr>
              <w:pStyle w:val="TableText0"/>
              <w:jc w:val="center"/>
              <w:rPr>
                <w:bCs w:val="0"/>
                <w:color w:val="000000"/>
                <w:szCs w:val="20"/>
              </w:rPr>
            </w:pPr>
            <w:r w:rsidRPr="000E345B">
              <w:rPr>
                <w:rFonts w:eastAsia="Times New Roman" w:cs="Arial"/>
                <w:color w:val="000000"/>
                <w:lang w:val="en-US"/>
              </w:rPr>
              <w:t>$</w:t>
            </w:r>
            <w:r w:rsidR="00027EBC">
              <w:rPr>
                <w:rFonts w:eastAsia="Times New Roman" w:cs="Arial"/>
                <w:noProof/>
                <w:color w:val="000000"/>
                <w:highlight w:val="black"/>
                <w:lang w:val="en-US"/>
              </w:rPr>
              <w:t>'''''''''''''''''''''''''</w:t>
            </w:r>
            <w:r w:rsidR="00AA1ABD" w:rsidRPr="00AA1ABD">
              <w:rPr>
                <w:rFonts w:eastAsia="Times New Roman" w:cs="Arial"/>
                <w:color w:val="000000"/>
                <w:vertAlign w:val="superscript"/>
                <w:lang w:val="en-US"/>
              </w:rPr>
              <w:t>3</w:t>
            </w:r>
            <w:r w:rsidRPr="00AA1ABD">
              <w:rPr>
                <w:rFonts w:eastAsia="Times New Roman" w:cs="Arial"/>
                <w:color w:val="000000"/>
                <w:vertAlign w:val="superscript"/>
                <w:lang w:val="en-US"/>
              </w:rPr>
              <w:t xml:space="preserve"> </w:t>
            </w:r>
          </w:p>
        </w:tc>
        <w:tc>
          <w:tcPr>
            <w:tcW w:w="649" w:type="pct"/>
          </w:tcPr>
          <w:p w14:paraId="534750BC" w14:textId="77777777" w:rsidR="00CF31B4" w:rsidRPr="001C3E6A" w:rsidRDefault="00CF31B4" w:rsidP="00CF31B4">
            <w:pPr>
              <w:pStyle w:val="TableText0"/>
              <w:jc w:val="center"/>
              <w:rPr>
                <w:bCs w:val="0"/>
                <w:color w:val="000000"/>
                <w:szCs w:val="20"/>
              </w:rPr>
            </w:pPr>
            <w:r w:rsidRPr="000E345B">
              <w:rPr>
                <w:rFonts w:eastAsia="Times New Roman" w:cs="Arial"/>
                <w:color w:val="000000"/>
                <w:lang w:val="en-US"/>
              </w:rPr>
              <w:t>$</w:t>
            </w:r>
            <w:r w:rsidR="00027EBC">
              <w:rPr>
                <w:rFonts w:eastAsia="Times New Roman" w:cs="Arial"/>
                <w:noProof/>
                <w:color w:val="000000"/>
                <w:highlight w:val="black"/>
                <w:lang w:val="en-US"/>
              </w:rPr>
              <w:t>'''''''''''''''''''''''</w:t>
            </w:r>
            <w:r w:rsidR="00AA1ABD" w:rsidRPr="00AA1ABD">
              <w:rPr>
                <w:rFonts w:eastAsia="Times New Roman" w:cs="Arial"/>
                <w:color w:val="000000"/>
                <w:vertAlign w:val="superscript"/>
                <w:lang w:val="en-US"/>
              </w:rPr>
              <w:t>3</w:t>
            </w:r>
            <w:r w:rsidRPr="000E345B">
              <w:rPr>
                <w:rFonts w:eastAsia="Times New Roman" w:cs="Arial"/>
                <w:color w:val="000000"/>
                <w:lang w:val="en-US"/>
              </w:rPr>
              <w:t xml:space="preserve"> </w:t>
            </w:r>
          </w:p>
        </w:tc>
      </w:tr>
      <w:tr w:rsidR="00CF31B4" w:rsidRPr="00A74194" w14:paraId="05F6BCB4" w14:textId="77777777" w:rsidTr="00CF31B4">
        <w:tc>
          <w:tcPr>
            <w:tcW w:w="1116" w:type="pct"/>
            <w:shd w:val="clear" w:color="auto" w:fill="auto"/>
            <w:vAlign w:val="center"/>
          </w:tcPr>
          <w:p w14:paraId="4B779108" w14:textId="77777777" w:rsidR="00CF31B4" w:rsidRPr="00A74194" w:rsidRDefault="00CF31B4" w:rsidP="00CF31B4">
            <w:pPr>
              <w:pStyle w:val="TableText0"/>
              <w:rPr>
                <w:szCs w:val="20"/>
              </w:rPr>
            </w:pPr>
            <w:r w:rsidRPr="00A74194">
              <w:rPr>
                <w:szCs w:val="20"/>
              </w:rPr>
              <w:t>Net cost to PBS/RPBS/MBS</w:t>
            </w:r>
          </w:p>
        </w:tc>
        <w:tc>
          <w:tcPr>
            <w:tcW w:w="647" w:type="pct"/>
            <w:shd w:val="clear" w:color="auto" w:fill="auto"/>
            <w:vAlign w:val="center"/>
          </w:tcPr>
          <w:p w14:paraId="4503AA9C" w14:textId="77777777" w:rsidR="00CF31B4" w:rsidRPr="001C3E6A" w:rsidRDefault="00CF31B4" w:rsidP="00CF31B4">
            <w:pPr>
              <w:pStyle w:val="TableText0"/>
              <w:jc w:val="center"/>
              <w:rPr>
                <w:bCs w:val="0"/>
                <w:color w:val="000000"/>
                <w:szCs w:val="20"/>
              </w:rPr>
            </w:pPr>
            <w:r w:rsidRPr="000E345B">
              <w:rPr>
                <w:rFonts w:eastAsia="Times New Roman" w:cs="Arial"/>
                <w:color w:val="000000"/>
                <w:lang w:val="en-US"/>
              </w:rPr>
              <w:t>$</w:t>
            </w:r>
            <w:r w:rsidR="00027EBC">
              <w:rPr>
                <w:rFonts w:eastAsia="Times New Roman" w:cs="Arial"/>
                <w:noProof/>
                <w:color w:val="000000"/>
                <w:highlight w:val="black"/>
                <w:lang w:val="en-US"/>
              </w:rPr>
              <w:t>''''''''''''''''''''''''''</w:t>
            </w:r>
            <w:r w:rsidR="0062123F" w:rsidRPr="0062123F">
              <w:rPr>
                <w:rFonts w:eastAsia="Times New Roman" w:cs="Arial"/>
                <w:color w:val="000000"/>
                <w:vertAlign w:val="superscript"/>
                <w:lang w:val="en-US"/>
              </w:rPr>
              <w:t>6</w:t>
            </w:r>
          </w:p>
        </w:tc>
        <w:tc>
          <w:tcPr>
            <w:tcW w:w="647" w:type="pct"/>
            <w:shd w:val="clear" w:color="auto" w:fill="auto"/>
            <w:vAlign w:val="center"/>
          </w:tcPr>
          <w:p w14:paraId="38B5002F" w14:textId="77777777" w:rsidR="00CF31B4" w:rsidRPr="001C3E6A" w:rsidRDefault="00CF31B4" w:rsidP="00CF31B4">
            <w:pPr>
              <w:pStyle w:val="TableText0"/>
              <w:jc w:val="center"/>
              <w:rPr>
                <w:bCs w:val="0"/>
                <w:color w:val="000000"/>
                <w:szCs w:val="20"/>
              </w:rPr>
            </w:pPr>
            <w:r w:rsidRPr="000E345B">
              <w:rPr>
                <w:rFonts w:eastAsia="Times New Roman" w:cs="Arial"/>
                <w:color w:val="000000"/>
                <w:lang w:val="en-US"/>
              </w:rPr>
              <w:t>$</w:t>
            </w:r>
            <w:r w:rsidR="00027EBC">
              <w:rPr>
                <w:rFonts w:eastAsia="Times New Roman" w:cs="Arial"/>
                <w:noProof/>
                <w:color w:val="000000"/>
                <w:highlight w:val="black"/>
                <w:lang w:val="en-US"/>
              </w:rPr>
              <w:t>'''''''''''''''''''''''''''''''</w:t>
            </w:r>
          </w:p>
        </w:tc>
        <w:tc>
          <w:tcPr>
            <w:tcW w:w="647" w:type="pct"/>
            <w:shd w:val="clear" w:color="auto" w:fill="auto"/>
            <w:vAlign w:val="center"/>
          </w:tcPr>
          <w:p w14:paraId="12D4D8EE" w14:textId="77777777" w:rsidR="00CF31B4" w:rsidRPr="001C3E6A" w:rsidRDefault="00CF31B4" w:rsidP="00CF31B4">
            <w:pPr>
              <w:pStyle w:val="TableText0"/>
              <w:jc w:val="center"/>
              <w:rPr>
                <w:bCs w:val="0"/>
                <w:color w:val="000000"/>
                <w:szCs w:val="20"/>
              </w:rPr>
            </w:pPr>
            <w:r w:rsidRPr="000E345B">
              <w:rPr>
                <w:rFonts w:eastAsia="Times New Roman" w:cs="Arial"/>
                <w:color w:val="000000"/>
                <w:lang w:val="en-US"/>
              </w:rPr>
              <w:t>$</w:t>
            </w:r>
            <w:r w:rsidR="00027EBC">
              <w:rPr>
                <w:rFonts w:eastAsia="Times New Roman" w:cs="Arial"/>
                <w:noProof/>
                <w:color w:val="000000"/>
                <w:highlight w:val="black"/>
                <w:lang w:val="en-US"/>
              </w:rPr>
              <w:t>''''''''''''''''''''''''</w:t>
            </w:r>
            <w:r w:rsidR="0062123F" w:rsidRPr="0062123F">
              <w:rPr>
                <w:rFonts w:eastAsia="Times New Roman" w:cs="Arial"/>
                <w:color w:val="000000"/>
                <w:vertAlign w:val="superscript"/>
                <w:lang w:val="en-US"/>
              </w:rPr>
              <w:t>6</w:t>
            </w:r>
          </w:p>
        </w:tc>
        <w:tc>
          <w:tcPr>
            <w:tcW w:w="647" w:type="pct"/>
            <w:shd w:val="clear" w:color="auto" w:fill="auto"/>
            <w:vAlign w:val="center"/>
          </w:tcPr>
          <w:p w14:paraId="0A92CB60" w14:textId="77777777" w:rsidR="00CF31B4" w:rsidRPr="001C3E6A" w:rsidRDefault="00CF31B4" w:rsidP="00CF31B4">
            <w:pPr>
              <w:pStyle w:val="TableText0"/>
              <w:jc w:val="center"/>
              <w:rPr>
                <w:bCs w:val="0"/>
                <w:color w:val="000000"/>
                <w:szCs w:val="20"/>
              </w:rPr>
            </w:pPr>
            <w:r w:rsidRPr="000E345B">
              <w:rPr>
                <w:rFonts w:eastAsia="Times New Roman" w:cs="Arial"/>
                <w:color w:val="000000"/>
                <w:lang w:val="en-US"/>
              </w:rPr>
              <w:t>$</w:t>
            </w:r>
            <w:r w:rsidR="00027EBC">
              <w:rPr>
                <w:rFonts w:eastAsia="Times New Roman" w:cs="Arial"/>
                <w:noProof/>
                <w:color w:val="000000"/>
                <w:highlight w:val="black"/>
                <w:lang w:val="en-US"/>
              </w:rPr>
              <w:t>''''''''''''''''''''''''''''</w:t>
            </w:r>
            <w:r w:rsidR="0062123F" w:rsidRPr="0062123F">
              <w:rPr>
                <w:rFonts w:eastAsia="Times New Roman" w:cs="Arial"/>
                <w:color w:val="000000"/>
                <w:vertAlign w:val="superscript"/>
                <w:lang w:val="en-US"/>
              </w:rPr>
              <w:t>3</w:t>
            </w:r>
          </w:p>
        </w:tc>
        <w:tc>
          <w:tcPr>
            <w:tcW w:w="647" w:type="pct"/>
            <w:shd w:val="clear" w:color="auto" w:fill="auto"/>
            <w:vAlign w:val="center"/>
          </w:tcPr>
          <w:p w14:paraId="3C90DC18" w14:textId="77777777" w:rsidR="00CF31B4" w:rsidRPr="001C3E6A" w:rsidRDefault="00CF31B4" w:rsidP="00CF31B4">
            <w:pPr>
              <w:pStyle w:val="TableText0"/>
              <w:jc w:val="center"/>
              <w:rPr>
                <w:bCs w:val="0"/>
                <w:color w:val="000000"/>
                <w:szCs w:val="20"/>
              </w:rPr>
            </w:pPr>
            <w:r w:rsidRPr="000E345B">
              <w:rPr>
                <w:rFonts w:eastAsia="Times New Roman" w:cs="Arial"/>
                <w:color w:val="000000"/>
                <w:lang w:val="en-US"/>
              </w:rPr>
              <w:t>$</w:t>
            </w:r>
            <w:r w:rsidR="00027EBC">
              <w:rPr>
                <w:rFonts w:eastAsia="Times New Roman" w:cs="Arial"/>
                <w:noProof/>
                <w:color w:val="000000"/>
                <w:highlight w:val="black"/>
                <w:lang w:val="en-US"/>
              </w:rPr>
              <w:t>'''''''''''''''''''''''''</w:t>
            </w:r>
            <w:r w:rsidR="0062123F" w:rsidRPr="0062123F">
              <w:rPr>
                <w:rFonts w:eastAsia="Times New Roman" w:cs="Arial"/>
                <w:color w:val="000000"/>
                <w:vertAlign w:val="superscript"/>
                <w:lang w:val="en-US"/>
              </w:rPr>
              <w:t>3</w:t>
            </w:r>
          </w:p>
        </w:tc>
        <w:tc>
          <w:tcPr>
            <w:tcW w:w="649" w:type="pct"/>
            <w:vAlign w:val="center"/>
          </w:tcPr>
          <w:p w14:paraId="1C5863BB" w14:textId="77777777" w:rsidR="00CF31B4" w:rsidRPr="001C3E6A" w:rsidRDefault="00CF31B4" w:rsidP="00CF31B4">
            <w:pPr>
              <w:pStyle w:val="TableText0"/>
              <w:jc w:val="center"/>
              <w:rPr>
                <w:bCs w:val="0"/>
                <w:color w:val="000000"/>
                <w:szCs w:val="20"/>
              </w:rPr>
            </w:pPr>
            <w:r w:rsidRPr="000E345B">
              <w:rPr>
                <w:rFonts w:eastAsia="Times New Roman" w:cs="Arial"/>
                <w:color w:val="000000"/>
                <w:lang w:val="en-US"/>
              </w:rPr>
              <w:t>$</w:t>
            </w:r>
            <w:r w:rsidR="00027EBC">
              <w:rPr>
                <w:rFonts w:eastAsia="Times New Roman" w:cs="Arial"/>
                <w:noProof/>
                <w:color w:val="000000"/>
                <w:highlight w:val="black"/>
                <w:lang w:val="en-US"/>
              </w:rPr>
              <w:t>''''''''''''''''''''''''''</w:t>
            </w:r>
            <w:r w:rsidR="0062123F" w:rsidRPr="0062123F">
              <w:rPr>
                <w:rFonts w:eastAsia="Times New Roman" w:cs="Arial"/>
                <w:color w:val="000000"/>
                <w:vertAlign w:val="superscript"/>
                <w:lang w:val="en-US"/>
              </w:rPr>
              <w:t>3</w:t>
            </w:r>
          </w:p>
        </w:tc>
      </w:tr>
      <w:tr w:rsidR="00B159C2" w:rsidRPr="00A74194" w14:paraId="75356A62" w14:textId="77777777" w:rsidTr="007E12FF">
        <w:tc>
          <w:tcPr>
            <w:tcW w:w="5000" w:type="pct"/>
            <w:gridSpan w:val="7"/>
            <w:shd w:val="clear" w:color="auto" w:fill="B8CCE4" w:themeFill="accent1" w:themeFillTint="66"/>
            <w:vAlign w:val="center"/>
          </w:tcPr>
          <w:p w14:paraId="65B1E89B" w14:textId="77777777" w:rsidR="00B159C2" w:rsidRPr="00A74194" w:rsidRDefault="00B159C2" w:rsidP="00867023">
            <w:pPr>
              <w:pStyle w:val="In-tableHeading"/>
              <w:rPr>
                <w:szCs w:val="20"/>
                <w:lang w:val="en-AU"/>
              </w:rPr>
            </w:pPr>
            <w:r w:rsidRPr="00A74194">
              <w:rPr>
                <w:szCs w:val="20"/>
                <w:lang w:val="en-AU"/>
              </w:rPr>
              <w:t xml:space="preserve">Previous </w:t>
            </w:r>
            <w:r w:rsidR="00867023" w:rsidRPr="00A74194">
              <w:rPr>
                <w:szCs w:val="20"/>
                <w:lang w:val="en-AU"/>
              </w:rPr>
              <w:t>re</w:t>
            </w:r>
            <w:r w:rsidRPr="00A74194">
              <w:rPr>
                <w:szCs w:val="20"/>
                <w:lang w:val="en-AU"/>
              </w:rPr>
              <w:t xml:space="preserve">submission </w:t>
            </w:r>
            <w:r w:rsidR="00867023" w:rsidRPr="00A74194">
              <w:rPr>
                <w:szCs w:val="20"/>
                <w:lang w:val="en-AU"/>
              </w:rPr>
              <w:t>July</w:t>
            </w:r>
            <w:r w:rsidRPr="00A74194">
              <w:rPr>
                <w:szCs w:val="20"/>
                <w:lang w:val="en-AU"/>
              </w:rPr>
              <w:t xml:space="preserve"> 2019</w:t>
            </w:r>
          </w:p>
        </w:tc>
      </w:tr>
      <w:tr w:rsidR="00B159C2" w:rsidRPr="00A74194" w14:paraId="65CEA630" w14:textId="77777777" w:rsidTr="007E12FF">
        <w:tc>
          <w:tcPr>
            <w:tcW w:w="1116" w:type="pct"/>
            <w:shd w:val="clear" w:color="auto" w:fill="B8CCE4" w:themeFill="accent1" w:themeFillTint="66"/>
            <w:vAlign w:val="center"/>
          </w:tcPr>
          <w:p w14:paraId="1D3F16E8" w14:textId="77777777" w:rsidR="00B159C2" w:rsidRPr="00A74194" w:rsidRDefault="00B159C2" w:rsidP="007E12FF">
            <w:pPr>
              <w:pStyle w:val="TableText0"/>
              <w:rPr>
                <w:szCs w:val="20"/>
              </w:rPr>
            </w:pPr>
            <w:r w:rsidRPr="00A74194">
              <w:rPr>
                <w:szCs w:val="20"/>
              </w:rPr>
              <w:t>Net cost to PBS/RPBS</w:t>
            </w:r>
          </w:p>
        </w:tc>
        <w:tc>
          <w:tcPr>
            <w:tcW w:w="647" w:type="pct"/>
            <w:shd w:val="clear" w:color="auto" w:fill="B8CCE4" w:themeFill="accent1" w:themeFillTint="66"/>
            <w:vAlign w:val="center"/>
          </w:tcPr>
          <w:p w14:paraId="185E8BF0" w14:textId="77777777" w:rsidR="00B159C2" w:rsidRPr="00A74194" w:rsidRDefault="00B159C2" w:rsidP="007E12FF">
            <w:pPr>
              <w:pStyle w:val="TableText0"/>
              <w:jc w:val="center"/>
              <w:rPr>
                <w:szCs w:val="20"/>
              </w:rPr>
            </w:pPr>
            <w:r w:rsidRPr="00A74194">
              <w:rPr>
                <w:szCs w:val="20"/>
              </w:rPr>
              <w:t>$</w:t>
            </w:r>
            <w:r w:rsidR="00027EBC">
              <w:rPr>
                <w:noProof/>
                <w:color w:val="000000"/>
                <w:szCs w:val="20"/>
                <w:highlight w:val="black"/>
              </w:rPr>
              <w:t>''''''''''''''''''''''''''''</w:t>
            </w:r>
            <w:r w:rsidR="0062123F" w:rsidRPr="0062123F">
              <w:rPr>
                <w:szCs w:val="20"/>
                <w:vertAlign w:val="superscript"/>
              </w:rPr>
              <w:t>7</w:t>
            </w:r>
          </w:p>
        </w:tc>
        <w:tc>
          <w:tcPr>
            <w:tcW w:w="647" w:type="pct"/>
            <w:shd w:val="clear" w:color="auto" w:fill="B8CCE4" w:themeFill="accent1" w:themeFillTint="66"/>
            <w:vAlign w:val="center"/>
          </w:tcPr>
          <w:p w14:paraId="7E2B3EDD" w14:textId="77777777" w:rsidR="00B159C2" w:rsidRPr="00A74194" w:rsidRDefault="00B159C2" w:rsidP="007E12FF">
            <w:pPr>
              <w:pStyle w:val="TableText0"/>
              <w:jc w:val="center"/>
              <w:rPr>
                <w:szCs w:val="20"/>
              </w:rPr>
            </w:pPr>
            <w:r w:rsidRPr="00A74194">
              <w:rPr>
                <w:szCs w:val="20"/>
              </w:rPr>
              <w:t>$</w:t>
            </w:r>
            <w:r w:rsidR="00027EBC">
              <w:rPr>
                <w:noProof/>
                <w:color w:val="000000"/>
                <w:szCs w:val="20"/>
                <w:highlight w:val="black"/>
              </w:rPr>
              <w:t>''''''''''''''''''''''''''''</w:t>
            </w:r>
            <w:r w:rsidR="0062123F" w:rsidRPr="0062123F">
              <w:rPr>
                <w:szCs w:val="20"/>
                <w:vertAlign w:val="superscript"/>
              </w:rPr>
              <w:t>6</w:t>
            </w:r>
          </w:p>
        </w:tc>
        <w:tc>
          <w:tcPr>
            <w:tcW w:w="647" w:type="pct"/>
            <w:shd w:val="clear" w:color="auto" w:fill="B8CCE4" w:themeFill="accent1" w:themeFillTint="66"/>
            <w:vAlign w:val="center"/>
          </w:tcPr>
          <w:p w14:paraId="5C17ABD4" w14:textId="77777777" w:rsidR="00B159C2" w:rsidRPr="00A74194" w:rsidRDefault="00B159C2" w:rsidP="007E12FF">
            <w:pPr>
              <w:pStyle w:val="TableText0"/>
              <w:jc w:val="center"/>
              <w:rPr>
                <w:szCs w:val="20"/>
              </w:rPr>
            </w:pPr>
            <w:r w:rsidRPr="00A74194">
              <w:rPr>
                <w:szCs w:val="20"/>
              </w:rPr>
              <w:t>$</w:t>
            </w:r>
            <w:r w:rsidR="00027EBC">
              <w:rPr>
                <w:noProof/>
                <w:color w:val="000000"/>
                <w:szCs w:val="20"/>
                <w:highlight w:val="black"/>
              </w:rPr>
              <w:t>''''''''''''''''''''''''''</w:t>
            </w:r>
            <w:r w:rsidR="0062123F" w:rsidRPr="0062123F">
              <w:rPr>
                <w:szCs w:val="20"/>
                <w:vertAlign w:val="superscript"/>
              </w:rPr>
              <w:t>6</w:t>
            </w:r>
          </w:p>
        </w:tc>
        <w:tc>
          <w:tcPr>
            <w:tcW w:w="647" w:type="pct"/>
            <w:shd w:val="clear" w:color="auto" w:fill="B8CCE4" w:themeFill="accent1" w:themeFillTint="66"/>
            <w:vAlign w:val="center"/>
          </w:tcPr>
          <w:p w14:paraId="1327D47C" w14:textId="77777777" w:rsidR="00B159C2" w:rsidRPr="00A74194" w:rsidRDefault="00B159C2" w:rsidP="007E12FF">
            <w:pPr>
              <w:pStyle w:val="TableText0"/>
              <w:jc w:val="center"/>
              <w:rPr>
                <w:szCs w:val="20"/>
              </w:rPr>
            </w:pPr>
            <w:r w:rsidRPr="00A74194">
              <w:rPr>
                <w:szCs w:val="20"/>
              </w:rPr>
              <w:t>$</w:t>
            </w:r>
            <w:r w:rsidR="00027EBC">
              <w:rPr>
                <w:noProof/>
                <w:color w:val="000000"/>
                <w:szCs w:val="20"/>
                <w:highlight w:val="black"/>
              </w:rPr>
              <w:t>'''''''''''''''''''''''''''''</w:t>
            </w:r>
            <w:r w:rsidR="0062123F" w:rsidRPr="0062123F">
              <w:rPr>
                <w:szCs w:val="20"/>
                <w:vertAlign w:val="superscript"/>
              </w:rPr>
              <w:t>3</w:t>
            </w:r>
          </w:p>
        </w:tc>
        <w:tc>
          <w:tcPr>
            <w:tcW w:w="647" w:type="pct"/>
            <w:shd w:val="clear" w:color="auto" w:fill="B8CCE4" w:themeFill="accent1" w:themeFillTint="66"/>
            <w:vAlign w:val="center"/>
          </w:tcPr>
          <w:p w14:paraId="7A0F652C" w14:textId="77777777" w:rsidR="00B159C2" w:rsidRPr="00A74194" w:rsidRDefault="00B159C2" w:rsidP="007E12FF">
            <w:pPr>
              <w:pStyle w:val="TableText0"/>
              <w:jc w:val="center"/>
              <w:rPr>
                <w:szCs w:val="20"/>
              </w:rPr>
            </w:pPr>
            <w:r w:rsidRPr="00A74194">
              <w:rPr>
                <w:szCs w:val="20"/>
              </w:rPr>
              <w:t>$</w:t>
            </w:r>
            <w:r w:rsidR="00027EBC">
              <w:rPr>
                <w:noProof/>
                <w:color w:val="000000"/>
                <w:szCs w:val="20"/>
                <w:highlight w:val="black"/>
              </w:rPr>
              <w:t>'''''''''''''''''''''''''</w:t>
            </w:r>
            <w:r w:rsidR="0062123F" w:rsidRPr="0062123F">
              <w:rPr>
                <w:szCs w:val="20"/>
                <w:vertAlign w:val="superscript"/>
              </w:rPr>
              <w:t>3</w:t>
            </w:r>
          </w:p>
        </w:tc>
        <w:tc>
          <w:tcPr>
            <w:tcW w:w="649" w:type="pct"/>
            <w:shd w:val="clear" w:color="auto" w:fill="B8CCE4" w:themeFill="accent1" w:themeFillTint="66"/>
            <w:vAlign w:val="center"/>
          </w:tcPr>
          <w:p w14:paraId="3BA937CE" w14:textId="77777777" w:rsidR="00B159C2" w:rsidRPr="00A74194" w:rsidRDefault="00B159C2" w:rsidP="007E12FF">
            <w:pPr>
              <w:pStyle w:val="TableText0"/>
              <w:jc w:val="center"/>
              <w:rPr>
                <w:szCs w:val="20"/>
              </w:rPr>
            </w:pPr>
            <w:r w:rsidRPr="00A74194">
              <w:rPr>
                <w:szCs w:val="20"/>
              </w:rPr>
              <w:t>$</w:t>
            </w:r>
            <w:r w:rsidR="00027EBC">
              <w:rPr>
                <w:noProof/>
                <w:color w:val="000000"/>
                <w:szCs w:val="20"/>
                <w:highlight w:val="black"/>
              </w:rPr>
              <w:t>''''''''''''''''''''''''''</w:t>
            </w:r>
            <w:r w:rsidR="0062123F" w:rsidRPr="0062123F">
              <w:rPr>
                <w:szCs w:val="20"/>
                <w:vertAlign w:val="superscript"/>
              </w:rPr>
              <w:t>3</w:t>
            </w:r>
          </w:p>
        </w:tc>
      </w:tr>
      <w:tr w:rsidR="008109EC" w:rsidRPr="00A74194" w14:paraId="2577289E" w14:textId="77777777" w:rsidTr="007E12FF">
        <w:tc>
          <w:tcPr>
            <w:tcW w:w="1116" w:type="pct"/>
            <w:shd w:val="clear" w:color="auto" w:fill="B8CCE4" w:themeFill="accent1" w:themeFillTint="66"/>
            <w:vAlign w:val="center"/>
          </w:tcPr>
          <w:p w14:paraId="43CA5CCC" w14:textId="77777777" w:rsidR="008109EC" w:rsidRPr="00A74194" w:rsidRDefault="008109EC" w:rsidP="007C27EC">
            <w:pPr>
              <w:pStyle w:val="TableText0"/>
              <w:rPr>
                <w:szCs w:val="20"/>
              </w:rPr>
            </w:pPr>
            <w:r w:rsidRPr="00A74194">
              <w:rPr>
                <w:szCs w:val="20"/>
              </w:rPr>
              <w:t>Net cost to PBS/RPBS*</w:t>
            </w:r>
          </w:p>
        </w:tc>
        <w:tc>
          <w:tcPr>
            <w:tcW w:w="647" w:type="pct"/>
            <w:shd w:val="clear" w:color="auto" w:fill="B8CCE4" w:themeFill="accent1" w:themeFillTint="66"/>
            <w:vAlign w:val="center"/>
          </w:tcPr>
          <w:p w14:paraId="4556E463" w14:textId="77777777" w:rsidR="008109EC" w:rsidRPr="00A74194" w:rsidRDefault="008109EC" w:rsidP="008109EC">
            <w:pPr>
              <w:pStyle w:val="TableText0"/>
              <w:jc w:val="center"/>
              <w:rPr>
                <w:szCs w:val="20"/>
              </w:rPr>
            </w:pPr>
            <w:r w:rsidRPr="00A74194">
              <w:rPr>
                <w:rFonts w:cs="Calibri"/>
                <w:color w:val="000000"/>
                <w:szCs w:val="20"/>
              </w:rPr>
              <w:t>$</w:t>
            </w:r>
            <w:r w:rsidR="00027EBC">
              <w:rPr>
                <w:rFonts w:cs="Calibri"/>
                <w:noProof/>
                <w:color w:val="000000"/>
                <w:szCs w:val="20"/>
                <w:highlight w:val="black"/>
              </w:rPr>
              <w:t>'''''''''''''''''''''''''</w:t>
            </w:r>
            <w:r w:rsidR="0062123F" w:rsidRPr="0062123F">
              <w:rPr>
                <w:rFonts w:cs="Calibri"/>
                <w:color w:val="000000"/>
                <w:szCs w:val="20"/>
                <w:vertAlign w:val="superscript"/>
              </w:rPr>
              <w:t>7</w:t>
            </w:r>
          </w:p>
        </w:tc>
        <w:tc>
          <w:tcPr>
            <w:tcW w:w="647" w:type="pct"/>
            <w:shd w:val="clear" w:color="auto" w:fill="B8CCE4" w:themeFill="accent1" w:themeFillTint="66"/>
            <w:vAlign w:val="center"/>
          </w:tcPr>
          <w:p w14:paraId="3184817B" w14:textId="77777777" w:rsidR="008109EC" w:rsidRPr="00A74194" w:rsidRDefault="008109EC" w:rsidP="008109EC">
            <w:pPr>
              <w:pStyle w:val="TableText0"/>
              <w:jc w:val="center"/>
              <w:rPr>
                <w:szCs w:val="20"/>
              </w:rPr>
            </w:pPr>
            <w:r w:rsidRPr="00A74194">
              <w:rPr>
                <w:rFonts w:cs="Calibri"/>
                <w:color w:val="000000"/>
                <w:szCs w:val="20"/>
              </w:rPr>
              <w:t>$</w:t>
            </w:r>
            <w:r w:rsidR="00027EBC">
              <w:rPr>
                <w:rFonts w:cs="Calibri"/>
                <w:noProof/>
                <w:color w:val="000000"/>
                <w:szCs w:val="20"/>
                <w:highlight w:val="black"/>
              </w:rPr>
              <w:t>''''''''''''''''''''''''''</w:t>
            </w:r>
            <w:r w:rsidR="0062123F" w:rsidRPr="0062123F">
              <w:rPr>
                <w:rFonts w:cs="Calibri"/>
                <w:color w:val="000000"/>
                <w:szCs w:val="20"/>
                <w:vertAlign w:val="superscript"/>
              </w:rPr>
              <w:t>7</w:t>
            </w:r>
          </w:p>
        </w:tc>
        <w:tc>
          <w:tcPr>
            <w:tcW w:w="647" w:type="pct"/>
            <w:shd w:val="clear" w:color="auto" w:fill="B8CCE4" w:themeFill="accent1" w:themeFillTint="66"/>
            <w:vAlign w:val="center"/>
          </w:tcPr>
          <w:p w14:paraId="43682B84" w14:textId="77777777" w:rsidR="008109EC" w:rsidRPr="00A74194" w:rsidRDefault="008109EC" w:rsidP="008109EC">
            <w:pPr>
              <w:pStyle w:val="TableText0"/>
              <w:jc w:val="center"/>
              <w:rPr>
                <w:szCs w:val="20"/>
              </w:rPr>
            </w:pPr>
            <w:r w:rsidRPr="00A74194">
              <w:rPr>
                <w:rFonts w:cs="Calibri"/>
                <w:color w:val="000000"/>
                <w:szCs w:val="20"/>
              </w:rPr>
              <w:t>$</w:t>
            </w:r>
            <w:r w:rsidR="00027EBC">
              <w:rPr>
                <w:rFonts w:cs="Calibri"/>
                <w:noProof/>
                <w:color w:val="000000"/>
                <w:szCs w:val="20"/>
                <w:highlight w:val="black"/>
              </w:rPr>
              <w:t>'''''''''''''''''''''''''</w:t>
            </w:r>
            <w:r w:rsidR="0062123F" w:rsidRPr="0062123F">
              <w:rPr>
                <w:rFonts w:cs="Calibri"/>
                <w:color w:val="000000"/>
                <w:szCs w:val="20"/>
                <w:vertAlign w:val="superscript"/>
              </w:rPr>
              <w:t>7</w:t>
            </w:r>
          </w:p>
        </w:tc>
        <w:tc>
          <w:tcPr>
            <w:tcW w:w="647" w:type="pct"/>
            <w:shd w:val="clear" w:color="auto" w:fill="B8CCE4" w:themeFill="accent1" w:themeFillTint="66"/>
            <w:vAlign w:val="center"/>
          </w:tcPr>
          <w:p w14:paraId="0E5A4D02" w14:textId="77777777" w:rsidR="008109EC" w:rsidRPr="00A74194" w:rsidRDefault="008109EC" w:rsidP="008109EC">
            <w:pPr>
              <w:pStyle w:val="TableText0"/>
              <w:jc w:val="center"/>
              <w:rPr>
                <w:szCs w:val="20"/>
              </w:rPr>
            </w:pPr>
            <w:r w:rsidRPr="00A74194">
              <w:rPr>
                <w:rFonts w:cs="Calibri"/>
                <w:color w:val="000000"/>
                <w:szCs w:val="20"/>
              </w:rPr>
              <w:t>$</w:t>
            </w:r>
            <w:r w:rsidR="00027EBC">
              <w:rPr>
                <w:rFonts w:cs="Calibri"/>
                <w:noProof/>
                <w:color w:val="000000"/>
                <w:szCs w:val="20"/>
                <w:highlight w:val="black"/>
              </w:rPr>
              <w:t>''''''''''''''''''''''''''</w:t>
            </w:r>
            <w:r w:rsidR="0062123F" w:rsidRPr="0062123F">
              <w:rPr>
                <w:rFonts w:cs="Calibri"/>
                <w:color w:val="000000"/>
                <w:szCs w:val="20"/>
                <w:vertAlign w:val="superscript"/>
              </w:rPr>
              <w:t>7</w:t>
            </w:r>
          </w:p>
        </w:tc>
        <w:tc>
          <w:tcPr>
            <w:tcW w:w="647" w:type="pct"/>
            <w:shd w:val="clear" w:color="auto" w:fill="B8CCE4" w:themeFill="accent1" w:themeFillTint="66"/>
            <w:vAlign w:val="center"/>
          </w:tcPr>
          <w:p w14:paraId="39490857" w14:textId="77777777" w:rsidR="008109EC" w:rsidRPr="00A74194" w:rsidRDefault="008109EC" w:rsidP="008109EC">
            <w:pPr>
              <w:pStyle w:val="TableText0"/>
              <w:jc w:val="center"/>
              <w:rPr>
                <w:szCs w:val="20"/>
              </w:rPr>
            </w:pPr>
            <w:r w:rsidRPr="00A74194">
              <w:rPr>
                <w:rFonts w:cs="Calibri"/>
                <w:color w:val="000000"/>
                <w:szCs w:val="20"/>
              </w:rPr>
              <w:t>$</w:t>
            </w:r>
            <w:r w:rsidR="00027EBC">
              <w:rPr>
                <w:rFonts w:cs="Calibri"/>
                <w:noProof/>
                <w:color w:val="000000"/>
                <w:szCs w:val="20"/>
                <w:highlight w:val="black"/>
              </w:rPr>
              <w:t>''''''''''''''''''''''''''</w:t>
            </w:r>
            <w:r w:rsidR="0062123F" w:rsidRPr="0062123F">
              <w:rPr>
                <w:rFonts w:cs="Calibri"/>
                <w:color w:val="000000"/>
                <w:szCs w:val="20"/>
                <w:vertAlign w:val="superscript"/>
              </w:rPr>
              <w:t>6</w:t>
            </w:r>
          </w:p>
        </w:tc>
        <w:tc>
          <w:tcPr>
            <w:tcW w:w="649" w:type="pct"/>
            <w:shd w:val="clear" w:color="auto" w:fill="B8CCE4" w:themeFill="accent1" w:themeFillTint="66"/>
            <w:vAlign w:val="center"/>
          </w:tcPr>
          <w:p w14:paraId="41D1B770" w14:textId="77777777" w:rsidR="008109EC" w:rsidRPr="00A74194" w:rsidRDefault="008109EC" w:rsidP="008109EC">
            <w:pPr>
              <w:pStyle w:val="TableText0"/>
              <w:jc w:val="center"/>
              <w:rPr>
                <w:szCs w:val="20"/>
              </w:rPr>
            </w:pPr>
            <w:r w:rsidRPr="00A74194">
              <w:rPr>
                <w:rFonts w:cs="Calibri"/>
                <w:color w:val="000000"/>
                <w:szCs w:val="20"/>
              </w:rPr>
              <w:t>$</w:t>
            </w:r>
            <w:r w:rsidR="00027EBC">
              <w:rPr>
                <w:rFonts w:cs="Calibri"/>
                <w:noProof/>
                <w:color w:val="000000"/>
                <w:szCs w:val="20"/>
                <w:highlight w:val="black"/>
              </w:rPr>
              <w:t>'''''''''''''''''''''''''''</w:t>
            </w:r>
            <w:r w:rsidR="0062123F" w:rsidRPr="0062123F">
              <w:rPr>
                <w:rFonts w:cs="Calibri"/>
                <w:color w:val="000000"/>
                <w:szCs w:val="20"/>
                <w:vertAlign w:val="superscript"/>
              </w:rPr>
              <w:t>6</w:t>
            </w:r>
          </w:p>
        </w:tc>
      </w:tr>
      <w:tr w:rsidR="008109EC" w:rsidRPr="00A74194" w14:paraId="1C959EB1" w14:textId="77777777" w:rsidTr="007E12FF">
        <w:tc>
          <w:tcPr>
            <w:tcW w:w="5000" w:type="pct"/>
            <w:gridSpan w:val="7"/>
            <w:shd w:val="clear" w:color="auto" w:fill="B8CCE4" w:themeFill="accent1" w:themeFillTint="66"/>
            <w:vAlign w:val="center"/>
          </w:tcPr>
          <w:p w14:paraId="675E0293" w14:textId="77777777" w:rsidR="008109EC" w:rsidRPr="00A74194" w:rsidRDefault="008109EC" w:rsidP="008109EC">
            <w:pPr>
              <w:pStyle w:val="TableText0"/>
              <w:rPr>
                <w:b/>
                <w:bCs w:val="0"/>
                <w:szCs w:val="20"/>
              </w:rPr>
            </w:pPr>
            <w:r w:rsidRPr="00A74194">
              <w:rPr>
                <w:b/>
                <w:bCs w:val="0"/>
                <w:szCs w:val="20"/>
              </w:rPr>
              <w:t>Submission, November 2018</w:t>
            </w:r>
          </w:p>
        </w:tc>
      </w:tr>
      <w:tr w:rsidR="008109EC" w:rsidRPr="00A74194" w14:paraId="7E5FE0FC" w14:textId="77777777" w:rsidTr="007E12FF">
        <w:tc>
          <w:tcPr>
            <w:tcW w:w="1116" w:type="pct"/>
            <w:shd w:val="clear" w:color="auto" w:fill="B8CCE4" w:themeFill="accent1" w:themeFillTint="66"/>
            <w:vAlign w:val="center"/>
          </w:tcPr>
          <w:p w14:paraId="32F5A53F" w14:textId="77777777" w:rsidR="008109EC" w:rsidRPr="00A74194" w:rsidRDefault="008109EC" w:rsidP="008109EC">
            <w:pPr>
              <w:pStyle w:val="TableText0"/>
              <w:rPr>
                <w:szCs w:val="20"/>
              </w:rPr>
            </w:pPr>
            <w:r w:rsidRPr="00A74194">
              <w:rPr>
                <w:szCs w:val="20"/>
              </w:rPr>
              <w:t>Net cost to PBS/RPBS</w:t>
            </w:r>
          </w:p>
        </w:tc>
        <w:tc>
          <w:tcPr>
            <w:tcW w:w="647" w:type="pct"/>
            <w:shd w:val="clear" w:color="auto" w:fill="B8CCE4" w:themeFill="accent1" w:themeFillTint="66"/>
            <w:vAlign w:val="center"/>
          </w:tcPr>
          <w:p w14:paraId="14D13D87" w14:textId="77777777" w:rsidR="008109EC" w:rsidRPr="00A74194" w:rsidRDefault="008109EC" w:rsidP="008109EC">
            <w:pPr>
              <w:jc w:val="center"/>
              <w:rPr>
                <w:rFonts w:ascii="Arial Narrow" w:hAnsi="Arial Narrow"/>
                <w:sz w:val="20"/>
                <w:szCs w:val="20"/>
              </w:rPr>
            </w:pPr>
            <w:r w:rsidRPr="00A74194">
              <w:rPr>
                <w:rFonts w:ascii="Arial Narrow" w:hAnsi="Arial Narrow"/>
                <w:sz w:val="20"/>
                <w:szCs w:val="20"/>
              </w:rPr>
              <w:t>$</w:t>
            </w:r>
            <w:r w:rsidR="00027EBC">
              <w:rPr>
                <w:rFonts w:ascii="Arial Narrow" w:hAnsi="Arial Narrow"/>
                <w:noProof/>
                <w:color w:val="000000"/>
                <w:sz w:val="20"/>
                <w:szCs w:val="20"/>
                <w:highlight w:val="black"/>
              </w:rPr>
              <w:t>''''''''''''''''''''''''</w:t>
            </w:r>
            <w:r w:rsidR="0062123F" w:rsidRPr="0062123F">
              <w:rPr>
                <w:rFonts w:ascii="Arial Narrow" w:hAnsi="Arial Narrow"/>
                <w:sz w:val="20"/>
                <w:szCs w:val="20"/>
                <w:vertAlign w:val="superscript"/>
              </w:rPr>
              <w:t>5</w:t>
            </w:r>
          </w:p>
        </w:tc>
        <w:tc>
          <w:tcPr>
            <w:tcW w:w="647" w:type="pct"/>
            <w:shd w:val="clear" w:color="auto" w:fill="B8CCE4" w:themeFill="accent1" w:themeFillTint="66"/>
            <w:vAlign w:val="center"/>
          </w:tcPr>
          <w:p w14:paraId="3A321D24" w14:textId="77777777" w:rsidR="008109EC" w:rsidRPr="00A74194" w:rsidRDefault="008109EC" w:rsidP="008109EC">
            <w:pPr>
              <w:jc w:val="center"/>
              <w:rPr>
                <w:rFonts w:ascii="Arial Narrow" w:hAnsi="Arial Narrow"/>
                <w:sz w:val="20"/>
                <w:szCs w:val="20"/>
              </w:rPr>
            </w:pPr>
            <w:r w:rsidRPr="00A74194">
              <w:rPr>
                <w:rFonts w:ascii="Arial Narrow" w:hAnsi="Arial Narrow"/>
                <w:sz w:val="20"/>
                <w:szCs w:val="20"/>
              </w:rPr>
              <w:t>$</w:t>
            </w:r>
            <w:r w:rsidR="00027EBC">
              <w:rPr>
                <w:rFonts w:ascii="Arial Narrow" w:hAnsi="Arial Narrow"/>
                <w:noProof/>
                <w:color w:val="000000"/>
                <w:sz w:val="20"/>
                <w:szCs w:val="20"/>
                <w:highlight w:val="black"/>
              </w:rPr>
              <w:t>''''''''''''''''''''''''''''</w:t>
            </w:r>
            <w:r w:rsidR="0062123F" w:rsidRPr="0062123F">
              <w:rPr>
                <w:rFonts w:ascii="Arial Narrow" w:hAnsi="Arial Narrow"/>
                <w:sz w:val="20"/>
                <w:szCs w:val="20"/>
                <w:vertAlign w:val="superscript"/>
              </w:rPr>
              <w:t>7</w:t>
            </w:r>
          </w:p>
        </w:tc>
        <w:tc>
          <w:tcPr>
            <w:tcW w:w="647" w:type="pct"/>
            <w:shd w:val="clear" w:color="auto" w:fill="B8CCE4" w:themeFill="accent1" w:themeFillTint="66"/>
            <w:vAlign w:val="center"/>
          </w:tcPr>
          <w:p w14:paraId="2F94B14A" w14:textId="77777777" w:rsidR="008109EC" w:rsidRPr="00A74194" w:rsidRDefault="008109EC" w:rsidP="008109EC">
            <w:pPr>
              <w:jc w:val="center"/>
              <w:rPr>
                <w:rFonts w:ascii="Arial Narrow" w:hAnsi="Arial Narrow"/>
                <w:sz w:val="20"/>
                <w:szCs w:val="20"/>
              </w:rPr>
            </w:pPr>
            <w:r w:rsidRPr="00A74194">
              <w:rPr>
                <w:rFonts w:ascii="Arial Narrow" w:hAnsi="Arial Narrow"/>
                <w:sz w:val="20"/>
                <w:szCs w:val="20"/>
              </w:rPr>
              <w:t>$</w:t>
            </w:r>
            <w:r w:rsidR="00027EBC">
              <w:rPr>
                <w:rFonts w:ascii="Arial Narrow" w:hAnsi="Arial Narrow"/>
                <w:noProof/>
                <w:color w:val="000000"/>
                <w:sz w:val="20"/>
                <w:szCs w:val="20"/>
                <w:highlight w:val="black"/>
              </w:rPr>
              <w:t>''''''''''''''''''''''''''</w:t>
            </w:r>
            <w:r w:rsidR="0062123F" w:rsidRPr="0062123F">
              <w:rPr>
                <w:rFonts w:ascii="Arial Narrow" w:hAnsi="Arial Narrow"/>
                <w:sz w:val="20"/>
                <w:szCs w:val="20"/>
                <w:vertAlign w:val="superscript"/>
              </w:rPr>
              <w:t>7</w:t>
            </w:r>
          </w:p>
        </w:tc>
        <w:tc>
          <w:tcPr>
            <w:tcW w:w="647" w:type="pct"/>
            <w:shd w:val="clear" w:color="auto" w:fill="B8CCE4" w:themeFill="accent1" w:themeFillTint="66"/>
            <w:vAlign w:val="center"/>
          </w:tcPr>
          <w:p w14:paraId="76623B19" w14:textId="77777777" w:rsidR="008109EC" w:rsidRPr="00A74194" w:rsidRDefault="008109EC" w:rsidP="008109EC">
            <w:pPr>
              <w:jc w:val="center"/>
              <w:rPr>
                <w:rFonts w:ascii="Arial Narrow" w:hAnsi="Arial Narrow"/>
                <w:sz w:val="20"/>
                <w:szCs w:val="20"/>
              </w:rPr>
            </w:pPr>
            <w:r w:rsidRPr="00A74194">
              <w:rPr>
                <w:rFonts w:ascii="Arial Narrow" w:hAnsi="Arial Narrow"/>
                <w:sz w:val="20"/>
                <w:szCs w:val="20"/>
              </w:rPr>
              <w:t>$</w:t>
            </w:r>
            <w:r w:rsidR="00027EBC">
              <w:rPr>
                <w:rFonts w:ascii="Arial Narrow" w:hAnsi="Arial Narrow"/>
                <w:noProof/>
                <w:color w:val="000000"/>
                <w:sz w:val="20"/>
                <w:szCs w:val="20"/>
                <w:highlight w:val="black"/>
              </w:rPr>
              <w:t>'''''''''''''''''''''''''''</w:t>
            </w:r>
            <w:r w:rsidR="0062123F" w:rsidRPr="0062123F">
              <w:rPr>
                <w:rFonts w:ascii="Arial Narrow" w:hAnsi="Arial Narrow"/>
                <w:sz w:val="20"/>
                <w:szCs w:val="20"/>
                <w:vertAlign w:val="superscript"/>
              </w:rPr>
              <w:t>7</w:t>
            </w:r>
          </w:p>
        </w:tc>
        <w:tc>
          <w:tcPr>
            <w:tcW w:w="647" w:type="pct"/>
            <w:shd w:val="clear" w:color="auto" w:fill="B8CCE4" w:themeFill="accent1" w:themeFillTint="66"/>
            <w:vAlign w:val="center"/>
          </w:tcPr>
          <w:p w14:paraId="31821868" w14:textId="77777777" w:rsidR="008109EC" w:rsidRPr="00A74194" w:rsidRDefault="008109EC" w:rsidP="008109EC">
            <w:pPr>
              <w:jc w:val="center"/>
              <w:rPr>
                <w:rFonts w:ascii="Arial Narrow" w:hAnsi="Arial Narrow"/>
                <w:sz w:val="20"/>
                <w:szCs w:val="20"/>
              </w:rPr>
            </w:pPr>
            <w:r w:rsidRPr="00A74194">
              <w:rPr>
                <w:rFonts w:ascii="Arial Narrow" w:hAnsi="Arial Narrow"/>
                <w:sz w:val="20"/>
                <w:szCs w:val="20"/>
              </w:rPr>
              <w:t>$</w:t>
            </w:r>
            <w:r w:rsidR="00027EBC">
              <w:rPr>
                <w:rFonts w:ascii="Arial Narrow" w:hAnsi="Arial Narrow"/>
                <w:noProof/>
                <w:color w:val="000000"/>
                <w:sz w:val="20"/>
                <w:szCs w:val="20"/>
                <w:highlight w:val="black"/>
              </w:rPr>
              <w:t>'''''''''''''''''''''''''''''</w:t>
            </w:r>
            <w:r w:rsidR="0062123F" w:rsidRPr="0062123F">
              <w:rPr>
                <w:rFonts w:ascii="Arial Narrow" w:hAnsi="Arial Narrow"/>
                <w:sz w:val="20"/>
                <w:szCs w:val="20"/>
                <w:vertAlign w:val="superscript"/>
              </w:rPr>
              <w:t>6</w:t>
            </w:r>
          </w:p>
        </w:tc>
        <w:tc>
          <w:tcPr>
            <w:tcW w:w="649" w:type="pct"/>
            <w:shd w:val="clear" w:color="auto" w:fill="B8CCE4" w:themeFill="accent1" w:themeFillTint="66"/>
            <w:vAlign w:val="center"/>
          </w:tcPr>
          <w:p w14:paraId="66EF1E07" w14:textId="77777777" w:rsidR="008109EC" w:rsidRPr="00A74194" w:rsidRDefault="008109EC" w:rsidP="008109EC">
            <w:pPr>
              <w:jc w:val="center"/>
              <w:rPr>
                <w:rFonts w:ascii="Arial Narrow" w:hAnsi="Arial Narrow"/>
                <w:sz w:val="20"/>
                <w:szCs w:val="20"/>
              </w:rPr>
            </w:pPr>
            <w:r w:rsidRPr="00A74194">
              <w:rPr>
                <w:rFonts w:ascii="Arial Narrow" w:hAnsi="Arial Narrow"/>
                <w:sz w:val="20"/>
                <w:szCs w:val="20"/>
              </w:rPr>
              <w:t>$</w:t>
            </w:r>
            <w:r w:rsidR="00027EBC">
              <w:rPr>
                <w:rFonts w:ascii="Arial Narrow" w:hAnsi="Arial Narrow"/>
                <w:noProof/>
                <w:color w:val="000000"/>
                <w:sz w:val="20"/>
                <w:szCs w:val="20"/>
                <w:highlight w:val="black"/>
              </w:rPr>
              <w:t>''''''''''''''''''''''''''''</w:t>
            </w:r>
            <w:r w:rsidR="0062123F" w:rsidRPr="0062123F">
              <w:rPr>
                <w:rFonts w:ascii="Arial Narrow" w:hAnsi="Arial Narrow"/>
                <w:sz w:val="20"/>
                <w:szCs w:val="20"/>
                <w:vertAlign w:val="superscript"/>
              </w:rPr>
              <w:t>3</w:t>
            </w:r>
          </w:p>
        </w:tc>
      </w:tr>
    </w:tbl>
    <w:p w14:paraId="3F4719B6" w14:textId="77777777" w:rsidR="00B159C2" w:rsidRPr="00A74194" w:rsidRDefault="00B159C2" w:rsidP="00B159C2">
      <w:pPr>
        <w:pStyle w:val="TableFigureFooter"/>
      </w:pPr>
      <w:r w:rsidRPr="00A74194">
        <w:t>MBS = Medicare Benefits Schedule; OCA = obeticholic acid; PBS = Pharmaceutical Benefits Scheme; RPBS = Repatriation Pharmaceutical Benefits Scheme</w:t>
      </w:r>
    </w:p>
    <w:p w14:paraId="25B21FD4" w14:textId="77777777" w:rsidR="00B159C2" w:rsidRPr="00A74194" w:rsidRDefault="00B159C2" w:rsidP="00B159C2">
      <w:pPr>
        <w:pStyle w:val="TableFigureFooter"/>
      </w:pPr>
      <w:r w:rsidRPr="00A74194">
        <w:t xml:space="preserve">Source: Utilisation and Cost Model OCALIVA, worksheet 5. Impact-net, 3a. Scripts proposed of the resubmission.3c. Impact-proposed (eff), 4c. Impact- affected (eff) from the resubmission. </w:t>
      </w:r>
    </w:p>
    <w:p w14:paraId="3D7BD125" w14:textId="77777777" w:rsidR="008F392E" w:rsidRDefault="00885748" w:rsidP="00885748">
      <w:pPr>
        <w:pStyle w:val="TableFigureFooter"/>
      </w:pPr>
      <w:r w:rsidRPr="00A74194">
        <w:rPr>
          <w:i/>
        </w:rPr>
        <w:t>*</w:t>
      </w:r>
      <w:r w:rsidRPr="00A74194">
        <w:t>Revised during the evaluation based on the full financial year for 202</w:t>
      </w:r>
      <w:r w:rsidR="00BF09B9" w:rsidRPr="00A74194">
        <w:t>1</w:t>
      </w:r>
      <w:r w:rsidRPr="00A74194">
        <w:t xml:space="preserve"> and only counting grandfathered patients once.</w:t>
      </w:r>
    </w:p>
    <w:p w14:paraId="52135D12" w14:textId="77777777" w:rsidR="009944B8" w:rsidRPr="004E40C2" w:rsidRDefault="009944B8" w:rsidP="00885748">
      <w:pPr>
        <w:pStyle w:val="TableFigureFooter"/>
        <w:rPr>
          <w:i/>
        </w:rPr>
      </w:pPr>
      <w:r w:rsidRPr="004E40C2">
        <w:rPr>
          <w:i/>
        </w:rPr>
        <w:t>The redacted values correspond to the following ranges:</w:t>
      </w:r>
    </w:p>
    <w:p w14:paraId="4BE65334" w14:textId="77777777" w:rsidR="009944B8" w:rsidRPr="004E40C2" w:rsidRDefault="009944B8" w:rsidP="00885748">
      <w:pPr>
        <w:pStyle w:val="TableFigureFooter"/>
        <w:rPr>
          <w:i/>
        </w:rPr>
      </w:pPr>
      <w:r w:rsidRPr="004E40C2">
        <w:rPr>
          <w:i/>
          <w:vertAlign w:val="superscript"/>
        </w:rPr>
        <w:t>1</w:t>
      </w:r>
      <w:r w:rsidR="00AA1ABD" w:rsidRPr="004E40C2">
        <w:rPr>
          <w:i/>
        </w:rPr>
        <w:t>500 to &lt;5000</w:t>
      </w:r>
    </w:p>
    <w:p w14:paraId="5E12DFA9" w14:textId="77777777" w:rsidR="00AA1ABD" w:rsidRPr="004E40C2" w:rsidRDefault="00AA1ABD" w:rsidP="00885748">
      <w:pPr>
        <w:pStyle w:val="TableFigureFooter"/>
        <w:rPr>
          <w:i/>
        </w:rPr>
      </w:pPr>
      <w:r w:rsidRPr="004E40C2">
        <w:rPr>
          <w:i/>
          <w:vertAlign w:val="superscript"/>
        </w:rPr>
        <w:t>2</w:t>
      </w:r>
      <w:r w:rsidRPr="004E40C2">
        <w:rPr>
          <w:i/>
        </w:rPr>
        <w:t>10,000 to &lt;20,000</w:t>
      </w:r>
    </w:p>
    <w:p w14:paraId="151B3435" w14:textId="77777777" w:rsidR="00AA1ABD" w:rsidRPr="004E40C2" w:rsidRDefault="00AA1ABD" w:rsidP="00885748">
      <w:pPr>
        <w:pStyle w:val="TableFigureFooter"/>
        <w:rPr>
          <w:i/>
        </w:rPr>
      </w:pPr>
      <w:r w:rsidRPr="004E40C2">
        <w:rPr>
          <w:i/>
          <w:vertAlign w:val="superscript"/>
        </w:rPr>
        <w:t>3</w:t>
      </w:r>
      <w:r w:rsidRPr="004E40C2">
        <w:rPr>
          <w:i/>
        </w:rPr>
        <w:t>$30 million to &lt;$40 million</w:t>
      </w:r>
    </w:p>
    <w:p w14:paraId="4FAE989D" w14:textId="77777777" w:rsidR="00AA1ABD" w:rsidRPr="004E40C2" w:rsidRDefault="00AA1ABD" w:rsidP="00885748">
      <w:pPr>
        <w:pStyle w:val="TableFigureFooter"/>
        <w:rPr>
          <w:i/>
        </w:rPr>
      </w:pPr>
      <w:r w:rsidRPr="004E40C2">
        <w:rPr>
          <w:i/>
          <w:vertAlign w:val="superscript"/>
        </w:rPr>
        <w:t>4</w:t>
      </w:r>
      <w:r w:rsidRPr="004E40C2">
        <w:rPr>
          <w:i/>
        </w:rPr>
        <w:t>$40 million to &lt;$50 million</w:t>
      </w:r>
    </w:p>
    <w:p w14:paraId="7821A42F" w14:textId="77777777" w:rsidR="00AA1ABD" w:rsidRPr="004E40C2" w:rsidRDefault="00AA1ABD" w:rsidP="00885748">
      <w:pPr>
        <w:pStyle w:val="TableFigureFooter"/>
        <w:rPr>
          <w:i/>
        </w:rPr>
      </w:pPr>
      <w:r w:rsidRPr="004E40C2">
        <w:rPr>
          <w:i/>
          <w:vertAlign w:val="superscript"/>
        </w:rPr>
        <w:t>5</w:t>
      </w:r>
      <w:r w:rsidRPr="004E40C2">
        <w:rPr>
          <w:i/>
        </w:rPr>
        <w:t>$0 to &lt;$10 million</w:t>
      </w:r>
    </w:p>
    <w:p w14:paraId="3DA4A785" w14:textId="77777777" w:rsidR="00AA1ABD" w:rsidRPr="004E40C2" w:rsidRDefault="00AA1ABD" w:rsidP="00885748">
      <w:pPr>
        <w:pStyle w:val="TableFigureFooter"/>
        <w:rPr>
          <w:i/>
        </w:rPr>
      </w:pPr>
      <w:r w:rsidRPr="004E40C2">
        <w:rPr>
          <w:i/>
          <w:vertAlign w:val="superscript"/>
        </w:rPr>
        <w:t>6</w:t>
      </w:r>
      <w:r w:rsidRPr="004E40C2">
        <w:rPr>
          <w:i/>
        </w:rPr>
        <w:t>$20 million to &lt;$30 million</w:t>
      </w:r>
    </w:p>
    <w:p w14:paraId="70BB6A50" w14:textId="77777777" w:rsidR="0062123F" w:rsidRPr="004E40C2" w:rsidRDefault="0062123F" w:rsidP="00885748">
      <w:pPr>
        <w:pStyle w:val="TableFigureFooter"/>
        <w:rPr>
          <w:rStyle w:val="CommentReference"/>
          <w:b w:val="0"/>
          <w:i/>
          <w:sz w:val="18"/>
          <w:szCs w:val="22"/>
        </w:rPr>
      </w:pPr>
      <w:r w:rsidRPr="004E40C2">
        <w:rPr>
          <w:i/>
          <w:vertAlign w:val="superscript"/>
        </w:rPr>
        <w:t>7</w:t>
      </w:r>
      <w:r w:rsidRPr="004E40C2">
        <w:rPr>
          <w:i/>
        </w:rPr>
        <w:t>$10 million to &lt;$20 million</w:t>
      </w:r>
    </w:p>
    <w:p w14:paraId="60EA6676" w14:textId="77777777" w:rsidR="00B159C2" w:rsidRPr="00A74194" w:rsidRDefault="00B159C2" w:rsidP="00B159C2">
      <w:pPr>
        <w:pStyle w:val="3-BodyText"/>
      </w:pPr>
      <w:r w:rsidRPr="00A74194">
        <w:t xml:space="preserve">The </w:t>
      </w:r>
      <w:r w:rsidR="008C5740">
        <w:t>net</w:t>
      </w:r>
      <w:r w:rsidRPr="00A74194">
        <w:t xml:space="preserve"> cost to the PBS/RPBS of listing OCA was estimated </w:t>
      </w:r>
      <w:r w:rsidR="00645009" w:rsidRPr="00A74194">
        <w:t xml:space="preserve">in the resubmission (in the pre-PBAC response) </w:t>
      </w:r>
      <w:r w:rsidRPr="00A74194">
        <w:t>to be $</w:t>
      </w:r>
      <w:r w:rsidR="008E7CCE">
        <w:t xml:space="preserve">40 to &lt;$50 </w:t>
      </w:r>
      <w:r w:rsidRPr="00A74194">
        <w:t>million</w:t>
      </w:r>
      <w:r w:rsidR="00645009" w:rsidRPr="00A74194">
        <w:t xml:space="preserve"> ($</w:t>
      </w:r>
      <w:r w:rsidR="008E7CCE">
        <w:t xml:space="preserve">30 to &lt;$40 </w:t>
      </w:r>
      <w:r w:rsidR="00645009" w:rsidRPr="00A74194">
        <w:t>million)</w:t>
      </w:r>
      <w:r w:rsidRPr="00A74194">
        <w:t xml:space="preserve"> in Year</w:t>
      </w:r>
      <w:r w:rsidR="00814D9C" w:rsidRPr="00A74194">
        <w:t> </w:t>
      </w:r>
      <w:r w:rsidRPr="00A74194">
        <w:t>6, and a total of $</w:t>
      </w:r>
      <w:r w:rsidR="008E7CCE">
        <w:t xml:space="preserve">200 to &lt;$300 </w:t>
      </w:r>
      <w:r w:rsidRPr="00A74194">
        <w:t xml:space="preserve">million </w:t>
      </w:r>
      <w:r w:rsidR="00645009" w:rsidRPr="00A74194">
        <w:t>($</w:t>
      </w:r>
      <w:r w:rsidR="008E7CCE">
        <w:t>100 to &lt;$200</w:t>
      </w:r>
      <w:r w:rsidR="00645009" w:rsidRPr="00A74194">
        <w:t xml:space="preserve"> million) </w:t>
      </w:r>
      <w:r w:rsidRPr="00A74194">
        <w:t>in the first 6 years of listing.</w:t>
      </w:r>
      <w:r w:rsidR="00127404" w:rsidRPr="00A74194">
        <w:t xml:space="preserve"> This compare</w:t>
      </w:r>
      <w:r w:rsidR="006B1411" w:rsidRPr="00A74194">
        <w:t>d</w:t>
      </w:r>
      <w:r w:rsidR="00127404" w:rsidRPr="00A74194">
        <w:t xml:space="preserve"> with a total cost of </w:t>
      </w:r>
      <w:r w:rsidR="008109EC" w:rsidRPr="00A74194">
        <w:t>$</w:t>
      </w:r>
      <w:r w:rsidR="008E7CCE">
        <w:t>100 to &lt;$200</w:t>
      </w:r>
      <w:r w:rsidR="008109EC" w:rsidRPr="00A74194">
        <w:t xml:space="preserve"> </w:t>
      </w:r>
      <w:r w:rsidR="00127404" w:rsidRPr="00A74194">
        <w:t>million</w:t>
      </w:r>
      <w:r w:rsidR="008109EC" w:rsidRPr="00A74194">
        <w:t xml:space="preserve"> (revised to $</w:t>
      </w:r>
      <w:r w:rsidR="008E7CCE">
        <w:t>100 to &lt;$200</w:t>
      </w:r>
      <w:r w:rsidR="008109EC" w:rsidRPr="00A74194">
        <w:t xml:space="preserve"> million during the evaluation)</w:t>
      </w:r>
      <w:r w:rsidR="00127404" w:rsidRPr="00A74194">
        <w:t xml:space="preserve"> and </w:t>
      </w:r>
      <w:r w:rsidR="00A65036" w:rsidRPr="00A74194">
        <w:t>$</w:t>
      </w:r>
      <w:r w:rsidR="008E7CCE">
        <w:t>100 to &lt;$200</w:t>
      </w:r>
      <w:r w:rsidR="00A65036" w:rsidRPr="00A74194">
        <w:t xml:space="preserve"> million</w:t>
      </w:r>
      <w:r w:rsidR="00127404" w:rsidRPr="00A74194">
        <w:t xml:space="preserve"> over 6 years in the November 2018 and July 2019 submissions, respectively.</w:t>
      </w:r>
      <w:r w:rsidR="00FC62BD" w:rsidRPr="00A74194">
        <w:t xml:space="preserve"> </w:t>
      </w:r>
    </w:p>
    <w:p w14:paraId="1B69B02F" w14:textId="77777777" w:rsidR="00B159C2" w:rsidRPr="00A74194" w:rsidRDefault="006B1411" w:rsidP="00EE0A68">
      <w:pPr>
        <w:pStyle w:val="3-BodyText"/>
      </w:pPr>
      <w:r w:rsidRPr="00A74194">
        <w:lastRenderedPageBreak/>
        <w:t>The ESC noted that although the resubmission addressed some of the issues raised by the PBAC during the July 2019 consideration</w:t>
      </w:r>
      <w:r w:rsidR="009873A6" w:rsidRPr="00A74194">
        <w:t xml:space="preserve">, </w:t>
      </w:r>
      <w:r w:rsidRPr="00A74194">
        <w:t>a number of issues</w:t>
      </w:r>
      <w:r w:rsidR="009873A6" w:rsidRPr="00A74194">
        <w:t>, including the number of continuing patients, the adherence rate and grandfathered patients,</w:t>
      </w:r>
      <w:r w:rsidRPr="00A74194">
        <w:t xml:space="preserve"> </w:t>
      </w:r>
      <w:r w:rsidR="00964E19" w:rsidRPr="00A74194">
        <w:t xml:space="preserve">all of </w:t>
      </w:r>
      <w:r w:rsidRPr="00A74194">
        <w:t xml:space="preserve">which likely overestimated utilisation, remained. The ESC therefore considered that the financial estimates were overestimated. </w:t>
      </w:r>
      <w:r w:rsidR="009873A6" w:rsidRPr="00A74194">
        <w:t xml:space="preserve">The ESC also </w:t>
      </w:r>
      <w:r w:rsidR="00BC5630" w:rsidRPr="00A74194">
        <w:t>noted that the uptake rates applied were highly uncertain as they were based on the survey responses of five specialists.</w:t>
      </w:r>
    </w:p>
    <w:p w14:paraId="4098C375" w14:textId="77777777" w:rsidR="00B159C2" w:rsidRPr="00A74194" w:rsidRDefault="00B159C2" w:rsidP="00B159C2">
      <w:pPr>
        <w:pStyle w:val="4-SubsectionHeading"/>
      </w:pPr>
      <w:bookmarkStart w:id="48" w:name="_Toc22897648"/>
      <w:bookmarkStart w:id="49" w:name="_Toc22898860"/>
      <w:bookmarkStart w:id="50" w:name="_Toc50371944"/>
      <w:r w:rsidRPr="00A74194">
        <w:t>Quality Use of Medicines</w:t>
      </w:r>
      <w:bookmarkEnd w:id="48"/>
      <w:bookmarkEnd w:id="49"/>
      <w:bookmarkEnd w:id="50"/>
    </w:p>
    <w:p w14:paraId="3F8F24D0" w14:textId="77777777" w:rsidR="00881C1A" w:rsidRPr="00A74194" w:rsidRDefault="00B159C2" w:rsidP="009873A6">
      <w:pPr>
        <w:pStyle w:val="3-BodyText"/>
        <w:rPr>
          <w:i/>
        </w:rPr>
      </w:pPr>
      <w:r w:rsidRPr="00A74194">
        <w:t>The resubmission did not provide any information on the quality use of medicine. This is unreasonable given it is a relatively new medicine (registered on the TGA on 21 September 2018) with warnings</w:t>
      </w:r>
      <w:r w:rsidR="00E07DBC">
        <w:t xml:space="preserve"> regarding incorrect dosing</w:t>
      </w:r>
      <w:r w:rsidRPr="00A74194">
        <w:t xml:space="preserve"> from the </w:t>
      </w:r>
      <w:r w:rsidR="00814D9C" w:rsidRPr="00A74194">
        <w:t>United States (US) Food and Drug Administration (</w:t>
      </w:r>
      <w:r w:rsidRPr="00A74194">
        <w:t>FDA</w:t>
      </w:r>
      <w:r w:rsidR="00814D9C" w:rsidRPr="00A74194">
        <w:t>)</w:t>
      </w:r>
      <w:r w:rsidRPr="00A74194">
        <w:t xml:space="preserve"> and PBC is a rare condition. This is unchanged from previous submission. No post marketing surveillance study was proposed. This was changed from previous submission which proposed a post-marketing survey.</w:t>
      </w:r>
    </w:p>
    <w:p w14:paraId="71841A13" w14:textId="77777777" w:rsidR="00B159C2" w:rsidRPr="00A74194" w:rsidRDefault="00B159C2" w:rsidP="00B159C2">
      <w:pPr>
        <w:pStyle w:val="4-SubsectionHeading"/>
      </w:pPr>
      <w:bookmarkStart w:id="51" w:name="_Toc22897649"/>
      <w:bookmarkStart w:id="52" w:name="_Toc22898861"/>
      <w:bookmarkStart w:id="53" w:name="_Toc50371945"/>
      <w:r w:rsidRPr="00A74194">
        <w:t>Financial Management – Risk Sharing Arrangements</w:t>
      </w:r>
      <w:bookmarkEnd w:id="51"/>
      <w:bookmarkEnd w:id="52"/>
      <w:bookmarkEnd w:id="53"/>
    </w:p>
    <w:p w14:paraId="73E934EC" w14:textId="77777777" w:rsidR="00881C1A" w:rsidRPr="00A74194" w:rsidRDefault="00B159C2" w:rsidP="00881C1A">
      <w:pPr>
        <w:pStyle w:val="ListParagraph"/>
        <w:numPr>
          <w:ilvl w:val="1"/>
          <w:numId w:val="1"/>
        </w:numPr>
      </w:pPr>
      <w:r w:rsidRPr="00A74194">
        <w:t xml:space="preserve">The resubmission proposed a RSA, in the form of financial caps (55% </w:t>
      </w:r>
      <w:r w:rsidR="00C54A5B" w:rsidRPr="00A74194">
        <w:t xml:space="preserve">of the net cost to Commonwealth health budget presented in the resubmission over </w:t>
      </w:r>
      <w:r w:rsidR="00256D26" w:rsidRPr="00A74194">
        <w:t>Y</w:t>
      </w:r>
      <w:r w:rsidRPr="00A74194">
        <w:t xml:space="preserve">ears 1-3, and 50% </w:t>
      </w:r>
      <w:r w:rsidR="00C54A5B" w:rsidRPr="00A74194">
        <w:t xml:space="preserve">in </w:t>
      </w:r>
      <w:r w:rsidR="00256D26" w:rsidRPr="00A74194">
        <w:t>Y</w:t>
      </w:r>
      <w:r w:rsidR="001A3A98" w:rsidRPr="00A74194">
        <w:t>ear</w:t>
      </w:r>
      <w:r w:rsidRPr="00A74194">
        <w:t xml:space="preserve"> 4)</w:t>
      </w:r>
      <w:r w:rsidR="007C27EC" w:rsidRPr="00A74194">
        <w:t xml:space="preserve">, beyond which </w:t>
      </w:r>
      <w:r w:rsidR="00027EBC">
        <w:rPr>
          <w:noProof/>
          <w:color w:val="000000"/>
          <w:highlight w:val="black"/>
        </w:rPr>
        <w:t>''''''''</w:t>
      </w:r>
      <w:r w:rsidR="007C27EC" w:rsidRPr="00A74194">
        <w:t>% rebates would be paid</w:t>
      </w:r>
      <w:r w:rsidRPr="00A74194">
        <w:t>.</w:t>
      </w:r>
      <w:r w:rsidR="007C27EC" w:rsidRPr="00A74194">
        <w:t xml:space="preserve"> The pre-PBAC response updated the caps based on the new effective DPMQ and applying a </w:t>
      </w:r>
      <w:r w:rsidR="00027EBC">
        <w:rPr>
          <w:noProof/>
          <w:color w:val="000000"/>
          <w:highlight w:val="black"/>
        </w:rPr>
        <w:t>'''''</w:t>
      </w:r>
      <w:r w:rsidR="007C27EC" w:rsidRPr="00A74194">
        <w:t>% reduction from the estimated financial cost to the PBS</w:t>
      </w:r>
      <w:r w:rsidRPr="00A74194">
        <w:t xml:space="preserve"> </w:t>
      </w:r>
      <w:r w:rsidR="007C27EC" w:rsidRPr="00A74194">
        <w:t>to Years 1-5.</w:t>
      </w:r>
    </w:p>
    <w:p w14:paraId="54A042D6" w14:textId="77777777" w:rsidR="00C54A5B" w:rsidRPr="00A74194" w:rsidRDefault="00C54A5B" w:rsidP="00C54A5B">
      <w:pPr>
        <w:pStyle w:val="TableFigureHeading"/>
        <w:rPr>
          <w:rStyle w:val="CommentReference"/>
          <w:b/>
        </w:rPr>
      </w:pPr>
      <w:r w:rsidRPr="00A74194">
        <w:rPr>
          <w:rStyle w:val="CommentReference"/>
          <w:b/>
        </w:rPr>
        <w:t>Table 15: Annual caps (at effective price) based on PBS/RPBS Commonwealth payments (contribution to service costs)</w:t>
      </w:r>
    </w:p>
    <w:tbl>
      <w:tblPr>
        <w:tblStyle w:val="TableGrid"/>
        <w:tblpPr w:leftFromText="180" w:rightFromText="180" w:vertAnchor="text" w:tblpY="29"/>
        <w:tblW w:w="0" w:type="auto"/>
        <w:tblLook w:val="04A0" w:firstRow="1" w:lastRow="0" w:firstColumn="1" w:lastColumn="0" w:noHBand="0" w:noVBand="1"/>
        <w:tblCaption w:val="Table 15: Annual caps (at effective price) based on PBS/RPBS Commonwealth payments (contribution to service costs)"/>
      </w:tblPr>
      <w:tblGrid>
        <w:gridCol w:w="1460"/>
        <w:gridCol w:w="1384"/>
        <w:gridCol w:w="1508"/>
        <w:gridCol w:w="1508"/>
        <w:gridCol w:w="1633"/>
        <w:gridCol w:w="1524"/>
      </w:tblGrid>
      <w:tr w:rsidR="007C27EC" w:rsidRPr="00A74194" w14:paraId="273F8154" w14:textId="77777777" w:rsidTr="00645626">
        <w:trPr>
          <w:trHeight w:val="132"/>
          <w:tblHeader/>
        </w:trPr>
        <w:tc>
          <w:tcPr>
            <w:tcW w:w="1460" w:type="dxa"/>
            <w:shd w:val="clear" w:color="auto" w:fill="auto"/>
            <w:vAlign w:val="center"/>
          </w:tcPr>
          <w:p w14:paraId="2330E462" w14:textId="77777777" w:rsidR="007C27EC" w:rsidRPr="00A74194" w:rsidRDefault="007C27EC" w:rsidP="00CD363A">
            <w:pPr>
              <w:pStyle w:val="NoSpacing"/>
              <w:jc w:val="left"/>
              <w:rPr>
                <w:rFonts w:ascii="Arial Narrow" w:hAnsi="Arial Narrow"/>
                <w:b/>
                <w:bCs/>
                <w:sz w:val="20"/>
              </w:rPr>
            </w:pPr>
            <w:r w:rsidRPr="00A74194">
              <w:rPr>
                <w:rFonts w:ascii="Arial Narrow" w:hAnsi="Arial Narrow"/>
                <w:b/>
                <w:bCs/>
                <w:sz w:val="20"/>
              </w:rPr>
              <w:t>Year</w:t>
            </w:r>
          </w:p>
        </w:tc>
        <w:tc>
          <w:tcPr>
            <w:tcW w:w="1384" w:type="dxa"/>
            <w:shd w:val="clear" w:color="auto" w:fill="auto"/>
          </w:tcPr>
          <w:p w14:paraId="25B658DF" w14:textId="77777777" w:rsidR="007C27EC" w:rsidRPr="00A74194" w:rsidRDefault="007C27EC" w:rsidP="00CD363A">
            <w:pPr>
              <w:pStyle w:val="NoSpacing"/>
              <w:jc w:val="center"/>
              <w:rPr>
                <w:rFonts w:ascii="Arial Narrow" w:hAnsi="Arial Narrow"/>
                <w:b/>
                <w:bCs/>
                <w:sz w:val="20"/>
              </w:rPr>
            </w:pPr>
            <w:r w:rsidRPr="00A74194">
              <w:rPr>
                <w:rFonts w:ascii="Arial Narrow" w:hAnsi="Arial Narrow"/>
                <w:b/>
                <w:bCs/>
                <w:sz w:val="20"/>
              </w:rPr>
              <w:t>Year 1</w:t>
            </w:r>
          </w:p>
        </w:tc>
        <w:tc>
          <w:tcPr>
            <w:tcW w:w="1508" w:type="dxa"/>
            <w:shd w:val="clear" w:color="auto" w:fill="auto"/>
          </w:tcPr>
          <w:p w14:paraId="5F7C319C" w14:textId="77777777" w:rsidR="007C27EC" w:rsidRPr="00A74194" w:rsidRDefault="007C27EC" w:rsidP="00CD363A">
            <w:pPr>
              <w:pStyle w:val="NoSpacing"/>
              <w:jc w:val="center"/>
              <w:rPr>
                <w:rFonts w:ascii="Arial Narrow" w:hAnsi="Arial Narrow"/>
                <w:b/>
                <w:bCs/>
                <w:sz w:val="20"/>
              </w:rPr>
            </w:pPr>
            <w:r w:rsidRPr="00A74194">
              <w:rPr>
                <w:rFonts w:ascii="Arial Narrow" w:hAnsi="Arial Narrow"/>
                <w:b/>
                <w:bCs/>
                <w:sz w:val="20"/>
              </w:rPr>
              <w:t>Year 2</w:t>
            </w:r>
          </w:p>
        </w:tc>
        <w:tc>
          <w:tcPr>
            <w:tcW w:w="1508" w:type="dxa"/>
            <w:shd w:val="clear" w:color="auto" w:fill="auto"/>
          </w:tcPr>
          <w:p w14:paraId="3A881C44" w14:textId="77777777" w:rsidR="007C27EC" w:rsidRPr="00A74194" w:rsidRDefault="007C27EC" w:rsidP="00CD363A">
            <w:pPr>
              <w:pStyle w:val="NoSpacing"/>
              <w:jc w:val="center"/>
              <w:rPr>
                <w:rFonts w:ascii="Arial Narrow" w:hAnsi="Arial Narrow"/>
                <w:b/>
                <w:bCs/>
                <w:sz w:val="20"/>
              </w:rPr>
            </w:pPr>
            <w:r w:rsidRPr="00A74194">
              <w:rPr>
                <w:rFonts w:ascii="Arial Narrow" w:hAnsi="Arial Narrow"/>
                <w:b/>
                <w:bCs/>
                <w:sz w:val="20"/>
              </w:rPr>
              <w:t>Year 3</w:t>
            </w:r>
          </w:p>
        </w:tc>
        <w:tc>
          <w:tcPr>
            <w:tcW w:w="1633" w:type="dxa"/>
            <w:shd w:val="clear" w:color="auto" w:fill="auto"/>
          </w:tcPr>
          <w:p w14:paraId="12B13A71" w14:textId="77777777" w:rsidR="007C27EC" w:rsidRPr="00A74194" w:rsidRDefault="007C27EC" w:rsidP="00CD363A">
            <w:pPr>
              <w:pStyle w:val="NoSpacing"/>
              <w:jc w:val="center"/>
              <w:rPr>
                <w:rFonts w:ascii="Arial Narrow" w:hAnsi="Arial Narrow"/>
                <w:b/>
                <w:bCs/>
                <w:sz w:val="20"/>
              </w:rPr>
            </w:pPr>
            <w:r w:rsidRPr="00A74194">
              <w:rPr>
                <w:rFonts w:ascii="Arial Narrow" w:hAnsi="Arial Narrow"/>
                <w:b/>
                <w:bCs/>
                <w:sz w:val="20"/>
              </w:rPr>
              <w:t>Year 4</w:t>
            </w:r>
          </w:p>
        </w:tc>
        <w:tc>
          <w:tcPr>
            <w:tcW w:w="1524" w:type="dxa"/>
          </w:tcPr>
          <w:p w14:paraId="341BBD72" w14:textId="77777777" w:rsidR="007C27EC" w:rsidRPr="00A74194" w:rsidRDefault="007C27EC" w:rsidP="00CD363A">
            <w:pPr>
              <w:pStyle w:val="NoSpacing"/>
              <w:jc w:val="center"/>
              <w:rPr>
                <w:rFonts w:ascii="Arial Narrow" w:hAnsi="Arial Narrow"/>
                <w:b/>
                <w:bCs/>
                <w:sz w:val="20"/>
              </w:rPr>
            </w:pPr>
            <w:r w:rsidRPr="00A74194">
              <w:rPr>
                <w:rFonts w:ascii="Arial Narrow" w:hAnsi="Arial Narrow"/>
                <w:b/>
                <w:bCs/>
                <w:sz w:val="20"/>
              </w:rPr>
              <w:t>Year 5</w:t>
            </w:r>
          </w:p>
        </w:tc>
      </w:tr>
      <w:tr w:rsidR="007C27EC" w:rsidRPr="00A74194" w14:paraId="02E70746" w14:textId="77777777" w:rsidTr="007C27EC">
        <w:tc>
          <w:tcPr>
            <w:tcW w:w="1460" w:type="dxa"/>
            <w:vAlign w:val="center"/>
          </w:tcPr>
          <w:p w14:paraId="4A512EDC" w14:textId="77777777" w:rsidR="007C27EC" w:rsidRPr="00A74194" w:rsidRDefault="007C27EC" w:rsidP="00CD363A">
            <w:pPr>
              <w:pStyle w:val="NoSpacing"/>
              <w:jc w:val="left"/>
              <w:rPr>
                <w:rFonts w:ascii="Arial Narrow" w:hAnsi="Arial Narrow"/>
                <w:b/>
                <w:bCs/>
                <w:sz w:val="20"/>
                <w:highlight w:val="yellow"/>
              </w:rPr>
            </w:pPr>
            <w:r w:rsidRPr="00A74194">
              <w:rPr>
                <w:rFonts w:ascii="Arial Narrow" w:hAnsi="Arial Narrow"/>
                <w:b/>
                <w:bCs/>
                <w:sz w:val="20"/>
              </w:rPr>
              <w:t>Annual cap</w:t>
            </w:r>
          </w:p>
        </w:tc>
        <w:tc>
          <w:tcPr>
            <w:tcW w:w="1384" w:type="dxa"/>
          </w:tcPr>
          <w:p w14:paraId="277F825E" w14:textId="77777777" w:rsidR="007C27EC" w:rsidRPr="00A74194" w:rsidRDefault="007C27EC" w:rsidP="00CD363A">
            <w:pPr>
              <w:pStyle w:val="NoSpacing"/>
              <w:jc w:val="center"/>
              <w:rPr>
                <w:rFonts w:ascii="Arial Narrow" w:hAnsi="Arial Narrow"/>
                <w:sz w:val="20"/>
              </w:rPr>
            </w:pPr>
            <w:r w:rsidRPr="00A74194">
              <w:rPr>
                <w:rFonts w:ascii="Arial Narrow" w:hAnsi="Arial Narrow"/>
                <w:sz w:val="20"/>
              </w:rPr>
              <w:t>$</w:t>
            </w:r>
            <w:r w:rsidR="00027EBC">
              <w:rPr>
                <w:rFonts w:ascii="Arial Narrow" w:hAnsi="Arial Narrow"/>
                <w:noProof/>
                <w:color w:val="000000"/>
                <w:sz w:val="20"/>
                <w:highlight w:val="black"/>
              </w:rPr>
              <w:t>'''''''''''''''''''''''''''</w:t>
            </w:r>
          </w:p>
        </w:tc>
        <w:tc>
          <w:tcPr>
            <w:tcW w:w="1508" w:type="dxa"/>
          </w:tcPr>
          <w:p w14:paraId="61B91ED2" w14:textId="77777777" w:rsidR="007C27EC" w:rsidRPr="00A74194" w:rsidRDefault="007C27EC" w:rsidP="00CD363A">
            <w:pPr>
              <w:pStyle w:val="NoSpacing"/>
              <w:jc w:val="center"/>
              <w:rPr>
                <w:rFonts w:ascii="Arial Narrow" w:hAnsi="Arial Narrow"/>
                <w:sz w:val="20"/>
              </w:rPr>
            </w:pPr>
            <w:r w:rsidRPr="00A74194">
              <w:rPr>
                <w:rFonts w:ascii="Arial Narrow" w:hAnsi="Arial Narrow"/>
                <w:sz w:val="20"/>
              </w:rPr>
              <w:t>$</w:t>
            </w:r>
            <w:r w:rsidR="00027EBC">
              <w:rPr>
                <w:rFonts w:ascii="Arial Narrow" w:hAnsi="Arial Narrow"/>
                <w:noProof/>
                <w:color w:val="000000"/>
                <w:sz w:val="20"/>
                <w:highlight w:val="black"/>
              </w:rPr>
              <w:t>''''''''''''''''''''''''</w:t>
            </w:r>
          </w:p>
        </w:tc>
        <w:tc>
          <w:tcPr>
            <w:tcW w:w="1508" w:type="dxa"/>
          </w:tcPr>
          <w:p w14:paraId="15E053DB" w14:textId="77777777" w:rsidR="007C27EC" w:rsidRPr="00A74194" w:rsidRDefault="007C27EC" w:rsidP="00CD363A">
            <w:pPr>
              <w:pStyle w:val="NoSpacing"/>
              <w:jc w:val="center"/>
              <w:rPr>
                <w:rFonts w:ascii="Arial Narrow" w:hAnsi="Arial Narrow"/>
                <w:sz w:val="20"/>
              </w:rPr>
            </w:pPr>
            <w:r w:rsidRPr="00A74194">
              <w:rPr>
                <w:rFonts w:ascii="Arial Narrow" w:hAnsi="Arial Narrow"/>
                <w:sz w:val="20"/>
              </w:rPr>
              <w:t>$</w:t>
            </w:r>
            <w:r w:rsidR="00027EBC">
              <w:rPr>
                <w:rFonts w:ascii="Arial Narrow" w:hAnsi="Arial Narrow"/>
                <w:noProof/>
                <w:color w:val="000000"/>
                <w:sz w:val="20"/>
                <w:highlight w:val="black"/>
              </w:rPr>
              <w:t>''''''''''''''''''''''''</w:t>
            </w:r>
          </w:p>
        </w:tc>
        <w:tc>
          <w:tcPr>
            <w:tcW w:w="1633" w:type="dxa"/>
          </w:tcPr>
          <w:p w14:paraId="59FDABCF" w14:textId="77777777" w:rsidR="007C27EC" w:rsidRPr="00A74194" w:rsidRDefault="007C27EC" w:rsidP="00CD363A">
            <w:pPr>
              <w:pStyle w:val="NoSpacing"/>
              <w:jc w:val="center"/>
              <w:rPr>
                <w:rFonts w:ascii="Arial Narrow" w:hAnsi="Arial Narrow"/>
                <w:sz w:val="20"/>
              </w:rPr>
            </w:pPr>
            <w:r w:rsidRPr="00A74194">
              <w:rPr>
                <w:rFonts w:ascii="Arial Narrow" w:hAnsi="Arial Narrow"/>
                <w:sz w:val="20"/>
              </w:rPr>
              <w:t>$</w:t>
            </w:r>
            <w:r w:rsidR="00027EBC">
              <w:rPr>
                <w:rFonts w:ascii="Arial Narrow" w:hAnsi="Arial Narrow"/>
                <w:noProof/>
                <w:color w:val="000000"/>
                <w:sz w:val="20"/>
                <w:highlight w:val="black"/>
              </w:rPr>
              <w:t>'''''''''''''''''''''''''''</w:t>
            </w:r>
          </w:p>
        </w:tc>
        <w:tc>
          <w:tcPr>
            <w:tcW w:w="1524" w:type="dxa"/>
          </w:tcPr>
          <w:p w14:paraId="73B50754" w14:textId="77777777" w:rsidR="007C27EC" w:rsidRPr="00A74194" w:rsidRDefault="007C27EC" w:rsidP="00CD363A">
            <w:pPr>
              <w:pStyle w:val="NoSpacing"/>
              <w:jc w:val="center"/>
              <w:rPr>
                <w:rFonts w:ascii="Arial Narrow" w:hAnsi="Arial Narrow"/>
                <w:sz w:val="20"/>
              </w:rPr>
            </w:pPr>
            <w:r w:rsidRPr="00A74194">
              <w:rPr>
                <w:rFonts w:ascii="Arial Narrow" w:hAnsi="Arial Narrow"/>
                <w:sz w:val="20"/>
              </w:rPr>
              <w:t>-</w:t>
            </w:r>
          </w:p>
        </w:tc>
      </w:tr>
      <w:tr w:rsidR="007C27EC" w:rsidRPr="00A74194" w14:paraId="30A935CF" w14:textId="77777777" w:rsidTr="007C27EC">
        <w:tc>
          <w:tcPr>
            <w:tcW w:w="1460" w:type="dxa"/>
            <w:vAlign w:val="center"/>
          </w:tcPr>
          <w:p w14:paraId="740EAF51" w14:textId="77777777" w:rsidR="007C27EC" w:rsidRPr="00A74194" w:rsidRDefault="007C27EC" w:rsidP="00CD363A">
            <w:pPr>
              <w:pStyle w:val="NoSpacing"/>
              <w:jc w:val="left"/>
              <w:rPr>
                <w:rFonts w:ascii="Arial Narrow" w:hAnsi="Arial Narrow"/>
                <w:b/>
                <w:bCs/>
                <w:sz w:val="20"/>
              </w:rPr>
            </w:pPr>
            <w:r w:rsidRPr="00A74194">
              <w:rPr>
                <w:rFonts w:ascii="Arial Narrow" w:hAnsi="Arial Narrow"/>
                <w:b/>
                <w:bCs/>
                <w:sz w:val="20"/>
              </w:rPr>
              <w:t>Pre-PBAC caps</w:t>
            </w:r>
          </w:p>
        </w:tc>
        <w:tc>
          <w:tcPr>
            <w:tcW w:w="1384" w:type="dxa"/>
          </w:tcPr>
          <w:p w14:paraId="72689AAE" w14:textId="77777777" w:rsidR="007C27EC" w:rsidRPr="00A74194" w:rsidRDefault="007C27EC" w:rsidP="00CD363A">
            <w:pPr>
              <w:pStyle w:val="NoSpacing"/>
              <w:jc w:val="center"/>
              <w:rPr>
                <w:rFonts w:ascii="Arial Narrow" w:hAnsi="Arial Narrow"/>
                <w:sz w:val="20"/>
              </w:rPr>
            </w:pPr>
            <w:r w:rsidRPr="00A74194">
              <w:rPr>
                <w:rFonts w:ascii="Arial Narrow" w:hAnsi="Arial Narrow"/>
                <w:sz w:val="20"/>
              </w:rPr>
              <w:t>$</w:t>
            </w:r>
            <w:r w:rsidR="00027EBC">
              <w:rPr>
                <w:rFonts w:ascii="Arial Narrow" w:hAnsi="Arial Narrow"/>
                <w:noProof/>
                <w:color w:val="000000"/>
                <w:sz w:val="20"/>
                <w:highlight w:val="black"/>
              </w:rPr>
              <w:t>''''''''''''''''''''''''''''</w:t>
            </w:r>
          </w:p>
        </w:tc>
        <w:tc>
          <w:tcPr>
            <w:tcW w:w="1508" w:type="dxa"/>
          </w:tcPr>
          <w:p w14:paraId="3202F77A" w14:textId="77777777" w:rsidR="007C27EC" w:rsidRPr="00A74194" w:rsidRDefault="007C27EC" w:rsidP="00CD363A">
            <w:pPr>
              <w:pStyle w:val="NoSpacing"/>
              <w:jc w:val="center"/>
              <w:rPr>
                <w:rFonts w:ascii="Arial Narrow" w:hAnsi="Arial Narrow"/>
                <w:sz w:val="20"/>
              </w:rPr>
            </w:pPr>
            <w:r w:rsidRPr="00A74194">
              <w:rPr>
                <w:rFonts w:ascii="Arial Narrow" w:hAnsi="Arial Narrow"/>
                <w:sz w:val="20"/>
              </w:rPr>
              <w:t>$</w:t>
            </w:r>
            <w:r w:rsidR="00027EBC">
              <w:rPr>
                <w:rFonts w:ascii="Arial Narrow" w:hAnsi="Arial Narrow"/>
                <w:noProof/>
                <w:color w:val="000000"/>
                <w:sz w:val="20"/>
                <w:highlight w:val="black"/>
              </w:rPr>
              <w:t>'''''''''''''''''''''''''</w:t>
            </w:r>
          </w:p>
        </w:tc>
        <w:tc>
          <w:tcPr>
            <w:tcW w:w="1508" w:type="dxa"/>
          </w:tcPr>
          <w:p w14:paraId="36DCDD4F" w14:textId="77777777" w:rsidR="007C27EC" w:rsidRPr="00A74194" w:rsidRDefault="007C27EC" w:rsidP="00CD363A">
            <w:pPr>
              <w:pStyle w:val="NoSpacing"/>
              <w:jc w:val="center"/>
              <w:rPr>
                <w:rFonts w:ascii="Arial Narrow" w:hAnsi="Arial Narrow"/>
                <w:sz w:val="20"/>
              </w:rPr>
            </w:pPr>
            <w:r w:rsidRPr="00A74194">
              <w:rPr>
                <w:rFonts w:ascii="Arial Narrow" w:hAnsi="Arial Narrow"/>
                <w:sz w:val="20"/>
              </w:rPr>
              <w:t>$</w:t>
            </w:r>
            <w:r w:rsidR="00027EBC">
              <w:rPr>
                <w:rFonts w:ascii="Arial Narrow" w:hAnsi="Arial Narrow"/>
                <w:noProof/>
                <w:color w:val="000000"/>
                <w:sz w:val="20"/>
                <w:highlight w:val="black"/>
              </w:rPr>
              <w:t>'''''''''''''''''''''''''''</w:t>
            </w:r>
          </w:p>
        </w:tc>
        <w:tc>
          <w:tcPr>
            <w:tcW w:w="1633" w:type="dxa"/>
          </w:tcPr>
          <w:p w14:paraId="5222FF4F" w14:textId="77777777" w:rsidR="007C27EC" w:rsidRPr="00A74194" w:rsidRDefault="007C27EC" w:rsidP="00CD363A">
            <w:pPr>
              <w:pStyle w:val="NoSpacing"/>
              <w:jc w:val="center"/>
              <w:rPr>
                <w:rFonts w:ascii="Arial Narrow" w:hAnsi="Arial Narrow"/>
                <w:sz w:val="20"/>
              </w:rPr>
            </w:pPr>
            <w:r w:rsidRPr="00A74194">
              <w:rPr>
                <w:rFonts w:ascii="Arial Narrow" w:hAnsi="Arial Narrow"/>
                <w:sz w:val="20"/>
              </w:rPr>
              <w:t>$</w:t>
            </w:r>
            <w:r w:rsidR="00027EBC">
              <w:rPr>
                <w:rFonts w:ascii="Arial Narrow" w:hAnsi="Arial Narrow"/>
                <w:noProof/>
                <w:color w:val="000000"/>
                <w:sz w:val="20"/>
                <w:highlight w:val="black"/>
              </w:rPr>
              <w:t>''''''''''''''''''''''''</w:t>
            </w:r>
          </w:p>
        </w:tc>
        <w:tc>
          <w:tcPr>
            <w:tcW w:w="1524" w:type="dxa"/>
          </w:tcPr>
          <w:p w14:paraId="23A94AD9" w14:textId="77777777" w:rsidR="007C27EC" w:rsidRPr="00A74194" w:rsidRDefault="007C27EC" w:rsidP="00CD363A">
            <w:pPr>
              <w:pStyle w:val="NoSpacing"/>
              <w:jc w:val="center"/>
              <w:rPr>
                <w:rFonts w:ascii="Arial Narrow" w:hAnsi="Arial Narrow"/>
                <w:sz w:val="20"/>
              </w:rPr>
            </w:pPr>
            <w:r w:rsidRPr="00A74194">
              <w:rPr>
                <w:rFonts w:ascii="Arial Narrow" w:hAnsi="Arial Narrow"/>
                <w:sz w:val="20"/>
              </w:rPr>
              <w:t>$</w:t>
            </w:r>
            <w:r w:rsidR="00027EBC">
              <w:rPr>
                <w:rFonts w:ascii="Arial Narrow" w:hAnsi="Arial Narrow"/>
                <w:noProof/>
                <w:color w:val="000000"/>
                <w:sz w:val="20"/>
                <w:highlight w:val="black"/>
              </w:rPr>
              <w:t>'''''''''''''''''''''''''''''</w:t>
            </w:r>
          </w:p>
        </w:tc>
      </w:tr>
    </w:tbl>
    <w:p w14:paraId="66820AE8" w14:textId="77777777" w:rsidR="00881C1A" w:rsidRPr="00A74194" w:rsidRDefault="00881C1A" w:rsidP="00C54A5B">
      <w:pPr>
        <w:pStyle w:val="TableFigureFooter"/>
      </w:pPr>
      <w:r w:rsidRPr="00A74194">
        <w:t>PBS = Pharmaceutical Benefits Scheme; RPBS = Repatriation Pharmaceutical Benefits Scheme</w:t>
      </w:r>
    </w:p>
    <w:p w14:paraId="25E955C7" w14:textId="77777777" w:rsidR="00C54A5B" w:rsidRPr="00A74194" w:rsidRDefault="00C54A5B" w:rsidP="00C54A5B">
      <w:pPr>
        <w:pStyle w:val="TableFigureFooter"/>
      </w:pPr>
      <w:r w:rsidRPr="00A74194">
        <w:t xml:space="preserve">Source: Table 26 of the resubmission, p200. </w:t>
      </w:r>
    </w:p>
    <w:p w14:paraId="038C7190" w14:textId="77777777" w:rsidR="00C54A5B" w:rsidRPr="00A74194" w:rsidRDefault="00C54A5B" w:rsidP="00F22259"/>
    <w:p w14:paraId="3DED529E" w14:textId="77777777" w:rsidR="00881C1A" w:rsidRPr="00A74194" w:rsidRDefault="00B159C2" w:rsidP="00881C1A">
      <w:pPr>
        <w:pStyle w:val="ListParagraph"/>
        <w:numPr>
          <w:ilvl w:val="1"/>
          <w:numId w:val="1"/>
        </w:numPr>
        <w:rPr>
          <w:iCs/>
        </w:rPr>
      </w:pPr>
      <w:r w:rsidRPr="00A74194">
        <w:t xml:space="preserve">The resubmission claimed that the financial </w:t>
      </w:r>
      <w:r w:rsidRPr="00A74194">
        <w:rPr>
          <w:bCs/>
        </w:rPr>
        <w:t>caps</w:t>
      </w:r>
      <w:r w:rsidRPr="00A74194">
        <w:rPr>
          <w:b/>
        </w:rPr>
        <w:t xml:space="preserve"> </w:t>
      </w:r>
      <w:r w:rsidRPr="00A74194">
        <w:t xml:space="preserve">represent between </w:t>
      </w:r>
      <w:r w:rsidR="00027EBC">
        <w:rPr>
          <w:noProof/>
          <w:color w:val="000000"/>
          <w:highlight w:val="black"/>
        </w:rPr>
        <w:t>'''''</w:t>
      </w:r>
      <w:r w:rsidRPr="00A74194">
        <w:t xml:space="preserve">% and </w:t>
      </w:r>
      <w:r w:rsidR="00027EBC">
        <w:rPr>
          <w:noProof/>
          <w:color w:val="000000"/>
          <w:highlight w:val="black"/>
        </w:rPr>
        <w:t>'''''</w:t>
      </w:r>
      <w:r w:rsidRPr="00A74194">
        <w:t>% rebate</w:t>
      </w:r>
      <w:r w:rsidRPr="00A74194">
        <w:rPr>
          <w:b/>
        </w:rPr>
        <w:t xml:space="preserve"> </w:t>
      </w:r>
      <w:r w:rsidRPr="00A74194">
        <w:rPr>
          <w:rStyle w:val="MainBodyTextEmphasiswithBold"/>
          <w:b w:val="0"/>
          <w:bCs/>
        </w:rPr>
        <w:t xml:space="preserve">on the financial estimates based on the PBAC recommended assumptions outlined in the July 2019 PBAC </w:t>
      </w:r>
      <w:r w:rsidR="000E32CD">
        <w:rPr>
          <w:rStyle w:val="MainBodyTextEmphasiswithBold"/>
          <w:b w:val="0"/>
          <w:bCs/>
        </w:rPr>
        <w:t>PSD</w:t>
      </w:r>
      <w:r w:rsidRPr="00A74194">
        <w:rPr>
          <w:rStyle w:val="MainBodyTextEmphasiswithBold"/>
          <w:b w:val="0"/>
          <w:bCs/>
        </w:rPr>
        <w:t xml:space="preserve">. </w:t>
      </w:r>
      <w:r w:rsidRPr="00A74194">
        <w:rPr>
          <w:iCs/>
        </w:rPr>
        <w:t xml:space="preserve">However, the estimated </w:t>
      </w:r>
      <w:r w:rsidR="00723A48" w:rsidRPr="00A74194">
        <w:rPr>
          <w:iCs/>
        </w:rPr>
        <w:t xml:space="preserve">pre-RSA </w:t>
      </w:r>
      <w:r w:rsidRPr="00A74194">
        <w:rPr>
          <w:iCs/>
        </w:rPr>
        <w:t>financial impact ha</w:t>
      </w:r>
      <w:r w:rsidR="00F23DEA" w:rsidRPr="00A74194">
        <w:rPr>
          <w:iCs/>
        </w:rPr>
        <w:t>d</w:t>
      </w:r>
      <w:r w:rsidRPr="00A74194">
        <w:rPr>
          <w:iCs/>
        </w:rPr>
        <w:t xml:space="preserve"> </w:t>
      </w:r>
      <w:r w:rsidR="006B1411" w:rsidRPr="00A74194">
        <w:rPr>
          <w:iCs/>
        </w:rPr>
        <w:t xml:space="preserve">more than doubled compared to the estimates presented in the </w:t>
      </w:r>
      <w:r w:rsidRPr="00A74194">
        <w:rPr>
          <w:iCs/>
        </w:rPr>
        <w:t xml:space="preserve">2019 </w:t>
      </w:r>
      <w:r w:rsidR="006B1411" w:rsidRPr="00A74194">
        <w:rPr>
          <w:iCs/>
        </w:rPr>
        <w:t>evaluation</w:t>
      </w:r>
      <w:r w:rsidR="00723A48" w:rsidRPr="00A74194">
        <w:rPr>
          <w:iCs/>
        </w:rPr>
        <w:t xml:space="preserve">. The ESC noted that this meant that </w:t>
      </w:r>
      <w:r w:rsidRPr="00A74194">
        <w:rPr>
          <w:iCs/>
        </w:rPr>
        <w:t>the</w:t>
      </w:r>
      <w:r w:rsidR="00723A48" w:rsidRPr="00A74194">
        <w:rPr>
          <w:iCs/>
        </w:rPr>
        <w:t xml:space="preserve"> net effect of the proposed RSA resulted in similar financial expenditure as presented in the July 2019 submission</w:t>
      </w:r>
      <w:r w:rsidRPr="00A74194">
        <w:rPr>
          <w:iCs/>
        </w:rPr>
        <w:t xml:space="preserve">. </w:t>
      </w:r>
    </w:p>
    <w:p w14:paraId="54873ECE" w14:textId="77777777" w:rsidR="00881C1A" w:rsidRPr="00A74194" w:rsidRDefault="00881C1A" w:rsidP="00881C1A">
      <w:pPr>
        <w:pStyle w:val="ListParagraph"/>
        <w:numPr>
          <w:ilvl w:val="1"/>
          <w:numId w:val="1"/>
        </w:numPr>
      </w:pPr>
      <w:r w:rsidRPr="00A74194">
        <w:t xml:space="preserve">The ESC noted that the </w:t>
      </w:r>
      <w:r w:rsidR="007A70AB" w:rsidRPr="00A74194">
        <w:t xml:space="preserve">sponsor considered that the </w:t>
      </w:r>
      <w:r w:rsidRPr="00A74194">
        <w:t xml:space="preserve">proposed RSA projected a </w:t>
      </w:r>
      <w:r w:rsidR="00027EBC">
        <w:rPr>
          <w:noProof/>
          <w:color w:val="000000"/>
          <w:highlight w:val="black"/>
        </w:rPr>
        <w:t>'''''</w:t>
      </w:r>
      <w:r w:rsidRPr="00A74194">
        <w:t>% discount to the effective AEMP</w:t>
      </w:r>
      <w:r w:rsidR="007A70AB" w:rsidRPr="00A74194">
        <w:t xml:space="preserve"> of OCA</w:t>
      </w:r>
      <w:r w:rsidRPr="00A74194">
        <w:t xml:space="preserve"> (from $</w:t>
      </w:r>
      <w:r w:rsidR="00561D4F">
        <w:t>0 to &lt;$10 million</w:t>
      </w:r>
      <w:r w:rsidR="00A0436C">
        <w:t xml:space="preserve"> to $0 to &lt;$10 million</w:t>
      </w:r>
      <w:r w:rsidRPr="00A74194">
        <w:t xml:space="preserve">). </w:t>
      </w:r>
      <w:r w:rsidR="007A70AB" w:rsidRPr="00A74194">
        <w:t xml:space="preserve">The ESC noted that achieving this discount relied on the financial estimates being exceeded and considered this was highly unlikely given the overestimation of the </w:t>
      </w:r>
      <w:r w:rsidR="007A70AB" w:rsidRPr="00A74194">
        <w:lastRenderedPageBreak/>
        <w:t xml:space="preserve">financial impact. </w:t>
      </w:r>
      <w:r w:rsidR="00CE11D8" w:rsidRPr="00A74194">
        <w:t xml:space="preserve">The ESC considered </w:t>
      </w:r>
      <w:r w:rsidR="003563B0" w:rsidRPr="00A74194">
        <w:t xml:space="preserve">that </w:t>
      </w:r>
      <w:r w:rsidR="007A70AB" w:rsidRPr="00A74194">
        <w:t xml:space="preserve">the clinical and economic uncertainties were not </w:t>
      </w:r>
      <w:r w:rsidR="00BA4C89" w:rsidRPr="00A74194">
        <w:t xml:space="preserve">adequately </w:t>
      </w:r>
      <w:r w:rsidR="007A70AB" w:rsidRPr="00A74194">
        <w:t>addressed through the</w:t>
      </w:r>
      <w:r w:rsidR="003563B0" w:rsidRPr="00A74194">
        <w:t xml:space="preserve"> RSA</w:t>
      </w:r>
      <w:r w:rsidR="007A70AB" w:rsidRPr="00A74194">
        <w:t>, and</w:t>
      </w:r>
      <w:r w:rsidR="003563B0" w:rsidRPr="00A74194">
        <w:t xml:space="preserve"> the economic model </w:t>
      </w:r>
      <w:r w:rsidR="007A70AB" w:rsidRPr="00A74194">
        <w:t>should use the proposed price with no adjustment based on the RSA.</w:t>
      </w:r>
      <w:r w:rsidR="003563B0" w:rsidRPr="00A74194">
        <w:t xml:space="preserve"> The ESC considered a RSA was required to address the uncertainties associated with the financial estimates. </w:t>
      </w:r>
    </w:p>
    <w:p w14:paraId="638142A5" w14:textId="77777777" w:rsidR="00164D71" w:rsidRPr="00A74194" w:rsidRDefault="00164D71" w:rsidP="00164D71">
      <w:pPr>
        <w:pStyle w:val="ListBullet"/>
        <w:numPr>
          <w:ilvl w:val="0"/>
          <w:numId w:val="0"/>
        </w:numPr>
        <w:ind w:left="360" w:firstLine="360"/>
      </w:pPr>
      <w:r w:rsidRPr="00A74194">
        <w:rPr>
          <w:rFonts w:asciiTheme="minorHAnsi" w:hAnsiTheme="minorHAnsi"/>
          <w:i/>
        </w:rPr>
        <w:t>For more detail on PBAC’s view, see section 7 PBAC outcome.</w:t>
      </w:r>
    </w:p>
    <w:p w14:paraId="70E69DAA" w14:textId="77777777" w:rsidR="00164D71" w:rsidRPr="00A74194" w:rsidRDefault="00164D71" w:rsidP="00164D71">
      <w:pPr>
        <w:pStyle w:val="2-SectionHeading"/>
      </w:pPr>
      <w:bookmarkStart w:id="54" w:name="_Toc22898866"/>
      <w:r w:rsidRPr="00A74194">
        <w:t>PBAC Outcome</w:t>
      </w:r>
    </w:p>
    <w:p w14:paraId="5A3B67E9" w14:textId="77777777" w:rsidR="008C7115" w:rsidRPr="00A74194" w:rsidRDefault="008C7115" w:rsidP="00164D71">
      <w:pPr>
        <w:widowControl w:val="0"/>
        <w:numPr>
          <w:ilvl w:val="1"/>
          <w:numId w:val="1"/>
        </w:numPr>
        <w:spacing w:after="120"/>
        <w:rPr>
          <w:rFonts w:asciiTheme="minorHAnsi" w:hAnsiTheme="minorHAnsi"/>
          <w:bCs/>
          <w:snapToGrid w:val="0"/>
        </w:rPr>
      </w:pPr>
      <w:r w:rsidRPr="00A74194">
        <w:rPr>
          <w:rFonts w:asciiTheme="minorHAnsi" w:hAnsiTheme="minorHAnsi"/>
          <w:bCs/>
          <w:snapToGrid w:val="0"/>
        </w:rPr>
        <w:t>The PBAC deferred making a recommendation regarding the listing of obeticholic acid</w:t>
      </w:r>
      <w:r w:rsidR="0071321C">
        <w:rPr>
          <w:rFonts w:asciiTheme="minorHAnsi" w:hAnsiTheme="minorHAnsi"/>
          <w:bCs/>
          <w:snapToGrid w:val="0"/>
        </w:rPr>
        <w:t xml:space="preserve"> (OCA)</w:t>
      </w:r>
      <w:r w:rsidRPr="00A74194">
        <w:rPr>
          <w:rFonts w:asciiTheme="minorHAnsi" w:hAnsiTheme="minorHAnsi"/>
          <w:bCs/>
          <w:snapToGrid w:val="0"/>
        </w:rPr>
        <w:t xml:space="preserve"> as a second-line treatment of </w:t>
      </w:r>
      <w:r w:rsidR="009F4782">
        <w:rPr>
          <w:rFonts w:asciiTheme="minorHAnsi" w:hAnsiTheme="minorHAnsi"/>
          <w:bCs/>
          <w:snapToGrid w:val="0"/>
        </w:rPr>
        <w:t>primary biliary cholangitis (</w:t>
      </w:r>
      <w:r w:rsidRPr="00A74194">
        <w:rPr>
          <w:rFonts w:asciiTheme="minorHAnsi" w:hAnsiTheme="minorHAnsi"/>
          <w:bCs/>
          <w:snapToGrid w:val="0"/>
        </w:rPr>
        <w:t>PBC</w:t>
      </w:r>
      <w:r w:rsidR="009F4782">
        <w:rPr>
          <w:rFonts w:asciiTheme="minorHAnsi" w:hAnsiTheme="minorHAnsi"/>
          <w:bCs/>
          <w:snapToGrid w:val="0"/>
        </w:rPr>
        <w:t>)</w:t>
      </w:r>
      <w:r w:rsidRPr="00A74194">
        <w:rPr>
          <w:rFonts w:asciiTheme="minorHAnsi" w:hAnsiTheme="minorHAnsi"/>
          <w:bCs/>
          <w:snapToGrid w:val="0"/>
        </w:rPr>
        <w:t xml:space="preserve">. Although the PBAC again acknowledged that there was a clinical need for effective PBC treatments, the PBAC </w:t>
      </w:r>
      <w:r w:rsidRPr="006361DD">
        <w:rPr>
          <w:rFonts w:asciiTheme="minorHAnsi" w:hAnsiTheme="minorHAnsi"/>
          <w:bCs/>
          <w:snapToGrid w:val="0"/>
        </w:rPr>
        <w:t>considered t</w:t>
      </w:r>
      <w:r w:rsidRPr="00A74194">
        <w:rPr>
          <w:rFonts w:asciiTheme="minorHAnsi" w:hAnsiTheme="minorHAnsi"/>
          <w:bCs/>
          <w:snapToGrid w:val="0"/>
        </w:rPr>
        <w:t xml:space="preserve">hat a </w:t>
      </w:r>
      <w:r w:rsidR="0095598A" w:rsidRPr="00A74194">
        <w:rPr>
          <w:rFonts w:asciiTheme="minorHAnsi" w:hAnsiTheme="minorHAnsi"/>
          <w:bCs/>
          <w:snapToGrid w:val="0"/>
        </w:rPr>
        <w:t xml:space="preserve">further </w:t>
      </w:r>
      <w:r w:rsidRPr="00A74194">
        <w:rPr>
          <w:rFonts w:asciiTheme="minorHAnsi" w:hAnsiTheme="minorHAnsi"/>
          <w:bCs/>
          <w:snapToGrid w:val="0"/>
        </w:rPr>
        <w:t xml:space="preserve">price reduction would be required to address the uncertainties </w:t>
      </w:r>
      <w:r w:rsidR="00194E46" w:rsidRPr="00A74194">
        <w:rPr>
          <w:rFonts w:asciiTheme="minorHAnsi" w:hAnsiTheme="minorHAnsi"/>
          <w:bCs/>
          <w:snapToGrid w:val="0"/>
        </w:rPr>
        <w:t>relating to</w:t>
      </w:r>
      <w:r w:rsidRPr="00A74194">
        <w:rPr>
          <w:rFonts w:asciiTheme="minorHAnsi" w:hAnsiTheme="minorHAnsi"/>
          <w:bCs/>
          <w:snapToGrid w:val="0"/>
        </w:rPr>
        <w:t xml:space="preserve"> the </w:t>
      </w:r>
      <w:r w:rsidR="003873F4" w:rsidRPr="00A74194">
        <w:rPr>
          <w:rFonts w:asciiTheme="minorHAnsi" w:hAnsiTheme="minorHAnsi"/>
          <w:bCs/>
          <w:snapToGrid w:val="0"/>
        </w:rPr>
        <w:t xml:space="preserve">magnitude of the </w:t>
      </w:r>
      <w:r w:rsidRPr="00A74194">
        <w:rPr>
          <w:rFonts w:asciiTheme="minorHAnsi" w:hAnsiTheme="minorHAnsi"/>
          <w:bCs/>
          <w:snapToGrid w:val="0"/>
        </w:rPr>
        <w:t>clinical benefit</w:t>
      </w:r>
      <w:r w:rsidR="006361DD">
        <w:rPr>
          <w:rFonts w:asciiTheme="minorHAnsi" w:hAnsiTheme="minorHAnsi"/>
          <w:bCs/>
          <w:snapToGrid w:val="0"/>
        </w:rPr>
        <w:t xml:space="preserve"> and</w:t>
      </w:r>
      <w:r w:rsidRPr="00A74194">
        <w:rPr>
          <w:rFonts w:asciiTheme="minorHAnsi" w:hAnsiTheme="minorHAnsi"/>
          <w:bCs/>
          <w:snapToGrid w:val="0"/>
        </w:rPr>
        <w:t xml:space="preserve"> the </w:t>
      </w:r>
      <w:r w:rsidR="0071321C">
        <w:rPr>
          <w:rFonts w:asciiTheme="minorHAnsi" w:hAnsiTheme="minorHAnsi"/>
          <w:bCs/>
          <w:snapToGrid w:val="0"/>
        </w:rPr>
        <w:t>incremental cost-effectiveness ratio (</w:t>
      </w:r>
      <w:r w:rsidRPr="00A74194">
        <w:rPr>
          <w:rFonts w:asciiTheme="minorHAnsi" w:hAnsiTheme="minorHAnsi"/>
          <w:bCs/>
          <w:snapToGrid w:val="0"/>
        </w:rPr>
        <w:t>ICER</w:t>
      </w:r>
      <w:r w:rsidR="0071321C">
        <w:rPr>
          <w:rFonts w:asciiTheme="minorHAnsi" w:hAnsiTheme="minorHAnsi"/>
          <w:bCs/>
          <w:snapToGrid w:val="0"/>
        </w:rPr>
        <w:t>)</w:t>
      </w:r>
      <w:r w:rsidR="006361DD">
        <w:rPr>
          <w:rFonts w:asciiTheme="minorHAnsi" w:hAnsiTheme="minorHAnsi"/>
          <w:bCs/>
          <w:snapToGrid w:val="0"/>
        </w:rPr>
        <w:t>. The PBAC also considered</w:t>
      </w:r>
      <w:r w:rsidRPr="00A74194">
        <w:rPr>
          <w:rFonts w:asciiTheme="minorHAnsi" w:hAnsiTheme="minorHAnsi"/>
          <w:bCs/>
          <w:snapToGrid w:val="0"/>
        </w:rPr>
        <w:t xml:space="preserve"> the financial impact</w:t>
      </w:r>
      <w:r w:rsidR="006361DD">
        <w:rPr>
          <w:rFonts w:asciiTheme="minorHAnsi" w:hAnsiTheme="minorHAnsi"/>
          <w:bCs/>
          <w:snapToGrid w:val="0"/>
        </w:rPr>
        <w:t xml:space="preserve"> was overestimated</w:t>
      </w:r>
      <w:r w:rsidRPr="00A74194">
        <w:rPr>
          <w:rFonts w:asciiTheme="minorHAnsi" w:hAnsiTheme="minorHAnsi"/>
          <w:bCs/>
          <w:snapToGrid w:val="0"/>
        </w:rPr>
        <w:t>.</w:t>
      </w:r>
    </w:p>
    <w:p w14:paraId="340E37E0" w14:textId="77777777" w:rsidR="00670B73" w:rsidRPr="00A74194" w:rsidRDefault="00670B73" w:rsidP="00164D71">
      <w:pPr>
        <w:widowControl w:val="0"/>
        <w:numPr>
          <w:ilvl w:val="1"/>
          <w:numId w:val="1"/>
        </w:numPr>
        <w:spacing w:after="120"/>
        <w:rPr>
          <w:rFonts w:asciiTheme="minorHAnsi" w:hAnsiTheme="minorHAnsi"/>
          <w:bCs/>
          <w:snapToGrid w:val="0"/>
        </w:rPr>
      </w:pPr>
      <w:r w:rsidRPr="00A74194">
        <w:rPr>
          <w:rFonts w:asciiTheme="minorHAnsi" w:hAnsiTheme="minorHAnsi"/>
          <w:bCs/>
          <w:snapToGrid w:val="0"/>
        </w:rPr>
        <w:t>The PBAC acknowledged the consumer comments, which were supportive of the PBS listing and the need for alternate PBC treatments.</w:t>
      </w:r>
    </w:p>
    <w:p w14:paraId="20826B3D" w14:textId="77777777" w:rsidR="003873F4" w:rsidRPr="00DC4362" w:rsidRDefault="00670B73" w:rsidP="00DC4362">
      <w:pPr>
        <w:widowControl w:val="0"/>
        <w:numPr>
          <w:ilvl w:val="1"/>
          <w:numId w:val="1"/>
        </w:numPr>
        <w:spacing w:after="120"/>
        <w:rPr>
          <w:rFonts w:asciiTheme="minorHAnsi" w:hAnsiTheme="minorHAnsi"/>
          <w:bCs/>
          <w:snapToGrid w:val="0"/>
        </w:rPr>
      </w:pPr>
      <w:r w:rsidRPr="006361DD">
        <w:rPr>
          <w:rFonts w:asciiTheme="minorHAnsi" w:hAnsiTheme="minorHAnsi"/>
          <w:bCs/>
          <w:snapToGrid w:val="0"/>
        </w:rPr>
        <w:t>The PBAC noted that no new clinical data were presented in the resubmission</w:t>
      </w:r>
      <w:r w:rsidR="003873F4" w:rsidRPr="006361DD">
        <w:rPr>
          <w:rFonts w:asciiTheme="minorHAnsi" w:hAnsiTheme="minorHAnsi"/>
          <w:bCs/>
          <w:snapToGrid w:val="0"/>
        </w:rPr>
        <w:t>. The PBAC again considered</w:t>
      </w:r>
      <w:r w:rsidR="006361DD" w:rsidRPr="006361DD">
        <w:rPr>
          <w:rFonts w:asciiTheme="minorHAnsi" w:hAnsiTheme="minorHAnsi"/>
          <w:bCs/>
          <w:snapToGrid w:val="0"/>
        </w:rPr>
        <w:t xml:space="preserve"> t</w:t>
      </w:r>
      <w:r w:rsidR="00EC6863" w:rsidRPr="006361DD">
        <w:rPr>
          <w:rFonts w:asciiTheme="minorHAnsi" w:hAnsiTheme="minorHAnsi"/>
          <w:bCs/>
          <w:snapToGrid w:val="0"/>
        </w:rPr>
        <w:t xml:space="preserve">he claim that </w:t>
      </w:r>
      <w:r w:rsidR="003873F4" w:rsidRPr="006361DD">
        <w:rPr>
          <w:rFonts w:asciiTheme="minorHAnsi" w:hAnsiTheme="minorHAnsi"/>
          <w:bCs/>
          <w:snapToGrid w:val="0"/>
        </w:rPr>
        <w:t xml:space="preserve">OCA + </w:t>
      </w:r>
      <w:r w:rsidR="0071321C">
        <w:rPr>
          <w:rFonts w:asciiTheme="minorHAnsi" w:hAnsiTheme="minorHAnsi"/>
          <w:bCs/>
          <w:snapToGrid w:val="0"/>
        </w:rPr>
        <w:t>ursodeoxycholic acid (</w:t>
      </w:r>
      <w:r w:rsidR="003873F4" w:rsidRPr="006361DD">
        <w:rPr>
          <w:rFonts w:asciiTheme="minorHAnsi" w:hAnsiTheme="minorHAnsi"/>
          <w:bCs/>
          <w:snapToGrid w:val="0"/>
        </w:rPr>
        <w:t>UDCA</w:t>
      </w:r>
      <w:r w:rsidR="0071321C">
        <w:rPr>
          <w:rFonts w:asciiTheme="minorHAnsi" w:hAnsiTheme="minorHAnsi"/>
          <w:bCs/>
          <w:snapToGrid w:val="0"/>
        </w:rPr>
        <w:t>)</w:t>
      </w:r>
      <w:r w:rsidR="003873F4" w:rsidRPr="006361DD">
        <w:rPr>
          <w:rFonts w:asciiTheme="minorHAnsi" w:hAnsiTheme="minorHAnsi"/>
          <w:bCs/>
          <w:snapToGrid w:val="0"/>
        </w:rPr>
        <w:t xml:space="preserve"> was superior in terms of effectiveness compared to UDCA monotherapy in patients who were UDCA-inadequate responders was reasonable; however, the magnitude of the clinical benefit remained uncertain</w:t>
      </w:r>
      <w:r w:rsidR="00336A08" w:rsidRPr="006361DD">
        <w:rPr>
          <w:rFonts w:asciiTheme="minorHAnsi" w:hAnsiTheme="minorHAnsi"/>
          <w:bCs/>
          <w:snapToGrid w:val="0"/>
        </w:rPr>
        <w:t xml:space="preserve"> give</w:t>
      </w:r>
      <w:r w:rsidR="0071321C">
        <w:rPr>
          <w:rFonts w:asciiTheme="minorHAnsi" w:hAnsiTheme="minorHAnsi"/>
          <w:bCs/>
          <w:snapToGrid w:val="0"/>
        </w:rPr>
        <w:t>n</w:t>
      </w:r>
      <w:r w:rsidR="00336A08" w:rsidRPr="006361DD">
        <w:rPr>
          <w:rFonts w:asciiTheme="minorHAnsi" w:hAnsiTheme="minorHAnsi"/>
          <w:bCs/>
          <w:snapToGrid w:val="0"/>
        </w:rPr>
        <w:t xml:space="preserve"> the relatively small sample size in the POISE trial (n = 200) and as over 50% of patients failed to meet the primary end point at 12 months</w:t>
      </w:r>
      <w:r w:rsidR="006361DD" w:rsidRPr="006361DD">
        <w:rPr>
          <w:rFonts w:asciiTheme="minorHAnsi" w:hAnsiTheme="minorHAnsi"/>
          <w:bCs/>
          <w:snapToGrid w:val="0"/>
        </w:rPr>
        <w:t xml:space="preserve">. The PBAC considered </w:t>
      </w:r>
      <w:r w:rsidR="006361DD" w:rsidRPr="00DC4362">
        <w:rPr>
          <w:rFonts w:asciiTheme="minorHAnsi" w:hAnsiTheme="minorHAnsi"/>
          <w:bCs/>
          <w:snapToGrid w:val="0"/>
        </w:rPr>
        <w:t>t</w:t>
      </w:r>
      <w:r w:rsidR="00EC6863" w:rsidRPr="00DC4362">
        <w:rPr>
          <w:rFonts w:asciiTheme="minorHAnsi" w:hAnsiTheme="minorHAnsi"/>
          <w:bCs/>
          <w:snapToGrid w:val="0"/>
        </w:rPr>
        <w:t xml:space="preserve">he claim that </w:t>
      </w:r>
      <w:r w:rsidR="003873F4" w:rsidRPr="00DC4362">
        <w:rPr>
          <w:rFonts w:asciiTheme="minorHAnsi" w:hAnsiTheme="minorHAnsi"/>
          <w:bCs/>
          <w:snapToGrid w:val="0"/>
        </w:rPr>
        <w:t xml:space="preserve">OCA as monotherapy was superior in terms of effectiveness compared to placebo in UDCA-intolerant patients was </w:t>
      </w:r>
      <w:r w:rsidR="006361DD" w:rsidRPr="00DC4362">
        <w:rPr>
          <w:rFonts w:asciiTheme="minorHAnsi" w:hAnsiTheme="minorHAnsi"/>
          <w:bCs/>
          <w:snapToGrid w:val="0"/>
        </w:rPr>
        <w:t>uncertain</w:t>
      </w:r>
      <w:r w:rsidR="00336A08" w:rsidRPr="00DC4362">
        <w:rPr>
          <w:rFonts w:asciiTheme="minorHAnsi" w:hAnsiTheme="minorHAnsi"/>
          <w:bCs/>
          <w:snapToGrid w:val="0"/>
        </w:rPr>
        <w:t xml:space="preserve"> due to the small sample size in the POISE trail (n = 16)</w:t>
      </w:r>
      <w:r w:rsidR="003873F4" w:rsidRPr="00DC4362">
        <w:rPr>
          <w:rFonts w:asciiTheme="minorHAnsi" w:hAnsiTheme="minorHAnsi"/>
          <w:bCs/>
          <w:snapToGrid w:val="0"/>
        </w:rPr>
        <w:t>;</w:t>
      </w:r>
      <w:r w:rsidR="0095598A" w:rsidRPr="00DC4362">
        <w:rPr>
          <w:rFonts w:asciiTheme="minorHAnsi" w:hAnsiTheme="minorHAnsi"/>
          <w:bCs/>
          <w:snapToGrid w:val="0"/>
        </w:rPr>
        <w:t xml:space="preserve"> </w:t>
      </w:r>
      <w:r w:rsidR="006361DD" w:rsidRPr="00DC4362">
        <w:rPr>
          <w:rFonts w:asciiTheme="minorHAnsi" w:hAnsiTheme="minorHAnsi"/>
          <w:bCs/>
          <w:snapToGrid w:val="0"/>
        </w:rPr>
        <w:t>however</w:t>
      </w:r>
      <w:r w:rsidR="0071321C">
        <w:rPr>
          <w:rFonts w:asciiTheme="minorHAnsi" w:hAnsiTheme="minorHAnsi"/>
          <w:bCs/>
          <w:snapToGrid w:val="0"/>
        </w:rPr>
        <w:t>,</w:t>
      </w:r>
      <w:r w:rsidR="006361DD" w:rsidRPr="00DC4362">
        <w:rPr>
          <w:rFonts w:asciiTheme="minorHAnsi" w:hAnsiTheme="minorHAnsi"/>
          <w:bCs/>
          <w:snapToGrid w:val="0"/>
        </w:rPr>
        <w:t xml:space="preserve"> </w:t>
      </w:r>
      <w:r w:rsidR="00DC4362" w:rsidRPr="00DC4362">
        <w:rPr>
          <w:rFonts w:asciiTheme="minorHAnsi" w:hAnsiTheme="minorHAnsi"/>
          <w:bCs/>
          <w:snapToGrid w:val="0"/>
        </w:rPr>
        <w:t xml:space="preserve">likely </w:t>
      </w:r>
      <w:r w:rsidR="006361DD" w:rsidRPr="00DC4362">
        <w:rPr>
          <w:rFonts w:asciiTheme="minorHAnsi" w:hAnsiTheme="minorHAnsi"/>
          <w:bCs/>
          <w:snapToGrid w:val="0"/>
        </w:rPr>
        <w:t xml:space="preserve">reasonable </w:t>
      </w:r>
      <w:r w:rsidR="00DC4362" w:rsidRPr="00DC4362">
        <w:rPr>
          <w:rFonts w:asciiTheme="minorHAnsi" w:hAnsiTheme="minorHAnsi"/>
          <w:bCs/>
          <w:snapToGrid w:val="0"/>
        </w:rPr>
        <w:t>in the context of the small number of patients expected to be treated with monotherapy.</w:t>
      </w:r>
      <w:r w:rsidR="00DC4362">
        <w:rPr>
          <w:rFonts w:asciiTheme="minorHAnsi" w:hAnsiTheme="minorHAnsi"/>
          <w:bCs/>
          <w:snapToGrid w:val="0"/>
        </w:rPr>
        <w:t xml:space="preserve"> The PBAC considered t</w:t>
      </w:r>
      <w:r w:rsidR="00EC6863" w:rsidRPr="00DC4362">
        <w:rPr>
          <w:rFonts w:asciiTheme="minorHAnsi" w:hAnsiTheme="minorHAnsi"/>
          <w:bCs/>
          <w:snapToGrid w:val="0"/>
        </w:rPr>
        <w:t xml:space="preserve">he claim that </w:t>
      </w:r>
      <w:r w:rsidR="003873F4" w:rsidRPr="00DC4362">
        <w:rPr>
          <w:rFonts w:asciiTheme="minorHAnsi" w:hAnsiTheme="minorHAnsi"/>
          <w:bCs/>
          <w:snapToGrid w:val="0"/>
        </w:rPr>
        <w:t>OCA + UDCA and OCA monotherapy was inferior in terms in safety compared to UDCA and placebo respectively was reasonable.</w:t>
      </w:r>
    </w:p>
    <w:p w14:paraId="4658B4FD" w14:textId="77777777" w:rsidR="00541C28" w:rsidRPr="00A74194" w:rsidRDefault="00D61C42" w:rsidP="006A46C8">
      <w:pPr>
        <w:widowControl w:val="0"/>
        <w:numPr>
          <w:ilvl w:val="1"/>
          <w:numId w:val="1"/>
        </w:numPr>
        <w:spacing w:after="120"/>
        <w:rPr>
          <w:rFonts w:asciiTheme="minorHAnsi" w:hAnsiTheme="minorHAnsi"/>
          <w:bCs/>
          <w:snapToGrid w:val="0"/>
        </w:rPr>
      </w:pPr>
      <w:r w:rsidRPr="00A74194">
        <w:rPr>
          <w:rFonts w:asciiTheme="minorHAnsi" w:hAnsiTheme="minorHAnsi"/>
          <w:bCs/>
          <w:snapToGrid w:val="0"/>
        </w:rPr>
        <w:t xml:space="preserve">The PBAC noted that the resubmission presented an updated economic model </w:t>
      </w:r>
      <w:r w:rsidR="00FC58D1" w:rsidRPr="00A74194">
        <w:rPr>
          <w:rFonts w:asciiTheme="minorHAnsi" w:hAnsiTheme="minorHAnsi"/>
          <w:bCs/>
          <w:snapToGrid w:val="0"/>
        </w:rPr>
        <w:t xml:space="preserve">for the UDCA-inadequate responders (i.e. those receiving OCA + UDCA) </w:t>
      </w:r>
      <w:r w:rsidRPr="00A74194">
        <w:rPr>
          <w:rFonts w:asciiTheme="minorHAnsi" w:hAnsiTheme="minorHAnsi"/>
          <w:bCs/>
          <w:snapToGrid w:val="0"/>
        </w:rPr>
        <w:t>that included</w:t>
      </w:r>
      <w:r w:rsidR="00541C28" w:rsidRPr="00A74194">
        <w:rPr>
          <w:rFonts w:asciiTheme="minorHAnsi" w:hAnsiTheme="minorHAnsi"/>
          <w:bCs/>
          <w:snapToGrid w:val="0"/>
        </w:rPr>
        <w:t>:</w:t>
      </w:r>
      <w:r w:rsidR="000D02F5" w:rsidRPr="00A74194">
        <w:rPr>
          <w:rFonts w:asciiTheme="minorHAnsi" w:hAnsiTheme="minorHAnsi"/>
          <w:bCs/>
          <w:snapToGrid w:val="0"/>
        </w:rPr>
        <w:t xml:space="preserve"> </w:t>
      </w:r>
    </w:p>
    <w:p w14:paraId="54241FBB" w14:textId="77777777" w:rsidR="00541C28" w:rsidRPr="00A74194" w:rsidRDefault="000D02F5" w:rsidP="00541C28">
      <w:pPr>
        <w:widowControl w:val="0"/>
        <w:numPr>
          <w:ilvl w:val="1"/>
          <w:numId w:val="30"/>
        </w:numPr>
        <w:spacing w:after="120"/>
        <w:ind w:left="1077" w:hanging="357"/>
        <w:rPr>
          <w:rFonts w:asciiTheme="minorHAnsi" w:hAnsiTheme="minorHAnsi"/>
          <w:bCs/>
          <w:snapToGrid w:val="0"/>
        </w:rPr>
      </w:pPr>
      <w:r w:rsidRPr="00A74194">
        <w:rPr>
          <w:rFonts w:asciiTheme="minorHAnsi" w:hAnsiTheme="minorHAnsi"/>
          <w:bCs/>
          <w:snapToGrid w:val="0"/>
        </w:rPr>
        <w:t xml:space="preserve">a </w:t>
      </w:r>
      <w:r w:rsidR="00D61C42" w:rsidRPr="00A74194">
        <w:rPr>
          <w:rFonts w:asciiTheme="minorHAnsi" w:hAnsiTheme="minorHAnsi"/>
          <w:bCs/>
          <w:snapToGrid w:val="0"/>
        </w:rPr>
        <w:t xml:space="preserve">reduced time horizon </w:t>
      </w:r>
      <w:r w:rsidRPr="00A74194">
        <w:rPr>
          <w:rFonts w:asciiTheme="minorHAnsi" w:hAnsiTheme="minorHAnsi"/>
          <w:bCs/>
          <w:snapToGrid w:val="0"/>
        </w:rPr>
        <w:t>(</w:t>
      </w:r>
      <w:r w:rsidR="00D61C42" w:rsidRPr="00A74194">
        <w:rPr>
          <w:rFonts w:asciiTheme="minorHAnsi" w:hAnsiTheme="minorHAnsi"/>
          <w:bCs/>
          <w:snapToGrid w:val="0"/>
        </w:rPr>
        <w:t>from 50 to 30 years</w:t>
      </w:r>
      <w:r w:rsidRPr="00A74194">
        <w:rPr>
          <w:rFonts w:asciiTheme="minorHAnsi" w:hAnsiTheme="minorHAnsi"/>
          <w:bCs/>
          <w:snapToGrid w:val="0"/>
        </w:rPr>
        <w:t>)</w:t>
      </w:r>
      <w:r w:rsidR="00541C28" w:rsidRPr="00A74194">
        <w:rPr>
          <w:rFonts w:asciiTheme="minorHAnsi" w:hAnsiTheme="minorHAnsi"/>
          <w:bCs/>
          <w:snapToGrid w:val="0"/>
        </w:rPr>
        <w:t>. The PBAC considered that this was reasonable</w:t>
      </w:r>
      <w:r w:rsidR="00D61C42" w:rsidRPr="00A74194">
        <w:rPr>
          <w:rFonts w:asciiTheme="minorHAnsi" w:hAnsiTheme="minorHAnsi"/>
          <w:bCs/>
          <w:snapToGrid w:val="0"/>
        </w:rPr>
        <w:t>;</w:t>
      </w:r>
      <w:r w:rsidRPr="00A74194">
        <w:rPr>
          <w:rFonts w:asciiTheme="minorHAnsi" w:hAnsiTheme="minorHAnsi"/>
          <w:bCs/>
          <w:snapToGrid w:val="0"/>
        </w:rPr>
        <w:t xml:space="preserve"> </w:t>
      </w:r>
    </w:p>
    <w:p w14:paraId="08E23043" w14:textId="77777777" w:rsidR="00541C28" w:rsidRPr="00A74194" w:rsidRDefault="000D02F5" w:rsidP="00541C28">
      <w:pPr>
        <w:widowControl w:val="0"/>
        <w:numPr>
          <w:ilvl w:val="1"/>
          <w:numId w:val="30"/>
        </w:numPr>
        <w:spacing w:after="120"/>
        <w:ind w:left="1077" w:hanging="357"/>
        <w:rPr>
          <w:rFonts w:asciiTheme="minorHAnsi" w:hAnsiTheme="minorHAnsi"/>
          <w:bCs/>
          <w:snapToGrid w:val="0"/>
        </w:rPr>
      </w:pPr>
      <w:r w:rsidRPr="00A74194">
        <w:rPr>
          <w:rFonts w:asciiTheme="minorHAnsi" w:hAnsiTheme="minorHAnsi"/>
          <w:bCs/>
          <w:snapToGrid w:val="0"/>
        </w:rPr>
        <w:t>a 0.03 disutility for pruritus applied in the first year of treatment</w:t>
      </w:r>
      <w:r w:rsidR="00541C28" w:rsidRPr="00A74194">
        <w:rPr>
          <w:rFonts w:asciiTheme="minorHAnsi" w:hAnsiTheme="minorHAnsi"/>
          <w:bCs/>
          <w:snapToGrid w:val="0"/>
        </w:rPr>
        <w:t xml:space="preserve">. The PBAC considered that </w:t>
      </w:r>
      <w:r w:rsidR="00AA6678" w:rsidRPr="00A74194">
        <w:rPr>
          <w:rFonts w:asciiTheme="minorHAnsi" w:hAnsiTheme="minorHAnsi"/>
          <w:bCs/>
          <w:snapToGrid w:val="0"/>
        </w:rPr>
        <w:t>a</w:t>
      </w:r>
      <w:r w:rsidR="00541C28" w:rsidRPr="00A74194">
        <w:rPr>
          <w:rFonts w:asciiTheme="minorHAnsi" w:hAnsiTheme="minorHAnsi"/>
          <w:bCs/>
          <w:snapToGrid w:val="0"/>
        </w:rPr>
        <w:t xml:space="preserve"> disutility </w:t>
      </w:r>
      <w:r w:rsidR="00AA6678" w:rsidRPr="00A74194">
        <w:rPr>
          <w:rFonts w:asciiTheme="minorHAnsi" w:hAnsiTheme="minorHAnsi"/>
          <w:bCs/>
          <w:snapToGrid w:val="0"/>
        </w:rPr>
        <w:t xml:space="preserve">of </w:t>
      </w:r>
      <w:r w:rsidR="0002358E" w:rsidRPr="00A74194">
        <w:rPr>
          <w:rFonts w:asciiTheme="minorHAnsi" w:hAnsiTheme="minorHAnsi"/>
          <w:bCs/>
          <w:snapToGrid w:val="0"/>
        </w:rPr>
        <w:t>0.03 should be applied in Year 1, with a disutility of 0.0</w:t>
      </w:r>
      <w:r w:rsidR="00AA6678" w:rsidRPr="00A74194">
        <w:rPr>
          <w:rFonts w:asciiTheme="minorHAnsi" w:hAnsiTheme="minorHAnsi"/>
          <w:bCs/>
          <w:snapToGrid w:val="0"/>
        </w:rPr>
        <w:t xml:space="preserve">15 </w:t>
      </w:r>
      <w:r w:rsidR="00541C28" w:rsidRPr="00A74194">
        <w:rPr>
          <w:rFonts w:asciiTheme="minorHAnsi" w:hAnsiTheme="minorHAnsi"/>
          <w:bCs/>
          <w:snapToGrid w:val="0"/>
        </w:rPr>
        <w:t xml:space="preserve">applied </w:t>
      </w:r>
      <w:r w:rsidR="0002358E" w:rsidRPr="00A74194">
        <w:rPr>
          <w:rFonts w:asciiTheme="minorHAnsi" w:hAnsiTheme="minorHAnsi"/>
          <w:bCs/>
          <w:snapToGrid w:val="0"/>
        </w:rPr>
        <w:t xml:space="preserve">after Year 1 </w:t>
      </w:r>
      <w:r w:rsidR="00541C28" w:rsidRPr="00A74194">
        <w:rPr>
          <w:rFonts w:asciiTheme="minorHAnsi" w:hAnsiTheme="minorHAnsi"/>
          <w:bCs/>
          <w:snapToGrid w:val="0"/>
        </w:rPr>
        <w:t>for the time horizon of the model</w:t>
      </w:r>
      <w:r w:rsidR="00EC6863">
        <w:rPr>
          <w:rFonts w:asciiTheme="minorHAnsi" w:hAnsiTheme="minorHAnsi"/>
          <w:bCs/>
          <w:snapToGrid w:val="0"/>
        </w:rPr>
        <w:t>. The PBAC considered it appropriate to apply a disutility in subsequent years</w:t>
      </w:r>
      <w:r w:rsidR="00AA6678" w:rsidRPr="00A74194">
        <w:rPr>
          <w:rFonts w:asciiTheme="minorHAnsi" w:hAnsiTheme="minorHAnsi"/>
          <w:bCs/>
          <w:snapToGrid w:val="0"/>
        </w:rPr>
        <w:t xml:space="preserve"> as some patients would tolerate pruritus </w:t>
      </w:r>
      <w:r w:rsidR="00194E46" w:rsidRPr="00A74194">
        <w:rPr>
          <w:rFonts w:asciiTheme="minorHAnsi" w:hAnsiTheme="minorHAnsi"/>
          <w:bCs/>
          <w:snapToGrid w:val="0"/>
        </w:rPr>
        <w:t>if their PBC improved with OCA treatment</w:t>
      </w:r>
      <w:r w:rsidR="00DC4362">
        <w:rPr>
          <w:rFonts w:asciiTheme="minorHAnsi" w:hAnsiTheme="minorHAnsi"/>
          <w:bCs/>
          <w:snapToGrid w:val="0"/>
        </w:rPr>
        <w:t>.</w:t>
      </w:r>
      <w:r w:rsidR="00194E46" w:rsidRPr="00A74194">
        <w:rPr>
          <w:rFonts w:asciiTheme="minorHAnsi" w:hAnsiTheme="minorHAnsi"/>
          <w:bCs/>
          <w:snapToGrid w:val="0"/>
        </w:rPr>
        <w:t xml:space="preserve"> </w:t>
      </w:r>
      <w:r w:rsidR="00DC4362">
        <w:rPr>
          <w:rFonts w:asciiTheme="minorHAnsi" w:hAnsiTheme="minorHAnsi"/>
          <w:bCs/>
          <w:snapToGrid w:val="0"/>
        </w:rPr>
        <w:t>A</w:t>
      </w:r>
      <w:r w:rsidR="00EC6863">
        <w:rPr>
          <w:rFonts w:asciiTheme="minorHAnsi" w:hAnsiTheme="minorHAnsi"/>
          <w:bCs/>
          <w:snapToGrid w:val="0"/>
        </w:rPr>
        <w:t xml:space="preserve"> </w:t>
      </w:r>
      <w:r w:rsidR="00DC4362">
        <w:rPr>
          <w:rFonts w:asciiTheme="minorHAnsi" w:hAnsiTheme="minorHAnsi"/>
          <w:bCs/>
          <w:snapToGrid w:val="0"/>
        </w:rPr>
        <w:t>smaller</w:t>
      </w:r>
      <w:r w:rsidR="00EC6863">
        <w:rPr>
          <w:rFonts w:asciiTheme="minorHAnsi" w:hAnsiTheme="minorHAnsi"/>
          <w:bCs/>
          <w:snapToGrid w:val="0"/>
        </w:rPr>
        <w:t xml:space="preserve"> disutility </w:t>
      </w:r>
      <w:r w:rsidR="0071321C">
        <w:rPr>
          <w:rFonts w:asciiTheme="minorHAnsi" w:hAnsiTheme="minorHAnsi"/>
          <w:bCs/>
          <w:snapToGrid w:val="0"/>
        </w:rPr>
        <w:t>compared with Y</w:t>
      </w:r>
      <w:r w:rsidR="00EC6863">
        <w:rPr>
          <w:rFonts w:asciiTheme="minorHAnsi" w:hAnsiTheme="minorHAnsi"/>
          <w:bCs/>
          <w:snapToGrid w:val="0"/>
        </w:rPr>
        <w:t xml:space="preserve">ear 1 was considered reasonable as </w:t>
      </w:r>
      <w:r w:rsidR="00194E46" w:rsidRPr="00A74194">
        <w:rPr>
          <w:rFonts w:asciiTheme="minorHAnsi" w:hAnsiTheme="minorHAnsi"/>
          <w:bCs/>
          <w:snapToGrid w:val="0"/>
        </w:rPr>
        <w:t xml:space="preserve">pruritus </w:t>
      </w:r>
      <w:r w:rsidR="00AA6678" w:rsidRPr="00A74194">
        <w:rPr>
          <w:rFonts w:asciiTheme="minorHAnsi" w:hAnsiTheme="minorHAnsi"/>
          <w:bCs/>
          <w:snapToGrid w:val="0"/>
        </w:rPr>
        <w:t xml:space="preserve">may </w:t>
      </w:r>
      <w:r w:rsidR="006A46C8" w:rsidRPr="00A74194">
        <w:rPr>
          <w:rFonts w:asciiTheme="minorHAnsi" w:hAnsiTheme="minorHAnsi"/>
          <w:bCs/>
          <w:snapToGrid w:val="0"/>
        </w:rPr>
        <w:t xml:space="preserve">have </w:t>
      </w:r>
      <w:r w:rsidR="00AA6678" w:rsidRPr="00A74194">
        <w:rPr>
          <w:rFonts w:asciiTheme="minorHAnsi" w:hAnsiTheme="minorHAnsi"/>
          <w:bCs/>
          <w:snapToGrid w:val="0"/>
        </w:rPr>
        <w:t>less</w:t>
      </w:r>
      <w:r w:rsidR="006A46C8" w:rsidRPr="00A74194">
        <w:rPr>
          <w:rFonts w:asciiTheme="minorHAnsi" w:hAnsiTheme="minorHAnsi"/>
          <w:bCs/>
          <w:snapToGrid w:val="0"/>
        </w:rPr>
        <w:t xml:space="preserve"> of</w:t>
      </w:r>
      <w:r w:rsidR="00AA6678" w:rsidRPr="00A74194">
        <w:rPr>
          <w:rFonts w:asciiTheme="minorHAnsi" w:hAnsiTheme="minorHAnsi"/>
          <w:bCs/>
          <w:snapToGrid w:val="0"/>
        </w:rPr>
        <w:t xml:space="preserve"> an </w:t>
      </w:r>
      <w:r w:rsidR="00AA6678" w:rsidRPr="00A74194">
        <w:rPr>
          <w:rFonts w:asciiTheme="minorHAnsi" w:hAnsiTheme="minorHAnsi"/>
          <w:bCs/>
          <w:snapToGrid w:val="0"/>
        </w:rPr>
        <w:lastRenderedPageBreak/>
        <w:t xml:space="preserve">effect on quality of life over time </w:t>
      </w:r>
      <w:r w:rsidR="00194E46" w:rsidRPr="00A74194">
        <w:rPr>
          <w:rFonts w:asciiTheme="minorHAnsi" w:hAnsiTheme="minorHAnsi"/>
          <w:bCs/>
          <w:snapToGrid w:val="0"/>
        </w:rPr>
        <w:t xml:space="preserve">for some patients </w:t>
      </w:r>
      <w:r w:rsidR="00AA6678" w:rsidRPr="00A74194">
        <w:rPr>
          <w:rFonts w:asciiTheme="minorHAnsi" w:hAnsiTheme="minorHAnsi"/>
          <w:bCs/>
          <w:snapToGrid w:val="0"/>
        </w:rPr>
        <w:t>and som</w:t>
      </w:r>
      <w:r w:rsidR="00194E46" w:rsidRPr="00A74194">
        <w:rPr>
          <w:rFonts w:asciiTheme="minorHAnsi" w:hAnsiTheme="minorHAnsi"/>
          <w:bCs/>
          <w:snapToGrid w:val="0"/>
        </w:rPr>
        <w:t>e patients may have less pruritu</w:t>
      </w:r>
      <w:r w:rsidR="00AA6678" w:rsidRPr="00A74194">
        <w:rPr>
          <w:rFonts w:asciiTheme="minorHAnsi" w:hAnsiTheme="minorHAnsi"/>
          <w:bCs/>
          <w:snapToGrid w:val="0"/>
        </w:rPr>
        <w:t>s if their disease state improved with OCA therapy</w:t>
      </w:r>
      <w:r w:rsidRPr="00A74194">
        <w:rPr>
          <w:rFonts w:asciiTheme="minorHAnsi" w:hAnsiTheme="minorHAnsi"/>
          <w:bCs/>
          <w:snapToGrid w:val="0"/>
        </w:rPr>
        <w:t xml:space="preserve">; </w:t>
      </w:r>
    </w:p>
    <w:p w14:paraId="68624052" w14:textId="77777777" w:rsidR="00541C28" w:rsidRPr="00A74194" w:rsidRDefault="00EC6863" w:rsidP="00541C28">
      <w:pPr>
        <w:widowControl w:val="0"/>
        <w:numPr>
          <w:ilvl w:val="1"/>
          <w:numId w:val="30"/>
        </w:numPr>
        <w:spacing w:after="120"/>
        <w:ind w:left="1077" w:hanging="357"/>
        <w:rPr>
          <w:rFonts w:asciiTheme="minorHAnsi" w:hAnsiTheme="minorHAnsi"/>
          <w:bCs/>
          <w:snapToGrid w:val="0"/>
        </w:rPr>
      </w:pPr>
      <w:r>
        <w:rPr>
          <w:rFonts w:asciiTheme="minorHAnsi" w:hAnsiTheme="minorHAnsi"/>
          <w:bCs/>
          <w:snapToGrid w:val="0"/>
        </w:rPr>
        <w:t>an assumption that</w:t>
      </w:r>
      <w:r w:rsidR="0032075A" w:rsidRPr="00A74194">
        <w:rPr>
          <w:rFonts w:asciiTheme="minorHAnsi" w:hAnsiTheme="minorHAnsi"/>
          <w:bCs/>
          <w:snapToGrid w:val="0"/>
        </w:rPr>
        <w:t xml:space="preserve"> 21% of patients </w:t>
      </w:r>
      <w:r>
        <w:rPr>
          <w:rFonts w:asciiTheme="minorHAnsi" w:hAnsiTheme="minorHAnsi"/>
          <w:bCs/>
          <w:snapToGrid w:val="0"/>
        </w:rPr>
        <w:t xml:space="preserve">would </w:t>
      </w:r>
      <w:r w:rsidR="0032075A" w:rsidRPr="00A74194">
        <w:rPr>
          <w:rFonts w:asciiTheme="minorHAnsi" w:hAnsiTheme="minorHAnsi"/>
          <w:bCs/>
          <w:snapToGrid w:val="0"/>
        </w:rPr>
        <w:t xml:space="preserve">receive </w:t>
      </w:r>
      <w:r w:rsidR="00194E46" w:rsidRPr="00A74194">
        <w:rPr>
          <w:rFonts w:asciiTheme="minorHAnsi" w:hAnsiTheme="minorHAnsi"/>
          <w:bCs/>
          <w:snapToGrid w:val="0"/>
        </w:rPr>
        <w:t xml:space="preserve">a </w:t>
      </w:r>
      <w:r w:rsidR="0032075A" w:rsidRPr="00A74194">
        <w:rPr>
          <w:rFonts w:asciiTheme="minorHAnsi" w:hAnsiTheme="minorHAnsi"/>
          <w:bCs/>
          <w:snapToGrid w:val="0"/>
        </w:rPr>
        <w:t>half</w:t>
      </w:r>
      <w:r w:rsidR="008944E6" w:rsidRPr="00A74194">
        <w:rPr>
          <w:rFonts w:asciiTheme="minorHAnsi" w:hAnsiTheme="minorHAnsi"/>
          <w:bCs/>
          <w:snapToGrid w:val="0"/>
        </w:rPr>
        <w:t xml:space="preserve"> </w:t>
      </w:r>
      <w:r w:rsidR="0032075A" w:rsidRPr="00A74194">
        <w:rPr>
          <w:rFonts w:asciiTheme="minorHAnsi" w:hAnsiTheme="minorHAnsi"/>
          <w:bCs/>
          <w:snapToGrid w:val="0"/>
        </w:rPr>
        <w:t>dose</w:t>
      </w:r>
      <w:r w:rsidR="00DC4362">
        <w:rPr>
          <w:rFonts w:asciiTheme="minorHAnsi" w:hAnsiTheme="minorHAnsi"/>
          <w:bCs/>
          <w:snapToGrid w:val="0"/>
        </w:rPr>
        <w:t xml:space="preserve"> of</w:t>
      </w:r>
      <w:r w:rsidR="0032075A" w:rsidRPr="00A74194">
        <w:rPr>
          <w:rFonts w:asciiTheme="minorHAnsi" w:hAnsiTheme="minorHAnsi"/>
          <w:bCs/>
          <w:snapToGrid w:val="0"/>
        </w:rPr>
        <w:t xml:space="preserve"> OCA</w:t>
      </w:r>
      <w:r w:rsidR="00645009" w:rsidRPr="00A74194">
        <w:rPr>
          <w:rFonts w:asciiTheme="minorHAnsi" w:hAnsiTheme="minorHAnsi"/>
          <w:bCs/>
          <w:snapToGrid w:val="0"/>
        </w:rPr>
        <w:t xml:space="preserve"> from Year 1 onwards</w:t>
      </w:r>
      <w:r w:rsidR="0032075A" w:rsidRPr="00A74194">
        <w:rPr>
          <w:rFonts w:asciiTheme="minorHAnsi" w:hAnsiTheme="minorHAnsi"/>
          <w:bCs/>
          <w:snapToGrid w:val="0"/>
        </w:rPr>
        <w:t>, with no change to the effectiveness of the treatment</w:t>
      </w:r>
      <w:r w:rsidR="00541C28" w:rsidRPr="00A74194">
        <w:rPr>
          <w:rFonts w:asciiTheme="minorHAnsi" w:hAnsiTheme="minorHAnsi"/>
          <w:bCs/>
          <w:snapToGrid w:val="0"/>
        </w:rPr>
        <w:t xml:space="preserve">. The PBAC considered that </w:t>
      </w:r>
      <w:r w:rsidR="008944E6" w:rsidRPr="00A74194">
        <w:rPr>
          <w:rFonts w:asciiTheme="minorHAnsi" w:hAnsiTheme="minorHAnsi"/>
          <w:bCs/>
          <w:snapToGrid w:val="0"/>
        </w:rPr>
        <w:t xml:space="preserve">the assumption that patients could receive a half dose of OCA with no impact of efficacy was highly uncertain and that </w:t>
      </w:r>
      <w:r>
        <w:rPr>
          <w:rFonts w:asciiTheme="minorHAnsi" w:hAnsiTheme="minorHAnsi"/>
          <w:bCs/>
          <w:snapToGrid w:val="0"/>
        </w:rPr>
        <w:t>it would be more appropriate to</w:t>
      </w:r>
      <w:r w:rsidR="00541C28" w:rsidRPr="00A74194">
        <w:rPr>
          <w:rFonts w:asciiTheme="minorHAnsi" w:hAnsiTheme="minorHAnsi"/>
          <w:bCs/>
          <w:snapToGrid w:val="0"/>
        </w:rPr>
        <w:t xml:space="preserve"> assume all patients receive the full dose of OCA;</w:t>
      </w:r>
      <w:r w:rsidR="0032075A" w:rsidRPr="00A74194">
        <w:rPr>
          <w:rFonts w:asciiTheme="minorHAnsi" w:hAnsiTheme="minorHAnsi"/>
          <w:bCs/>
          <w:snapToGrid w:val="0"/>
        </w:rPr>
        <w:t xml:space="preserve"> </w:t>
      </w:r>
      <w:r w:rsidR="000D02F5" w:rsidRPr="00A74194">
        <w:rPr>
          <w:rFonts w:asciiTheme="minorHAnsi" w:hAnsiTheme="minorHAnsi"/>
          <w:bCs/>
          <w:snapToGrid w:val="0"/>
        </w:rPr>
        <w:t xml:space="preserve">and </w:t>
      </w:r>
    </w:p>
    <w:p w14:paraId="1C4A7CA8" w14:textId="77777777" w:rsidR="000D02F5" w:rsidRPr="00A74194" w:rsidRDefault="000D02F5" w:rsidP="00541C28">
      <w:pPr>
        <w:widowControl w:val="0"/>
        <w:numPr>
          <w:ilvl w:val="1"/>
          <w:numId w:val="30"/>
        </w:numPr>
        <w:spacing w:after="120"/>
        <w:ind w:left="1077" w:hanging="357"/>
        <w:rPr>
          <w:rFonts w:asciiTheme="minorHAnsi" w:hAnsiTheme="minorHAnsi"/>
          <w:bCs/>
          <w:snapToGrid w:val="0"/>
        </w:rPr>
      </w:pPr>
      <w:r w:rsidRPr="00A74194">
        <w:rPr>
          <w:rFonts w:asciiTheme="minorHAnsi" w:hAnsiTheme="minorHAnsi"/>
          <w:bCs/>
          <w:snapToGrid w:val="0"/>
        </w:rPr>
        <w:t>a 7% price reduction to the cost of OCA (</w:t>
      </w:r>
      <w:r w:rsidR="00EC6863">
        <w:rPr>
          <w:rFonts w:asciiTheme="minorHAnsi" w:hAnsiTheme="minorHAnsi"/>
          <w:bCs/>
          <w:snapToGrid w:val="0"/>
        </w:rPr>
        <w:t>with</w:t>
      </w:r>
      <w:r w:rsidRPr="00A74194">
        <w:rPr>
          <w:rFonts w:asciiTheme="minorHAnsi" w:hAnsiTheme="minorHAnsi"/>
          <w:bCs/>
          <w:snapToGrid w:val="0"/>
        </w:rPr>
        <w:t xml:space="preserve"> an additional 13% reduction offered in the pre-PBAC response).</w:t>
      </w:r>
    </w:p>
    <w:p w14:paraId="709CFDF6" w14:textId="77777777" w:rsidR="000D02F5" w:rsidRPr="00A74194" w:rsidRDefault="006E49C3" w:rsidP="006A46C8">
      <w:pPr>
        <w:widowControl w:val="0"/>
        <w:numPr>
          <w:ilvl w:val="1"/>
          <w:numId w:val="1"/>
        </w:numPr>
        <w:spacing w:after="120"/>
        <w:rPr>
          <w:rFonts w:asciiTheme="minorHAnsi" w:hAnsiTheme="minorHAnsi"/>
          <w:bCs/>
          <w:snapToGrid w:val="0"/>
        </w:rPr>
      </w:pPr>
      <w:r w:rsidRPr="00A74194">
        <w:rPr>
          <w:rFonts w:asciiTheme="minorHAnsi" w:hAnsiTheme="minorHAnsi"/>
          <w:bCs/>
          <w:snapToGrid w:val="0"/>
        </w:rPr>
        <w:t xml:space="preserve">The PBAC noted that the resubmission presented an updated economic model </w:t>
      </w:r>
      <w:r>
        <w:rPr>
          <w:rFonts w:asciiTheme="minorHAnsi" w:hAnsiTheme="minorHAnsi"/>
          <w:bCs/>
          <w:snapToGrid w:val="0"/>
        </w:rPr>
        <w:t xml:space="preserve">with additional documentation for the source data for the key inputs. The PBAC did note however, that a number of model inputs were unable to be verified during the evaluation and this added to the inherent uncertainty in the model results </w:t>
      </w:r>
      <w:r w:rsidR="00097380">
        <w:rPr>
          <w:rFonts w:asciiTheme="minorHAnsi" w:hAnsiTheme="minorHAnsi"/>
          <w:bCs/>
          <w:snapToGrid w:val="0"/>
        </w:rPr>
        <w:t xml:space="preserve">due to </w:t>
      </w:r>
      <w:r>
        <w:rPr>
          <w:rFonts w:asciiTheme="minorHAnsi" w:hAnsiTheme="minorHAnsi"/>
          <w:bCs/>
          <w:snapToGrid w:val="0"/>
        </w:rPr>
        <w:t>the limitations of the clinical data.</w:t>
      </w:r>
    </w:p>
    <w:p w14:paraId="51C7CAC4" w14:textId="77777777" w:rsidR="0074669C" w:rsidRPr="00A74194" w:rsidRDefault="0074669C" w:rsidP="006A46C8">
      <w:pPr>
        <w:widowControl w:val="0"/>
        <w:numPr>
          <w:ilvl w:val="1"/>
          <w:numId w:val="1"/>
        </w:numPr>
        <w:spacing w:after="120"/>
        <w:rPr>
          <w:rFonts w:asciiTheme="minorHAnsi" w:hAnsiTheme="minorHAnsi"/>
          <w:bCs/>
          <w:snapToGrid w:val="0"/>
        </w:rPr>
      </w:pPr>
      <w:r w:rsidRPr="00A74194">
        <w:rPr>
          <w:rFonts w:asciiTheme="minorHAnsi" w:hAnsiTheme="minorHAnsi"/>
          <w:bCs/>
          <w:snapToGrid w:val="0"/>
        </w:rPr>
        <w:t xml:space="preserve">The </w:t>
      </w:r>
      <w:r w:rsidR="00541C28" w:rsidRPr="00A74194">
        <w:rPr>
          <w:rFonts w:asciiTheme="minorHAnsi" w:hAnsiTheme="minorHAnsi"/>
          <w:bCs/>
          <w:snapToGrid w:val="0"/>
        </w:rPr>
        <w:t xml:space="preserve">PBAC </w:t>
      </w:r>
      <w:r w:rsidR="00684A03">
        <w:rPr>
          <w:rFonts w:asciiTheme="minorHAnsi" w:hAnsiTheme="minorHAnsi"/>
          <w:bCs/>
          <w:snapToGrid w:val="0"/>
        </w:rPr>
        <w:t>considered</w:t>
      </w:r>
      <w:r w:rsidR="00541C28" w:rsidRPr="00A74194">
        <w:rPr>
          <w:rFonts w:asciiTheme="minorHAnsi" w:hAnsiTheme="minorHAnsi"/>
          <w:bCs/>
          <w:snapToGrid w:val="0"/>
        </w:rPr>
        <w:t xml:space="preserve"> that the ICER presented in the resubmission of $</w:t>
      </w:r>
      <w:r w:rsidR="0043505C">
        <w:rPr>
          <w:rFonts w:asciiTheme="minorHAnsi" w:hAnsiTheme="minorHAnsi"/>
          <w:bCs/>
          <w:snapToGrid w:val="0"/>
        </w:rPr>
        <w:t>7</w:t>
      </w:r>
      <w:r w:rsidR="00F74C21">
        <w:rPr>
          <w:rFonts w:asciiTheme="minorHAnsi" w:hAnsiTheme="minorHAnsi"/>
          <w:bCs/>
          <w:snapToGrid w:val="0"/>
        </w:rPr>
        <w:t>5</w:t>
      </w:r>
      <w:r w:rsidR="0043505C">
        <w:rPr>
          <w:rFonts w:asciiTheme="minorHAnsi" w:hAnsiTheme="minorHAnsi"/>
          <w:bCs/>
          <w:snapToGrid w:val="0"/>
        </w:rPr>
        <w:t>,000 to &lt;$9</w:t>
      </w:r>
      <w:r w:rsidR="00F74C21">
        <w:rPr>
          <w:rFonts w:asciiTheme="minorHAnsi" w:hAnsiTheme="minorHAnsi"/>
          <w:bCs/>
          <w:snapToGrid w:val="0"/>
        </w:rPr>
        <w:t>5</w:t>
      </w:r>
      <w:r w:rsidR="0043505C">
        <w:rPr>
          <w:rFonts w:asciiTheme="minorHAnsi" w:hAnsiTheme="minorHAnsi"/>
          <w:bCs/>
          <w:snapToGrid w:val="0"/>
        </w:rPr>
        <w:t>,000</w:t>
      </w:r>
      <w:r w:rsidR="00FC58D1" w:rsidRPr="00A74194">
        <w:rPr>
          <w:rFonts w:asciiTheme="minorHAnsi" w:hAnsiTheme="minorHAnsi"/>
          <w:bCs/>
          <w:snapToGrid w:val="0"/>
        </w:rPr>
        <w:t xml:space="preserve"> </w:t>
      </w:r>
      <w:r w:rsidR="0099544B" w:rsidRPr="00A74194">
        <w:rPr>
          <w:rFonts w:asciiTheme="minorHAnsi" w:hAnsiTheme="minorHAnsi"/>
          <w:bCs/>
          <w:snapToGrid w:val="0"/>
        </w:rPr>
        <w:t xml:space="preserve">per </w:t>
      </w:r>
      <w:r w:rsidR="007B33B4">
        <w:rPr>
          <w:rFonts w:asciiTheme="minorHAnsi" w:hAnsiTheme="minorHAnsi"/>
          <w:bCs/>
          <w:snapToGrid w:val="0"/>
        </w:rPr>
        <w:t>quality adjusted life year (</w:t>
      </w:r>
      <w:r w:rsidR="0099544B" w:rsidRPr="00A74194">
        <w:rPr>
          <w:rFonts w:asciiTheme="minorHAnsi" w:hAnsiTheme="minorHAnsi"/>
          <w:bCs/>
          <w:snapToGrid w:val="0"/>
        </w:rPr>
        <w:t>QALY</w:t>
      </w:r>
      <w:r w:rsidR="007B33B4">
        <w:rPr>
          <w:rFonts w:asciiTheme="minorHAnsi" w:hAnsiTheme="minorHAnsi"/>
          <w:bCs/>
          <w:snapToGrid w:val="0"/>
        </w:rPr>
        <w:t>)</w:t>
      </w:r>
      <w:r w:rsidR="0099544B" w:rsidRPr="00A74194">
        <w:rPr>
          <w:rFonts w:asciiTheme="minorHAnsi" w:hAnsiTheme="minorHAnsi"/>
          <w:bCs/>
          <w:snapToGrid w:val="0"/>
        </w:rPr>
        <w:t xml:space="preserve"> </w:t>
      </w:r>
      <w:r w:rsidR="00684A03">
        <w:rPr>
          <w:rFonts w:asciiTheme="minorHAnsi" w:hAnsiTheme="minorHAnsi"/>
          <w:bCs/>
          <w:snapToGrid w:val="0"/>
        </w:rPr>
        <w:t>(and in the pre</w:t>
      </w:r>
      <w:r w:rsidR="0071321C">
        <w:rPr>
          <w:rFonts w:asciiTheme="minorHAnsi" w:hAnsiTheme="minorHAnsi"/>
          <w:bCs/>
          <w:snapToGrid w:val="0"/>
        </w:rPr>
        <w:t>-</w:t>
      </w:r>
      <w:r w:rsidR="00684A03">
        <w:rPr>
          <w:rFonts w:asciiTheme="minorHAnsi" w:hAnsiTheme="minorHAnsi"/>
          <w:bCs/>
          <w:snapToGrid w:val="0"/>
        </w:rPr>
        <w:t>PBAC response of $</w:t>
      </w:r>
      <w:r w:rsidR="0043505C">
        <w:rPr>
          <w:rFonts w:asciiTheme="minorHAnsi" w:hAnsiTheme="minorHAnsi"/>
          <w:bCs/>
          <w:snapToGrid w:val="0"/>
        </w:rPr>
        <w:t>35,000 to &lt;$45,000</w:t>
      </w:r>
      <w:r w:rsidR="00684A03">
        <w:rPr>
          <w:rFonts w:asciiTheme="minorHAnsi" w:hAnsiTheme="minorHAnsi"/>
          <w:bCs/>
          <w:snapToGrid w:val="0"/>
        </w:rPr>
        <w:t xml:space="preserve"> per QALY</w:t>
      </w:r>
      <w:r w:rsidR="0037492E">
        <w:rPr>
          <w:rFonts w:asciiTheme="minorHAnsi" w:hAnsiTheme="minorHAnsi"/>
          <w:bCs/>
          <w:snapToGrid w:val="0"/>
        </w:rPr>
        <w:t>, which incorporated the RSA</w:t>
      </w:r>
      <w:r w:rsidR="00684A03">
        <w:rPr>
          <w:rFonts w:asciiTheme="minorHAnsi" w:hAnsiTheme="minorHAnsi"/>
          <w:bCs/>
          <w:snapToGrid w:val="0"/>
        </w:rPr>
        <w:t xml:space="preserve">) </w:t>
      </w:r>
      <w:r w:rsidR="00FC58D1" w:rsidRPr="00A74194">
        <w:rPr>
          <w:rFonts w:asciiTheme="minorHAnsi" w:hAnsiTheme="minorHAnsi"/>
          <w:bCs/>
          <w:snapToGrid w:val="0"/>
        </w:rPr>
        <w:t>remained too high</w:t>
      </w:r>
      <w:r w:rsidR="0037492E">
        <w:rPr>
          <w:rFonts w:asciiTheme="minorHAnsi" w:hAnsiTheme="minorHAnsi"/>
          <w:bCs/>
          <w:snapToGrid w:val="0"/>
        </w:rPr>
        <w:t xml:space="preserve"> and uncertain.  This was </w:t>
      </w:r>
      <w:r w:rsidR="00FC58D1" w:rsidRPr="00A74194">
        <w:rPr>
          <w:rFonts w:asciiTheme="minorHAnsi" w:hAnsiTheme="minorHAnsi"/>
          <w:bCs/>
          <w:snapToGrid w:val="0"/>
        </w:rPr>
        <w:t xml:space="preserve">particularly </w:t>
      </w:r>
      <w:r w:rsidR="0037492E">
        <w:rPr>
          <w:rFonts w:asciiTheme="minorHAnsi" w:hAnsiTheme="minorHAnsi"/>
          <w:bCs/>
          <w:snapToGrid w:val="0"/>
        </w:rPr>
        <w:t>so given</w:t>
      </w:r>
      <w:r w:rsidR="00FC58D1" w:rsidRPr="00A74194">
        <w:rPr>
          <w:rFonts w:asciiTheme="minorHAnsi" w:hAnsiTheme="minorHAnsi"/>
          <w:bCs/>
          <w:snapToGrid w:val="0"/>
        </w:rPr>
        <w:t xml:space="preserve"> the uncertain magnitude of </w:t>
      </w:r>
      <w:r w:rsidR="0037492E">
        <w:rPr>
          <w:rFonts w:asciiTheme="minorHAnsi" w:hAnsiTheme="minorHAnsi"/>
          <w:bCs/>
          <w:snapToGrid w:val="0"/>
        </w:rPr>
        <w:t xml:space="preserve">the </w:t>
      </w:r>
      <w:r w:rsidR="00FC58D1" w:rsidRPr="00A74194">
        <w:rPr>
          <w:rFonts w:asciiTheme="minorHAnsi" w:hAnsiTheme="minorHAnsi"/>
          <w:bCs/>
          <w:snapToGrid w:val="0"/>
        </w:rPr>
        <w:t>clinical benefit</w:t>
      </w:r>
      <w:r w:rsidR="0037492E">
        <w:rPr>
          <w:rFonts w:asciiTheme="minorHAnsi" w:hAnsiTheme="minorHAnsi"/>
          <w:bCs/>
          <w:snapToGrid w:val="0"/>
        </w:rPr>
        <w:t xml:space="preserve"> and the unverified economic model inputs</w:t>
      </w:r>
      <w:r w:rsidR="00FC58D1" w:rsidRPr="00A74194">
        <w:rPr>
          <w:rFonts w:asciiTheme="minorHAnsi" w:hAnsiTheme="minorHAnsi"/>
          <w:bCs/>
          <w:snapToGrid w:val="0"/>
        </w:rPr>
        <w:t xml:space="preserve">. </w:t>
      </w:r>
      <w:r w:rsidR="0037492E">
        <w:rPr>
          <w:rFonts w:asciiTheme="minorHAnsi" w:hAnsiTheme="minorHAnsi"/>
          <w:bCs/>
          <w:snapToGrid w:val="0"/>
        </w:rPr>
        <w:t xml:space="preserve"> The PBAC also considered that the calculated ICER should not be reliant on the RSA to be achieved, particularly given the likely overestimated financial assumptions. </w:t>
      </w:r>
      <w:r w:rsidR="00FC58D1" w:rsidRPr="00A74194">
        <w:rPr>
          <w:rFonts w:asciiTheme="minorHAnsi" w:hAnsiTheme="minorHAnsi"/>
          <w:bCs/>
          <w:snapToGrid w:val="0"/>
        </w:rPr>
        <w:t>The PBAC considered that an appropriate ICER, using the model presented, would be less than $</w:t>
      </w:r>
      <w:r w:rsidR="0043505C">
        <w:rPr>
          <w:rFonts w:asciiTheme="minorHAnsi" w:hAnsiTheme="minorHAnsi"/>
          <w:bCs/>
          <w:snapToGrid w:val="0"/>
        </w:rPr>
        <w:t>55,000 to &lt;$75,000</w:t>
      </w:r>
      <w:r w:rsidR="00FC58D1" w:rsidRPr="00A74194">
        <w:rPr>
          <w:rFonts w:asciiTheme="minorHAnsi" w:hAnsiTheme="minorHAnsi"/>
          <w:bCs/>
          <w:snapToGrid w:val="0"/>
        </w:rPr>
        <w:t xml:space="preserve"> </w:t>
      </w:r>
      <w:r w:rsidR="0099544B" w:rsidRPr="00A74194">
        <w:rPr>
          <w:rFonts w:asciiTheme="minorHAnsi" w:hAnsiTheme="minorHAnsi"/>
          <w:bCs/>
          <w:snapToGrid w:val="0"/>
        </w:rPr>
        <w:t xml:space="preserve">per QALY </w:t>
      </w:r>
      <w:r w:rsidR="00FC58D1" w:rsidRPr="00A74194">
        <w:rPr>
          <w:rFonts w:asciiTheme="minorHAnsi" w:hAnsiTheme="minorHAnsi"/>
          <w:bCs/>
          <w:snapToGrid w:val="0"/>
        </w:rPr>
        <w:t>and would incorporate the following three changes only (i) a 0.0</w:t>
      </w:r>
      <w:r w:rsidR="00AA6678" w:rsidRPr="00A74194">
        <w:rPr>
          <w:rFonts w:asciiTheme="minorHAnsi" w:hAnsiTheme="minorHAnsi"/>
          <w:bCs/>
          <w:snapToGrid w:val="0"/>
        </w:rPr>
        <w:t>15</w:t>
      </w:r>
      <w:r w:rsidR="00FC58D1" w:rsidRPr="00A74194">
        <w:rPr>
          <w:rFonts w:asciiTheme="minorHAnsi" w:hAnsiTheme="minorHAnsi"/>
          <w:bCs/>
          <w:snapToGrid w:val="0"/>
        </w:rPr>
        <w:t xml:space="preserve"> disutility for pruritus applied </w:t>
      </w:r>
      <w:r w:rsidR="0099544B" w:rsidRPr="00A74194">
        <w:rPr>
          <w:rFonts w:asciiTheme="minorHAnsi" w:hAnsiTheme="minorHAnsi"/>
          <w:bCs/>
          <w:snapToGrid w:val="0"/>
        </w:rPr>
        <w:t xml:space="preserve">yearly </w:t>
      </w:r>
      <w:r w:rsidR="0071321C">
        <w:rPr>
          <w:rFonts w:asciiTheme="minorHAnsi" w:hAnsiTheme="minorHAnsi"/>
          <w:bCs/>
          <w:snapToGrid w:val="0"/>
        </w:rPr>
        <w:t xml:space="preserve">from Year 2 </w:t>
      </w:r>
      <w:r w:rsidR="00FC58D1" w:rsidRPr="00A74194">
        <w:rPr>
          <w:rFonts w:asciiTheme="minorHAnsi" w:hAnsiTheme="minorHAnsi"/>
          <w:bCs/>
          <w:snapToGrid w:val="0"/>
        </w:rPr>
        <w:t>for the 30 year time horizon of the model</w:t>
      </w:r>
      <w:r w:rsidR="0071321C">
        <w:rPr>
          <w:rFonts w:asciiTheme="minorHAnsi" w:hAnsiTheme="minorHAnsi"/>
          <w:bCs/>
          <w:snapToGrid w:val="0"/>
        </w:rPr>
        <w:t xml:space="preserve"> (a disutility of 0.03 should be applied in Year 1)</w:t>
      </w:r>
      <w:r w:rsidR="00FC58D1" w:rsidRPr="00A74194">
        <w:rPr>
          <w:rFonts w:asciiTheme="minorHAnsi" w:hAnsiTheme="minorHAnsi"/>
          <w:bCs/>
          <w:snapToGrid w:val="0"/>
        </w:rPr>
        <w:t>; (ii) the assumption that all patients received the full dose of OCA; and (iii) a suitable price reduction</w:t>
      </w:r>
      <w:r w:rsidR="00684A03">
        <w:rPr>
          <w:rFonts w:asciiTheme="minorHAnsi" w:hAnsiTheme="minorHAnsi"/>
          <w:bCs/>
          <w:snapToGrid w:val="0"/>
        </w:rPr>
        <w:t xml:space="preserve"> for OCA</w:t>
      </w:r>
      <w:r w:rsidR="00FC58D1" w:rsidRPr="00A74194">
        <w:rPr>
          <w:rFonts w:asciiTheme="minorHAnsi" w:hAnsiTheme="minorHAnsi"/>
          <w:bCs/>
          <w:snapToGrid w:val="0"/>
        </w:rPr>
        <w:t xml:space="preserve">. </w:t>
      </w:r>
    </w:p>
    <w:p w14:paraId="78BA998A" w14:textId="77777777" w:rsidR="000D02F5" w:rsidRPr="00A74194" w:rsidRDefault="00FC58D1" w:rsidP="006A46C8">
      <w:pPr>
        <w:widowControl w:val="0"/>
        <w:numPr>
          <w:ilvl w:val="1"/>
          <w:numId w:val="1"/>
        </w:numPr>
        <w:spacing w:after="120"/>
        <w:rPr>
          <w:rFonts w:asciiTheme="minorHAnsi" w:hAnsiTheme="minorHAnsi"/>
          <w:bCs/>
          <w:snapToGrid w:val="0"/>
        </w:rPr>
      </w:pPr>
      <w:r w:rsidRPr="00A74194">
        <w:rPr>
          <w:rFonts w:asciiTheme="minorHAnsi" w:hAnsiTheme="minorHAnsi"/>
          <w:bCs/>
          <w:snapToGrid w:val="0"/>
        </w:rPr>
        <w:t xml:space="preserve">The PBAC </w:t>
      </w:r>
      <w:r w:rsidR="00684A03">
        <w:rPr>
          <w:rFonts w:asciiTheme="minorHAnsi" w:hAnsiTheme="minorHAnsi"/>
          <w:bCs/>
          <w:snapToGrid w:val="0"/>
        </w:rPr>
        <w:t xml:space="preserve">considered OCA </w:t>
      </w:r>
      <w:r w:rsidR="000655D9">
        <w:rPr>
          <w:rFonts w:asciiTheme="minorHAnsi" w:hAnsiTheme="minorHAnsi"/>
          <w:bCs/>
          <w:snapToGrid w:val="0"/>
        </w:rPr>
        <w:t xml:space="preserve">monotherapy </w:t>
      </w:r>
      <w:r w:rsidR="00684A03">
        <w:rPr>
          <w:rFonts w:asciiTheme="minorHAnsi" w:hAnsiTheme="minorHAnsi"/>
          <w:bCs/>
          <w:snapToGrid w:val="0"/>
        </w:rPr>
        <w:t xml:space="preserve">would </w:t>
      </w:r>
      <w:r w:rsidR="0037492E" w:rsidRPr="00DE60ED">
        <w:rPr>
          <w:rFonts w:asciiTheme="minorHAnsi" w:hAnsiTheme="minorHAnsi"/>
          <w:bCs/>
          <w:iCs/>
          <w:snapToGrid w:val="0"/>
        </w:rPr>
        <w:t>likely</w:t>
      </w:r>
      <w:r w:rsidR="0037492E" w:rsidRPr="00DE60ED">
        <w:rPr>
          <w:rFonts w:asciiTheme="minorHAnsi" w:hAnsiTheme="minorHAnsi"/>
          <w:bCs/>
          <w:snapToGrid w:val="0"/>
        </w:rPr>
        <w:t xml:space="preserve"> </w:t>
      </w:r>
      <w:r w:rsidR="00684A03">
        <w:rPr>
          <w:rFonts w:asciiTheme="minorHAnsi" w:hAnsiTheme="minorHAnsi"/>
          <w:bCs/>
          <w:snapToGrid w:val="0"/>
        </w:rPr>
        <w:t xml:space="preserve">be acceptably cost-effective in the UDCA intolerant patients at the same reduced price as for the </w:t>
      </w:r>
      <w:r w:rsidR="00684A03" w:rsidRPr="00A74194">
        <w:rPr>
          <w:rFonts w:asciiTheme="minorHAnsi" w:hAnsiTheme="minorHAnsi"/>
          <w:bCs/>
          <w:snapToGrid w:val="0"/>
        </w:rPr>
        <w:t>UDCA-inadequate responders</w:t>
      </w:r>
      <w:r w:rsidR="00931972" w:rsidRPr="00A74194">
        <w:rPr>
          <w:rFonts w:asciiTheme="minorHAnsi" w:hAnsiTheme="minorHAnsi"/>
          <w:bCs/>
          <w:snapToGrid w:val="0"/>
        </w:rPr>
        <w:t>.</w:t>
      </w:r>
    </w:p>
    <w:p w14:paraId="29A14942" w14:textId="77777777" w:rsidR="00CC6077" w:rsidRDefault="000655D9" w:rsidP="006A46C8">
      <w:pPr>
        <w:widowControl w:val="0"/>
        <w:numPr>
          <w:ilvl w:val="1"/>
          <w:numId w:val="1"/>
        </w:numPr>
        <w:spacing w:after="120"/>
        <w:rPr>
          <w:rFonts w:asciiTheme="minorHAnsi" w:hAnsiTheme="minorHAnsi"/>
          <w:bCs/>
          <w:snapToGrid w:val="0"/>
        </w:rPr>
      </w:pPr>
      <w:r>
        <w:rPr>
          <w:rFonts w:asciiTheme="minorHAnsi" w:hAnsiTheme="minorHAnsi"/>
          <w:bCs/>
          <w:snapToGrid w:val="0"/>
        </w:rPr>
        <w:t>T</w:t>
      </w:r>
      <w:r w:rsidR="00931972" w:rsidRPr="00A74194">
        <w:rPr>
          <w:rFonts w:asciiTheme="minorHAnsi" w:hAnsiTheme="minorHAnsi"/>
          <w:bCs/>
          <w:snapToGrid w:val="0"/>
        </w:rPr>
        <w:t xml:space="preserve">he PBAC noted that the </w:t>
      </w:r>
      <w:r w:rsidR="0099544B" w:rsidRPr="00A74194">
        <w:rPr>
          <w:rFonts w:asciiTheme="minorHAnsi" w:hAnsiTheme="minorHAnsi"/>
          <w:bCs/>
          <w:snapToGrid w:val="0"/>
        </w:rPr>
        <w:t xml:space="preserve">estimated financial impact of listing OCA on the PBS/RPBS had increased </w:t>
      </w:r>
      <w:r w:rsidR="00DE60ED">
        <w:rPr>
          <w:rFonts w:asciiTheme="minorHAnsi" w:hAnsiTheme="minorHAnsi"/>
          <w:bCs/>
          <w:snapToGrid w:val="0"/>
        </w:rPr>
        <w:t xml:space="preserve">in the resubmission </w:t>
      </w:r>
      <w:r w:rsidR="0099544B" w:rsidRPr="00A74194">
        <w:rPr>
          <w:rFonts w:asciiTheme="minorHAnsi" w:hAnsiTheme="minorHAnsi"/>
          <w:bCs/>
          <w:snapToGrid w:val="0"/>
        </w:rPr>
        <w:t>to $</w:t>
      </w:r>
      <w:r w:rsidR="0043505C">
        <w:rPr>
          <w:rFonts w:asciiTheme="minorHAnsi" w:hAnsiTheme="minorHAnsi"/>
          <w:bCs/>
          <w:snapToGrid w:val="0"/>
        </w:rPr>
        <w:t xml:space="preserve">200 to &lt;$300 </w:t>
      </w:r>
      <w:r w:rsidR="0099544B" w:rsidRPr="00A74194">
        <w:rPr>
          <w:rFonts w:asciiTheme="minorHAnsi" w:hAnsiTheme="minorHAnsi"/>
          <w:bCs/>
          <w:snapToGrid w:val="0"/>
        </w:rPr>
        <w:t>million over the first six years (from $</w:t>
      </w:r>
      <w:r w:rsidR="0043505C">
        <w:rPr>
          <w:rFonts w:asciiTheme="minorHAnsi" w:hAnsiTheme="minorHAnsi"/>
          <w:bCs/>
          <w:snapToGrid w:val="0"/>
        </w:rPr>
        <w:t>100 to &lt;$</w:t>
      </w:r>
      <w:r w:rsidR="00633521">
        <w:rPr>
          <w:rFonts w:asciiTheme="minorHAnsi" w:hAnsiTheme="minorHAnsi"/>
          <w:bCs/>
          <w:snapToGrid w:val="0"/>
        </w:rPr>
        <w:t>20</w:t>
      </w:r>
      <w:r w:rsidR="0043505C">
        <w:rPr>
          <w:rFonts w:asciiTheme="minorHAnsi" w:hAnsiTheme="minorHAnsi"/>
          <w:bCs/>
          <w:snapToGrid w:val="0"/>
        </w:rPr>
        <w:t>0</w:t>
      </w:r>
      <w:r w:rsidR="0099544B" w:rsidRPr="00A74194">
        <w:rPr>
          <w:rFonts w:asciiTheme="minorHAnsi" w:hAnsiTheme="minorHAnsi"/>
          <w:bCs/>
          <w:snapToGrid w:val="0"/>
        </w:rPr>
        <w:t xml:space="preserve"> million in July 2019). </w:t>
      </w:r>
      <w:r w:rsidR="00931972" w:rsidRPr="00A74194">
        <w:rPr>
          <w:rFonts w:asciiTheme="minorHAnsi" w:hAnsiTheme="minorHAnsi"/>
          <w:bCs/>
          <w:snapToGrid w:val="0"/>
        </w:rPr>
        <w:t>The PBAC</w:t>
      </w:r>
      <w:r w:rsidR="00933C9E">
        <w:rPr>
          <w:rFonts w:asciiTheme="minorHAnsi" w:hAnsiTheme="minorHAnsi"/>
          <w:bCs/>
          <w:snapToGrid w:val="0"/>
        </w:rPr>
        <w:t xml:space="preserve"> considered this to be an overestimate of the likely cost due to</w:t>
      </w:r>
      <w:r w:rsidR="0071321C">
        <w:rPr>
          <w:rFonts w:asciiTheme="minorHAnsi" w:hAnsiTheme="minorHAnsi"/>
          <w:bCs/>
          <w:snapToGrid w:val="0"/>
        </w:rPr>
        <w:t xml:space="preserve"> the resubmission</w:t>
      </w:r>
      <w:r w:rsidR="00CC6077">
        <w:rPr>
          <w:rFonts w:asciiTheme="minorHAnsi" w:hAnsiTheme="minorHAnsi"/>
          <w:bCs/>
          <w:snapToGrid w:val="0"/>
        </w:rPr>
        <w:t>:</w:t>
      </w:r>
    </w:p>
    <w:p w14:paraId="2B8421D9" w14:textId="77777777" w:rsidR="000B3DF0" w:rsidRDefault="0071321C" w:rsidP="00DE60ED">
      <w:pPr>
        <w:pStyle w:val="ListParagraph"/>
        <w:widowControl w:val="0"/>
        <w:numPr>
          <w:ilvl w:val="0"/>
          <w:numId w:val="16"/>
        </w:numPr>
        <w:ind w:left="1077" w:hanging="357"/>
        <w:rPr>
          <w:bCs/>
        </w:rPr>
      </w:pPr>
      <w:r>
        <w:rPr>
          <w:bCs/>
        </w:rPr>
        <w:t>a</w:t>
      </w:r>
      <w:r w:rsidR="00CC6077">
        <w:rPr>
          <w:bCs/>
        </w:rPr>
        <w:t xml:space="preserve">pplying a </w:t>
      </w:r>
      <w:r w:rsidR="006F67C2">
        <w:rPr>
          <w:bCs/>
        </w:rPr>
        <w:t xml:space="preserve">compounding </w:t>
      </w:r>
      <w:r w:rsidR="00CC6077">
        <w:rPr>
          <w:bCs/>
        </w:rPr>
        <w:t>10%</w:t>
      </w:r>
      <w:r w:rsidR="00CC6077" w:rsidRPr="00CC6077">
        <w:t xml:space="preserve"> </w:t>
      </w:r>
      <w:r w:rsidR="00C03DA0">
        <w:rPr>
          <w:bCs/>
        </w:rPr>
        <w:t>a</w:t>
      </w:r>
      <w:r w:rsidR="00CC6077" w:rsidRPr="00CC6077">
        <w:rPr>
          <w:bCs/>
        </w:rPr>
        <w:t xml:space="preserve">nnual growth rate </w:t>
      </w:r>
      <w:r w:rsidR="00C03DA0">
        <w:rPr>
          <w:bCs/>
        </w:rPr>
        <w:t>to the number of</w:t>
      </w:r>
      <w:r w:rsidR="00CC6077" w:rsidRPr="00CC6077">
        <w:rPr>
          <w:bCs/>
        </w:rPr>
        <w:t xml:space="preserve"> UDCA treated patients</w:t>
      </w:r>
      <w:r w:rsidR="00C03DA0">
        <w:rPr>
          <w:bCs/>
        </w:rPr>
        <w:t xml:space="preserve"> from 2017 onwards. This resulted in the 8,174 patients treated in 2017 increasing to 19,274 patients in 2026.</w:t>
      </w:r>
      <w:r w:rsidR="006F67C2">
        <w:rPr>
          <w:bCs/>
        </w:rPr>
        <w:t xml:space="preserve"> The PBAC noted the average growth rate over the period 2013-2017 was 8% and in 2017 was 7%. </w:t>
      </w:r>
      <w:r w:rsidR="00A42187">
        <w:rPr>
          <w:bCs/>
        </w:rPr>
        <w:t xml:space="preserve">The PBAC expected the </w:t>
      </w:r>
      <w:r w:rsidR="00F52369">
        <w:rPr>
          <w:bCs/>
        </w:rPr>
        <w:t xml:space="preserve">diagnosis and </w:t>
      </w:r>
      <w:r w:rsidR="00A42187">
        <w:rPr>
          <w:bCs/>
        </w:rPr>
        <w:t>incidence of PBC to be stable, and</w:t>
      </w:r>
      <w:r w:rsidR="006F67C2">
        <w:rPr>
          <w:bCs/>
        </w:rPr>
        <w:t xml:space="preserve"> </w:t>
      </w:r>
      <w:r w:rsidR="000B3DF0">
        <w:rPr>
          <w:bCs/>
        </w:rPr>
        <w:t>advised</w:t>
      </w:r>
      <w:r w:rsidR="006F67C2">
        <w:rPr>
          <w:bCs/>
        </w:rPr>
        <w:t xml:space="preserve"> </w:t>
      </w:r>
      <w:r w:rsidR="000B3DF0">
        <w:rPr>
          <w:bCs/>
        </w:rPr>
        <w:t xml:space="preserve">an annual growth rate of </w:t>
      </w:r>
      <w:r w:rsidR="000B3DF0">
        <w:rPr>
          <w:bCs/>
        </w:rPr>
        <w:lastRenderedPageBreak/>
        <w:t xml:space="preserve">7% should be applied </w:t>
      </w:r>
      <w:r w:rsidR="00A42187">
        <w:rPr>
          <w:bCs/>
        </w:rPr>
        <w:t xml:space="preserve">in </w:t>
      </w:r>
      <w:r w:rsidR="000B3DF0">
        <w:rPr>
          <w:bCs/>
        </w:rPr>
        <w:t>2017</w:t>
      </w:r>
      <w:r w:rsidR="00A42187">
        <w:rPr>
          <w:bCs/>
        </w:rPr>
        <w:t xml:space="preserve"> with it reducing by 0.5% each year such that the growth in 2026</w:t>
      </w:r>
      <w:r w:rsidR="00F52369">
        <w:rPr>
          <w:bCs/>
        </w:rPr>
        <w:t xml:space="preserve"> is 2.5%</w:t>
      </w:r>
      <w:r w:rsidR="000B3DF0">
        <w:rPr>
          <w:bCs/>
        </w:rPr>
        <w:t>.</w:t>
      </w:r>
      <w:r w:rsidR="00A42187" w:rsidRPr="00A42187">
        <w:t xml:space="preserve"> </w:t>
      </w:r>
    </w:p>
    <w:p w14:paraId="07135681" w14:textId="77777777" w:rsidR="000B3DF0" w:rsidRDefault="007B33B4" w:rsidP="0071321C">
      <w:pPr>
        <w:pStyle w:val="ListParagraph"/>
        <w:widowControl w:val="0"/>
        <w:numPr>
          <w:ilvl w:val="0"/>
          <w:numId w:val="16"/>
        </w:numPr>
        <w:ind w:left="1077" w:hanging="357"/>
        <w:rPr>
          <w:bCs/>
        </w:rPr>
      </w:pPr>
      <w:r>
        <w:rPr>
          <w:bCs/>
        </w:rPr>
        <w:t>o</w:t>
      </w:r>
      <w:r w:rsidR="000B3DF0">
        <w:rPr>
          <w:bCs/>
        </w:rPr>
        <w:t xml:space="preserve">verestimating the </w:t>
      </w:r>
      <w:r w:rsidR="000B3DF0" w:rsidRPr="000B3DF0">
        <w:rPr>
          <w:bCs/>
        </w:rPr>
        <w:t>number of continuing patients</w:t>
      </w:r>
      <w:r w:rsidR="000B3DF0">
        <w:rPr>
          <w:bCs/>
        </w:rPr>
        <w:t xml:space="preserve">. The PBAC noted this was estimated in the resubmission to be 95% and considered it should be reduced to </w:t>
      </w:r>
      <w:r w:rsidR="000655D9">
        <w:rPr>
          <w:bCs/>
        </w:rPr>
        <w:t>less than</w:t>
      </w:r>
      <w:r w:rsidR="000B3DF0">
        <w:rPr>
          <w:bCs/>
        </w:rPr>
        <w:t xml:space="preserve"> 90%.</w:t>
      </w:r>
    </w:p>
    <w:p w14:paraId="0BEA5015" w14:textId="77777777" w:rsidR="0051032C" w:rsidRDefault="007B33B4" w:rsidP="0071321C">
      <w:pPr>
        <w:pStyle w:val="ListParagraph"/>
        <w:widowControl w:val="0"/>
        <w:numPr>
          <w:ilvl w:val="0"/>
          <w:numId w:val="16"/>
        </w:numPr>
        <w:ind w:left="1077" w:hanging="357"/>
        <w:rPr>
          <w:bCs/>
        </w:rPr>
      </w:pPr>
      <w:r>
        <w:rPr>
          <w:bCs/>
        </w:rPr>
        <w:t>o</w:t>
      </w:r>
      <w:r w:rsidR="000B3DF0">
        <w:rPr>
          <w:bCs/>
        </w:rPr>
        <w:t>verestimating a</w:t>
      </w:r>
      <w:r w:rsidR="000B3DF0" w:rsidRPr="000B3DF0">
        <w:rPr>
          <w:bCs/>
        </w:rPr>
        <w:t>dherence</w:t>
      </w:r>
      <w:r w:rsidR="000B3DF0">
        <w:rPr>
          <w:bCs/>
        </w:rPr>
        <w:t xml:space="preserve"> to OCA. The PBAC noted this was estimated in the resubmission to be</w:t>
      </w:r>
      <w:r w:rsidR="000B3DF0" w:rsidRPr="000B3DF0">
        <w:rPr>
          <w:bCs/>
        </w:rPr>
        <w:t xml:space="preserve"> 93.55</w:t>
      </w:r>
      <w:r w:rsidR="00F747BB">
        <w:rPr>
          <w:bCs/>
        </w:rPr>
        <w:t>% and considered it should be 80%</w:t>
      </w:r>
      <w:r w:rsidR="00881DD5">
        <w:rPr>
          <w:bCs/>
        </w:rPr>
        <w:t>.</w:t>
      </w:r>
      <w:r w:rsidR="00881DD5" w:rsidRPr="00881DD5">
        <w:rPr>
          <w:bCs/>
        </w:rPr>
        <w:t xml:space="preserve"> </w:t>
      </w:r>
    </w:p>
    <w:p w14:paraId="370EF877" w14:textId="77777777" w:rsidR="00245348" w:rsidRPr="00245348" w:rsidRDefault="007B33B4" w:rsidP="0071321C">
      <w:pPr>
        <w:pStyle w:val="ListParagraph"/>
        <w:widowControl w:val="0"/>
        <w:numPr>
          <w:ilvl w:val="0"/>
          <w:numId w:val="16"/>
        </w:numPr>
        <w:ind w:left="1077" w:hanging="357"/>
        <w:rPr>
          <w:bCs/>
        </w:rPr>
      </w:pPr>
      <w:r>
        <w:rPr>
          <w:bCs/>
        </w:rPr>
        <w:t>i</w:t>
      </w:r>
      <w:r w:rsidR="00245348" w:rsidRPr="00245348">
        <w:rPr>
          <w:bCs/>
        </w:rPr>
        <w:t>nclu</w:t>
      </w:r>
      <w:r>
        <w:rPr>
          <w:bCs/>
        </w:rPr>
        <w:t>ding</w:t>
      </w:r>
      <w:r w:rsidR="00245348" w:rsidRPr="00245348">
        <w:rPr>
          <w:bCs/>
        </w:rPr>
        <w:t xml:space="preserve"> g</w:t>
      </w:r>
      <w:r>
        <w:rPr>
          <w:bCs/>
        </w:rPr>
        <w:t>randfathered patients after Y</w:t>
      </w:r>
      <w:r w:rsidR="00245348" w:rsidRPr="00245348">
        <w:rPr>
          <w:bCs/>
        </w:rPr>
        <w:t>ear 1.</w:t>
      </w:r>
      <w:r w:rsidR="00F747BB">
        <w:rPr>
          <w:bCs/>
        </w:rPr>
        <w:t xml:space="preserve"> The PBAC considered the grandfathered patients should be accounted for in Year 1 only.</w:t>
      </w:r>
    </w:p>
    <w:p w14:paraId="545EC7F8" w14:textId="77777777" w:rsidR="007B33B4" w:rsidRPr="007B33B4" w:rsidRDefault="007B33B4" w:rsidP="007B33B4">
      <w:pPr>
        <w:widowControl w:val="0"/>
        <w:numPr>
          <w:ilvl w:val="1"/>
          <w:numId w:val="1"/>
        </w:numPr>
        <w:spacing w:after="120"/>
        <w:rPr>
          <w:rFonts w:asciiTheme="minorHAnsi" w:hAnsiTheme="minorHAnsi"/>
          <w:bCs/>
          <w:snapToGrid w:val="0"/>
        </w:rPr>
      </w:pPr>
      <w:r>
        <w:t xml:space="preserve">Further, the PBAC noted the assumed uptake rates were based on </w:t>
      </w:r>
      <w:r w:rsidRPr="00245348">
        <w:t xml:space="preserve">responses of </w:t>
      </w:r>
      <w:r>
        <w:t>five</w:t>
      </w:r>
      <w:r w:rsidRPr="00245348">
        <w:t xml:space="preserve"> specialists </w:t>
      </w:r>
      <w:r>
        <w:t xml:space="preserve">and considered these rates to be uncertain. </w:t>
      </w:r>
      <w:r w:rsidRPr="0051032C">
        <w:t xml:space="preserve"> </w:t>
      </w:r>
    </w:p>
    <w:p w14:paraId="532A4DA8" w14:textId="77777777" w:rsidR="007B33B4" w:rsidRDefault="007B33B4" w:rsidP="007B33B4">
      <w:pPr>
        <w:widowControl w:val="0"/>
        <w:numPr>
          <w:ilvl w:val="1"/>
          <w:numId w:val="1"/>
        </w:numPr>
        <w:spacing w:after="120"/>
        <w:rPr>
          <w:rFonts w:asciiTheme="minorHAnsi" w:hAnsiTheme="minorHAnsi"/>
          <w:bCs/>
          <w:snapToGrid w:val="0"/>
        </w:rPr>
      </w:pPr>
      <w:r w:rsidRPr="00A74194">
        <w:rPr>
          <w:rFonts w:asciiTheme="minorHAnsi" w:hAnsiTheme="minorHAnsi"/>
          <w:bCs/>
          <w:snapToGrid w:val="0"/>
        </w:rPr>
        <w:t xml:space="preserve">The PBAC noted that the resubmission </w:t>
      </w:r>
      <w:r>
        <w:rPr>
          <w:rFonts w:asciiTheme="minorHAnsi" w:hAnsiTheme="minorHAnsi"/>
          <w:bCs/>
          <w:snapToGrid w:val="0"/>
        </w:rPr>
        <w:t>proposed</w:t>
      </w:r>
      <w:r w:rsidRPr="00A74194">
        <w:rPr>
          <w:rFonts w:asciiTheme="minorHAnsi" w:hAnsiTheme="minorHAnsi"/>
          <w:bCs/>
          <w:snapToGrid w:val="0"/>
        </w:rPr>
        <w:t xml:space="preserve"> a RSA which </w:t>
      </w:r>
      <w:r>
        <w:rPr>
          <w:rFonts w:asciiTheme="minorHAnsi" w:hAnsiTheme="minorHAnsi"/>
          <w:bCs/>
          <w:snapToGrid w:val="0"/>
        </w:rPr>
        <w:t>included</w:t>
      </w:r>
      <w:r w:rsidRPr="00A74194">
        <w:rPr>
          <w:rFonts w:asciiTheme="minorHAnsi" w:hAnsiTheme="minorHAnsi"/>
          <w:bCs/>
          <w:snapToGrid w:val="0"/>
        </w:rPr>
        <w:t xml:space="preserve"> </w:t>
      </w:r>
      <w:r>
        <w:rPr>
          <w:rFonts w:asciiTheme="minorHAnsi" w:hAnsiTheme="minorHAnsi"/>
          <w:bCs/>
          <w:snapToGrid w:val="0"/>
        </w:rPr>
        <w:t xml:space="preserve">a </w:t>
      </w:r>
      <w:r w:rsidR="00027EBC">
        <w:rPr>
          <w:rFonts w:asciiTheme="minorHAnsi" w:hAnsiTheme="minorHAnsi"/>
          <w:bCs/>
          <w:noProof/>
          <w:snapToGrid w:val="0"/>
          <w:color w:val="000000"/>
          <w:highlight w:val="black"/>
        </w:rPr>
        <w:t>''''''''</w:t>
      </w:r>
      <w:r w:rsidRPr="00A74194">
        <w:rPr>
          <w:rFonts w:asciiTheme="minorHAnsi" w:hAnsiTheme="minorHAnsi"/>
          <w:bCs/>
          <w:snapToGrid w:val="0"/>
        </w:rPr>
        <w:t xml:space="preserve">% rebate for use above </w:t>
      </w:r>
      <w:r>
        <w:rPr>
          <w:rFonts w:asciiTheme="minorHAnsi" w:hAnsiTheme="minorHAnsi"/>
          <w:bCs/>
          <w:snapToGrid w:val="0"/>
        </w:rPr>
        <w:t>set financial</w:t>
      </w:r>
      <w:r w:rsidRPr="00A74194">
        <w:rPr>
          <w:rFonts w:asciiTheme="minorHAnsi" w:hAnsiTheme="minorHAnsi"/>
          <w:bCs/>
          <w:snapToGrid w:val="0"/>
        </w:rPr>
        <w:t xml:space="preserve"> cap</w:t>
      </w:r>
      <w:r>
        <w:rPr>
          <w:rFonts w:asciiTheme="minorHAnsi" w:hAnsiTheme="minorHAnsi"/>
          <w:bCs/>
          <w:snapToGrid w:val="0"/>
        </w:rPr>
        <w:t xml:space="preserve">s. The PBAC considered such a RSA was appropriate to account for the uncertainties associated with the potential for continued use in non-responders and the uncertain uptake. The PBAC noted the financial caps proposed in </w:t>
      </w:r>
      <w:r w:rsidRPr="00A74194">
        <w:rPr>
          <w:rFonts w:asciiTheme="minorHAnsi" w:hAnsiTheme="minorHAnsi"/>
          <w:bCs/>
          <w:snapToGrid w:val="0"/>
        </w:rPr>
        <w:t xml:space="preserve">the pre-PBAC response </w:t>
      </w:r>
      <w:r>
        <w:rPr>
          <w:rFonts w:asciiTheme="minorHAnsi" w:hAnsiTheme="minorHAnsi"/>
          <w:bCs/>
          <w:snapToGrid w:val="0"/>
        </w:rPr>
        <w:t xml:space="preserve">were set </w:t>
      </w:r>
      <w:r w:rsidRPr="00A74194">
        <w:rPr>
          <w:rFonts w:asciiTheme="minorHAnsi" w:hAnsiTheme="minorHAnsi"/>
          <w:bCs/>
          <w:snapToGrid w:val="0"/>
        </w:rPr>
        <w:t xml:space="preserve">at 45% below the financial estimates. </w:t>
      </w:r>
      <w:r>
        <w:rPr>
          <w:rFonts w:asciiTheme="minorHAnsi" w:hAnsiTheme="minorHAnsi"/>
          <w:bCs/>
          <w:snapToGrid w:val="0"/>
        </w:rPr>
        <w:t xml:space="preserve">The PBAC considered, due to the uncertain and overestimated financial impact, that the proposed reduction in the financial caps did not adequately address the </w:t>
      </w:r>
      <w:r w:rsidR="00FF4403">
        <w:rPr>
          <w:rFonts w:asciiTheme="minorHAnsi" w:hAnsiTheme="minorHAnsi"/>
          <w:bCs/>
          <w:snapToGrid w:val="0"/>
        </w:rPr>
        <w:t xml:space="preserve">financial risk or cost effectiveness </w:t>
      </w:r>
      <w:r>
        <w:rPr>
          <w:rFonts w:asciiTheme="minorHAnsi" w:hAnsiTheme="minorHAnsi"/>
          <w:bCs/>
          <w:snapToGrid w:val="0"/>
        </w:rPr>
        <w:t>of OCA. The PBAC advised the financial caps should be based on the financial estimates</w:t>
      </w:r>
      <w:r w:rsidR="008C5740">
        <w:rPr>
          <w:rFonts w:asciiTheme="minorHAnsi" w:hAnsiTheme="minorHAnsi"/>
          <w:bCs/>
          <w:snapToGrid w:val="0"/>
        </w:rPr>
        <w:t>,</w:t>
      </w:r>
      <w:r>
        <w:rPr>
          <w:rFonts w:asciiTheme="minorHAnsi" w:hAnsiTheme="minorHAnsi"/>
          <w:bCs/>
          <w:snapToGrid w:val="0"/>
        </w:rPr>
        <w:t xml:space="preserve"> with revisions to the (i) price of OCA as outlined in paragraph 7.6, and (ii) growth rate, number of continuing patients</w:t>
      </w:r>
      <w:r w:rsidR="00F747BB">
        <w:rPr>
          <w:rFonts w:asciiTheme="minorHAnsi" w:hAnsiTheme="minorHAnsi"/>
          <w:bCs/>
          <w:snapToGrid w:val="0"/>
        </w:rPr>
        <w:t>, adherence</w:t>
      </w:r>
      <w:r>
        <w:rPr>
          <w:rFonts w:asciiTheme="minorHAnsi" w:hAnsiTheme="minorHAnsi"/>
          <w:bCs/>
          <w:snapToGrid w:val="0"/>
        </w:rPr>
        <w:t xml:space="preserve"> and number of </w:t>
      </w:r>
      <w:r w:rsidRPr="00FF4403">
        <w:rPr>
          <w:rFonts w:asciiTheme="minorHAnsi" w:hAnsiTheme="minorHAnsi"/>
          <w:bCs/>
          <w:snapToGrid w:val="0"/>
        </w:rPr>
        <w:t>grandfathered patients</w:t>
      </w:r>
      <w:r>
        <w:rPr>
          <w:rFonts w:asciiTheme="minorHAnsi" w:hAnsiTheme="minorHAnsi"/>
          <w:bCs/>
          <w:snapToGrid w:val="0"/>
        </w:rPr>
        <w:t xml:space="preserve"> as outline in paragraph 7.8.</w:t>
      </w:r>
    </w:p>
    <w:p w14:paraId="18F21AB3" w14:textId="77777777" w:rsidR="00C72277" w:rsidRPr="000655D9" w:rsidRDefault="00C72277" w:rsidP="009F4782">
      <w:pPr>
        <w:widowControl w:val="0"/>
        <w:numPr>
          <w:ilvl w:val="1"/>
          <w:numId w:val="1"/>
        </w:numPr>
        <w:spacing w:after="120"/>
        <w:rPr>
          <w:rFonts w:asciiTheme="minorHAnsi" w:hAnsiTheme="minorHAnsi"/>
          <w:bCs/>
          <w:snapToGrid w:val="0"/>
        </w:rPr>
      </w:pPr>
      <w:r w:rsidRPr="000655D9">
        <w:rPr>
          <w:rFonts w:asciiTheme="minorHAnsi" w:hAnsiTheme="minorHAnsi"/>
          <w:bCs/>
          <w:snapToGrid w:val="0"/>
        </w:rPr>
        <w:t xml:space="preserve">The PBAC advised that a revised price addressing the cost-effectiveness of OCA </w:t>
      </w:r>
      <w:r w:rsidR="00BB7D0C" w:rsidRPr="000655D9">
        <w:rPr>
          <w:rFonts w:asciiTheme="minorHAnsi" w:hAnsiTheme="minorHAnsi"/>
          <w:bCs/>
          <w:snapToGrid w:val="0"/>
        </w:rPr>
        <w:t>as outlined in paragraph 7.</w:t>
      </w:r>
      <w:r w:rsidR="008C5740">
        <w:rPr>
          <w:rFonts w:asciiTheme="minorHAnsi" w:hAnsiTheme="minorHAnsi"/>
          <w:bCs/>
          <w:snapToGrid w:val="0"/>
        </w:rPr>
        <w:t>6</w:t>
      </w:r>
      <w:r w:rsidR="00BB7D0C" w:rsidRPr="000655D9">
        <w:rPr>
          <w:rFonts w:asciiTheme="minorHAnsi" w:hAnsiTheme="minorHAnsi"/>
          <w:bCs/>
          <w:snapToGrid w:val="0"/>
        </w:rPr>
        <w:t>, revised financial estimates as outline</w:t>
      </w:r>
      <w:r w:rsidR="007B33B4">
        <w:rPr>
          <w:rFonts w:asciiTheme="minorHAnsi" w:hAnsiTheme="minorHAnsi"/>
          <w:bCs/>
          <w:snapToGrid w:val="0"/>
        </w:rPr>
        <w:t>d</w:t>
      </w:r>
      <w:r w:rsidR="00BB7D0C" w:rsidRPr="000655D9">
        <w:rPr>
          <w:rFonts w:asciiTheme="minorHAnsi" w:hAnsiTheme="minorHAnsi"/>
          <w:bCs/>
          <w:snapToGrid w:val="0"/>
        </w:rPr>
        <w:t xml:space="preserve"> in paragraph 7.</w:t>
      </w:r>
      <w:r w:rsidR="008C5740">
        <w:rPr>
          <w:rFonts w:asciiTheme="minorHAnsi" w:hAnsiTheme="minorHAnsi"/>
          <w:bCs/>
          <w:snapToGrid w:val="0"/>
        </w:rPr>
        <w:t>8</w:t>
      </w:r>
      <w:r w:rsidR="00BB7D0C" w:rsidRPr="000655D9">
        <w:rPr>
          <w:rFonts w:asciiTheme="minorHAnsi" w:hAnsiTheme="minorHAnsi"/>
          <w:bCs/>
          <w:snapToGrid w:val="0"/>
        </w:rPr>
        <w:t xml:space="preserve"> and </w:t>
      </w:r>
      <w:r w:rsidR="007B33B4">
        <w:rPr>
          <w:rFonts w:asciiTheme="minorHAnsi" w:hAnsiTheme="minorHAnsi"/>
          <w:bCs/>
          <w:snapToGrid w:val="0"/>
        </w:rPr>
        <w:t xml:space="preserve">a </w:t>
      </w:r>
      <w:r w:rsidR="00BB7D0C" w:rsidRPr="000655D9">
        <w:rPr>
          <w:rFonts w:asciiTheme="minorHAnsi" w:hAnsiTheme="minorHAnsi"/>
          <w:bCs/>
          <w:snapToGrid w:val="0"/>
        </w:rPr>
        <w:t>revised RSA as outline</w:t>
      </w:r>
      <w:r w:rsidR="007B33B4">
        <w:rPr>
          <w:rFonts w:asciiTheme="minorHAnsi" w:hAnsiTheme="minorHAnsi"/>
          <w:bCs/>
          <w:snapToGrid w:val="0"/>
        </w:rPr>
        <w:t>d</w:t>
      </w:r>
      <w:r w:rsidR="00BB7D0C" w:rsidRPr="000655D9">
        <w:rPr>
          <w:rFonts w:asciiTheme="minorHAnsi" w:hAnsiTheme="minorHAnsi"/>
          <w:bCs/>
          <w:snapToGrid w:val="0"/>
        </w:rPr>
        <w:t xml:space="preserve"> in paragraph 7.</w:t>
      </w:r>
      <w:r w:rsidR="008C5740">
        <w:rPr>
          <w:rFonts w:asciiTheme="minorHAnsi" w:hAnsiTheme="minorHAnsi"/>
          <w:bCs/>
          <w:snapToGrid w:val="0"/>
        </w:rPr>
        <w:t>10</w:t>
      </w:r>
      <w:r w:rsidR="00BB7D0C" w:rsidRPr="000655D9">
        <w:rPr>
          <w:rFonts w:asciiTheme="minorHAnsi" w:hAnsiTheme="minorHAnsi"/>
          <w:bCs/>
          <w:snapToGrid w:val="0"/>
        </w:rPr>
        <w:t xml:space="preserve"> could be submitted in the form of a minor resubmission.</w:t>
      </w:r>
    </w:p>
    <w:p w14:paraId="1AF6F163" w14:textId="77777777" w:rsidR="00164D71" w:rsidRPr="00A74194" w:rsidRDefault="00164D71" w:rsidP="00164D71">
      <w:pPr>
        <w:spacing w:before="240"/>
        <w:rPr>
          <w:rFonts w:asciiTheme="minorHAnsi" w:hAnsiTheme="minorHAnsi"/>
          <w:b/>
          <w:bCs/>
          <w:snapToGrid w:val="0"/>
        </w:rPr>
      </w:pPr>
      <w:r w:rsidRPr="00A74194">
        <w:rPr>
          <w:rFonts w:asciiTheme="minorHAnsi" w:hAnsiTheme="minorHAnsi"/>
          <w:b/>
          <w:bCs/>
          <w:snapToGrid w:val="0"/>
        </w:rPr>
        <w:t>Outcome:</w:t>
      </w:r>
    </w:p>
    <w:p w14:paraId="0E972AD3" w14:textId="77777777" w:rsidR="00164D71" w:rsidRPr="00A74194" w:rsidRDefault="00164D71" w:rsidP="00164D71">
      <w:pPr>
        <w:rPr>
          <w:rFonts w:asciiTheme="minorHAnsi" w:hAnsiTheme="minorHAnsi"/>
          <w:bCs/>
          <w:snapToGrid w:val="0"/>
        </w:rPr>
      </w:pPr>
      <w:r w:rsidRPr="00A74194">
        <w:rPr>
          <w:rFonts w:asciiTheme="minorHAnsi" w:hAnsiTheme="minorHAnsi"/>
          <w:bCs/>
          <w:snapToGrid w:val="0"/>
        </w:rPr>
        <w:t xml:space="preserve">Deferred </w:t>
      </w:r>
    </w:p>
    <w:bookmarkEnd w:id="1"/>
    <w:bookmarkEnd w:id="2"/>
    <w:bookmarkEnd w:id="3"/>
    <w:bookmarkEnd w:id="54"/>
    <w:p w14:paraId="58529B8B" w14:textId="77777777" w:rsidR="00FE5887" w:rsidRPr="00FE5887" w:rsidRDefault="00FE5887" w:rsidP="00FE5887">
      <w:pPr>
        <w:pStyle w:val="2-SectionHeading"/>
      </w:pPr>
      <w:r w:rsidRPr="00C07617">
        <w:t>Context for Decision</w:t>
      </w:r>
    </w:p>
    <w:p w14:paraId="74261ADB" w14:textId="77777777" w:rsidR="00FE5887" w:rsidRPr="00FE5887" w:rsidRDefault="00FE5887" w:rsidP="00BA3EB8">
      <w:pPr>
        <w:widowControl w:val="0"/>
        <w:spacing w:after="120"/>
        <w:ind w:left="720"/>
        <w:rPr>
          <w:rFonts w:asciiTheme="minorHAnsi" w:hAnsiTheme="minorHAnsi"/>
          <w:bCs/>
          <w:snapToGrid w:val="0"/>
        </w:rPr>
      </w:pPr>
      <w:r w:rsidRPr="00FE5887">
        <w:rPr>
          <w:rFonts w:asciiTheme="minorHAnsi" w:hAnsiTheme="minorHAnsi"/>
          <w:bCs/>
          <w:snapToGrid w:val="0"/>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w:t>
      </w:r>
      <w:r w:rsidRPr="00FE5887">
        <w:rPr>
          <w:rFonts w:asciiTheme="minorHAnsi" w:hAnsiTheme="minorHAnsi"/>
          <w:bCs/>
          <w:snapToGrid w:val="0"/>
        </w:rPr>
        <w:lastRenderedPageBreak/>
        <w:t>time.</w:t>
      </w:r>
    </w:p>
    <w:p w14:paraId="74E12AF5" w14:textId="77777777" w:rsidR="00FE5887" w:rsidRPr="00FE5887" w:rsidRDefault="00FE5887" w:rsidP="00FE5887">
      <w:pPr>
        <w:pStyle w:val="2-SectionHeading"/>
      </w:pPr>
      <w:r w:rsidRPr="00C07617" w:rsidDel="007129F2">
        <w:t xml:space="preserve"> </w:t>
      </w:r>
      <w:r>
        <w:t>Sponsor’s Comment</w:t>
      </w:r>
    </w:p>
    <w:p w14:paraId="7D39EC51" w14:textId="77777777" w:rsidR="008F30CE" w:rsidRPr="001179AC" w:rsidRDefault="008F30CE" w:rsidP="008F30CE">
      <w:pPr>
        <w:spacing w:after="120"/>
        <w:ind w:left="720"/>
        <w:rPr>
          <w:rFonts w:asciiTheme="minorHAnsi" w:hAnsiTheme="minorHAnsi"/>
          <w:bCs/>
        </w:rPr>
      </w:pPr>
      <w:r w:rsidRPr="003D5E44">
        <w:rPr>
          <w:bCs/>
          <w:lang w:val="en-GB"/>
        </w:rPr>
        <w:t xml:space="preserve">Chiesi Australia is committed to working with the PBAC to ensure that patients have access t for the treatment of primary biliary cholangitis in a timely manner.  </w:t>
      </w:r>
    </w:p>
    <w:p w14:paraId="322BCE3F" w14:textId="77777777" w:rsidR="00996220" w:rsidRPr="00A74194" w:rsidRDefault="00996220" w:rsidP="0002358E">
      <w:pPr>
        <w:rPr>
          <w:color w:val="3366FF"/>
        </w:rPr>
      </w:pPr>
    </w:p>
    <w:sectPr w:rsidR="00996220" w:rsidRPr="00A74194" w:rsidSect="00996220">
      <w:headerReference w:type="default" r:id="rId19"/>
      <w:pgSz w:w="11907" w:h="16840" w:code="9"/>
      <w:pgMar w:top="1440" w:right="1440" w:bottom="1440" w:left="1440" w:header="1440" w:footer="144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74F78" w16cex:dateUtc="2020-12-06T01:39:00Z"/>
  <w16cex:commentExtensible w16cex:durableId="23775572" w16cex:dateUtc="2020-12-06T02:04:00Z"/>
  <w16cex:commentExtensible w16cex:durableId="237755F6" w16cex:dateUtc="2020-12-06T02:07:00Z"/>
  <w16cex:commentExtensible w16cex:durableId="237756B1" w16cex:dateUtc="2020-12-06T02: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ED60F84" w16cid:durableId="23774E2C"/>
  <w16cid:commentId w16cid:paraId="7E57CDC4" w16cid:durableId="23774F78"/>
  <w16cid:commentId w16cid:paraId="3C799930" w16cid:durableId="23775572"/>
  <w16cid:commentId w16cid:paraId="02B56110" w16cid:durableId="237755F6"/>
  <w16cid:commentId w16cid:paraId="3B32FFC2" w16cid:durableId="23774E2D"/>
  <w16cid:commentId w16cid:paraId="6A12C8EF" w16cid:durableId="237756B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4C78B" w14:textId="77777777" w:rsidR="00523A93" w:rsidRDefault="00523A93" w:rsidP="00124A51">
      <w:r>
        <w:separator/>
      </w:r>
    </w:p>
    <w:p w14:paraId="3057D2F9" w14:textId="77777777" w:rsidR="00523A93" w:rsidRDefault="00523A93"/>
  </w:endnote>
  <w:endnote w:type="continuationSeparator" w:id="0">
    <w:p w14:paraId="66520760" w14:textId="77777777" w:rsidR="00523A93" w:rsidRDefault="00523A93" w:rsidP="00124A51">
      <w:r>
        <w:continuationSeparator/>
      </w:r>
    </w:p>
    <w:p w14:paraId="73F1E276" w14:textId="77777777" w:rsidR="00523A93" w:rsidRDefault="00523A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970F3" w14:textId="77777777" w:rsidR="00523A93" w:rsidRDefault="00523A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8BD91" w14:textId="77777777" w:rsidR="00523A93" w:rsidRDefault="00523A93">
    <w:pPr>
      <w:pStyle w:val="Footer"/>
      <w:jc w:val="center"/>
    </w:pPr>
  </w:p>
  <w:p w14:paraId="174D3F17" w14:textId="324A9B5E" w:rsidR="00523A93" w:rsidRDefault="00523A93">
    <w:pPr>
      <w:pStyle w:val="Footer"/>
      <w:jc w:val="center"/>
    </w:pPr>
    <w:sdt>
      <w:sdtPr>
        <w:id w:val="-749651547"/>
        <w:docPartObj>
          <w:docPartGallery w:val="Page Numbers (Bottom of Page)"/>
          <w:docPartUnique/>
        </w:docPartObj>
      </w:sdtPr>
      <w:sdtEndPr>
        <w:rPr>
          <w:noProof/>
        </w:rPr>
      </w:sdtEndPr>
      <w:sdtContent>
        <w:r w:rsidRPr="00164D71">
          <w:rPr>
            <w:b/>
          </w:rPr>
          <w:fldChar w:fldCharType="begin"/>
        </w:r>
        <w:r w:rsidRPr="00164D71">
          <w:rPr>
            <w:b/>
          </w:rPr>
          <w:instrText xml:space="preserve"> PAGE   \* MERGEFORMAT </w:instrText>
        </w:r>
        <w:r w:rsidRPr="00164D71">
          <w:rPr>
            <w:b/>
          </w:rPr>
          <w:fldChar w:fldCharType="separate"/>
        </w:r>
        <w:r w:rsidR="006758DF">
          <w:rPr>
            <w:b/>
            <w:noProof/>
          </w:rPr>
          <w:t>25</w:t>
        </w:r>
        <w:r w:rsidRPr="00164D71">
          <w:rPr>
            <w:b/>
            <w:noProof/>
          </w:rPr>
          <w:fldChar w:fldCharType="end"/>
        </w:r>
      </w:sdtContent>
    </w:sdt>
  </w:p>
  <w:p w14:paraId="097A1FEA" w14:textId="77777777" w:rsidR="00523A93" w:rsidRDefault="00523A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6553E" w14:textId="77777777" w:rsidR="00523A93" w:rsidRDefault="00523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AB096" w14:textId="77777777" w:rsidR="00523A93" w:rsidRDefault="00523A93" w:rsidP="00124A51">
      <w:r>
        <w:separator/>
      </w:r>
    </w:p>
    <w:p w14:paraId="3845229D" w14:textId="77777777" w:rsidR="00523A93" w:rsidRDefault="00523A93"/>
  </w:footnote>
  <w:footnote w:type="continuationSeparator" w:id="0">
    <w:p w14:paraId="744ED1D0" w14:textId="77777777" w:rsidR="00523A93" w:rsidRDefault="00523A93" w:rsidP="00124A51">
      <w:r>
        <w:continuationSeparator/>
      </w:r>
    </w:p>
    <w:p w14:paraId="0ED3FE05" w14:textId="77777777" w:rsidR="00523A93" w:rsidRDefault="00523A9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7219A" w14:textId="77777777" w:rsidR="00523A93" w:rsidRDefault="00523A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5BCB9" w14:textId="77777777" w:rsidR="00523A93" w:rsidRPr="00164D71" w:rsidRDefault="00523A93">
    <w:pPr>
      <w:pStyle w:val="Header"/>
      <w:rPr>
        <w:i/>
      </w:rPr>
    </w:pPr>
    <w:r>
      <w:rPr>
        <w:i/>
      </w:rPr>
      <w:t xml:space="preserve">Public Summary Document </w:t>
    </w:r>
    <w:r w:rsidRPr="00164D71">
      <w:rPr>
        <w:i/>
      </w:rPr>
      <w:t>– November 2020 PBAC Meeting</w:t>
    </w:r>
  </w:p>
  <w:p w14:paraId="7225DB39" w14:textId="77777777" w:rsidR="00523A93" w:rsidRDefault="00523A93"/>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D2370" w14:textId="77777777" w:rsidR="00523A93" w:rsidRDefault="00523A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B24C5" w14:textId="77777777" w:rsidR="00523A93" w:rsidRPr="00164D71" w:rsidRDefault="00523A93" w:rsidP="009F4782">
    <w:pPr>
      <w:pStyle w:val="Header"/>
      <w:rPr>
        <w:i/>
      </w:rPr>
    </w:pPr>
    <w:r>
      <w:rPr>
        <w:i/>
      </w:rPr>
      <w:t>Public Summary Document</w:t>
    </w:r>
    <w:r w:rsidRPr="00164D71">
      <w:rPr>
        <w:i/>
      </w:rPr>
      <w:t>– November 2020 PBAC Meeting</w:t>
    </w:r>
  </w:p>
  <w:p w14:paraId="200E6E03" w14:textId="77777777" w:rsidR="00523A93" w:rsidRPr="00164D71" w:rsidRDefault="00523A93" w:rsidP="009F4782">
    <w:pPr>
      <w:pStyle w:val="Header"/>
      <w:rPr>
        <w:i/>
      </w:rPr>
    </w:pPr>
  </w:p>
  <w:p w14:paraId="649F37C3" w14:textId="77777777" w:rsidR="00523A93" w:rsidRDefault="00523A9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48411D"/>
    <w:multiLevelType w:val="hybridMultilevel"/>
    <w:tmpl w:val="5B3A3A64"/>
    <w:lvl w:ilvl="0" w:tplc="C7BE74BC">
      <w:start w:val="1"/>
      <w:numFmt w:val="bullet"/>
      <w:lvlText w:val=""/>
      <w:lvlJc w:val="left"/>
      <w:pPr>
        <w:ind w:left="1440" w:hanging="360"/>
      </w:pPr>
      <w:rPr>
        <w:rFonts w:ascii="Symbol" w:hAnsi="Symbol" w:hint="default"/>
        <w:color w:val="000000" w:themeColor="text1"/>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6BE4A16"/>
    <w:multiLevelType w:val="hybridMultilevel"/>
    <w:tmpl w:val="CD6C3150"/>
    <w:lvl w:ilvl="0" w:tplc="D8ACC83A">
      <w:start w:val="1"/>
      <w:numFmt w:val="decimal"/>
      <w:lvlText w:val="(%1)"/>
      <w:lvlJc w:val="left"/>
      <w:pPr>
        <w:ind w:left="1080" w:hanging="360"/>
      </w:pPr>
      <w:rPr>
        <w:rFonts w:hint="default"/>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02ECF"/>
    <w:multiLevelType w:val="multilevel"/>
    <w:tmpl w:val="D264C100"/>
    <w:lvl w:ilvl="0">
      <w:start w:val="1"/>
      <w:numFmt w:val="decimal"/>
      <w:lvlText w:val="%1"/>
      <w:lvlJc w:val="left"/>
      <w:pPr>
        <w:ind w:left="720" w:hanging="720"/>
      </w:pPr>
      <w:rPr>
        <w:rFonts w:hint="default"/>
        <w:b/>
        <w:i w:val="0"/>
      </w:rPr>
    </w:lvl>
    <w:lvl w:ilvl="1">
      <w:start w:val="1"/>
      <w:numFmt w:val="bullet"/>
      <w:lvlText w:val=""/>
      <w:lvlJc w:val="left"/>
      <w:pPr>
        <w:ind w:left="710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D23184"/>
    <w:multiLevelType w:val="multilevel"/>
    <w:tmpl w:val="8B7ECF58"/>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bullet"/>
      <w:lvlText w:val=""/>
      <w:lvlJc w:val="left"/>
      <w:pPr>
        <w:ind w:left="1080" w:hanging="36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920743"/>
    <w:multiLevelType w:val="hybridMultilevel"/>
    <w:tmpl w:val="9E9C57C0"/>
    <w:lvl w:ilvl="0" w:tplc="0C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DE745C"/>
    <w:multiLevelType w:val="hybridMultilevel"/>
    <w:tmpl w:val="136A4CD4"/>
    <w:lvl w:ilvl="0" w:tplc="08090001">
      <w:start w:val="1"/>
      <w:numFmt w:val="bullet"/>
      <w:lvlText w:val=""/>
      <w:lvlJc w:val="left"/>
      <w:pPr>
        <w:ind w:left="769" w:hanging="360"/>
      </w:pPr>
      <w:rPr>
        <w:rFonts w:ascii="Symbol" w:hAnsi="Symbol"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abstractNum w:abstractNumId="13" w15:restartNumberingAfterBreak="0">
    <w:nsid w:val="3DCF5ECE"/>
    <w:multiLevelType w:val="hybridMultilevel"/>
    <w:tmpl w:val="AD7265FE"/>
    <w:lvl w:ilvl="0" w:tplc="0C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8D67A6"/>
    <w:multiLevelType w:val="hybridMultilevel"/>
    <w:tmpl w:val="3328D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7F11001"/>
    <w:multiLevelType w:val="hybridMultilevel"/>
    <w:tmpl w:val="6FBA9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BE00D2"/>
    <w:multiLevelType w:val="hybridMultilevel"/>
    <w:tmpl w:val="CAB65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1460BF6"/>
    <w:multiLevelType w:val="hybridMultilevel"/>
    <w:tmpl w:val="F698C724"/>
    <w:lvl w:ilvl="0" w:tplc="0C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21" w15:restartNumberingAfterBreak="0">
    <w:nsid w:val="6A226810"/>
    <w:multiLevelType w:val="hybridMultilevel"/>
    <w:tmpl w:val="132E3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BF02F0C"/>
    <w:multiLevelType w:val="multilevel"/>
    <w:tmpl w:val="D264C100"/>
    <w:lvl w:ilvl="0">
      <w:start w:val="1"/>
      <w:numFmt w:val="decimal"/>
      <w:lvlText w:val="%1"/>
      <w:lvlJc w:val="left"/>
      <w:pPr>
        <w:ind w:left="720" w:hanging="720"/>
      </w:pPr>
      <w:rPr>
        <w:rFonts w:hint="default"/>
        <w:b/>
        <w:i w:val="0"/>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F5A1D91"/>
    <w:multiLevelType w:val="hybridMultilevel"/>
    <w:tmpl w:val="0FEAE4FE"/>
    <w:lvl w:ilvl="0" w:tplc="0C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16C7F2A"/>
    <w:multiLevelType w:val="hybridMultilevel"/>
    <w:tmpl w:val="71AA06F6"/>
    <w:lvl w:ilvl="0" w:tplc="5B8A59B4">
      <w:start w:val="1"/>
      <w:numFmt w:val="decimal"/>
      <w:lvlText w:val="%1."/>
      <w:lvlJc w:val="left"/>
      <w:pPr>
        <w:ind w:left="360" w:hanging="360"/>
      </w:pPr>
      <w:rPr>
        <w:b w:val="0"/>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784D033C"/>
    <w:multiLevelType w:val="multilevel"/>
    <w:tmpl w:val="DA660D66"/>
    <w:lvl w:ilvl="0">
      <w:start w:val="1"/>
      <w:numFmt w:val="decimal"/>
      <w:pStyle w:val="2-SectionHeading"/>
      <w:lvlText w:val="%1"/>
      <w:lvlJc w:val="left"/>
      <w:pPr>
        <w:ind w:left="720" w:hanging="720"/>
      </w:pPr>
      <w:rPr>
        <w:rFonts w:hint="default"/>
        <w:b/>
        <w:i w:val="0"/>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EC272B"/>
    <w:multiLevelType w:val="hybridMultilevel"/>
    <w:tmpl w:val="5E742060"/>
    <w:lvl w:ilvl="0" w:tplc="670214D6">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25"/>
  </w:num>
  <w:num w:numId="2">
    <w:abstractNumId w:val="14"/>
  </w:num>
  <w:num w:numId="3">
    <w:abstractNumId w:val="15"/>
  </w:num>
  <w:num w:numId="4">
    <w:abstractNumId w:val="0"/>
  </w:num>
  <w:num w:numId="5">
    <w:abstractNumId w:val="25"/>
  </w:num>
  <w:num w:numId="6">
    <w:abstractNumId w:val="20"/>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7"/>
  </w:num>
  <w:num w:numId="10">
    <w:abstractNumId w:val="21"/>
  </w:num>
  <w:num w:numId="11">
    <w:abstractNumId w:val="26"/>
  </w:num>
  <w:num w:numId="12">
    <w:abstractNumId w:val="8"/>
  </w:num>
  <w:num w:numId="13">
    <w:abstractNumId w:val="7"/>
  </w:num>
  <w:num w:numId="14">
    <w:abstractNumId w:val="23"/>
  </w:num>
  <w:num w:numId="15">
    <w:abstractNumId w:val="13"/>
  </w:num>
  <w:num w:numId="16">
    <w:abstractNumId w:val="19"/>
  </w:num>
  <w:num w:numId="17">
    <w:abstractNumId w:val="2"/>
  </w:num>
  <w:num w:numId="18">
    <w:abstractNumId w:val="12"/>
  </w:num>
  <w:num w:numId="19">
    <w:abstractNumId w:val="3"/>
  </w:num>
  <w:num w:numId="20">
    <w:abstractNumId w:val="24"/>
  </w:num>
  <w:num w:numId="21">
    <w:abstractNumId w:val="27"/>
  </w:num>
  <w:num w:numId="22">
    <w:abstractNumId w:val="4"/>
  </w:num>
  <w:num w:numId="23">
    <w:abstractNumId w:val="16"/>
  </w:num>
  <w:num w:numId="24">
    <w:abstractNumId w:val="5"/>
  </w:num>
  <w:num w:numId="25">
    <w:abstractNumId w:val="1"/>
  </w:num>
  <w:num w:numId="26">
    <w:abstractNumId w:val="10"/>
  </w:num>
  <w:num w:numId="27">
    <w:abstractNumId w:val="11"/>
  </w:num>
  <w:num w:numId="28">
    <w:abstractNumId w:val="9"/>
  </w:num>
  <w:num w:numId="29">
    <w:abstractNumId w:val="6"/>
  </w:num>
  <w:num w:numId="30">
    <w:abstractNumId w:val="22"/>
  </w:num>
  <w:num w:numId="31">
    <w:abstractNumId w:val="25"/>
  </w:num>
  <w:num w:numId="32">
    <w:abstractNumId w:val="25"/>
  </w:num>
  <w:num w:numId="33">
    <w:abstractNumId w:val="25"/>
  </w:num>
  <w:num w:numId="34">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removePersonalInformation/>
  <w:removeDateAndTime/>
  <w:activeWritingStyle w:appName="MSWord" w:lang="fr-FR" w:vendorID="64" w:dllVersion="6" w:nlCheck="1" w:checkStyle="0"/>
  <w:activeWritingStyle w:appName="MSWord" w:lang="en-GB" w:vendorID="64" w:dllVersion="6" w:nlCheck="1" w:checkStyle="1"/>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4096" w:nlCheck="1" w:checkStyle="0"/>
  <w:activeWritingStyle w:appName="MSWord" w:lang="en-US" w:vendorID="64" w:dllVersion="4096" w:nlCheck="1" w:checkStyle="0"/>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NTE0NDM2NzI2MjBV0lEKTi0uzszPAykwMakFAHvttrktAAAA"/>
  </w:docVars>
  <w:rsids>
    <w:rsidRoot w:val="00E65E79"/>
    <w:rsid w:val="00000790"/>
    <w:rsid w:val="0000110B"/>
    <w:rsid w:val="00003499"/>
    <w:rsid w:val="000039B7"/>
    <w:rsid w:val="00004EDF"/>
    <w:rsid w:val="00005269"/>
    <w:rsid w:val="0000639A"/>
    <w:rsid w:val="0000650D"/>
    <w:rsid w:val="00006D17"/>
    <w:rsid w:val="00007950"/>
    <w:rsid w:val="00011415"/>
    <w:rsid w:val="000128AD"/>
    <w:rsid w:val="00013247"/>
    <w:rsid w:val="000137D1"/>
    <w:rsid w:val="00013F98"/>
    <w:rsid w:val="000143FD"/>
    <w:rsid w:val="00015886"/>
    <w:rsid w:val="000162EF"/>
    <w:rsid w:val="0001665F"/>
    <w:rsid w:val="00017246"/>
    <w:rsid w:val="000207C9"/>
    <w:rsid w:val="00020C8D"/>
    <w:rsid w:val="000211F4"/>
    <w:rsid w:val="0002225F"/>
    <w:rsid w:val="00022974"/>
    <w:rsid w:val="00022C51"/>
    <w:rsid w:val="0002358E"/>
    <w:rsid w:val="00023763"/>
    <w:rsid w:val="000274B8"/>
    <w:rsid w:val="00027EBC"/>
    <w:rsid w:val="000305FC"/>
    <w:rsid w:val="000314D4"/>
    <w:rsid w:val="000320E5"/>
    <w:rsid w:val="000329F1"/>
    <w:rsid w:val="00033863"/>
    <w:rsid w:val="0003508E"/>
    <w:rsid w:val="00035DC0"/>
    <w:rsid w:val="00036829"/>
    <w:rsid w:val="000376EA"/>
    <w:rsid w:val="0003780F"/>
    <w:rsid w:val="00040895"/>
    <w:rsid w:val="000435EE"/>
    <w:rsid w:val="00043C37"/>
    <w:rsid w:val="00044555"/>
    <w:rsid w:val="00044AB6"/>
    <w:rsid w:val="00045017"/>
    <w:rsid w:val="00045A2B"/>
    <w:rsid w:val="00046149"/>
    <w:rsid w:val="000462E3"/>
    <w:rsid w:val="00046409"/>
    <w:rsid w:val="0004698F"/>
    <w:rsid w:val="00047757"/>
    <w:rsid w:val="00051493"/>
    <w:rsid w:val="00051AC9"/>
    <w:rsid w:val="000539D0"/>
    <w:rsid w:val="00053AFE"/>
    <w:rsid w:val="00054621"/>
    <w:rsid w:val="000546D7"/>
    <w:rsid w:val="0005471E"/>
    <w:rsid w:val="00056ECF"/>
    <w:rsid w:val="0005769A"/>
    <w:rsid w:val="000604DF"/>
    <w:rsid w:val="000607EB"/>
    <w:rsid w:val="00061BD0"/>
    <w:rsid w:val="00061D67"/>
    <w:rsid w:val="00062C69"/>
    <w:rsid w:val="000650A8"/>
    <w:rsid w:val="000653B5"/>
    <w:rsid w:val="000655D9"/>
    <w:rsid w:val="00066360"/>
    <w:rsid w:val="00066AF8"/>
    <w:rsid w:val="00066E7D"/>
    <w:rsid w:val="00067D94"/>
    <w:rsid w:val="000711FB"/>
    <w:rsid w:val="00071248"/>
    <w:rsid w:val="00071FF6"/>
    <w:rsid w:val="000720B9"/>
    <w:rsid w:val="00073735"/>
    <w:rsid w:val="000737F7"/>
    <w:rsid w:val="00073BE3"/>
    <w:rsid w:val="00075E64"/>
    <w:rsid w:val="0007672F"/>
    <w:rsid w:val="00076B54"/>
    <w:rsid w:val="0007738E"/>
    <w:rsid w:val="000774F0"/>
    <w:rsid w:val="0008055A"/>
    <w:rsid w:val="00080909"/>
    <w:rsid w:val="000809C1"/>
    <w:rsid w:val="000812CA"/>
    <w:rsid w:val="00081E63"/>
    <w:rsid w:val="0008258D"/>
    <w:rsid w:val="00083E99"/>
    <w:rsid w:val="0008463D"/>
    <w:rsid w:val="00084FA8"/>
    <w:rsid w:val="000856C5"/>
    <w:rsid w:val="00085C31"/>
    <w:rsid w:val="000902D9"/>
    <w:rsid w:val="00090C7E"/>
    <w:rsid w:val="00092600"/>
    <w:rsid w:val="0009262B"/>
    <w:rsid w:val="00093310"/>
    <w:rsid w:val="0009445C"/>
    <w:rsid w:val="00095200"/>
    <w:rsid w:val="00095FE5"/>
    <w:rsid w:val="00096284"/>
    <w:rsid w:val="00096CB7"/>
    <w:rsid w:val="00097380"/>
    <w:rsid w:val="00097934"/>
    <w:rsid w:val="00097A37"/>
    <w:rsid w:val="000A1BC0"/>
    <w:rsid w:val="000A2E63"/>
    <w:rsid w:val="000A3A06"/>
    <w:rsid w:val="000A6039"/>
    <w:rsid w:val="000A6462"/>
    <w:rsid w:val="000A702D"/>
    <w:rsid w:val="000A7453"/>
    <w:rsid w:val="000A7AF0"/>
    <w:rsid w:val="000A7D08"/>
    <w:rsid w:val="000B0121"/>
    <w:rsid w:val="000B0670"/>
    <w:rsid w:val="000B0E75"/>
    <w:rsid w:val="000B2DCB"/>
    <w:rsid w:val="000B3DF0"/>
    <w:rsid w:val="000B5CE0"/>
    <w:rsid w:val="000B6092"/>
    <w:rsid w:val="000B63FB"/>
    <w:rsid w:val="000B6CAC"/>
    <w:rsid w:val="000B7612"/>
    <w:rsid w:val="000B78AE"/>
    <w:rsid w:val="000C0F5E"/>
    <w:rsid w:val="000C24B5"/>
    <w:rsid w:val="000C3DD4"/>
    <w:rsid w:val="000C3DF9"/>
    <w:rsid w:val="000C4014"/>
    <w:rsid w:val="000C4329"/>
    <w:rsid w:val="000C6713"/>
    <w:rsid w:val="000C72FD"/>
    <w:rsid w:val="000D02F5"/>
    <w:rsid w:val="000D1809"/>
    <w:rsid w:val="000D1BFC"/>
    <w:rsid w:val="000D1D5D"/>
    <w:rsid w:val="000D1EF9"/>
    <w:rsid w:val="000D281A"/>
    <w:rsid w:val="000D2848"/>
    <w:rsid w:val="000D326A"/>
    <w:rsid w:val="000D35B1"/>
    <w:rsid w:val="000D51FB"/>
    <w:rsid w:val="000E0640"/>
    <w:rsid w:val="000E135D"/>
    <w:rsid w:val="000E32CD"/>
    <w:rsid w:val="000E3D4F"/>
    <w:rsid w:val="000E3FDD"/>
    <w:rsid w:val="000E63D6"/>
    <w:rsid w:val="000F00BA"/>
    <w:rsid w:val="000F316A"/>
    <w:rsid w:val="000F342A"/>
    <w:rsid w:val="000F3C74"/>
    <w:rsid w:val="000F3E34"/>
    <w:rsid w:val="000F3E6E"/>
    <w:rsid w:val="000F4BB8"/>
    <w:rsid w:val="000F4FA9"/>
    <w:rsid w:val="000F53FB"/>
    <w:rsid w:val="000F5770"/>
    <w:rsid w:val="000F5984"/>
    <w:rsid w:val="000F6657"/>
    <w:rsid w:val="000F7127"/>
    <w:rsid w:val="000F7B54"/>
    <w:rsid w:val="000F7F68"/>
    <w:rsid w:val="00100F8A"/>
    <w:rsid w:val="001020A6"/>
    <w:rsid w:val="0010229D"/>
    <w:rsid w:val="0010452E"/>
    <w:rsid w:val="00105AE2"/>
    <w:rsid w:val="001060C6"/>
    <w:rsid w:val="00106B80"/>
    <w:rsid w:val="001072B0"/>
    <w:rsid w:val="0011032E"/>
    <w:rsid w:val="0011047B"/>
    <w:rsid w:val="001107E8"/>
    <w:rsid w:val="001113C1"/>
    <w:rsid w:val="0011348B"/>
    <w:rsid w:val="0011482E"/>
    <w:rsid w:val="00115982"/>
    <w:rsid w:val="00116C53"/>
    <w:rsid w:val="00121799"/>
    <w:rsid w:val="001222FC"/>
    <w:rsid w:val="001227DF"/>
    <w:rsid w:val="00122812"/>
    <w:rsid w:val="00123902"/>
    <w:rsid w:val="00124A51"/>
    <w:rsid w:val="0012516C"/>
    <w:rsid w:val="00126222"/>
    <w:rsid w:val="00126621"/>
    <w:rsid w:val="00126B1D"/>
    <w:rsid w:val="00127404"/>
    <w:rsid w:val="001301E9"/>
    <w:rsid w:val="00131D82"/>
    <w:rsid w:val="0013212A"/>
    <w:rsid w:val="00132B22"/>
    <w:rsid w:val="0013372E"/>
    <w:rsid w:val="00133D36"/>
    <w:rsid w:val="0013436A"/>
    <w:rsid w:val="00137645"/>
    <w:rsid w:val="0014015A"/>
    <w:rsid w:val="00140462"/>
    <w:rsid w:val="00140E99"/>
    <w:rsid w:val="00141414"/>
    <w:rsid w:val="00141952"/>
    <w:rsid w:val="0014257F"/>
    <w:rsid w:val="00142DAB"/>
    <w:rsid w:val="00143457"/>
    <w:rsid w:val="00143C1D"/>
    <w:rsid w:val="00143F67"/>
    <w:rsid w:val="00145540"/>
    <w:rsid w:val="001456B0"/>
    <w:rsid w:val="00147487"/>
    <w:rsid w:val="00147BED"/>
    <w:rsid w:val="00153407"/>
    <w:rsid w:val="001560B6"/>
    <w:rsid w:val="00156F8F"/>
    <w:rsid w:val="00157130"/>
    <w:rsid w:val="001576B1"/>
    <w:rsid w:val="0016047B"/>
    <w:rsid w:val="001606F0"/>
    <w:rsid w:val="00160A4C"/>
    <w:rsid w:val="00161FA1"/>
    <w:rsid w:val="00162913"/>
    <w:rsid w:val="00163EFF"/>
    <w:rsid w:val="00163F66"/>
    <w:rsid w:val="00164D71"/>
    <w:rsid w:val="0016598A"/>
    <w:rsid w:val="001661FB"/>
    <w:rsid w:val="001667F4"/>
    <w:rsid w:val="00166978"/>
    <w:rsid w:val="001671A0"/>
    <w:rsid w:val="0016767F"/>
    <w:rsid w:val="001702D1"/>
    <w:rsid w:val="0017319F"/>
    <w:rsid w:val="00173565"/>
    <w:rsid w:val="00173B07"/>
    <w:rsid w:val="001747FE"/>
    <w:rsid w:val="001751FA"/>
    <w:rsid w:val="001755C9"/>
    <w:rsid w:val="0017571E"/>
    <w:rsid w:val="001775F4"/>
    <w:rsid w:val="00177855"/>
    <w:rsid w:val="00181991"/>
    <w:rsid w:val="00181D9C"/>
    <w:rsid w:val="00184B0E"/>
    <w:rsid w:val="001853A3"/>
    <w:rsid w:val="00185AF9"/>
    <w:rsid w:val="0018693E"/>
    <w:rsid w:val="00186D5D"/>
    <w:rsid w:val="00186D77"/>
    <w:rsid w:val="0018752F"/>
    <w:rsid w:val="00191369"/>
    <w:rsid w:val="00191AC2"/>
    <w:rsid w:val="001929B8"/>
    <w:rsid w:val="00193838"/>
    <w:rsid w:val="00193A76"/>
    <w:rsid w:val="00193FD4"/>
    <w:rsid w:val="00194AD8"/>
    <w:rsid w:val="00194B6C"/>
    <w:rsid w:val="00194E46"/>
    <w:rsid w:val="00195222"/>
    <w:rsid w:val="00196D9D"/>
    <w:rsid w:val="0019716A"/>
    <w:rsid w:val="001975D8"/>
    <w:rsid w:val="001A0308"/>
    <w:rsid w:val="001A178E"/>
    <w:rsid w:val="001A1A70"/>
    <w:rsid w:val="001A3122"/>
    <w:rsid w:val="001A3A98"/>
    <w:rsid w:val="001A43FA"/>
    <w:rsid w:val="001A47C5"/>
    <w:rsid w:val="001A59FB"/>
    <w:rsid w:val="001A5E9E"/>
    <w:rsid w:val="001A6354"/>
    <w:rsid w:val="001A6366"/>
    <w:rsid w:val="001A7AE8"/>
    <w:rsid w:val="001B0C13"/>
    <w:rsid w:val="001B0D8F"/>
    <w:rsid w:val="001B204E"/>
    <w:rsid w:val="001B226E"/>
    <w:rsid w:val="001B2372"/>
    <w:rsid w:val="001B2F87"/>
    <w:rsid w:val="001B30DC"/>
    <w:rsid w:val="001B3443"/>
    <w:rsid w:val="001B4541"/>
    <w:rsid w:val="001B4D20"/>
    <w:rsid w:val="001B5EC7"/>
    <w:rsid w:val="001B7FEB"/>
    <w:rsid w:val="001C0BDA"/>
    <w:rsid w:val="001C2A9B"/>
    <w:rsid w:val="001C2E01"/>
    <w:rsid w:val="001C2E0A"/>
    <w:rsid w:val="001C2EAF"/>
    <w:rsid w:val="001C3E6A"/>
    <w:rsid w:val="001C4299"/>
    <w:rsid w:val="001C4803"/>
    <w:rsid w:val="001C4874"/>
    <w:rsid w:val="001C5F94"/>
    <w:rsid w:val="001C6E66"/>
    <w:rsid w:val="001D051B"/>
    <w:rsid w:val="001D063B"/>
    <w:rsid w:val="001D1100"/>
    <w:rsid w:val="001D11C5"/>
    <w:rsid w:val="001D1391"/>
    <w:rsid w:val="001D1C52"/>
    <w:rsid w:val="001D22CB"/>
    <w:rsid w:val="001D25D7"/>
    <w:rsid w:val="001D277D"/>
    <w:rsid w:val="001D50B2"/>
    <w:rsid w:val="001D5373"/>
    <w:rsid w:val="001D7645"/>
    <w:rsid w:val="001D7FB7"/>
    <w:rsid w:val="001E1E86"/>
    <w:rsid w:val="001E238E"/>
    <w:rsid w:val="001E2483"/>
    <w:rsid w:val="001E2B1E"/>
    <w:rsid w:val="001E2CFF"/>
    <w:rsid w:val="001E2F24"/>
    <w:rsid w:val="001E30D4"/>
    <w:rsid w:val="001E34DF"/>
    <w:rsid w:val="001E359A"/>
    <w:rsid w:val="001E482A"/>
    <w:rsid w:val="001E4FD8"/>
    <w:rsid w:val="001E5157"/>
    <w:rsid w:val="001E52EB"/>
    <w:rsid w:val="001E5D22"/>
    <w:rsid w:val="001E61D2"/>
    <w:rsid w:val="001E740C"/>
    <w:rsid w:val="001F04F7"/>
    <w:rsid w:val="001F0860"/>
    <w:rsid w:val="001F0A81"/>
    <w:rsid w:val="001F1235"/>
    <w:rsid w:val="001F133C"/>
    <w:rsid w:val="001F1CB3"/>
    <w:rsid w:val="001F1D47"/>
    <w:rsid w:val="001F377A"/>
    <w:rsid w:val="001F38B5"/>
    <w:rsid w:val="001F4081"/>
    <w:rsid w:val="001F4CBC"/>
    <w:rsid w:val="001F6F4F"/>
    <w:rsid w:val="001F7361"/>
    <w:rsid w:val="002011B0"/>
    <w:rsid w:val="00201A73"/>
    <w:rsid w:val="00203181"/>
    <w:rsid w:val="00203783"/>
    <w:rsid w:val="0020385F"/>
    <w:rsid w:val="002052BD"/>
    <w:rsid w:val="00205DFB"/>
    <w:rsid w:val="002068A0"/>
    <w:rsid w:val="00206D45"/>
    <w:rsid w:val="00207021"/>
    <w:rsid w:val="0020732F"/>
    <w:rsid w:val="002076F6"/>
    <w:rsid w:val="00207D00"/>
    <w:rsid w:val="002105C1"/>
    <w:rsid w:val="00212F9C"/>
    <w:rsid w:val="00213EF5"/>
    <w:rsid w:val="00215057"/>
    <w:rsid w:val="0021523F"/>
    <w:rsid w:val="00216BF5"/>
    <w:rsid w:val="00220F72"/>
    <w:rsid w:val="00221FC9"/>
    <w:rsid w:val="00222F23"/>
    <w:rsid w:val="00223B49"/>
    <w:rsid w:val="00223D5A"/>
    <w:rsid w:val="00224DD4"/>
    <w:rsid w:val="00224ED6"/>
    <w:rsid w:val="002256D8"/>
    <w:rsid w:val="00225BB7"/>
    <w:rsid w:val="00226C6D"/>
    <w:rsid w:val="0022726F"/>
    <w:rsid w:val="002278A0"/>
    <w:rsid w:val="002309CC"/>
    <w:rsid w:val="00230F0D"/>
    <w:rsid w:val="002315DC"/>
    <w:rsid w:val="00231B1C"/>
    <w:rsid w:val="0023209F"/>
    <w:rsid w:val="00233AB5"/>
    <w:rsid w:val="00233C01"/>
    <w:rsid w:val="0023413C"/>
    <w:rsid w:val="002346F0"/>
    <w:rsid w:val="00235A10"/>
    <w:rsid w:val="0023605E"/>
    <w:rsid w:val="0023629D"/>
    <w:rsid w:val="00236E3B"/>
    <w:rsid w:val="00237255"/>
    <w:rsid w:val="002374D6"/>
    <w:rsid w:val="002409C8"/>
    <w:rsid w:val="002424AF"/>
    <w:rsid w:val="002439DC"/>
    <w:rsid w:val="002441D2"/>
    <w:rsid w:val="00244DC8"/>
    <w:rsid w:val="00245348"/>
    <w:rsid w:val="002458BA"/>
    <w:rsid w:val="0024598B"/>
    <w:rsid w:val="00245CE9"/>
    <w:rsid w:val="00246262"/>
    <w:rsid w:val="0024627D"/>
    <w:rsid w:val="0024636C"/>
    <w:rsid w:val="00247925"/>
    <w:rsid w:val="002479E1"/>
    <w:rsid w:val="00247C0E"/>
    <w:rsid w:val="00247C59"/>
    <w:rsid w:val="00250553"/>
    <w:rsid w:val="00250F61"/>
    <w:rsid w:val="00251006"/>
    <w:rsid w:val="0025174D"/>
    <w:rsid w:val="00251900"/>
    <w:rsid w:val="002524D5"/>
    <w:rsid w:val="00253B1D"/>
    <w:rsid w:val="00253EFC"/>
    <w:rsid w:val="00254DCF"/>
    <w:rsid w:val="0025534B"/>
    <w:rsid w:val="00255BB7"/>
    <w:rsid w:val="00256D26"/>
    <w:rsid w:val="00257541"/>
    <w:rsid w:val="0025796B"/>
    <w:rsid w:val="00257A39"/>
    <w:rsid w:val="00257AC4"/>
    <w:rsid w:val="002616AB"/>
    <w:rsid w:val="00261EEF"/>
    <w:rsid w:val="00262A1A"/>
    <w:rsid w:val="00262A87"/>
    <w:rsid w:val="00264D26"/>
    <w:rsid w:val="002667FD"/>
    <w:rsid w:val="00267642"/>
    <w:rsid w:val="00267AEA"/>
    <w:rsid w:val="002700E6"/>
    <w:rsid w:val="00270BD6"/>
    <w:rsid w:val="002717B1"/>
    <w:rsid w:val="0027294B"/>
    <w:rsid w:val="00273361"/>
    <w:rsid w:val="00273880"/>
    <w:rsid w:val="00273CF4"/>
    <w:rsid w:val="00273EB4"/>
    <w:rsid w:val="00274682"/>
    <w:rsid w:val="00274D68"/>
    <w:rsid w:val="00275C5A"/>
    <w:rsid w:val="00281014"/>
    <w:rsid w:val="0028665D"/>
    <w:rsid w:val="00286D57"/>
    <w:rsid w:val="0029077E"/>
    <w:rsid w:val="0029627D"/>
    <w:rsid w:val="002A0FE0"/>
    <w:rsid w:val="002A14AB"/>
    <w:rsid w:val="002A2509"/>
    <w:rsid w:val="002A2ADE"/>
    <w:rsid w:val="002A2F50"/>
    <w:rsid w:val="002A4ED4"/>
    <w:rsid w:val="002A6DF0"/>
    <w:rsid w:val="002B05A1"/>
    <w:rsid w:val="002B061B"/>
    <w:rsid w:val="002B09A4"/>
    <w:rsid w:val="002B0C85"/>
    <w:rsid w:val="002B1C1F"/>
    <w:rsid w:val="002B2DB7"/>
    <w:rsid w:val="002B301E"/>
    <w:rsid w:val="002B3D43"/>
    <w:rsid w:val="002B432F"/>
    <w:rsid w:val="002B444E"/>
    <w:rsid w:val="002B62B3"/>
    <w:rsid w:val="002B6754"/>
    <w:rsid w:val="002B6CCE"/>
    <w:rsid w:val="002B7C25"/>
    <w:rsid w:val="002C054A"/>
    <w:rsid w:val="002C0742"/>
    <w:rsid w:val="002C138C"/>
    <w:rsid w:val="002C1684"/>
    <w:rsid w:val="002C2510"/>
    <w:rsid w:val="002C2775"/>
    <w:rsid w:val="002C27C1"/>
    <w:rsid w:val="002C32ED"/>
    <w:rsid w:val="002C5099"/>
    <w:rsid w:val="002C5889"/>
    <w:rsid w:val="002C5FAA"/>
    <w:rsid w:val="002C62BB"/>
    <w:rsid w:val="002C71CE"/>
    <w:rsid w:val="002C72A4"/>
    <w:rsid w:val="002D08F8"/>
    <w:rsid w:val="002D0936"/>
    <w:rsid w:val="002D14A0"/>
    <w:rsid w:val="002D3A1B"/>
    <w:rsid w:val="002D46D4"/>
    <w:rsid w:val="002D577C"/>
    <w:rsid w:val="002D6572"/>
    <w:rsid w:val="002D7744"/>
    <w:rsid w:val="002E1071"/>
    <w:rsid w:val="002E15B9"/>
    <w:rsid w:val="002E19D7"/>
    <w:rsid w:val="002E1F20"/>
    <w:rsid w:val="002E2158"/>
    <w:rsid w:val="002E2991"/>
    <w:rsid w:val="002E3804"/>
    <w:rsid w:val="002E4701"/>
    <w:rsid w:val="002E4F02"/>
    <w:rsid w:val="002E7722"/>
    <w:rsid w:val="002E7B41"/>
    <w:rsid w:val="002F0454"/>
    <w:rsid w:val="002F07BA"/>
    <w:rsid w:val="002F0DA9"/>
    <w:rsid w:val="002F1014"/>
    <w:rsid w:val="002F32DE"/>
    <w:rsid w:val="002F3FC2"/>
    <w:rsid w:val="002F603D"/>
    <w:rsid w:val="002F625A"/>
    <w:rsid w:val="002F643C"/>
    <w:rsid w:val="002F6F74"/>
    <w:rsid w:val="002F71C0"/>
    <w:rsid w:val="002F74F1"/>
    <w:rsid w:val="002F7D91"/>
    <w:rsid w:val="003006D1"/>
    <w:rsid w:val="00301017"/>
    <w:rsid w:val="0030155F"/>
    <w:rsid w:val="00301BC8"/>
    <w:rsid w:val="00301D7C"/>
    <w:rsid w:val="0030235F"/>
    <w:rsid w:val="00304391"/>
    <w:rsid w:val="0030587B"/>
    <w:rsid w:val="00305BA9"/>
    <w:rsid w:val="00305F1F"/>
    <w:rsid w:val="00306D98"/>
    <w:rsid w:val="003070FA"/>
    <w:rsid w:val="00307213"/>
    <w:rsid w:val="0030786C"/>
    <w:rsid w:val="003078EC"/>
    <w:rsid w:val="00307C11"/>
    <w:rsid w:val="0031031A"/>
    <w:rsid w:val="003103CD"/>
    <w:rsid w:val="00310981"/>
    <w:rsid w:val="0031198A"/>
    <w:rsid w:val="003124D9"/>
    <w:rsid w:val="00312594"/>
    <w:rsid w:val="00312A2B"/>
    <w:rsid w:val="00314CFE"/>
    <w:rsid w:val="00315498"/>
    <w:rsid w:val="00316093"/>
    <w:rsid w:val="00316474"/>
    <w:rsid w:val="0031665D"/>
    <w:rsid w:val="0032075A"/>
    <w:rsid w:val="00322107"/>
    <w:rsid w:val="00322355"/>
    <w:rsid w:val="00322846"/>
    <w:rsid w:val="00323D01"/>
    <w:rsid w:val="003242F8"/>
    <w:rsid w:val="00324594"/>
    <w:rsid w:val="0032492C"/>
    <w:rsid w:val="00325A4E"/>
    <w:rsid w:val="00326DA7"/>
    <w:rsid w:val="003270E4"/>
    <w:rsid w:val="00330DAA"/>
    <w:rsid w:val="00330F5C"/>
    <w:rsid w:val="00331756"/>
    <w:rsid w:val="00333E67"/>
    <w:rsid w:val="003366C9"/>
    <w:rsid w:val="00336A08"/>
    <w:rsid w:val="0033702F"/>
    <w:rsid w:val="003371B0"/>
    <w:rsid w:val="003371C0"/>
    <w:rsid w:val="00340468"/>
    <w:rsid w:val="00340DF1"/>
    <w:rsid w:val="00341A6C"/>
    <w:rsid w:val="00343C18"/>
    <w:rsid w:val="00344BA1"/>
    <w:rsid w:val="00350E0B"/>
    <w:rsid w:val="003515B4"/>
    <w:rsid w:val="003517F9"/>
    <w:rsid w:val="00351BA9"/>
    <w:rsid w:val="00353785"/>
    <w:rsid w:val="003540BE"/>
    <w:rsid w:val="00354F64"/>
    <w:rsid w:val="0035620E"/>
    <w:rsid w:val="003563B0"/>
    <w:rsid w:val="00356406"/>
    <w:rsid w:val="00356716"/>
    <w:rsid w:val="00356784"/>
    <w:rsid w:val="00356AFD"/>
    <w:rsid w:val="0035737A"/>
    <w:rsid w:val="00360266"/>
    <w:rsid w:val="00360345"/>
    <w:rsid w:val="00361371"/>
    <w:rsid w:val="00361A05"/>
    <w:rsid w:val="003624C4"/>
    <w:rsid w:val="003636B4"/>
    <w:rsid w:val="003636D9"/>
    <w:rsid w:val="00363B00"/>
    <w:rsid w:val="00365092"/>
    <w:rsid w:val="003654AC"/>
    <w:rsid w:val="003667B3"/>
    <w:rsid w:val="00366827"/>
    <w:rsid w:val="0037030A"/>
    <w:rsid w:val="00370C0D"/>
    <w:rsid w:val="0037107F"/>
    <w:rsid w:val="003710CF"/>
    <w:rsid w:val="00371B30"/>
    <w:rsid w:val="00372D42"/>
    <w:rsid w:val="0037358A"/>
    <w:rsid w:val="0037492E"/>
    <w:rsid w:val="00374BA8"/>
    <w:rsid w:val="003750F6"/>
    <w:rsid w:val="00375C80"/>
    <w:rsid w:val="003760FC"/>
    <w:rsid w:val="00376554"/>
    <w:rsid w:val="003770BE"/>
    <w:rsid w:val="00382D2C"/>
    <w:rsid w:val="0038365C"/>
    <w:rsid w:val="0038369B"/>
    <w:rsid w:val="00383B0D"/>
    <w:rsid w:val="00383B78"/>
    <w:rsid w:val="00383F4D"/>
    <w:rsid w:val="0038502F"/>
    <w:rsid w:val="00385A9D"/>
    <w:rsid w:val="00386C94"/>
    <w:rsid w:val="003873F4"/>
    <w:rsid w:val="003902B1"/>
    <w:rsid w:val="0039179C"/>
    <w:rsid w:val="003949F8"/>
    <w:rsid w:val="003961CA"/>
    <w:rsid w:val="003965B0"/>
    <w:rsid w:val="00396896"/>
    <w:rsid w:val="00396C1E"/>
    <w:rsid w:val="00396FD0"/>
    <w:rsid w:val="00397BE7"/>
    <w:rsid w:val="003A1A7A"/>
    <w:rsid w:val="003A2392"/>
    <w:rsid w:val="003A2831"/>
    <w:rsid w:val="003A3CB6"/>
    <w:rsid w:val="003A3ED1"/>
    <w:rsid w:val="003A44DB"/>
    <w:rsid w:val="003A7D8E"/>
    <w:rsid w:val="003B074F"/>
    <w:rsid w:val="003B098E"/>
    <w:rsid w:val="003B3971"/>
    <w:rsid w:val="003B4CF7"/>
    <w:rsid w:val="003B538D"/>
    <w:rsid w:val="003B55D1"/>
    <w:rsid w:val="003B5B61"/>
    <w:rsid w:val="003B7208"/>
    <w:rsid w:val="003C1654"/>
    <w:rsid w:val="003C54B2"/>
    <w:rsid w:val="003C5542"/>
    <w:rsid w:val="003C57A0"/>
    <w:rsid w:val="003C5D89"/>
    <w:rsid w:val="003C7D19"/>
    <w:rsid w:val="003C7D2F"/>
    <w:rsid w:val="003C7FC0"/>
    <w:rsid w:val="003D1828"/>
    <w:rsid w:val="003D18C0"/>
    <w:rsid w:val="003D1DE4"/>
    <w:rsid w:val="003D1E9A"/>
    <w:rsid w:val="003D2422"/>
    <w:rsid w:val="003D30BE"/>
    <w:rsid w:val="003D39A1"/>
    <w:rsid w:val="003D3FBF"/>
    <w:rsid w:val="003D4A30"/>
    <w:rsid w:val="003D5639"/>
    <w:rsid w:val="003D5F9D"/>
    <w:rsid w:val="003D7029"/>
    <w:rsid w:val="003D7452"/>
    <w:rsid w:val="003D79BB"/>
    <w:rsid w:val="003D7C98"/>
    <w:rsid w:val="003D7D9D"/>
    <w:rsid w:val="003E0543"/>
    <w:rsid w:val="003E19BC"/>
    <w:rsid w:val="003E1DA5"/>
    <w:rsid w:val="003E5617"/>
    <w:rsid w:val="003E6067"/>
    <w:rsid w:val="003E63CB"/>
    <w:rsid w:val="003E6420"/>
    <w:rsid w:val="003E749E"/>
    <w:rsid w:val="003F0442"/>
    <w:rsid w:val="003F1C13"/>
    <w:rsid w:val="003F4156"/>
    <w:rsid w:val="003F5ADB"/>
    <w:rsid w:val="003F5ADF"/>
    <w:rsid w:val="00400B29"/>
    <w:rsid w:val="004022FD"/>
    <w:rsid w:val="00405025"/>
    <w:rsid w:val="0040504B"/>
    <w:rsid w:val="004054E1"/>
    <w:rsid w:val="004055EA"/>
    <w:rsid w:val="004059F4"/>
    <w:rsid w:val="004067D7"/>
    <w:rsid w:val="00407FE5"/>
    <w:rsid w:val="004101B0"/>
    <w:rsid w:val="00410326"/>
    <w:rsid w:val="004104F6"/>
    <w:rsid w:val="00410708"/>
    <w:rsid w:val="00410EC7"/>
    <w:rsid w:val="0041143C"/>
    <w:rsid w:val="00411B39"/>
    <w:rsid w:val="004127A7"/>
    <w:rsid w:val="004131E6"/>
    <w:rsid w:val="00413A1E"/>
    <w:rsid w:val="0041414E"/>
    <w:rsid w:val="00414476"/>
    <w:rsid w:val="00414C2E"/>
    <w:rsid w:val="004151CF"/>
    <w:rsid w:val="00416364"/>
    <w:rsid w:val="0042047F"/>
    <w:rsid w:val="00420AA6"/>
    <w:rsid w:val="00420B9F"/>
    <w:rsid w:val="0042156A"/>
    <w:rsid w:val="0042192C"/>
    <w:rsid w:val="00421F39"/>
    <w:rsid w:val="00422260"/>
    <w:rsid w:val="00422964"/>
    <w:rsid w:val="00423619"/>
    <w:rsid w:val="004239C0"/>
    <w:rsid w:val="0042413F"/>
    <w:rsid w:val="00424E9B"/>
    <w:rsid w:val="004260B7"/>
    <w:rsid w:val="00426DDA"/>
    <w:rsid w:val="004313E4"/>
    <w:rsid w:val="004319F8"/>
    <w:rsid w:val="00431E55"/>
    <w:rsid w:val="00431E8A"/>
    <w:rsid w:val="004321F6"/>
    <w:rsid w:val="00433044"/>
    <w:rsid w:val="00433A71"/>
    <w:rsid w:val="00434088"/>
    <w:rsid w:val="0043505C"/>
    <w:rsid w:val="00435E60"/>
    <w:rsid w:val="004375B9"/>
    <w:rsid w:val="00437A0D"/>
    <w:rsid w:val="004428D0"/>
    <w:rsid w:val="00444185"/>
    <w:rsid w:val="004443A7"/>
    <w:rsid w:val="0044442C"/>
    <w:rsid w:val="00444445"/>
    <w:rsid w:val="00445941"/>
    <w:rsid w:val="004464EB"/>
    <w:rsid w:val="00447C1F"/>
    <w:rsid w:val="00447D26"/>
    <w:rsid w:val="00447DFC"/>
    <w:rsid w:val="004518F4"/>
    <w:rsid w:val="00451D32"/>
    <w:rsid w:val="00453128"/>
    <w:rsid w:val="00453148"/>
    <w:rsid w:val="00453BB3"/>
    <w:rsid w:val="00453CEF"/>
    <w:rsid w:val="00455D45"/>
    <w:rsid w:val="00461688"/>
    <w:rsid w:val="00464595"/>
    <w:rsid w:val="004649BF"/>
    <w:rsid w:val="004658B5"/>
    <w:rsid w:val="00467244"/>
    <w:rsid w:val="004677C1"/>
    <w:rsid w:val="00470ED5"/>
    <w:rsid w:val="004714B5"/>
    <w:rsid w:val="00471EA5"/>
    <w:rsid w:val="00471FDF"/>
    <w:rsid w:val="00472A79"/>
    <w:rsid w:val="00472E5D"/>
    <w:rsid w:val="00473F19"/>
    <w:rsid w:val="00475D00"/>
    <w:rsid w:val="00475E22"/>
    <w:rsid w:val="0048088E"/>
    <w:rsid w:val="00480F2B"/>
    <w:rsid w:val="00482720"/>
    <w:rsid w:val="004835E7"/>
    <w:rsid w:val="00484622"/>
    <w:rsid w:val="004867E2"/>
    <w:rsid w:val="00487523"/>
    <w:rsid w:val="00487E70"/>
    <w:rsid w:val="00490B17"/>
    <w:rsid w:val="0049198E"/>
    <w:rsid w:val="00491B3A"/>
    <w:rsid w:val="00492CFD"/>
    <w:rsid w:val="00494207"/>
    <w:rsid w:val="00494DD5"/>
    <w:rsid w:val="00495216"/>
    <w:rsid w:val="00495D4B"/>
    <w:rsid w:val="004962D2"/>
    <w:rsid w:val="00497EC2"/>
    <w:rsid w:val="004A0DA1"/>
    <w:rsid w:val="004A13D6"/>
    <w:rsid w:val="004A323D"/>
    <w:rsid w:val="004A35B5"/>
    <w:rsid w:val="004A404C"/>
    <w:rsid w:val="004A4574"/>
    <w:rsid w:val="004A52E9"/>
    <w:rsid w:val="004A6040"/>
    <w:rsid w:val="004A61C4"/>
    <w:rsid w:val="004A6597"/>
    <w:rsid w:val="004A7848"/>
    <w:rsid w:val="004A787C"/>
    <w:rsid w:val="004B077B"/>
    <w:rsid w:val="004B0F5B"/>
    <w:rsid w:val="004B15BD"/>
    <w:rsid w:val="004B1CB4"/>
    <w:rsid w:val="004B2506"/>
    <w:rsid w:val="004B2F18"/>
    <w:rsid w:val="004B3DDB"/>
    <w:rsid w:val="004B44FD"/>
    <w:rsid w:val="004B4936"/>
    <w:rsid w:val="004B5CFC"/>
    <w:rsid w:val="004B67DF"/>
    <w:rsid w:val="004B6F79"/>
    <w:rsid w:val="004B7127"/>
    <w:rsid w:val="004B774D"/>
    <w:rsid w:val="004C06DA"/>
    <w:rsid w:val="004C0C50"/>
    <w:rsid w:val="004C1F07"/>
    <w:rsid w:val="004C2024"/>
    <w:rsid w:val="004C3EF7"/>
    <w:rsid w:val="004C40A4"/>
    <w:rsid w:val="004C4AED"/>
    <w:rsid w:val="004C4DB7"/>
    <w:rsid w:val="004C625D"/>
    <w:rsid w:val="004C66DB"/>
    <w:rsid w:val="004D2C2D"/>
    <w:rsid w:val="004D2FF8"/>
    <w:rsid w:val="004D3880"/>
    <w:rsid w:val="004D3F3B"/>
    <w:rsid w:val="004D5424"/>
    <w:rsid w:val="004D69B5"/>
    <w:rsid w:val="004D6F22"/>
    <w:rsid w:val="004D703A"/>
    <w:rsid w:val="004D7227"/>
    <w:rsid w:val="004E063B"/>
    <w:rsid w:val="004E0A7E"/>
    <w:rsid w:val="004E0E7F"/>
    <w:rsid w:val="004E0EB8"/>
    <w:rsid w:val="004E18E9"/>
    <w:rsid w:val="004E2ADC"/>
    <w:rsid w:val="004E3589"/>
    <w:rsid w:val="004E35A1"/>
    <w:rsid w:val="004E40C2"/>
    <w:rsid w:val="004E43B2"/>
    <w:rsid w:val="004F0FAA"/>
    <w:rsid w:val="004F1D02"/>
    <w:rsid w:val="004F2679"/>
    <w:rsid w:val="004F2F21"/>
    <w:rsid w:val="004F3DE5"/>
    <w:rsid w:val="004F6913"/>
    <w:rsid w:val="004F7865"/>
    <w:rsid w:val="00500694"/>
    <w:rsid w:val="00501325"/>
    <w:rsid w:val="0050174E"/>
    <w:rsid w:val="00501854"/>
    <w:rsid w:val="0050219B"/>
    <w:rsid w:val="00502468"/>
    <w:rsid w:val="00503F17"/>
    <w:rsid w:val="00504ABC"/>
    <w:rsid w:val="00506928"/>
    <w:rsid w:val="00507463"/>
    <w:rsid w:val="005077EF"/>
    <w:rsid w:val="005101FF"/>
    <w:rsid w:val="0051032C"/>
    <w:rsid w:val="00511AD5"/>
    <w:rsid w:val="00511DC7"/>
    <w:rsid w:val="00512632"/>
    <w:rsid w:val="00512678"/>
    <w:rsid w:val="00513B79"/>
    <w:rsid w:val="005142C5"/>
    <w:rsid w:val="0051501B"/>
    <w:rsid w:val="005152B5"/>
    <w:rsid w:val="00516263"/>
    <w:rsid w:val="005201D0"/>
    <w:rsid w:val="00520F59"/>
    <w:rsid w:val="0052123C"/>
    <w:rsid w:val="005212F7"/>
    <w:rsid w:val="00521319"/>
    <w:rsid w:val="00522A44"/>
    <w:rsid w:val="00522BC8"/>
    <w:rsid w:val="0052337E"/>
    <w:rsid w:val="00523A18"/>
    <w:rsid w:val="00523A93"/>
    <w:rsid w:val="00523C28"/>
    <w:rsid w:val="00525B6E"/>
    <w:rsid w:val="00527359"/>
    <w:rsid w:val="00527D14"/>
    <w:rsid w:val="0053176B"/>
    <w:rsid w:val="005318A6"/>
    <w:rsid w:val="00532E0D"/>
    <w:rsid w:val="00533BDE"/>
    <w:rsid w:val="005349C3"/>
    <w:rsid w:val="00536B40"/>
    <w:rsid w:val="00536E4E"/>
    <w:rsid w:val="00536F42"/>
    <w:rsid w:val="00537182"/>
    <w:rsid w:val="00537392"/>
    <w:rsid w:val="005403A6"/>
    <w:rsid w:val="0054068D"/>
    <w:rsid w:val="00541C28"/>
    <w:rsid w:val="00541EDD"/>
    <w:rsid w:val="00542373"/>
    <w:rsid w:val="00542743"/>
    <w:rsid w:val="00542C2D"/>
    <w:rsid w:val="00543649"/>
    <w:rsid w:val="00543790"/>
    <w:rsid w:val="00543991"/>
    <w:rsid w:val="00546A6B"/>
    <w:rsid w:val="00546BD5"/>
    <w:rsid w:val="005478BD"/>
    <w:rsid w:val="005479E3"/>
    <w:rsid w:val="00551985"/>
    <w:rsid w:val="00551FEF"/>
    <w:rsid w:val="0055248E"/>
    <w:rsid w:val="00552BD3"/>
    <w:rsid w:val="005532A0"/>
    <w:rsid w:val="005539C2"/>
    <w:rsid w:val="00554B13"/>
    <w:rsid w:val="00555109"/>
    <w:rsid w:val="00555418"/>
    <w:rsid w:val="00555B69"/>
    <w:rsid w:val="00556B35"/>
    <w:rsid w:val="00556F98"/>
    <w:rsid w:val="0055741A"/>
    <w:rsid w:val="005611B7"/>
    <w:rsid w:val="005618D4"/>
    <w:rsid w:val="00561D4F"/>
    <w:rsid w:val="00565D3E"/>
    <w:rsid w:val="00565DF0"/>
    <w:rsid w:val="00566478"/>
    <w:rsid w:val="0056696F"/>
    <w:rsid w:val="00567504"/>
    <w:rsid w:val="00570311"/>
    <w:rsid w:val="0057123F"/>
    <w:rsid w:val="00571523"/>
    <w:rsid w:val="00571EA8"/>
    <w:rsid w:val="00572269"/>
    <w:rsid w:val="0057244A"/>
    <w:rsid w:val="00572F26"/>
    <w:rsid w:val="00574545"/>
    <w:rsid w:val="00574B54"/>
    <w:rsid w:val="00574D1B"/>
    <w:rsid w:val="005750C5"/>
    <w:rsid w:val="005752DE"/>
    <w:rsid w:val="00575D8D"/>
    <w:rsid w:val="0057655F"/>
    <w:rsid w:val="00576972"/>
    <w:rsid w:val="00581B67"/>
    <w:rsid w:val="005829C1"/>
    <w:rsid w:val="00583699"/>
    <w:rsid w:val="00585CDD"/>
    <w:rsid w:val="00586E4D"/>
    <w:rsid w:val="00587058"/>
    <w:rsid w:val="00590314"/>
    <w:rsid w:val="005904A3"/>
    <w:rsid w:val="0059187D"/>
    <w:rsid w:val="00591957"/>
    <w:rsid w:val="005953B1"/>
    <w:rsid w:val="00595AA8"/>
    <w:rsid w:val="0059672B"/>
    <w:rsid w:val="00596FA7"/>
    <w:rsid w:val="00597BF9"/>
    <w:rsid w:val="005A06D1"/>
    <w:rsid w:val="005A0E30"/>
    <w:rsid w:val="005A309A"/>
    <w:rsid w:val="005A373D"/>
    <w:rsid w:val="005A4148"/>
    <w:rsid w:val="005A5F8F"/>
    <w:rsid w:val="005A6324"/>
    <w:rsid w:val="005A6EC0"/>
    <w:rsid w:val="005B06F6"/>
    <w:rsid w:val="005B0B58"/>
    <w:rsid w:val="005B1D9C"/>
    <w:rsid w:val="005B31DA"/>
    <w:rsid w:val="005B4E53"/>
    <w:rsid w:val="005B5857"/>
    <w:rsid w:val="005C1B83"/>
    <w:rsid w:val="005C25FF"/>
    <w:rsid w:val="005C2D55"/>
    <w:rsid w:val="005C2EBA"/>
    <w:rsid w:val="005C3074"/>
    <w:rsid w:val="005C346B"/>
    <w:rsid w:val="005C35D8"/>
    <w:rsid w:val="005C48FC"/>
    <w:rsid w:val="005C5148"/>
    <w:rsid w:val="005D044D"/>
    <w:rsid w:val="005D05F0"/>
    <w:rsid w:val="005D0ABD"/>
    <w:rsid w:val="005D18AD"/>
    <w:rsid w:val="005D26B4"/>
    <w:rsid w:val="005D6ACE"/>
    <w:rsid w:val="005E07B6"/>
    <w:rsid w:val="005E0C47"/>
    <w:rsid w:val="005E19B5"/>
    <w:rsid w:val="005E2110"/>
    <w:rsid w:val="005E4A4B"/>
    <w:rsid w:val="005E6CBC"/>
    <w:rsid w:val="005E72FF"/>
    <w:rsid w:val="005E73C0"/>
    <w:rsid w:val="005F18FC"/>
    <w:rsid w:val="005F216E"/>
    <w:rsid w:val="005F2706"/>
    <w:rsid w:val="005F3049"/>
    <w:rsid w:val="005F3C4A"/>
    <w:rsid w:val="005F47B9"/>
    <w:rsid w:val="005F4A1C"/>
    <w:rsid w:val="005F56CE"/>
    <w:rsid w:val="005F5D92"/>
    <w:rsid w:val="005F63D2"/>
    <w:rsid w:val="005F65C0"/>
    <w:rsid w:val="005F6A8F"/>
    <w:rsid w:val="005F6BB7"/>
    <w:rsid w:val="005F7588"/>
    <w:rsid w:val="006011B4"/>
    <w:rsid w:val="006039BA"/>
    <w:rsid w:val="00603BB3"/>
    <w:rsid w:val="00603DB9"/>
    <w:rsid w:val="00604253"/>
    <w:rsid w:val="00604603"/>
    <w:rsid w:val="006051D9"/>
    <w:rsid w:val="00606FBA"/>
    <w:rsid w:val="00607669"/>
    <w:rsid w:val="006076F4"/>
    <w:rsid w:val="00607AFD"/>
    <w:rsid w:val="00607BB0"/>
    <w:rsid w:val="00610499"/>
    <w:rsid w:val="00610642"/>
    <w:rsid w:val="00610DD3"/>
    <w:rsid w:val="0061227F"/>
    <w:rsid w:val="00612F97"/>
    <w:rsid w:val="0061345D"/>
    <w:rsid w:val="0061549B"/>
    <w:rsid w:val="00616802"/>
    <w:rsid w:val="00617E12"/>
    <w:rsid w:val="00620C25"/>
    <w:rsid w:val="0062123F"/>
    <w:rsid w:val="00621477"/>
    <w:rsid w:val="00621ADA"/>
    <w:rsid w:val="006239F2"/>
    <w:rsid w:val="00623F7B"/>
    <w:rsid w:val="00624EB8"/>
    <w:rsid w:val="00625280"/>
    <w:rsid w:val="0062553B"/>
    <w:rsid w:val="006261E4"/>
    <w:rsid w:val="00627BEA"/>
    <w:rsid w:val="00627D87"/>
    <w:rsid w:val="0063158F"/>
    <w:rsid w:val="00631B88"/>
    <w:rsid w:val="00631D6B"/>
    <w:rsid w:val="00632183"/>
    <w:rsid w:val="006330A1"/>
    <w:rsid w:val="00633521"/>
    <w:rsid w:val="00633C25"/>
    <w:rsid w:val="0063479F"/>
    <w:rsid w:val="00635391"/>
    <w:rsid w:val="006353F0"/>
    <w:rsid w:val="006355E2"/>
    <w:rsid w:val="006357B5"/>
    <w:rsid w:val="006361DD"/>
    <w:rsid w:val="006364A1"/>
    <w:rsid w:val="0063678E"/>
    <w:rsid w:val="00636B02"/>
    <w:rsid w:val="00637BFD"/>
    <w:rsid w:val="006411E6"/>
    <w:rsid w:val="0064127B"/>
    <w:rsid w:val="00641C4E"/>
    <w:rsid w:val="00641FB3"/>
    <w:rsid w:val="00643E7E"/>
    <w:rsid w:val="00643F36"/>
    <w:rsid w:val="0064434C"/>
    <w:rsid w:val="006447FA"/>
    <w:rsid w:val="00645009"/>
    <w:rsid w:val="00645626"/>
    <w:rsid w:val="00646596"/>
    <w:rsid w:val="006468EC"/>
    <w:rsid w:val="006471CC"/>
    <w:rsid w:val="00647A29"/>
    <w:rsid w:val="00650622"/>
    <w:rsid w:val="0065079F"/>
    <w:rsid w:val="00650E89"/>
    <w:rsid w:val="006525E5"/>
    <w:rsid w:val="00652A28"/>
    <w:rsid w:val="00652BDD"/>
    <w:rsid w:val="0065379F"/>
    <w:rsid w:val="00653CE7"/>
    <w:rsid w:val="0065536D"/>
    <w:rsid w:val="00655A3C"/>
    <w:rsid w:val="00656188"/>
    <w:rsid w:val="0065715A"/>
    <w:rsid w:val="0065740C"/>
    <w:rsid w:val="00660213"/>
    <w:rsid w:val="006610F1"/>
    <w:rsid w:val="00661C6B"/>
    <w:rsid w:val="00667442"/>
    <w:rsid w:val="006677D5"/>
    <w:rsid w:val="00670B73"/>
    <w:rsid w:val="00671004"/>
    <w:rsid w:val="0067112A"/>
    <w:rsid w:val="00672646"/>
    <w:rsid w:val="00672B24"/>
    <w:rsid w:val="00674E42"/>
    <w:rsid w:val="006758DF"/>
    <w:rsid w:val="0067700E"/>
    <w:rsid w:val="00681089"/>
    <w:rsid w:val="006813F8"/>
    <w:rsid w:val="00682112"/>
    <w:rsid w:val="00682BA6"/>
    <w:rsid w:val="00683258"/>
    <w:rsid w:val="00684A03"/>
    <w:rsid w:val="00684CA4"/>
    <w:rsid w:val="00684D67"/>
    <w:rsid w:val="00684D9D"/>
    <w:rsid w:val="00684F3B"/>
    <w:rsid w:val="00685E97"/>
    <w:rsid w:val="0068649E"/>
    <w:rsid w:val="00686957"/>
    <w:rsid w:val="006872BA"/>
    <w:rsid w:val="00690795"/>
    <w:rsid w:val="00691648"/>
    <w:rsid w:val="006917D7"/>
    <w:rsid w:val="006918A4"/>
    <w:rsid w:val="00691EF4"/>
    <w:rsid w:val="00692521"/>
    <w:rsid w:val="0069348D"/>
    <w:rsid w:val="0069434C"/>
    <w:rsid w:val="006947DD"/>
    <w:rsid w:val="00694F44"/>
    <w:rsid w:val="00695A46"/>
    <w:rsid w:val="00695AC6"/>
    <w:rsid w:val="00696F51"/>
    <w:rsid w:val="006971C1"/>
    <w:rsid w:val="006979A5"/>
    <w:rsid w:val="00697E6B"/>
    <w:rsid w:val="006A46C8"/>
    <w:rsid w:val="006A68B9"/>
    <w:rsid w:val="006A6B99"/>
    <w:rsid w:val="006A75C3"/>
    <w:rsid w:val="006A7E5F"/>
    <w:rsid w:val="006A7F6D"/>
    <w:rsid w:val="006B1411"/>
    <w:rsid w:val="006B1686"/>
    <w:rsid w:val="006B1C1C"/>
    <w:rsid w:val="006B261B"/>
    <w:rsid w:val="006B2C90"/>
    <w:rsid w:val="006B35E6"/>
    <w:rsid w:val="006B465A"/>
    <w:rsid w:val="006B5037"/>
    <w:rsid w:val="006B58AD"/>
    <w:rsid w:val="006B6DD0"/>
    <w:rsid w:val="006C0399"/>
    <w:rsid w:val="006C0D39"/>
    <w:rsid w:val="006C1C56"/>
    <w:rsid w:val="006C2A8E"/>
    <w:rsid w:val="006C3255"/>
    <w:rsid w:val="006C3F26"/>
    <w:rsid w:val="006C5250"/>
    <w:rsid w:val="006D0D17"/>
    <w:rsid w:val="006D19DF"/>
    <w:rsid w:val="006D25F2"/>
    <w:rsid w:val="006D3C7D"/>
    <w:rsid w:val="006D450A"/>
    <w:rsid w:val="006D4659"/>
    <w:rsid w:val="006D5D5F"/>
    <w:rsid w:val="006D68FB"/>
    <w:rsid w:val="006D7C26"/>
    <w:rsid w:val="006E20C8"/>
    <w:rsid w:val="006E2868"/>
    <w:rsid w:val="006E49C3"/>
    <w:rsid w:val="006E55BE"/>
    <w:rsid w:val="006E67AF"/>
    <w:rsid w:val="006E7A34"/>
    <w:rsid w:val="006F0BF1"/>
    <w:rsid w:val="006F11F6"/>
    <w:rsid w:val="006F1BCC"/>
    <w:rsid w:val="006F306C"/>
    <w:rsid w:val="006F3875"/>
    <w:rsid w:val="006F3948"/>
    <w:rsid w:val="006F4150"/>
    <w:rsid w:val="006F4F4D"/>
    <w:rsid w:val="006F6070"/>
    <w:rsid w:val="006F63A5"/>
    <w:rsid w:val="006F67C2"/>
    <w:rsid w:val="006F741F"/>
    <w:rsid w:val="006F7FC7"/>
    <w:rsid w:val="0070142B"/>
    <w:rsid w:val="007017CC"/>
    <w:rsid w:val="00701A76"/>
    <w:rsid w:val="00702664"/>
    <w:rsid w:val="0070276E"/>
    <w:rsid w:val="00702C21"/>
    <w:rsid w:val="00702F8F"/>
    <w:rsid w:val="007050AE"/>
    <w:rsid w:val="0070635F"/>
    <w:rsid w:val="007070B0"/>
    <w:rsid w:val="007079FC"/>
    <w:rsid w:val="00711A36"/>
    <w:rsid w:val="00712585"/>
    <w:rsid w:val="007128DF"/>
    <w:rsid w:val="0071321C"/>
    <w:rsid w:val="0071489B"/>
    <w:rsid w:val="00714C26"/>
    <w:rsid w:val="00714C80"/>
    <w:rsid w:val="0071529C"/>
    <w:rsid w:val="007170DA"/>
    <w:rsid w:val="007172AD"/>
    <w:rsid w:val="00717581"/>
    <w:rsid w:val="00717BD6"/>
    <w:rsid w:val="00720370"/>
    <w:rsid w:val="00720801"/>
    <w:rsid w:val="00722028"/>
    <w:rsid w:val="00722B1B"/>
    <w:rsid w:val="00723287"/>
    <w:rsid w:val="00723A1B"/>
    <w:rsid w:val="00723A48"/>
    <w:rsid w:val="00723DD7"/>
    <w:rsid w:val="0072416F"/>
    <w:rsid w:val="007242A6"/>
    <w:rsid w:val="007249B9"/>
    <w:rsid w:val="00724A36"/>
    <w:rsid w:val="00727C94"/>
    <w:rsid w:val="00727ED9"/>
    <w:rsid w:val="007303B3"/>
    <w:rsid w:val="0073110A"/>
    <w:rsid w:val="00731A68"/>
    <w:rsid w:val="00731B0A"/>
    <w:rsid w:val="00731E7E"/>
    <w:rsid w:val="00731EAE"/>
    <w:rsid w:val="00732789"/>
    <w:rsid w:val="00732C37"/>
    <w:rsid w:val="00733073"/>
    <w:rsid w:val="00734560"/>
    <w:rsid w:val="00735033"/>
    <w:rsid w:val="007350B2"/>
    <w:rsid w:val="00735328"/>
    <w:rsid w:val="0073685B"/>
    <w:rsid w:val="00740475"/>
    <w:rsid w:val="00740BFC"/>
    <w:rsid w:val="00741467"/>
    <w:rsid w:val="007417A8"/>
    <w:rsid w:val="00742956"/>
    <w:rsid w:val="007434CF"/>
    <w:rsid w:val="007449BF"/>
    <w:rsid w:val="00744C4F"/>
    <w:rsid w:val="0074669C"/>
    <w:rsid w:val="0074690E"/>
    <w:rsid w:val="00746BC0"/>
    <w:rsid w:val="007510B4"/>
    <w:rsid w:val="00752142"/>
    <w:rsid w:val="007523F9"/>
    <w:rsid w:val="007533B6"/>
    <w:rsid w:val="0075357E"/>
    <w:rsid w:val="00753FE0"/>
    <w:rsid w:val="007573E8"/>
    <w:rsid w:val="00757BC3"/>
    <w:rsid w:val="00760C4E"/>
    <w:rsid w:val="00760F9E"/>
    <w:rsid w:val="00761792"/>
    <w:rsid w:val="007627BE"/>
    <w:rsid w:val="0076329F"/>
    <w:rsid w:val="00763C91"/>
    <w:rsid w:val="00764160"/>
    <w:rsid w:val="00764F03"/>
    <w:rsid w:val="00765B1A"/>
    <w:rsid w:val="00765DF8"/>
    <w:rsid w:val="0076679C"/>
    <w:rsid w:val="00771B85"/>
    <w:rsid w:val="007751E3"/>
    <w:rsid w:val="00775D4A"/>
    <w:rsid w:val="00777335"/>
    <w:rsid w:val="00780C06"/>
    <w:rsid w:val="0078200A"/>
    <w:rsid w:val="007843F2"/>
    <w:rsid w:val="00785429"/>
    <w:rsid w:val="00785A9F"/>
    <w:rsid w:val="00785BB9"/>
    <w:rsid w:val="00791FBC"/>
    <w:rsid w:val="007925DF"/>
    <w:rsid w:val="00792CDC"/>
    <w:rsid w:val="00794B4E"/>
    <w:rsid w:val="0079558F"/>
    <w:rsid w:val="00795CCD"/>
    <w:rsid w:val="0079649A"/>
    <w:rsid w:val="007A08AA"/>
    <w:rsid w:val="007A0A12"/>
    <w:rsid w:val="007A132D"/>
    <w:rsid w:val="007A1345"/>
    <w:rsid w:val="007A2DDB"/>
    <w:rsid w:val="007A51D2"/>
    <w:rsid w:val="007A70AB"/>
    <w:rsid w:val="007A70BA"/>
    <w:rsid w:val="007B078C"/>
    <w:rsid w:val="007B0D68"/>
    <w:rsid w:val="007B1566"/>
    <w:rsid w:val="007B251D"/>
    <w:rsid w:val="007B33B4"/>
    <w:rsid w:val="007B3875"/>
    <w:rsid w:val="007B4F58"/>
    <w:rsid w:val="007B503D"/>
    <w:rsid w:val="007B50AE"/>
    <w:rsid w:val="007B528D"/>
    <w:rsid w:val="007B63CA"/>
    <w:rsid w:val="007B6A73"/>
    <w:rsid w:val="007B77D1"/>
    <w:rsid w:val="007B79E5"/>
    <w:rsid w:val="007C07C7"/>
    <w:rsid w:val="007C0CFF"/>
    <w:rsid w:val="007C1679"/>
    <w:rsid w:val="007C1CD9"/>
    <w:rsid w:val="007C21B8"/>
    <w:rsid w:val="007C27EC"/>
    <w:rsid w:val="007C32EF"/>
    <w:rsid w:val="007C361D"/>
    <w:rsid w:val="007C40F9"/>
    <w:rsid w:val="007C4880"/>
    <w:rsid w:val="007C4B84"/>
    <w:rsid w:val="007C62A2"/>
    <w:rsid w:val="007C70FF"/>
    <w:rsid w:val="007C7B55"/>
    <w:rsid w:val="007C7C25"/>
    <w:rsid w:val="007D004F"/>
    <w:rsid w:val="007D0AC1"/>
    <w:rsid w:val="007D0B38"/>
    <w:rsid w:val="007D490A"/>
    <w:rsid w:val="007D5440"/>
    <w:rsid w:val="007D583B"/>
    <w:rsid w:val="007D69EB"/>
    <w:rsid w:val="007E128F"/>
    <w:rsid w:val="007E12FF"/>
    <w:rsid w:val="007E13DC"/>
    <w:rsid w:val="007E5014"/>
    <w:rsid w:val="007E5099"/>
    <w:rsid w:val="007F009D"/>
    <w:rsid w:val="007F024B"/>
    <w:rsid w:val="007F0F55"/>
    <w:rsid w:val="007F1017"/>
    <w:rsid w:val="007F1532"/>
    <w:rsid w:val="007F35A9"/>
    <w:rsid w:val="007F4A3F"/>
    <w:rsid w:val="007F4A61"/>
    <w:rsid w:val="007F4B37"/>
    <w:rsid w:val="007F5255"/>
    <w:rsid w:val="007F55AE"/>
    <w:rsid w:val="007F56CC"/>
    <w:rsid w:val="007F61C2"/>
    <w:rsid w:val="00802020"/>
    <w:rsid w:val="0080229F"/>
    <w:rsid w:val="008022BA"/>
    <w:rsid w:val="0080334C"/>
    <w:rsid w:val="00803676"/>
    <w:rsid w:val="00805142"/>
    <w:rsid w:val="00805FCE"/>
    <w:rsid w:val="0080633A"/>
    <w:rsid w:val="00807A8B"/>
    <w:rsid w:val="00807C4A"/>
    <w:rsid w:val="008109EC"/>
    <w:rsid w:val="00811383"/>
    <w:rsid w:val="00811C5D"/>
    <w:rsid w:val="00812149"/>
    <w:rsid w:val="00812CAC"/>
    <w:rsid w:val="00812ED6"/>
    <w:rsid w:val="00814D9C"/>
    <w:rsid w:val="008161A4"/>
    <w:rsid w:val="00816361"/>
    <w:rsid w:val="008166EF"/>
    <w:rsid w:val="00816FEF"/>
    <w:rsid w:val="008202F4"/>
    <w:rsid w:val="00820A8C"/>
    <w:rsid w:val="00820E3A"/>
    <w:rsid w:val="008215FB"/>
    <w:rsid w:val="00822F02"/>
    <w:rsid w:val="00823174"/>
    <w:rsid w:val="00825314"/>
    <w:rsid w:val="00825751"/>
    <w:rsid w:val="00825E1D"/>
    <w:rsid w:val="008264EB"/>
    <w:rsid w:val="00827D3C"/>
    <w:rsid w:val="008310F6"/>
    <w:rsid w:val="00833B05"/>
    <w:rsid w:val="008344C4"/>
    <w:rsid w:val="008362B4"/>
    <w:rsid w:val="008408D5"/>
    <w:rsid w:val="00840CA2"/>
    <w:rsid w:val="00841806"/>
    <w:rsid w:val="0084374F"/>
    <w:rsid w:val="00843AF4"/>
    <w:rsid w:val="00844A22"/>
    <w:rsid w:val="00845B42"/>
    <w:rsid w:val="008471A0"/>
    <w:rsid w:val="00847703"/>
    <w:rsid w:val="00847DF5"/>
    <w:rsid w:val="00850546"/>
    <w:rsid w:val="00852600"/>
    <w:rsid w:val="0085309D"/>
    <w:rsid w:val="00856897"/>
    <w:rsid w:val="00856E9A"/>
    <w:rsid w:val="00857085"/>
    <w:rsid w:val="0086075D"/>
    <w:rsid w:val="00861BD3"/>
    <w:rsid w:val="00862502"/>
    <w:rsid w:val="0086273E"/>
    <w:rsid w:val="00862CC1"/>
    <w:rsid w:val="008660D4"/>
    <w:rsid w:val="00867023"/>
    <w:rsid w:val="008704B4"/>
    <w:rsid w:val="00871FA9"/>
    <w:rsid w:val="008728E9"/>
    <w:rsid w:val="00873685"/>
    <w:rsid w:val="00873764"/>
    <w:rsid w:val="008766D7"/>
    <w:rsid w:val="00876A54"/>
    <w:rsid w:val="0088040A"/>
    <w:rsid w:val="008813B9"/>
    <w:rsid w:val="00881AE9"/>
    <w:rsid w:val="00881C1A"/>
    <w:rsid w:val="00881DD5"/>
    <w:rsid w:val="00882874"/>
    <w:rsid w:val="00882E3C"/>
    <w:rsid w:val="00882EFE"/>
    <w:rsid w:val="00883787"/>
    <w:rsid w:val="00883AA6"/>
    <w:rsid w:val="008855E4"/>
    <w:rsid w:val="00885748"/>
    <w:rsid w:val="00886CD2"/>
    <w:rsid w:val="008911E1"/>
    <w:rsid w:val="00891AB9"/>
    <w:rsid w:val="00891E6F"/>
    <w:rsid w:val="0089275D"/>
    <w:rsid w:val="00892925"/>
    <w:rsid w:val="00892A36"/>
    <w:rsid w:val="00893239"/>
    <w:rsid w:val="00893A0E"/>
    <w:rsid w:val="00894489"/>
    <w:rsid w:val="008944E6"/>
    <w:rsid w:val="008960E1"/>
    <w:rsid w:val="008963A5"/>
    <w:rsid w:val="00896A94"/>
    <w:rsid w:val="00896D5D"/>
    <w:rsid w:val="008970B1"/>
    <w:rsid w:val="00897FF6"/>
    <w:rsid w:val="008A0628"/>
    <w:rsid w:val="008A297E"/>
    <w:rsid w:val="008A3363"/>
    <w:rsid w:val="008A3371"/>
    <w:rsid w:val="008A3A44"/>
    <w:rsid w:val="008A3C3E"/>
    <w:rsid w:val="008A4F68"/>
    <w:rsid w:val="008A79DE"/>
    <w:rsid w:val="008B0F85"/>
    <w:rsid w:val="008B1757"/>
    <w:rsid w:val="008B380B"/>
    <w:rsid w:val="008B56A9"/>
    <w:rsid w:val="008B6200"/>
    <w:rsid w:val="008B7845"/>
    <w:rsid w:val="008B7992"/>
    <w:rsid w:val="008B7D7E"/>
    <w:rsid w:val="008C011D"/>
    <w:rsid w:val="008C01D8"/>
    <w:rsid w:val="008C1C92"/>
    <w:rsid w:val="008C2394"/>
    <w:rsid w:val="008C2568"/>
    <w:rsid w:val="008C3872"/>
    <w:rsid w:val="008C5610"/>
    <w:rsid w:val="008C56CD"/>
    <w:rsid w:val="008C5739"/>
    <w:rsid w:val="008C5740"/>
    <w:rsid w:val="008C700F"/>
    <w:rsid w:val="008C7115"/>
    <w:rsid w:val="008C759D"/>
    <w:rsid w:val="008C7ECB"/>
    <w:rsid w:val="008D02DC"/>
    <w:rsid w:val="008D2A78"/>
    <w:rsid w:val="008D2EA2"/>
    <w:rsid w:val="008D3B86"/>
    <w:rsid w:val="008D4755"/>
    <w:rsid w:val="008D4C3D"/>
    <w:rsid w:val="008D6BFD"/>
    <w:rsid w:val="008D743C"/>
    <w:rsid w:val="008E0ABF"/>
    <w:rsid w:val="008E0BA5"/>
    <w:rsid w:val="008E0D3C"/>
    <w:rsid w:val="008E1745"/>
    <w:rsid w:val="008E1B9E"/>
    <w:rsid w:val="008E37C8"/>
    <w:rsid w:val="008E55AB"/>
    <w:rsid w:val="008E57A7"/>
    <w:rsid w:val="008E646E"/>
    <w:rsid w:val="008E7CCE"/>
    <w:rsid w:val="008F0978"/>
    <w:rsid w:val="008F11F1"/>
    <w:rsid w:val="008F120A"/>
    <w:rsid w:val="008F27E0"/>
    <w:rsid w:val="008F30CE"/>
    <w:rsid w:val="008F3267"/>
    <w:rsid w:val="008F392E"/>
    <w:rsid w:val="008F48EB"/>
    <w:rsid w:val="008F4F0B"/>
    <w:rsid w:val="008F6537"/>
    <w:rsid w:val="00900281"/>
    <w:rsid w:val="00900AE6"/>
    <w:rsid w:val="009046C4"/>
    <w:rsid w:val="009055F1"/>
    <w:rsid w:val="009062A5"/>
    <w:rsid w:val="00910738"/>
    <w:rsid w:val="0091084C"/>
    <w:rsid w:val="00910FA7"/>
    <w:rsid w:val="00911272"/>
    <w:rsid w:val="009135D6"/>
    <w:rsid w:val="00914A50"/>
    <w:rsid w:val="00914C77"/>
    <w:rsid w:val="00915B78"/>
    <w:rsid w:val="00920DC9"/>
    <w:rsid w:val="00921ACB"/>
    <w:rsid w:val="00921D8B"/>
    <w:rsid w:val="0092369B"/>
    <w:rsid w:val="0092655D"/>
    <w:rsid w:val="0092667B"/>
    <w:rsid w:val="00927EF6"/>
    <w:rsid w:val="009316BE"/>
    <w:rsid w:val="00931972"/>
    <w:rsid w:val="0093337D"/>
    <w:rsid w:val="009338E6"/>
    <w:rsid w:val="00933C9E"/>
    <w:rsid w:val="00934988"/>
    <w:rsid w:val="00936A8E"/>
    <w:rsid w:val="00937089"/>
    <w:rsid w:val="00937F8D"/>
    <w:rsid w:val="009403D2"/>
    <w:rsid w:val="009408E2"/>
    <w:rsid w:val="0094252F"/>
    <w:rsid w:val="00942838"/>
    <w:rsid w:val="00942D9D"/>
    <w:rsid w:val="00944E19"/>
    <w:rsid w:val="00944E69"/>
    <w:rsid w:val="00944F8A"/>
    <w:rsid w:val="00947769"/>
    <w:rsid w:val="009501A8"/>
    <w:rsid w:val="009510A2"/>
    <w:rsid w:val="00951A6E"/>
    <w:rsid w:val="00951F14"/>
    <w:rsid w:val="009524F6"/>
    <w:rsid w:val="00952CA1"/>
    <w:rsid w:val="00953257"/>
    <w:rsid w:val="00953527"/>
    <w:rsid w:val="00954010"/>
    <w:rsid w:val="0095474C"/>
    <w:rsid w:val="0095510C"/>
    <w:rsid w:val="00955765"/>
    <w:rsid w:val="0095596B"/>
    <w:rsid w:val="0095598A"/>
    <w:rsid w:val="00957002"/>
    <w:rsid w:val="009577E4"/>
    <w:rsid w:val="009579E1"/>
    <w:rsid w:val="0096117D"/>
    <w:rsid w:val="009617FB"/>
    <w:rsid w:val="00961E1D"/>
    <w:rsid w:val="00962CB9"/>
    <w:rsid w:val="00964312"/>
    <w:rsid w:val="00964E19"/>
    <w:rsid w:val="00965B8A"/>
    <w:rsid w:val="0096602B"/>
    <w:rsid w:val="00966666"/>
    <w:rsid w:val="0096781B"/>
    <w:rsid w:val="0097071F"/>
    <w:rsid w:val="00970DEC"/>
    <w:rsid w:val="009717AC"/>
    <w:rsid w:val="00972299"/>
    <w:rsid w:val="00972EF5"/>
    <w:rsid w:val="00974954"/>
    <w:rsid w:val="009751C1"/>
    <w:rsid w:val="00977458"/>
    <w:rsid w:val="009811F1"/>
    <w:rsid w:val="00982860"/>
    <w:rsid w:val="00983E57"/>
    <w:rsid w:val="00984FD0"/>
    <w:rsid w:val="00985DE2"/>
    <w:rsid w:val="0098675D"/>
    <w:rsid w:val="009873A6"/>
    <w:rsid w:val="009874C5"/>
    <w:rsid w:val="009926E0"/>
    <w:rsid w:val="00992CA0"/>
    <w:rsid w:val="009944B8"/>
    <w:rsid w:val="0099451E"/>
    <w:rsid w:val="0099544B"/>
    <w:rsid w:val="00996220"/>
    <w:rsid w:val="00996B1A"/>
    <w:rsid w:val="00996C03"/>
    <w:rsid w:val="009A0FD8"/>
    <w:rsid w:val="009A1504"/>
    <w:rsid w:val="009A1D47"/>
    <w:rsid w:val="009A2DCC"/>
    <w:rsid w:val="009A2EF9"/>
    <w:rsid w:val="009A4C79"/>
    <w:rsid w:val="009A5ABC"/>
    <w:rsid w:val="009A61CE"/>
    <w:rsid w:val="009A7F10"/>
    <w:rsid w:val="009B0267"/>
    <w:rsid w:val="009B2D5A"/>
    <w:rsid w:val="009B3E26"/>
    <w:rsid w:val="009B604D"/>
    <w:rsid w:val="009B67AC"/>
    <w:rsid w:val="009C00B5"/>
    <w:rsid w:val="009C16C7"/>
    <w:rsid w:val="009C24FB"/>
    <w:rsid w:val="009C31B6"/>
    <w:rsid w:val="009C3706"/>
    <w:rsid w:val="009C3A3A"/>
    <w:rsid w:val="009C63AE"/>
    <w:rsid w:val="009C6CEA"/>
    <w:rsid w:val="009C7B85"/>
    <w:rsid w:val="009D0254"/>
    <w:rsid w:val="009D1053"/>
    <w:rsid w:val="009D1078"/>
    <w:rsid w:val="009D1A64"/>
    <w:rsid w:val="009D22AF"/>
    <w:rsid w:val="009D23F4"/>
    <w:rsid w:val="009D4E97"/>
    <w:rsid w:val="009D5780"/>
    <w:rsid w:val="009D5B91"/>
    <w:rsid w:val="009D792E"/>
    <w:rsid w:val="009D7B6A"/>
    <w:rsid w:val="009D7DCA"/>
    <w:rsid w:val="009E03BB"/>
    <w:rsid w:val="009E0DFE"/>
    <w:rsid w:val="009E10E1"/>
    <w:rsid w:val="009E11AA"/>
    <w:rsid w:val="009E31F6"/>
    <w:rsid w:val="009E4C07"/>
    <w:rsid w:val="009E5854"/>
    <w:rsid w:val="009E7A7F"/>
    <w:rsid w:val="009E7C4D"/>
    <w:rsid w:val="009E7D14"/>
    <w:rsid w:val="009F3B97"/>
    <w:rsid w:val="009F4782"/>
    <w:rsid w:val="009F5C20"/>
    <w:rsid w:val="00A00045"/>
    <w:rsid w:val="00A001ED"/>
    <w:rsid w:val="00A01184"/>
    <w:rsid w:val="00A0179E"/>
    <w:rsid w:val="00A01DD5"/>
    <w:rsid w:val="00A037C2"/>
    <w:rsid w:val="00A03D43"/>
    <w:rsid w:val="00A0436C"/>
    <w:rsid w:val="00A04380"/>
    <w:rsid w:val="00A05472"/>
    <w:rsid w:val="00A05C32"/>
    <w:rsid w:val="00A0653F"/>
    <w:rsid w:val="00A07773"/>
    <w:rsid w:val="00A07D63"/>
    <w:rsid w:val="00A1028E"/>
    <w:rsid w:val="00A11CD0"/>
    <w:rsid w:val="00A121A5"/>
    <w:rsid w:val="00A13678"/>
    <w:rsid w:val="00A13948"/>
    <w:rsid w:val="00A139B7"/>
    <w:rsid w:val="00A1555B"/>
    <w:rsid w:val="00A155C5"/>
    <w:rsid w:val="00A15DFB"/>
    <w:rsid w:val="00A166FD"/>
    <w:rsid w:val="00A1685B"/>
    <w:rsid w:val="00A16AD8"/>
    <w:rsid w:val="00A21C95"/>
    <w:rsid w:val="00A21CF3"/>
    <w:rsid w:val="00A23A22"/>
    <w:rsid w:val="00A23B10"/>
    <w:rsid w:val="00A24813"/>
    <w:rsid w:val="00A263B1"/>
    <w:rsid w:val="00A27AEC"/>
    <w:rsid w:val="00A31603"/>
    <w:rsid w:val="00A320DB"/>
    <w:rsid w:val="00A35D16"/>
    <w:rsid w:val="00A36984"/>
    <w:rsid w:val="00A36E20"/>
    <w:rsid w:val="00A37BCD"/>
    <w:rsid w:val="00A37DDB"/>
    <w:rsid w:val="00A400C6"/>
    <w:rsid w:val="00A4046F"/>
    <w:rsid w:val="00A41689"/>
    <w:rsid w:val="00A42187"/>
    <w:rsid w:val="00A42592"/>
    <w:rsid w:val="00A43C59"/>
    <w:rsid w:val="00A44180"/>
    <w:rsid w:val="00A44B54"/>
    <w:rsid w:val="00A50ECD"/>
    <w:rsid w:val="00A518F3"/>
    <w:rsid w:val="00A52729"/>
    <w:rsid w:val="00A53675"/>
    <w:rsid w:val="00A53892"/>
    <w:rsid w:val="00A555C2"/>
    <w:rsid w:val="00A564D7"/>
    <w:rsid w:val="00A56B6A"/>
    <w:rsid w:val="00A5766E"/>
    <w:rsid w:val="00A578DC"/>
    <w:rsid w:val="00A61ACD"/>
    <w:rsid w:val="00A62CCD"/>
    <w:rsid w:val="00A640E2"/>
    <w:rsid w:val="00A64620"/>
    <w:rsid w:val="00A64D65"/>
    <w:rsid w:val="00A65036"/>
    <w:rsid w:val="00A6725B"/>
    <w:rsid w:val="00A70605"/>
    <w:rsid w:val="00A73134"/>
    <w:rsid w:val="00A74194"/>
    <w:rsid w:val="00A75091"/>
    <w:rsid w:val="00A758CB"/>
    <w:rsid w:val="00A76001"/>
    <w:rsid w:val="00A777B2"/>
    <w:rsid w:val="00A77A6B"/>
    <w:rsid w:val="00A8256F"/>
    <w:rsid w:val="00A825D4"/>
    <w:rsid w:val="00A828F6"/>
    <w:rsid w:val="00A82B73"/>
    <w:rsid w:val="00A82BF5"/>
    <w:rsid w:val="00A83B29"/>
    <w:rsid w:val="00A8474C"/>
    <w:rsid w:val="00A86DDD"/>
    <w:rsid w:val="00A86E8B"/>
    <w:rsid w:val="00A87164"/>
    <w:rsid w:val="00A90A55"/>
    <w:rsid w:val="00A90EEE"/>
    <w:rsid w:val="00A9158E"/>
    <w:rsid w:val="00A93072"/>
    <w:rsid w:val="00A938BD"/>
    <w:rsid w:val="00A938EB"/>
    <w:rsid w:val="00A93953"/>
    <w:rsid w:val="00A940E8"/>
    <w:rsid w:val="00A947E6"/>
    <w:rsid w:val="00A959D8"/>
    <w:rsid w:val="00A96F79"/>
    <w:rsid w:val="00AA0613"/>
    <w:rsid w:val="00AA07D9"/>
    <w:rsid w:val="00AA113D"/>
    <w:rsid w:val="00AA1ABD"/>
    <w:rsid w:val="00AA3B2A"/>
    <w:rsid w:val="00AA3DE5"/>
    <w:rsid w:val="00AA6678"/>
    <w:rsid w:val="00AA6BD5"/>
    <w:rsid w:val="00AA6BD8"/>
    <w:rsid w:val="00AA6C7D"/>
    <w:rsid w:val="00AA7FD6"/>
    <w:rsid w:val="00AB042A"/>
    <w:rsid w:val="00AB0C4F"/>
    <w:rsid w:val="00AB19EF"/>
    <w:rsid w:val="00AB2D34"/>
    <w:rsid w:val="00AB3430"/>
    <w:rsid w:val="00AB3748"/>
    <w:rsid w:val="00AB37B9"/>
    <w:rsid w:val="00AB4680"/>
    <w:rsid w:val="00AB4AD1"/>
    <w:rsid w:val="00AB5E07"/>
    <w:rsid w:val="00AB725A"/>
    <w:rsid w:val="00AB7CFA"/>
    <w:rsid w:val="00AC03A9"/>
    <w:rsid w:val="00AC1B97"/>
    <w:rsid w:val="00AC39C9"/>
    <w:rsid w:val="00AC5B48"/>
    <w:rsid w:val="00AD0E41"/>
    <w:rsid w:val="00AD1450"/>
    <w:rsid w:val="00AD2F36"/>
    <w:rsid w:val="00AD34E5"/>
    <w:rsid w:val="00AD5175"/>
    <w:rsid w:val="00AD6502"/>
    <w:rsid w:val="00AE0695"/>
    <w:rsid w:val="00AE2384"/>
    <w:rsid w:val="00AE3E7E"/>
    <w:rsid w:val="00AE408C"/>
    <w:rsid w:val="00AE5E56"/>
    <w:rsid w:val="00AF03B9"/>
    <w:rsid w:val="00AF1315"/>
    <w:rsid w:val="00AF19BF"/>
    <w:rsid w:val="00AF1F11"/>
    <w:rsid w:val="00AF231E"/>
    <w:rsid w:val="00AF2DC3"/>
    <w:rsid w:val="00AF5F1A"/>
    <w:rsid w:val="00B033E5"/>
    <w:rsid w:val="00B03A63"/>
    <w:rsid w:val="00B047F3"/>
    <w:rsid w:val="00B04BD8"/>
    <w:rsid w:val="00B07D58"/>
    <w:rsid w:val="00B07F40"/>
    <w:rsid w:val="00B1020A"/>
    <w:rsid w:val="00B13F80"/>
    <w:rsid w:val="00B14CFD"/>
    <w:rsid w:val="00B14F8C"/>
    <w:rsid w:val="00B159C2"/>
    <w:rsid w:val="00B17045"/>
    <w:rsid w:val="00B201A4"/>
    <w:rsid w:val="00B201D1"/>
    <w:rsid w:val="00B20FE4"/>
    <w:rsid w:val="00B213A6"/>
    <w:rsid w:val="00B235B0"/>
    <w:rsid w:val="00B23FA1"/>
    <w:rsid w:val="00B245E5"/>
    <w:rsid w:val="00B245FC"/>
    <w:rsid w:val="00B24DF6"/>
    <w:rsid w:val="00B262EB"/>
    <w:rsid w:val="00B31787"/>
    <w:rsid w:val="00B33E0E"/>
    <w:rsid w:val="00B34249"/>
    <w:rsid w:val="00B34EF1"/>
    <w:rsid w:val="00B34EF4"/>
    <w:rsid w:val="00B34FE2"/>
    <w:rsid w:val="00B3502E"/>
    <w:rsid w:val="00B35166"/>
    <w:rsid w:val="00B357D8"/>
    <w:rsid w:val="00B360F4"/>
    <w:rsid w:val="00B36893"/>
    <w:rsid w:val="00B36A00"/>
    <w:rsid w:val="00B37B3C"/>
    <w:rsid w:val="00B37BFC"/>
    <w:rsid w:val="00B40358"/>
    <w:rsid w:val="00B41614"/>
    <w:rsid w:val="00B42851"/>
    <w:rsid w:val="00B42B88"/>
    <w:rsid w:val="00B42F80"/>
    <w:rsid w:val="00B435CB"/>
    <w:rsid w:val="00B45332"/>
    <w:rsid w:val="00B4597F"/>
    <w:rsid w:val="00B46473"/>
    <w:rsid w:val="00B46EDF"/>
    <w:rsid w:val="00B505C8"/>
    <w:rsid w:val="00B50DB8"/>
    <w:rsid w:val="00B52B08"/>
    <w:rsid w:val="00B53654"/>
    <w:rsid w:val="00B537E1"/>
    <w:rsid w:val="00B53905"/>
    <w:rsid w:val="00B54B5B"/>
    <w:rsid w:val="00B550E1"/>
    <w:rsid w:val="00B5562E"/>
    <w:rsid w:val="00B55644"/>
    <w:rsid w:val="00B55D65"/>
    <w:rsid w:val="00B569B8"/>
    <w:rsid w:val="00B57000"/>
    <w:rsid w:val="00B60939"/>
    <w:rsid w:val="00B60AFD"/>
    <w:rsid w:val="00B61425"/>
    <w:rsid w:val="00B62715"/>
    <w:rsid w:val="00B640B5"/>
    <w:rsid w:val="00B65611"/>
    <w:rsid w:val="00B66919"/>
    <w:rsid w:val="00B67085"/>
    <w:rsid w:val="00B70E8E"/>
    <w:rsid w:val="00B70FC4"/>
    <w:rsid w:val="00B71E05"/>
    <w:rsid w:val="00B7214C"/>
    <w:rsid w:val="00B73F01"/>
    <w:rsid w:val="00B74698"/>
    <w:rsid w:val="00B74A0F"/>
    <w:rsid w:val="00B7575B"/>
    <w:rsid w:val="00B76C92"/>
    <w:rsid w:val="00B80461"/>
    <w:rsid w:val="00B818A4"/>
    <w:rsid w:val="00B819A1"/>
    <w:rsid w:val="00B837B1"/>
    <w:rsid w:val="00B84117"/>
    <w:rsid w:val="00B858F0"/>
    <w:rsid w:val="00B85AA2"/>
    <w:rsid w:val="00B8649C"/>
    <w:rsid w:val="00B8695D"/>
    <w:rsid w:val="00B87664"/>
    <w:rsid w:val="00B87F0A"/>
    <w:rsid w:val="00B90E05"/>
    <w:rsid w:val="00B92D0B"/>
    <w:rsid w:val="00B93173"/>
    <w:rsid w:val="00B937F3"/>
    <w:rsid w:val="00B93BD5"/>
    <w:rsid w:val="00B94640"/>
    <w:rsid w:val="00B94945"/>
    <w:rsid w:val="00B94DD6"/>
    <w:rsid w:val="00B956F2"/>
    <w:rsid w:val="00B965E5"/>
    <w:rsid w:val="00BA0753"/>
    <w:rsid w:val="00BA1356"/>
    <w:rsid w:val="00BA1365"/>
    <w:rsid w:val="00BA2DD1"/>
    <w:rsid w:val="00BA322D"/>
    <w:rsid w:val="00BA3EB8"/>
    <w:rsid w:val="00BA4C89"/>
    <w:rsid w:val="00BA63FA"/>
    <w:rsid w:val="00BB00B3"/>
    <w:rsid w:val="00BB09AE"/>
    <w:rsid w:val="00BB0A5F"/>
    <w:rsid w:val="00BB0BDD"/>
    <w:rsid w:val="00BB176C"/>
    <w:rsid w:val="00BB17AA"/>
    <w:rsid w:val="00BB2A73"/>
    <w:rsid w:val="00BB367B"/>
    <w:rsid w:val="00BB3A45"/>
    <w:rsid w:val="00BB3B69"/>
    <w:rsid w:val="00BB3BD9"/>
    <w:rsid w:val="00BB4ACC"/>
    <w:rsid w:val="00BB6F74"/>
    <w:rsid w:val="00BB703E"/>
    <w:rsid w:val="00BB732D"/>
    <w:rsid w:val="00BB7405"/>
    <w:rsid w:val="00BB7D0C"/>
    <w:rsid w:val="00BB7D8A"/>
    <w:rsid w:val="00BC09BC"/>
    <w:rsid w:val="00BC0B8C"/>
    <w:rsid w:val="00BC34D2"/>
    <w:rsid w:val="00BC3631"/>
    <w:rsid w:val="00BC363E"/>
    <w:rsid w:val="00BC4680"/>
    <w:rsid w:val="00BC4B5E"/>
    <w:rsid w:val="00BC5630"/>
    <w:rsid w:val="00BC591F"/>
    <w:rsid w:val="00BC6CDB"/>
    <w:rsid w:val="00BC73AF"/>
    <w:rsid w:val="00BC7D6D"/>
    <w:rsid w:val="00BD05E2"/>
    <w:rsid w:val="00BD0F83"/>
    <w:rsid w:val="00BD1844"/>
    <w:rsid w:val="00BD1D0A"/>
    <w:rsid w:val="00BD2108"/>
    <w:rsid w:val="00BD2567"/>
    <w:rsid w:val="00BD4784"/>
    <w:rsid w:val="00BD5FA7"/>
    <w:rsid w:val="00BD6747"/>
    <w:rsid w:val="00BD68A3"/>
    <w:rsid w:val="00BD6938"/>
    <w:rsid w:val="00BD6CF3"/>
    <w:rsid w:val="00BD7E08"/>
    <w:rsid w:val="00BE095B"/>
    <w:rsid w:val="00BE0ECA"/>
    <w:rsid w:val="00BE2180"/>
    <w:rsid w:val="00BE21F2"/>
    <w:rsid w:val="00BE4275"/>
    <w:rsid w:val="00BF06AE"/>
    <w:rsid w:val="00BF09B9"/>
    <w:rsid w:val="00BF0F95"/>
    <w:rsid w:val="00BF1428"/>
    <w:rsid w:val="00BF1809"/>
    <w:rsid w:val="00BF2433"/>
    <w:rsid w:val="00BF508D"/>
    <w:rsid w:val="00BF511E"/>
    <w:rsid w:val="00BF61C9"/>
    <w:rsid w:val="00BF6464"/>
    <w:rsid w:val="00BF6C94"/>
    <w:rsid w:val="00BF74C5"/>
    <w:rsid w:val="00BF7654"/>
    <w:rsid w:val="00C00424"/>
    <w:rsid w:val="00C01F65"/>
    <w:rsid w:val="00C03DA0"/>
    <w:rsid w:val="00C05FEC"/>
    <w:rsid w:val="00C07F16"/>
    <w:rsid w:val="00C07FD3"/>
    <w:rsid w:val="00C109B9"/>
    <w:rsid w:val="00C1179F"/>
    <w:rsid w:val="00C12A60"/>
    <w:rsid w:val="00C12C14"/>
    <w:rsid w:val="00C151D4"/>
    <w:rsid w:val="00C15F04"/>
    <w:rsid w:val="00C165B1"/>
    <w:rsid w:val="00C16A4B"/>
    <w:rsid w:val="00C16E44"/>
    <w:rsid w:val="00C17298"/>
    <w:rsid w:val="00C179B3"/>
    <w:rsid w:val="00C17E3F"/>
    <w:rsid w:val="00C200AA"/>
    <w:rsid w:val="00C21224"/>
    <w:rsid w:val="00C237ED"/>
    <w:rsid w:val="00C24632"/>
    <w:rsid w:val="00C25418"/>
    <w:rsid w:val="00C25D9C"/>
    <w:rsid w:val="00C2778B"/>
    <w:rsid w:val="00C27830"/>
    <w:rsid w:val="00C305E6"/>
    <w:rsid w:val="00C30DA7"/>
    <w:rsid w:val="00C31649"/>
    <w:rsid w:val="00C3434C"/>
    <w:rsid w:val="00C34B36"/>
    <w:rsid w:val="00C35155"/>
    <w:rsid w:val="00C36334"/>
    <w:rsid w:val="00C36726"/>
    <w:rsid w:val="00C40385"/>
    <w:rsid w:val="00C41768"/>
    <w:rsid w:val="00C4339E"/>
    <w:rsid w:val="00C44540"/>
    <w:rsid w:val="00C475AA"/>
    <w:rsid w:val="00C53C98"/>
    <w:rsid w:val="00C545D0"/>
    <w:rsid w:val="00C54A5B"/>
    <w:rsid w:val="00C56FCF"/>
    <w:rsid w:val="00C57471"/>
    <w:rsid w:val="00C57B6C"/>
    <w:rsid w:val="00C60A9C"/>
    <w:rsid w:val="00C60DFD"/>
    <w:rsid w:val="00C613A8"/>
    <w:rsid w:val="00C625A4"/>
    <w:rsid w:val="00C628A6"/>
    <w:rsid w:val="00C63B1F"/>
    <w:rsid w:val="00C64344"/>
    <w:rsid w:val="00C65108"/>
    <w:rsid w:val="00C6551F"/>
    <w:rsid w:val="00C65576"/>
    <w:rsid w:val="00C66165"/>
    <w:rsid w:val="00C672A9"/>
    <w:rsid w:val="00C7060A"/>
    <w:rsid w:val="00C712F7"/>
    <w:rsid w:val="00C7151A"/>
    <w:rsid w:val="00C7174E"/>
    <w:rsid w:val="00C717E3"/>
    <w:rsid w:val="00C71F60"/>
    <w:rsid w:val="00C72241"/>
    <w:rsid w:val="00C72277"/>
    <w:rsid w:val="00C750C8"/>
    <w:rsid w:val="00C7560F"/>
    <w:rsid w:val="00C75978"/>
    <w:rsid w:val="00C7794E"/>
    <w:rsid w:val="00C80A0E"/>
    <w:rsid w:val="00C8117F"/>
    <w:rsid w:val="00C8213F"/>
    <w:rsid w:val="00C85154"/>
    <w:rsid w:val="00C8797A"/>
    <w:rsid w:val="00C900B8"/>
    <w:rsid w:val="00C90787"/>
    <w:rsid w:val="00C90C71"/>
    <w:rsid w:val="00C91FD1"/>
    <w:rsid w:val="00C931CF"/>
    <w:rsid w:val="00C9328B"/>
    <w:rsid w:val="00C938CF"/>
    <w:rsid w:val="00C94053"/>
    <w:rsid w:val="00C94E2A"/>
    <w:rsid w:val="00C954A2"/>
    <w:rsid w:val="00C9624D"/>
    <w:rsid w:val="00C969DA"/>
    <w:rsid w:val="00C96A61"/>
    <w:rsid w:val="00C977AB"/>
    <w:rsid w:val="00C979CB"/>
    <w:rsid w:val="00C97AB2"/>
    <w:rsid w:val="00C97F2F"/>
    <w:rsid w:val="00CA2C77"/>
    <w:rsid w:val="00CA3787"/>
    <w:rsid w:val="00CA3AFD"/>
    <w:rsid w:val="00CA444F"/>
    <w:rsid w:val="00CA5245"/>
    <w:rsid w:val="00CA5863"/>
    <w:rsid w:val="00CA71F4"/>
    <w:rsid w:val="00CA7B09"/>
    <w:rsid w:val="00CB12A5"/>
    <w:rsid w:val="00CB14CA"/>
    <w:rsid w:val="00CB1CAC"/>
    <w:rsid w:val="00CB2F2A"/>
    <w:rsid w:val="00CB305E"/>
    <w:rsid w:val="00CB4436"/>
    <w:rsid w:val="00CB44A3"/>
    <w:rsid w:val="00CB5244"/>
    <w:rsid w:val="00CB5B1A"/>
    <w:rsid w:val="00CB6B22"/>
    <w:rsid w:val="00CB7F5F"/>
    <w:rsid w:val="00CC1B39"/>
    <w:rsid w:val="00CC261F"/>
    <w:rsid w:val="00CC2AF6"/>
    <w:rsid w:val="00CC35EA"/>
    <w:rsid w:val="00CC3768"/>
    <w:rsid w:val="00CC3848"/>
    <w:rsid w:val="00CC4150"/>
    <w:rsid w:val="00CC4B96"/>
    <w:rsid w:val="00CC5633"/>
    <w:rsid w:val="00CC5AA2"/>
    <w:rsid w:val="00CC6077"/>
    <w:rsid w:val="00CC697B"/>
    <w:rsid w:val="00CC6F3E"/>
    <w:rsid w:val="00CC7CCA"/>
    <w:rsid w:val="00CD0C61"/>
    <w:rsid w:val="00CD35D4"/>
    <w:rsid w:val="00CD363A"/>
    <w:rsid w:val="00CD3F77"/>
    <w:rsid w:val="00CD6571"/>
    <w:rsid w:val="00CD6ADC"/>
    <w:rsid w:val="00CD715D"/>
    <w:rsid w:val="00CD7193"/>
    <w:rsid w:val="00CD74FB"/>
    <w:rsid w:val="00CE11D8"/>
    <w:rsid w:val="00CE2AE4"/>
    <w:rsid w:val="00CE38C8"/>
    <w:rsid w:val="00CE4EBD"/>
    <w:rsid w:val="00CE6274"/>
    <w:rsid w:val="00CE77B6"/>
    <w:rsid w:val="00CE7FCB"/>
    <w:rsid w:val="00CF02CF"/>
    <w:rsid w:val="00CF2279"/>
    <w:rsid w:val="00CF2B8D"/>
    <w:rsid w:val="00CF2C36"/>
    <w:rsid w:val="00CF31B4"/>
    <w:rsid w:val="00CF32A3"/>
    <w:rsid w:val="00CF3626"/>
    <w:rsid w:val="00CF456B"/>
    <w:rsid w:val="00CF5A22"/>
    <w:rsid w:val="00D00EAA"/>
    <w:rsid w:val="00D012CB"/>
    <w:rsid w:val="00D01B3D"/>
    <w:rsid w:val="00D020D2"/>
    <w:rsid w:val="00D0262E"/>
    <w:rsid w:val="00D02724"/>
    <w:rsid w:val="00D02E71"/>
    <w:rsid w:val="00D0558F"/>
    <w:rsid w:val="00D05E3D"/>
    <w:rsid w:val="00D06139"/>
    <w:rsid w:val="00D06D67"/>
    <w:rsid w:val="00D073CF"/>
    <w:rsid w:val="00D10317"/>
    <w:rsid w:val="00D110BD"/>
    <w:rsid w:val="00D11595"/>
    <w:rsid w:val="00D11B3E"/>
    <w:rsid w:val="00D12F67"/>
    <w:rsid w:val="00D13675"/>
    <w:rsid w:val="00D13D32"/>
    <w:rsid w:val="00D141E1"/>
    <w:rsid w:val="00D15314"/>
    <w:rsid w:val="00D170CB"/>
    <w:rsid w:val="00D1752E"/>
    <w:rsid w:val="00D17D6C"/>
    <w:rsid w:val="00D2155B"/>
    <w:rsid w:val="00D2346C"/>
    <w:rsid w:val="00D23D11"/>
    <w:rsid w:val="00D23ECA"/>
    <w:rsid w:val="00D23FF2"/>
    <w:rsid w:val="00D244B6"/>
    <w:rsid w:val="00D2754D"/>
    <w:rsid w:val="00D27B27"/>
    <w:rsid w:val="00D30780"/>
    <w:rsid w:val="00D33BE9"/>
    <w:rsid w:val="00D33F93"/>
    <w:rsid w:val="00D357FF"/>
    <w:rsid w:val="00D3702B"/>
    <w:rsid w:val="00D37A00"/>
    <w:rsid w:val="00D40A16"/>
    <w:rsid w:val="00D420D0"/>
    <w:rsid w:val="00D424C7"/>
    <w:rsid w:val="00D43B2A"/>
    <w:rsid w:val="00D43D83"/>
    <w:rsid w:val="00D44671"/>
    <w:rsid w:val="00D45AC7"/>
    <w:rsid w:val="00D4755D"/>
    <w:rsid w:val="00D47575"/>
    <w:rsid w:val="00D507C6"/>
    <w:rsid w:val="00D50881"/>
    <w:rsid w:val="00D5243B"/>
    <w:rsid w:val="00D533EC"/>
    <w:rsid w:val="00D549D6"/>
    <w:rsid w:val="00D55448"/>
    <w:rsid w:val="00D55F48"/>
    <w:rsid w:val="00D56A95"/>
    <w:rsid w:val="00D61993"/>
    <w:rsid w:val="00D61C42"/>
    <w:rsid w:val="00D63519"/>
    <w:rsid w:val="00D64550"/>
    <w:rsid w:val="00D64CA7"/>
    <w:rsid w:val="00D654E8"/>
    <w:rsid w:val="00D657EF"/>
    <w:rsid w:val="00D7054C"/>
    <w:rsid w:val="00D70F16"/>
    <w:rsid w:val="00D71464"/>
    <w:rsid w:val="00D71E85"/>
    <w:rsid w:val="00D72F57"/>
    <w:rsid w:val="00D74993"/>
    <w:rsid w:val="00D76A44"/>
    <w:rsid w:val="00D815EF"/>
    <w:rsid w:val="00D81F26"/>
    <w:rsid w:val="00D85F5F"/>
    <w:rsid w:val="00D86231"/>
    <w:rsid w:val="00D86363"/>
    <w:rsid w:val="00D91923"/>
    <w:rsid w:val="00D92B6E"/>
    <w:rsid w:val="00D92EC6"/>
    <w:rsid w:val="00D93753"/>
    <w:rsid w:val="00DA2B4E"/>
    <w:rsid w:val="00DA3167"/>
    <w:rsid w:val="00DA4A13"/>
    <w:rsid w:val="00DA4DC3"/>
    <w:rsid w:val="00DA55CB"/>
    <w:rsid w:val="00DA769A"/>
    <w:rsid w:val="00DA77A5"/>
    <w:rsid w:val="00DB01B1"/>
    <w:rsid w:val="00DB095E"/>
    <w:rsid w:val="00DB2C2A"/>
    <w:rsid w:val="00DB3881"/>
    <w:rsid w:val="00DB3CFF"/>
    <w:rsid w:val="00DB3DBF"/>
    <w:rsid w:val="00DB484F"/>
    <w:rsid w:val="00DB5575"/>
    <w:rsid w:val="00DB58CA"/>
    <w:rsid w:val="00DB6113"/>
    <w:rsid w:val="00DB6733"/>
    <w:rsid w:val="00DB6F23"/>
    <w:rsid w:val="00DB75CA"/>
    <w:rsid w:val="00DB7C77"/>
    <w:rsid w:val="00DC04F6"/>
    <w:rsid w:val="00DC0690"/>
    <w:rsid w:val="00DC0904"/>
    <w:rsid w:val="00DC1D65"/>
    <w:rsid w:val="00DC3495"/>
    <w:rsid w:val="00DC3C57"/>
    <w:rsid w:val="00DC4362"/>
    <w:rsid w:val="00DC4DA0"/>
    <w:rsid w:val="00DC5501"/>
    <w:rsid w:val="00DC5B93"/>
    <w:rsid w:val="00DC66CF"/>
    <w:rsid w:val="00DC7154"/>
    <w:rsid w:val="00DC720C"/>
    <w:rsid w:val="00DC7729"/>
    <w:rsid w:val="00DC7E8A"/>
    <w:rsid w:val="00DD0F78"/>
    <w:rsid w:val="00DD2598"/>
    <w:rsid w:val="00DD273C"/>
    <w:rsid w:val="00DD2901"/>
    <w:rsid w:val="00DD2DEF"/>
    <w:rsid w:val="00DD3F28"/>
    <w:rsid w:val="00DD4407"/>
    <w:rsid w:val="00DD4537"/>
    <w:rsid w:val="00DD4E15"/>
    <w:rsid w:val="00DD593A"/>
    <w:rsid w:val="00DD59D8"/>
    <w:rsid w:val="00DE1B6A"/>
    <w:rsid w:val="00DE2273"/>
    <w:rsid w:val="00DE2304"/>
    <w:rsid w:val="00DE23DC"/>
    <w:rsid w:val="00DE3138"/>
    <w:rsid w:val="00DE37F8"/>
    <w:rsid w:val="00DE4012"/>
    <w:rsid w:val="00DE4FCB"/>
    <w:rsid w:val="00DE516B"/>
    <w:rsid w:val="00DE5447"/>
    <w:rsid w:val="00DE5D07"/>
    <w:rsid w:val="00DE60ED"/>
    <w:rsid w:val="00DE72A7"/>
    <w:rsid w:val="00DE7832"/>
    <w:rsid w:val="00DE7B28"/>
    <w:rsid w:val="00DE7D51"/>
    <w:rsid w:val="00DF18FC"/>
    <w:rsid w:val="00DF1D79"/>
    <w:rsid w:val="00DF37FC"/>
    <w:rsid w:val="00DF4266"/>
    <w:rsid w:val="00DF5B1C"/>
    <w:rsid w:val="00DF5D2B"/>
    <w:rsid w:val="00DF7870"/>
    <w:rsid w:val="00E00807"/>
    <w:rsid w:val="00E00E8E"/>
    <w:rsid w:val="00E02297"/>
    <w:rsid w:val="00E05630"/>
    <w:rsid w:val="00E061C3"/>
    <w:rsid w:val="00E06DBB"/>
    <w:rsid w:val="00E06FD9"/>
    <w:rsid w:val="00E07DBC"/>
    <w:rsid w:val="00E10149"/>
    <w:rsid w:val="00E11340"/>
    <w:rsid w:val="00E11520"/>
    <w:rsid w:val="00E122A1"/>
    <w:rsid w:val="00E162EC"/>
    <w:rsid w:val="00E16372"/>
    <w:rsid w:val="00E17E7B"/>
    <w:rsid w:val="00E20E4D"/>
    <w:rsid w:val="00E20ED6"/>
    <w:rsid w:val="00E21358"/>
    <w:rsid w:val="00E21DD5"/>
    <w:rsid w:val="00E222B9"/>
    <w:rsid w:val="00E2249B"/>
    <w:rsid w:val="00E22A0D"/>
    <w:rsid w:val="00E22E76"/>
    <w:rsid w:val="00E22EA5"/>
    <w:rsid w:val="00E23470"/>
    <w:rsid w:val="00E244F6"/>
    <w:rsid w:val="00E258DB"/>
    <w:rsid w:val="00E2771E"/>
    <w:rsid w:val="00E30C34"/>
    <w:rsid w:val="00E311EF"/>
    <w:rsid w:val="00E312DA"/>
    <w:rsid w:val="00E32180"/>
    <w:rsid w:val="00E33470"/>
    <w:rsid w:val="00E33A61"/>
    <w:rsid w:val="00E34948"/>
    <w:rsid w:val="00E369B0"/>
    <w:rsid w:val="00E37569"/>
    <w:rsid w:val="00E3777E"/>
    <w:rsid w:val="00E401B2"/>
    <w:rsid w:val="00E4076F"/>
    <w:rsid w:val="00E40D0C"/>
    <w:rsid w:val="00E41E30"/>
    <w:rsid w:val="00E42F73"/>
    <w:rsid w:val="00E43510"/>
    <w:rsid w:val="00E43D70"/>
    <w:rsid w:val="00E453CA"/>
    <w:rsid w:val="00E466F3"/>
    <w:rsid w:val="00E46954"/>
    <w:rsid w:val="00E4724E"/>
    <w:rsid w:val="00E479BA"/>
    <w:rsid w:val="00E47B2C"/>
    <w:rsid w:val="00E50D38"/>
    <w:rsid w:val="00E51087"/>
    <w:rsid w:val="00E5148E"/>
    <w:rsid w:val="00E51560"/>
    <w:rsid w:val="00E53EE7"/>
    <w:rsid w:val="00E53FC8"/>
    <w:rsid w:val="00E540D1"/>
    <w:rsid w:val="00E542BE"/>
    <w:rsid w:val="00E54347"/>
    <w:rsid w:val="00E54D74"/>
    <w:rsid w:val="00E55424"/>
    <w:rsid w:val="00E55915"/>
    <w:rsid w:val="00E55BB5"/>
    <w:rsid w:val="00E62499"/>
    <w:rsid w:val="00E655B5"/>
    <w:rsid w:val="00E65E79"/>
    <w:rsid w:val="00E66BA2"/>
    <w:rsid w:val="00E67416"/>
    <w:rsid w:val="00E718B6"/>
    <w:rsid w:val="00E71F37"/>
    <w:rsid w:val="00E723BA"/>
    <w:rsid w:val="00E73581"/>
    <w:rsid w:val="00E73994"/>
    <w:rsid w:val="00E76FA4"/>
    <w:rsid w:val="00E776AA"/>
    <w:rsid w:val="00E80F5F"/>
    <w:rsid w:val="00E8332C"/>
    <w:rsid w:val="00E833F7"/>
    <w:rsid w:val="00E83BDF"/>
    <w:rsid w:val="00E84633"/>
    <w:rsid w:val="00E85BAB"/>
    <w:rsid w:val="00E86BCA"/>
    <w:rsid w:val="00E87A1D"/>
    <w:rsid w:val="00E87E75"/>
    <w:rsid w:val="00E9094A"/>
    <w:rsid w:val="00E91D35"/>
    <w:rsid w:val="00E926A5"/>
    <w:rsid w:val="00E93749"/>
    <w:rsid w:val="00E94582"/>
    <w:rsid w:val="00E95A87"/>
    <w:rsid w:val="00EA17C3"/>
    <w:rsid w:val="00EA2CAA"/>
    <w:rsid w:val="00EA334A"/>
    <w:rsid w:val="00EA3864"/>
    <w:rsid w:val="00EA5C07"/>
    <w:rsid w:val="00EA5FFA"/>
    <w:rsid w:val="00EA7F1C"/>
    <w:rsid w:val="00EB0258"/>
    <w:rsid w:val="00EB0BFA"/>
    <w:rsid w:val="00EB0DCB"/>
    <w:rsid w:val="00EB15B6"/>
    <w:rsid w:val="00EB1F07"/>
    <w:rsid w:val="00EB282F"/>
    <w:rsid w:val="00EB308B"/>
    <w:rsid w:val="00EB375F"/>
    <w:rsid w:val="00EB3D06"/>
    <w:rsid w:val="00EB4916"/>
    <w:rsid w:val="00EB5D5E"/>
    <w:rsid w:val="00EB6C97"/>
    <w:rsid w:val="00EC00C9"/>
    <w:rsid w:val="00EC0DD9"/>
    <w:rsid w:val="00EC1669"/>
    <w:rsid w:val="00EC2649"/>
    <w:rsid w:val="00EC31ED"/>
    <w:rsid w:val="00EC45DD"/>
    <w:rsid w:val="00EC5836"/>
    <w:rsid w:val="00EC652B"/>
    <w:rsid w:val="00EC6863"/>
    <w:rsid w:val="00EC688C"/>
    <w:rsid w:val="00ED1419"/>
    <w:rsid w:val="00ED2F86"/>
    <w:rsid w:val="00ED2FCD"/>
    <w:rsid w:val="00ED3DC5"/>
    <w:rsid w:val="00ED57EA"/>
    <w:rsid w:val="00ED5BD4"/>
    <w:rsid w:val="00ED7B18"/>
    <w:rsid w:val="00EE0642"/>
    <w:rsid w:val="00EE07D3"/>
    <w:rsid w:val="00EE0A68"/>
    <w:rsid w:val="00EE0C80"/>
    <w:rsid w:val="00EE172B"/>
    <w:rsid w:val="00EE1996"/>
    <w:rsid w:val="00EE1C01"/>
    <w:rsid w:val="00EE22AF"/>
    <w:rsid w:val="00EE4097"/>
    <w:rsid w:val="00EE4249"/>
    <w:rsid w:val="00EE4557"/>
    <w:rsid w:val="00EE4560"/>
    <w:rsid w:val="00EE6BAF"/>
    <w:rsid w:val="00EE7F6A"/>
    <w:rsid w:val="00EF0171"/>
    <w:rsid w:val="00EF1B25"/>
    <w:rsid w:val="00EF1DA0"/>
    <w:rsid w:val="00EF25DA"/>
    <w:rsid w:val="00EF2626"/>
    <w:rsid w:val="00EF4395"/>
    <w:rsid w:val="00EF44CF"/>
    <w:rsid w:val="00EF4747"/>
    <w:rsid w:val="00EF4BF8"/>
    <w:rsid w:val="00EF6F48"/>
    <w:rsid w:val="00EF7238"/>
    <w:rsid w:val="00F02253"/>
    <w:rsid w:val="00F03C2E"/>
    <w:rsid w:val="00F04A66"/>
    <w:rsid w:val="00F04B4B"/>
    <w:rsid w:val="00F0516C"/>
    <w:rsid w:val="00F060E9"/>
    <w:rsid w:val="00F067A2"/>
    <w:rsid w:val="00F0680D"/>
    <w:rsid w:val="00F0709C"/>
    <w:rsid w:val="00F07B9E"/>
    <w:rsid w:val="00F110F4"/>
    <w:rsid w:val="00F1116F"/>
    <w:rsid w:val="00F1263A"/>
    <w:rsid w:val="00F13A4E"/>
    <w:rsid w:val="00F14C26"/>
    <w:rsid w:val="00F15B77"/>
    <w:rsid w:val="00F1776A"/>
    <w:rsid w:val="00F22259"/>
    <w:rsid w:val="00F23056"/>
    <w:rsid w:val="00F23191"/>
    <w:rsid w:val="00F23469"/>
    <w:rsid w:val="00F23DEA"/>
    <w:rsid w:val="00F2408A"/>
    <w:rsid w:val="00F2425B"/>
    <w:rsid w:val="00F24837"/>
    <w:rsid w:val="00F24C9B"/>
    <w:rsid w:val="00F24D19"/>
    <w:rsid w:val="00F2575F"/>
    <w:rsid w:val="00F25B00"/>
    <w:rsid w:val="00F27565"/>
    <w:rsid w:val="00F27B30"/>
    <w:rsid w:val="00F310D4"/>
    <w:rsid w:val="00F31D5A"/>
    <w:rsid w:val="00F32529"/>
    <w:rsid w:val="00F32D5D"/>
    <w:rsid w:val="00F33975"/>
    <w:rsid w:val="00F33DE9"/>
    <w:rsid w:val="00F34926"/>
    <w:rsid w:val="00F35E6D"/>
    <w:rsid w:val="00F3619A"/>
    <w:rsid w:val="00F373DD"/>
    <w:rsid w:val="00F37C5E"/>
    <w:rsid w:val="00F40001"/>
    <w:rsid w:val="00F40AAA"/>
    <w:rsid w:val="00F40BA7"/>
    <w:rsid w:val="00F40F9D"/>
    <w:rsid w:val="00F41ACD"/>
    <w:rsid w:val="00F4223F"/>
    <w:rsid w:val="00F458C6"/>
    <w:rsid w:val="00F458EE"/>
    <w:rsid w:val="00F45962"/>
    <w:rsid w:val="00F46CB6"/>
    <w:rsid w:val="00F4756D"/>
    <w:rsid w:val="00F47DE8"/>
    <w:rsid w:val="00F47F24"/>
    <w:rsid w:val="00F50B5E"/>
    <w:rsid w:val="00F512C6"/>
    <w:rsid w:val="00F52369"/>
    <w:rsid w:val="00F542C1"/>
    <w:rsid w:val="00F54F79"/>
    <w:rsid w:val="00F553B5"/>
    <w:rsid w:val="00F55E73"/>
    <w:rsid w:val="00F55EDA"/>
    <w:rsid w:val="00F56C80"/>
    <w:rsid w:val="00F60092"/>
    <w:rsid w:val="00F615EF"/>
    <w:rsid w:val="00F61C18"/>
    <w:rsid w:val="00F64F00"/>
    <w:rsid w:val="00F65F4B"/>
    <w:rsid w:val="00F67A69"/>
    <w:rsid w:val="00F70BFF"/>
    <w:rsid w:val="00F70C9D"/>
    <w:rsid w:val="00F747BB"/>
    <w:rsid w:val="00F74906"/>
    <w:rsid w:val="00F74C21"/>
    <w:rsid w:val="00F74CD9"/>
    <w:rsid w:val="00F75B58"/>
    <w:rsid w:val="00F766AB"/>
    <w:rsid w:val="00F7695B"/>
    <w:rsid w:val="00F77246"/>
    <w:rsid w:val="00F80929"/>
    <w:rsid w:val="00F80A7B"/>
    <w:rsid w:val="00F80E5D"/>
    <w:rsid w:val="00F8109B"/>
    <w:rsid w:val="00F81E78"/>
    <w:rsid w:val="00F841D7"/>
    <w:rsid w:val="00F851CE"/>
    <w:rsid w:val="00F85A0A"/>
    <w:rsid w:val="00F877CB"/>
    <w:rsid w:val="00F906F6"/>
    <w:rsid w:val="00F91219"/>
    <w:rsid w:val="00F9135B"/>
    <w:rsid w:val="00F92444"/>
    <w:rsid w:val="00F93007"/>
    <w:rsid w:val="00F9393E"/>
    <w:rsid w:val="00F96FD0"/>
    <w:rsid w:val="00F97A78"/>
    <w:rsid w:val="00FA0B20"/>
    <w:rsid w:val="00FA24E7"/>
    <w:rsid w:val="00FA2F95"/>
    <w:rsid w:val="00FA416E"/>
    <w:rsid w:val="00FA5529"/>
    <w:rsid w:val="00FA5EE6"/>
    <w:rsid w:val="00FA7956"/>
    <w:rsid w:val="00FB2203"/>
    <w:rsid w:val="00FB2A73"/>
    <w:rsid w:val="00FB2FCB"/>
    <w:rsid w:val="00FB4A96"/>
    <w:rsid w:val="00FB4C49"/>
    <w:rsid w:val="00FB6817"/>
    <w:rsid w:val="00FB755F"/>
    <w:rsid w:val="00FB78F4"/>
    <w:rsid w:val="00FB7C55"/>
    <w:rsid w:val="00FB7FF9"/>
    <w:rsid w:val="00FC1074"/>
    <w:rsid w:val="00FC1884"/>
    <w:rsid w:val="00FC298F"/>
    <w:rsid w:val="00FC2F0C"/>
    <w:rsid w:val="00FC371D"/>
    <w:rsid w:val="00FC3C99"/>
    <w:rsid w:val="00FC405B"/>
    <w:rsid w:val="00FC489B"/>
    <w:rsid w:val="00FC50DA"/>
    <w:rsid w:val="00FC58D1"/>
    <w:rsid w:val="00FC5ADC"/>
    <w:rsid w:val="00FC5F0B"/>
    <w:rsid w:val="00FC62BD"/>
    <w:rsid w:val="00FC6B00"/>
    <w:rsid w:val="00FD0E43"/>
    <w:rsid w:val="00FD0FB9"/>
    <w:rsid w:val="00FD1E19"/>
    <w:rsid w:val="00FD2100"/>
    <w:rsid w:val="00FD436C"/>
    <w:rsid w:val="00FD446D"/>
    <w:rsid w:val="00FD47EB"/>
    <w:rsid w:val="00FD4BAF"/>
    <w:rsid w:val="00FD4F2C"/>
    <w:rsid w:val="00FD5CCF"/>
    <w:rsid w:val="00FD6394"/>
    <w:rsid w:val="00FD7046"/>
    <w:rsid w:val="00FD7E15"/>
    <w:rsid w:val="00FE086F"/>
    <w:rsid w:val="00FE0E6C"/>
    <w:rsid w:val="00FE18EB"/>
    <w:rsid w:val="00FE1CDC"/>
    <w:rsid w:val="00FE2DD3"/>
    <w:rsid w:val="00FE3ADA"/>
    <w:rsid w:val="00FE4239"/>
    <w:rsid w:val="00FE4373"/>
    <w:rsid w:val="00FE54D0"/>
    <w:rsid w:val="00FE5887"/>
    <w:rsid w:val="00FE70C3"/>
    <w:rsid w:val="00FF00AE"/>
    <w:rsid w:val="00FF1C9E"/>
    <w:rsid w:val="00FF2AD9"/>
    <w:rsid w:val="00FF359F"/>
    <w:rsid w:val="00FF3DCF"/>
    <w:rsid w:val="00FF4403"/>
    <w:rsid w:val="00FF492C"/>
    <w:rsid w:val="00FF4A21"/>
    <w:rsid w:val="00FF5AA3"/>
    <w:rsid w:val="00FF5AD8"/>
    <w:rsid w:val="00FF6F64"/>
    <w:rsid w:val="00FF7F8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36A5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470"/>
    <w:pPr>
      <w:jc w:val="both"/>
    </w:pPr>
    <w:rPr>
      <w:rFonts w:ascii="Calibri" w:hAnsi="Calibri" w:cs="Arial"/>
      <w:sz w:val="24"/>
      <w:szCs w:val="24"/>
    </w:rPr>
  </w:style>
  <w:style w:type="paragraph" w:styleId="Heading1">
    <w:name w:val="heading 1"/>
    <w:basedOn w:val="Normal"/>
    <w:next w:val="Normal"/>
    <w:link w:val="Heading1Char"/>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5575"/>
    <w:rPr>
      <w:rFonts w:ascii="Calibri" w:hAnsi="Calibri" w:cs="Arial"/>
      <w:b/>
      <w:caps/>
      <w:sz w:val="32"/>
      <w:szCs w:val="24"/>
    </w:rPr>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3Char">
    <w:name w:val="Heading 3 Char"/>
    <w:basedOn w:val="DefaultParagraphFont"/>
    <w:link w:val="Heading3"/>
    <w:rsid w:val="00DB5575"/>
    <w:rPr>
      <w:rFonts w:ascii="Calibri" w:hAnsi="Calibri" w:cs="Arial"/>
      <w:sz w:val="24"/>
      <w:szCs w:val="24"/>
      <w:u w:val="single"/>
    </w:rPr>
  </w:style>
  <w:style w:type="character" w:customStyle="1" w:styleId="Heading4Char">
    <w:name w:val="Heading 4 Char"/>
    <w:basedOn w:val="DefaultParagraphFont"/>
    <w:link w:val="Heading4"/>
    <w:rsid w:val="00DB5575"/>
    <w:rPr>
      <w:rFonts w:ascii="Calibri" w:hAnsi="Calibri" w:cs="Arial"/>
      <w:b/>
      <w:bCs/>
      <w:i/>
      <w:sz w:val="26"/>
      <w:szCs w:val="28"/>
    </w:rPr>
  </w:style>
  <w:style w:type="character" w:customStyle="1" w:styleId="Heading5Char">
    <w:name w:val="Heading 5 Char"/>
    <w:basedOn w:val="DefaultParagraphFont"/>
    <w:link w:val="Heading5"/>
    <w:rsid w:val="00DB5575"/>
    <w:rPr>
      <w:rFonts w:ascii="Calibri" w:hAnsi="Calibri" w:cs="Arial"/>
      <w:b/>
      <w:bCs/>
      <w:iCs/>
      <w:sz w:val="26"/>
      <w:szCs w:val="26"/>
    </w:rPr>
  </w:style>
  <w:style w:type="character" w:customStyle="1" w:styleId="Heading6Char">
    <w:name w:val="Heading 6 Char"/>
    <w:basedOn w:val="DefaultParagraphFont"/>
    <w:link w:val="Heading6"/>
    <w:rsid w:val="00DB5575"/>
    <w:rPr>
      <w:rFonts w:ascii="Calibri" w:hAnsi="Calibri" w:cs="Arial"/>
      <w:b/>
      <w:bCs/>
      <w:i/>
      <w:sz w:val="24"/>
      <w:szCs w:val="24"/>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Caption Char Char,Char Char Char,Char Char1,Char Char,Char1,Table caption,Caption 3,c,appendix,Char,Bayer Caption,IB Caption,Medical Caption,Bayer Caption1,IB Caption1,Medical Caption1,Bayer Caption2,IB Caption2,Medical Caption2"/>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Caption Char1 Char,Caption Char Char Char,Char Char Char Char,Char Char1 Char,Char Char Char1,Char1 Char,Table caption Char,Caption 3 Char,c Char,appendix Char,Char Char2,Bayer Caption Char,IB Caption Char,Medical 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Styl moj,Akapit z listą1,Akapit z listą11,ES Paragraph,PBAC ES Paragraph,PBAC normal points"/>
    <w:next w:val="ListBullet"/>
    <w:link w:val="ListParagraphChar"/>
    <w:uiPriority w:val="34"/>
    <w:qFormat/>
    <w:rsid w:val="00BB00B3"/>
    <w:pPr>
      <w:spacing w:after="120"/>
      <w:jc w:val="both"/>
    </w:pPr>
    <w:rPr>
      <w:rFonts w:asciiTheme="minorHAnsi" w:hAnsiTheme="minorHAnsi" w:cs="Arial"/>
      <w:snapToGrid w:val="0"/>
      <w:sz w:val="24"/>
      <w:szCs w:val="24"/>
    </w:rPr>
  </w:style>
  <w:style w:type="paragraph" w:styleId="ListBullet">
    <w:name w:val="List Bullet"/>
    <w:basedOn w:val="Normal"/>
    <w:unhideWhenUsed/>
    <w:qFormat/>
    <w:rsid w:val="00EE1996"/>
    <w:pPr>
      <w:numPr>
        <w:numId w:val="4"/>
      </w:numPr>
      <w:contextualSpacing/>
    </w:p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Styl moj Char,Akapit z listą1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aliases w:val="Main text,Title Page text"/>
    <w:link w:val="NoSpacingChar"/>
    <w:uiPriority w:val="1"/>
    <w:qFormat/>
    <w:rsid w:val="00124A51"/>
    <w:pPr>
      <w:widowControl w:val="0"/>
      <w:jc w:val="both"/>
    </w:pPr>
    <w:rPr>
      <w:rFonts w:ascii="Arial" w:hAnsi="Arial" w:cs="Arial"/>
      <w:snapToGrid w:val="0"/>
      <w:sz w:val="22"/>
      <w:lang w:eastAsia="en-US"/>
    </w:rPr>
  </w:style>
  <w:style w:type="character" w:customStyle="1" w:styleId="NoSpacingChar">
    <w:name w:val="No Spacing Char"/>
    <w:aliases w:val="Main text Char,Title Page text Char"/>
    <w:basedOn w:val="DefaultParagraphFont"/>
    <w:link w:val="NoSpacing"/>
    <w:uiPriority w:val="1"/>
    <w:locked/>
    <w:rsid w:val="001072B0"/>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RTI AMCP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 Char Char,Comment Text Char Char"/>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uiPriority w:val="99"/>
    <w:rsid w:val="00FD2100"/>
    <w:rPr>
      <w:snapToGrid w:val="0"/>
      <w:lang w:eastAsia="en-US"/>
    </w:rPr>
  </w:style>
  <w:style w:type="paragraph" w:customStyle="1" w:styleId="Bulletpoints">
    <w:name w:val="Bullet points"/>
    <w:basedOn w:val="ListParagraph"/>
    <w:qFormat/>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rPr>
  </w:style>
  <w:style w:type="paragraph" w:styleId="BalloonText">
    <w:name w:val="Balloon Text"/>
    <w:basedOn w:val="Normal"/>
    <w:link w:val="BalloonTextChar"/>
    <w:unhideWhenUsed/>
    <w:rsid w:val="00B34FE2"/>
    <w:rPr>
      <w:rFonts w:ascii="Tahoma" w:hAnsi="Tahoma" w:cs="Tahoma"/>
      <w:sz w:val="16"/>
      <w:szCs w:val="16"/>
    </w:rPr>
  </w:style>
  <w:style w:type="character" w:customStyle="1" w:styleId="BalloonTextChar">
    <w:name w:val="Balloon Text Char"/>
    <w:basedOn w:val="DefaultParagraphFont"/>
    <w:link w:val="BalloonText"/>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character" w:styleId="FootnoteReference">
    <w:name w:val="footnote reference"/>
    <w:basedOn w:val="DefaultParagraphFont"/>
    <w:unhideWhenUsed/>
    <w:rsid w:val="000607EB"/>
    <w:rPr>
      <w:vertAlign w:val="superscript"/>
    </w:rPr>
  </w:style>
  <w:style w:type="character" w:styleId="PlaceholderText">
    <w:name w:val="Placeholder Text"/>
    <w:basedOn w:val="DefaultParagraphFont"/>
    <w:uiPriority w:val="99"/>
    <w:semiHidden/>
    <w:rsid w:val="00757BC3"/>
    <w:rPr>
      <w:color w:val="808080"/>
    </w:rPr>
  </w:style>
  <w:style w:type="paragraph" w:customStyle="1" w:styleId="TableFootnoteindent">
    <w:name w:val="Table Footnote indent"/>
    <w:basedOn w:val="Normal"/>
    <w:next w:val="Normal"/>
    <w:link w:val="TableFootnoteindentChar"/>
    <w:autoRedefine/>
    <w:qFormat/>
    <w:rsid w:val="009D23F4"/>
    <w:pPr>
      <w:tabs>
        <w:tab w:val="left" w:pos="284"/>
      </w:tabs>
      <w:ind w:left="284" w:hanging="284"/>
      <w:jc w:val="left"/>
    </w:pPr>
    <w:rPr>
      <w:rFonts w:ascii="Times New Roman" w:hAnsi="Times New Roman" w:cs="Times New Roman"/>
      <w:sz w:val="16"/>
    </w:rPr>
  </w:style>
  <w:style w:type="character" w:customStyle="1" w:styleId="TableFootnoteindentChar">
    <w:name w:val="Table Footnote indent Char"/>
    <w:link w:val="TableFootnoteindent"/>
    <w:rsid w:val="009D23F4"/>
    <w:rPr>
      <w:sz w:val="16"/>
      <w:szCs w:val="24"/>
    </w:rPr>
  </w:style>
  <w:style w:type="paragraph" w:customStyle="1" w:styleId="C-TableText">
    <w:name w:val="C-Table Text"/>
    <w:link w:val="C-TableTextChar"/>
    <w:rsid w:val="00FE2DD3"/>
    <w:pPr>
      <w:spacing w:before="60" w:after="60"/>
    </w:pPr>
    <w:rPr>
      <w:sz w:val="22"/>
      <w:lang w:val="en-US" w:eastAsia="en-US"/>
    </w:rPr>
  </w:style>
  <w:style w:type="character" w:customStyle="1" w:styleId="C-TableTextChar">
    <w:name w:val="C-Table Text Char"/>
    <w:link w:val="C-TableText"/>
    <w:rsid w:val="00FE2DD3"/>
    <w:rPr>
      <w:sz w:val="22"/>
      <w:lang w:val="en-US" w:eastAsia="en-US"/>
    </w:rPr>
  </w:style>
  <w:style w:type="paragraph" w:customStyle="1" w:styleId="bulletlevel2">
    <w:name w:val="bullet level 2"/>
    <w:basedOn w:val="Normal"/>
    <w:rsid w:val="008C011D"/>
    <w:pPr>
      <w:tabs>
        <w:tab w:val="num" w:pos="567"/>
      </w:tabs>
      <w:ind w:left="567" w:hanging="283"/>
      <w:jc w:val="left"/>
    </w:pPr>
    <w:rPr>
      <w:rFonts w:ascii="Times New Roman" w:hAnsi="Times New Roman" w:cs="Times New Roman"/>
      <w:color w:val="000000"/>
      <w:lang w:val="en-US"/>
    </w:rPr>
  </w:style>
  <w:style w:type="paragraph" w:customStyle="1" w:styleId="Default">
    <w:name w:val="Default"/>
    <w:rsid w:val="008C011D"/>
    <w:pPr>
      <w:tabs>
        <w:tab w:val="num" w:pos="1418"/>
      </w:tabs>
      <w:autoSpaceDE w:val="0"/>
      <w:autoSpaceDN w:val="0"/>
      <w:adjustRightInd w:val="0"/>
      <w:ind w:left="1418" w:hanging="284"/>
    </w:pPr>
    <w:rPr>
      <w:color w:val="000000"/>
      <w:sz w:val="24"/>
      <w:szCs w:val="24"/>
    </w:rPr>
  </w:style>
  <w:style w:type="paragraph" w:styleId="ListBullet2">
    <w:name w:val="List Bullet 2"/>
    <w:basedOn w:val="Normal"/>
    <w:autoRedefine/>
    <w:rsid w:val="008C011D"/>
    <w:pPr>
      <w:spacing w:after="120" w:line="280" w:lineRule="exact"/>
      <w:ind w:left="1276" w:hanging="425"/>
    </w:pPr>
    <w:rPr>
      <w:rFonts w:ascii="Times New Roman" w:hAnsi="Times New Roman" w:cs="Times New Roman"/>
      <w:spacing w:val="-3"/>
      <w:szCs w:val="20"/>
      <w:lang w:val="en-GB"/>
    </w:rPr>
  </w:style>
  <w:style w:type="paragraph" w:customStyle="1" w:styleId="Answer">
    <w:name w:val="Answer"/>
    <w:basedOn w:val="Normal"/>
    <w:link w:val="AnswerCharChar"/>
    <w:qFormat/>
    <w:rsid w:val="008C011D"/>
    <w:pPr>
      <w:spacing w:line="276" w:lineRule="auto"/>
      <w:jc w:val="left"/>
    </w:pPr>
    <w:rPr>
      <w:rFonts w:ascii="Arial" w:eastAsia="Calibri" w:hAnsi="Arial"/>
      <w:lang w:val="en-GB"/>
    </w:rPr>
  </w:style>
  <w:style w:type="character" w:customStyle="1" w:styleId="AnswerCharChar">
    <w:name w:val="Answer Char Char"/>
    <w:link w:val="Answer"/>
    <w:rsid w:val="008C011D"/>
    <w:rPr>
      <w:rFonts w:ascii="Arial" w:eastAsia="Calibri" w:hAnsi="Arial" w:cs="Arial"/>
      <w:sz w:val="24"/>
      <w:szCs w:val="24"/>
      <w:lang w:val="en-GB"/>
    </w:rPr>
  </w:style>
  <w:style w:type="character" w:customStyle="1" w:styleId="CaptionTableChar">
    <w:name w:val="Caption Table Char"/>
    <w:link w:val="CaptionTable"/>
    <w:locked/>
    <w:rsid w:val="00C12A60"/>
    <w:rPr>
      <w:rFonts w:ascii="Arial Narrow" w:hAnsi="Arial Narrow"/>
      <w:b/>
      <w:bCs/>
      <w:lang w:bidi="en-US"/>
    </w:rPr>
  </w:style>
  <w:style w:type="paragraph" w:customStyle="1" w:styleId="CaptionTable">
    <w:name w:val="Caption Table"/>
    <w:basedOn w:val="Normal"/>
    <w:next w:val="Normal"/>
    <w:link w:val="CaptionTableChar"/>
    <w:autoRedefine/>
    <w:rsid w:val="00C12A60"/>
    <w:pPr>
      <w:keepNext/>
    </w:pPr>
    <w:rPr>
      <w:rFonts w:ascii="Arial Narrow" w:hAnsi="Arial Narrow" w:cs="Times New Roman"/>
      <w:b/>
      <w:bCs/>
      <w:sz w:val="20"/>
      <w:szCs w:val="20"/>
      <w:lang w:bidi="en-US"/>
    </w:rPr>
  </w:style>
  <w:style w:type="paragraph" w:customStyle="1" w:styleId="Tablefootnote">
    <w:name w:val="Table footnote"/>
    <w:basedOn w:val="Tabletext"/>
    <w:next w:val="Normal"/>
    <w:link w:val="TablefootnoteChar"/>
    <w:qFormat/>
    <w:rsid w:val="008C011D"/>
    <w:rPr>
      <w:rFonts w:ascii="Times New Roman" w:eastAsia="Calibri" w:hAnsi="Times New Roman"/>
      <w:snapToGrid/>
      <w:sz w:val="16"/>
      <w:szCs w:val="20"/>
      <w:lang w:val="en-GB"/>
    </w:rPr>
  </w:style>
  <w:style w:type="character" w:customStyle="1" w:styleId="TablefootnoteChar">
    <w:name w:val="Table footnote Char"/>
    <w:link w:val="Tablefootnote"/>
    <w:rsid w:val="008C011D"/>
    <w:rPr>
      <w:rFonts w:eastAsia="Calibri"/>
      <w:sz w:val="16"/>
      <w:lang w:val="en-GB"/>
    </w:rPr>
  </w:style>
  <w:style w:type="paragraph" w:styleId="FootnoteText">
    <w:name w:val="footnote text"/>
    <w:basedOn w:val="Normal"/>
    <w:link w:val="FootnoteTextChar"/>
    <w:unhideWhenUsed/>
    <w:rsid w:val="008C011D"/>
    <w:pPr>
      <w:widowControl w:val="0"/>
    </w:pPr>
    <w:rPr>
      <w:snapToGrid w:val="0"/>
      <w:sz w:val="20"/>
      <w:szCs w:val="20"/>
      <w:lang w:eastAsia="en-US"/>
    </w:rPr>
  </w:style>
  <w:style w:type="character" w:customStyle="1" w:styleId="FootnoteTextChar">
    <w:name w:val="Footnote Text Char"/>
    <w:basedOn w:val="DefaultParagraphFont"/>
    <w:link w:val="FootnoteText"/>
    <w:rsid w:val="008C011D"/>
    <w:rPr>
      <w:rFonts w:ascii="Calibri" w:hAnsi="Calibri" w:cs="Arial"/>
      <w:snapToGrid w:val="0"/>
      <w:lang w:eastAsia="en-US"/>
    </w:rPr>
  </w:style>
  <w:style w:type="paragraph" w:customStyle="1" w:styleId="TableSource">
    <w:name w:val="Table Source"/>
    <w:basedOn w:val="Normal"/>
    <w:next w:val="Normal"/>
    <w:link w:val="TableSourceChar"/>
    <w:autoRedefine/>
    <w:qFormat/>
    <w:rsid w:val="00193A76"/>
    <w:pPr>
      <w:widowControl w:val="0"/>
      <w:tabs>
        <w:tab w:val="left" w:pos="709"/>
      </w:tabs>
    </w:pPr>
    <w:rPr>
      <w:rFonts w:ascii="Arial Narrow" w:hAnsi="Arial Narrow" w:cstheme="minorHAnsi"/>
      <w:iCs/>
      <w:sz w:val="18"/>
      <w:szCs w:val="18"/>
    </w:rPr>
  </w:style>
  <w:style w:type="character" w:customStyle="1" w:styleId="TableSourceChar">
    <w:name w:val="Table Source Char"/>
    <w:link w:val="TableSource"/>
    <w:rsid w:val="00193A76"/>
    <w:rPr>
      <w:rFonts w:ascii="Arial Narrow" w:hAnsi="Arial Narrow" w:cstheme="minorHAnsi"/>
      <w:iCs/>
      <w:sz w:val="18"/>
      <w:szCs w:val="18"/>
    </w:rPr>
  </w:style>
  <w:style w:type="character" w:customStyle="1" w:styleId="EndnoteTextChar">
    <w:name w:val="Endnote Text Char"/>
    <w:basedOn w:val="DefaultParagraphFont"/>
    <w:link w:val="EndnoteText"/>
    <w:semiHidden/>
    <w:rsid w:val="008C011D"/>
    <w:rPr>
      <w:rFonts w:ascii="Calibri" w:hAnsi="Calibri" w:cs="Arial"/>
      <w:snapToGrid w:val="0"/>
    </w:rPr>
  </w:style>
  <w:style w:type="paragraph" w:styleId="EndnoteText">
    <w:name w:val="endnote text"/>
    <w:basedOn w:val="Normal"/>
    <w:link w:val="EndnoteTextChar"/>
    <w:semiHidden/>
    <w:unhideWhenUsed/>
    <w:rsid w:val="008C011D"/>
    <w:pPr>
      <w:widowControl w:val="0"/>
    </w:pPr>
    <w:rPr>
      <w:snapToGrid w:val="0"/>
      <w:sz w:val="20"/>
      <w:szCs w:val="20"/>
    </w:rPr>
  </w:style>
  <w:style w:type="character" w:customStyle="1" w:styleId="EndnoteTextChar1">
    <w:name w:val="Endnote Text Char1"/>
    <w:basedOn w:val="DefaultParagraphFont"/>
    <w:semiHidden/>
    <w:rsid w:val="008C011D"/>
    <w:rPr>
      <w:rFonts w:ascii="Calibri" w:hAnsi="Calibri" w:cs="Arial"/>
    </w:rPr>
  </w:style>
  <w:style w:type="paragraph" w:customStyle="1" w:styleId="Heading2text">
    <w:name w:val="Heading 2 text"/>
    <w:basedOn w:val="Normal"/>
    <w:next w:val="Normal"/>
    <w:rsid w:val="008C011D"/>
    <w:pPr>
      <w:tabs>
        <w:tab w:val="num" w:pos="851"/>
      </w:tabs>
      <w:spacing w:before="120" w:after="60"/>
      <w:ind w:left="851" w:hanging="284"/>
      <w:jc w:val="left"/>
      <w:outlineLvl w:val="0"/>
    </w:pPr>
    <w:rPr>
      <w:rFonts w:ascii="Times New Roman" w:hAnsi="Times New Roman"/>
      <w:b/>
      <w:sz w:val="28"/>
    </w:rPr>
  </w:style>
  <w:style w:type="paragraph" w:customStyle="1" w:styleId="C-TableHeader">
    <w:name w:val="C-Table Header"/>
    <w:next w:val="C-TableText"/>
    <w:link w:val="C-TableHeaderChar"/>
    <w:rsid w:val="008C011D"/>
    <w:pPr>
      <w:keepNext/>
      <w:spacing w:before="60" w:after="60"/>
    </w:pPr>
    <w:rPr>
      <w:b/>
      <w:sz w:val="22"/>
      <w:lang w:val="en-US" w:eastAsia="en-US"/>
    </w:rPr>
  </w:style>
  <w:style w:type="character" w:customStyle="1" w:styleId="C-TableHeaderChar">
    <w:name w:val="C-Table Header Char"/>
    <w:link w:val="C-TableHeader"/>
    <w:rsid w:val="008C011D"/>
    <w:rPr>
      <w:b/>
      <w:sz w:val="22"/>
      <w:lang w:val="en-US" w:eastAsia="en-US"/>
    </w:rPr>
  </w:style>
  <w:style w:type="paragraph" w:customStyle="1" w:styleId="C-BodyText">
    <w:name w:val="C-Body Text"/>
    <w:link w:val="C-BodyTextChar"/>
    <w:rsid w:val="008C011D"/>
    <w:pPr>
      <w:spacing w:before="120" w:after="120" w:line="280" w:lineRule="atLeast"/>
    </w:pPr>
    <w:rPr>
      <w:sz w:val="24"/>
      <w:lang w:val="en-US" w:eastAsia="en-US"/>
    </w:rPr>
  </w:style>
  <w:style w:type="character" w:customStyle="1" w:styleId="C-BodyTextChar">
    <w:name w:val="C-Body Text Char"/>
    <w:link w:val="C-BodyText"/>
    <w:rsid w:val="008C011D"/>
    <w:rPr>
      <w:sz w:val="24"/>
      <w:lang w:val="en-US" w:eastAsia="en-US"/>
    </w:rPr>
  </w:style>
  <w:style w:type="character" w:customStyle="1" w:styleId="C-Hyperlink">
    <w:name w:val="C-Hyperlink"/>
    <w:rsid w:val="008C011D"/>
    <w:rPr>
      <w:color w:val="0000FF"/>
    </w:rPr>
  </w:style>
  <w:style w:type="paragraph" w:customStyle="1" w:styleId="C-Bullet">
    <w:name w:val="C-Bullet"/>
    <w:rsid w:val="008C011D"/>
    <w:pPr>
      <w:numPr>
        <w:numId w:val="6"/>
      </w:numPr>
      <w:tabs>
        <w:tab w:val="clear" w:pos="1080"/>
        <w:tab w:val="num" w:pos="360"/>
      </w:tabs>
      <w:spacing w:before="120" w:after="120" w:line="280" w:lineRule="atLeast"/>
      <w:ind w:left="0" w:firstLine="0"/>
    </w:pPr>
    <w:rPr>
      <w:sz w:val="24"/>
      <w:lang w:val="en-US" w:eastAsia="en-US"/>
    </w:rPr>
  </w:style>
  <w:style w:type="paragraph" w:customStyle="1" w:styleId="C-BulletIndented">
    <w:name w:val="C-Bullet Indented"/>
    <w:rsid w:val="008C011D"/>
    <w:pPr>
      <w:tabs>
        <w:tab w:val="num" w:pos="360"/>
      </w:tabs>
      <w:spacing w:before="120" w:after="120" w:line="280" w:lineRule="atLeast"/>
    </w:pPr>
    <w:rPr>
      <w:rFonts w:cs="Arial"/>
      <w:sz w:val="24"/>
      <w:lang w:val="en-US" w:eastAsia="en-US"/>
    </w:rPr>
  </w:style>
  <w:style w:type="paragraph" w:styleId="Index7">
    <w:name w:val="index 7"/>
    <w:basedOn w:val="Normal"/>
    <w:next w:val="Normal"/>
    <w:autoRedefine/>
    <w:rsid w:val="008C011D"/>
    <w:pPr>
      <w:ind w:left="1680" w:hanging="240"/>
      <w:jc w:val="left"/>
    </w:pPr>
    <w:rPr>
      <w:rFonts w:ascii="Times New Roman" w:hAnsi="Times New Roman" w:cs="Times New Roman"/>
      <w:spacing w:val="-3"/>
      <w:szCs w:val="20"/>
      <w:lang w:val="en-GB"/>
    </w:rPr>
  </w:style>
  <w:style w:type="paragraph" w:styleId="Index4">
    <w:name w:val="index 4"/>
    <w:basedOn w:val="Normal"/>
    <w:next w:val="Normal"/>
    <w:autoRedefine/>
    <w:rsid w:val="008C011D"/>
    <w:pPr>
      <w:ind w:left="960" w:hanging="240"/>
      <w:jc w:val="left"/>
    </w:pPr>
    <w:rPr>
      <w:rFonts w:ascii="Times New Roman" w:hAnsi="Times New Roman" w:cs="Times New Roman"/>
      <w:spacing w:val="-3"/>
      <w:szCs w:val="20"/>
      <w:lang w:val="en-GB"/>
    </w:rPr>
  </w:style>
  <w:style w:type="paragraph" w:customStyle="1" w:styleId="p">
    <w:name w:val="p"/>
    <w:basedOn w:val="Normal"/>
    <w:rsid w:val="008C011D"/>
    <w:pPr>
      <w:spacing w:before="100" w:beforeAutospacing="1" w:after="100" w:afterAutospacing="1"/>
      <w:jc w:val="left"/>
    </w:pPr>
    <w:rPr>
      <w:rFonts w:ascii="Times New Roman" w:hAnsi="Times New Roman" w:cs="Times New Roman"/>
    </w:rPr>
  </w:style>
  <w:style w:type="character" w:styleId="Strong">
    <w:name w:val="Strong"/>
    <w:basedOn w:val="DefaultParagraphFont"/>
    <w:uiPriority w:val="22"/>
    <w:qFormat/>
    <w:rsid w:val="008C011D"/>
    <w:rPr>
      <w:b/>
      <w:bCs/>
    </w:rPr>
  </w:style>
  <w:style w:type="paragraph" w:customStyle="1" w:styleId="MediumGrid1-Accent21">
    <w:name w:val="Medium Grid 1 - Accent 21"/>
    <w:basedOn w:val="Normal"/>
    <w:uiPriority w:val="34"/>
    <w:qFormat/>
    <w:rsid w:val="008C011D"/>
    <w:pPr>
      <w:ind w:left="720"/>
      <w:jc w:val="left"/>
    </w:pPr>
    <w:rPr>
      <w:rFonts w:ascii="Times New Roman" w:hAnsi="Times New Roman" w:cs="Times New Roman"/>
    </w:rPr>
  </w:style>
  <w:style w:type="paragraph" w:customStyle="1" w:styleId="TableHeading0">
    <w:name w:val="Table Heading"/>
    <w:basedOn w:val="Normal"/>
    <w:uiPriority w:val="99"/>
    <w:qFormat/>
    <w:rsid w:val="008C011D"/>
    <w:pPr>
      <w:keepNext/>
      <w:spacing w:after="60"/>
      <w:jc w:val="left"/>
    </w:pPr>
    <w:rPr>
      <w:rFonts w:ascii="Arial Narrow" w:eastAsiaTheme="minorHAnsi" w:hAnsi="Arial Narrow" w:cstheme="minorBidi"/>
      <w:b/>
      <w:sz w:val="20"/>
      <w:szCs w:val="22"/>
      <w:lang w:eastAsia="en-US"/>
    </w:rPr>
  </w:style>
  <w:style w:type="character" w:customStyle="1" w:styleId="V50InstructionsChar">
    <w:name w:val="V5.0 Instructions Char"/>
    <w:basedOn w:val="DefaultParagraphFont"/>
    <w:link w:val="V50Instructions"/>
    <w:locked/>
    <w:rsid w:val="008C011D"/>
    <w:rPr>
      <w:color w:val="4BACC6" w:themeColor="accent5"/>
      <w:szCs w:val="22"/>
    </w:rPr>
  </w:style>
  <w:style w:type="paragraph" w:customStyle="1" w:styleId="V50Instructions">
    <w:name w:val="V5.0 Instructions"/>
    <w:basedOn w:val="Normal"/>
    <w:link w:val="V50InstructionsChar"/>
    <w:qFormat/>
    <w:rsid w:val="008C011D"/>
    <w:pPr>
      <w:spacing w:before="120" w:after="160"/>
      <w:jc w:val="left"/>
    </w:pPr>
    <w:rPr>
      <w:rFonts w:ascii="Times New Roman" w:hAnsi="Times New Roman" w:cs="Times New Roman"/>
      <w:color w:val="4BACC6" w:themeColor="accent5"/>
      <w:sz w:val="20"/>
      <w:szCs w:val="22"/>
    </w:rPr>
  </w:style>
  <w:style w:type="paragraph" w:customStyle="1" w:styleId="Tabletbullet">
    <w:name w:val="Tablet bullet"/>
    <w:basedOn w:val="ListBullet"/>
    <w:qFormat/>
    <w:rsid w:val="008C011D"/>
    <w:pPr>
      <w:numPr>
        <w:numId w:val="0"/>
      </w:numPr>
      <w:tabs>
        <w:tab w:val="num" w:pos="360"/>
      </w:tabs>
      <w:spacing w:before="60" w:after="120"/>
      <w:ind w:left="227" w:hanging="227"/>
      <w:jc w:val="left"/>
    </w:pPr>
    <w:rPr>
      <w:rFonts w:ascii="Arial" w:hAnsi="Arial" w:cs="Times New Roman"/>
      <w:sz w:val="20"/>
      <w:lang w:val="en-GB" w:eastAsia="en-GB"/>
    </w:rPr>
  </w:style>
  <w:style w:type="character" w:styleId="Emphasis">
    <w:name w:val="Emphasis"/>
    <w:qFormat/>
    <w:rsid w:val="008C011D"/>
    <w:rPr>
      <w:i/>
      <w:iCs/>
    </w:rPr>
  </w:style>
  <w:style w:type="character" w:customStyle="1" w:styleId="UnresolvedMention1">
    <w:name w:val="Unresolved Mention1"/>
    <w:basedOn w:val="DefaultParagraphFont"/>
    <w:uiPriority w:val="99"/>
    <w:semiHidden/>
    <w:unhideWhenUsed/>
    <w:rsid w:val="00B20FE4"/>
    <w:rPr>
      <w:color w:val="605E5C"/>
      <w:shd w:val="clear" w:color="auto" w:fill="E1DFDD"/>
    </w:rPr>
  </w:style>
  <w:style w:type="character" w:customStyle="1" w:styleId="anchortext">
    <w:name w:val="anchortext"/>
    <w:basedOn w:val="DefaultParagraphFont"/>
    <w:rsid w:val="001072B0"/>
  </w:style>
  <w:style w:type="character" w:customStyle="1" w:styleId="sr-only">
    <w:name w:val="sr-only"/>
    <w:basedOn w:val="DefaultParagraphFont"/>
    <w:rsid w:val="001072B0"/>
  </w:style>
  <w:style w:type="table" w:customStyle="1" w:styleId="HTATableStyle">
    <w:name w:val="HTATableStyle"/>
    <w:basedOn w:val="TableNormal"/>
    <w:uiPriority w:val="99"/>
    <w:rsid w:val="008C3872"/>
    <w:pPr>
      <w:spacing w:before="60" w:after="60"/>
      <w:jc w:val="center"/>
    </w:pPr>
    <w:rPr>
      <w:rFonts w:ascii="Arial" w:eastAsia="Calibri" w:hAnsi="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tblStylePr w:type="firstCol">
      <w:pPr>
        <w:jc w:val="left"/>
      </w:pPr>
    </w:tblStylePr>
  </w:style>
  <w:style w:type="character" w:customStyle="1" w:styleId="MainBodyTextEmphasiswithBold">
    <w:name w:val="Main Body Text Emphasis with Bold"/>
    <w:qFormat/>
    <w:rsid w:val="008C3872"/>
    <w:rPr>
      <w:b/>
      <w:bCs w:val="0"/>
    </w:rPr>
  </w:style>
  <w:style w:type="numbering" w:customStyle="1" w:styleId="NoList1">
    <w:name w:val="No List1"/>
    <w:next w:val="NoList"/>
    <w:uiPriority w:val="99"/>
    <w:semiHidden/>
    <w:unhideWhenUsed/>
    <w:rsid w:val="006F1BCC"/>
  </w:style>
  <w:style w:type="character" w:styleId="EndnoteReference">
    <w:name w:val="endnote reference"/>
    <w:basedOn w:val="DefaultParagraphFont"/>
    <w:semiHidden/>
    <w:unhideWhenUsed/>
    <w:rsid w:val="006F1BCC"/>
    <w:rPr>
      <w:vertAlign w:val="superscript"/>
    </w:rPr>
  </w:style>
  <w:style w:type="table" w:customStyle="1" w:styleId="Summarybox1">
    <w:name w:val="Summary box1"/>
    <w:basedOn w:val="TableNormal"/>
    <w:next w:val="TableGrid"/>
    <w:uiPriority w:val="59"/>
    <w:rsid w:val="006F1BCC"/>
    <w:rPr>
      <w:rFonts w:ascii="Garamond" w:eastAsiaTheme="minorHAnsi" w:hAnsi="Garamond"/>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odytext">
    <w:name w:val="3. Body text"/>
    <w:basedOn w:val="ListParagraph"/>
    <w:link w:val="3BodytextChar"/>
    <w:qFormat/>
    <w:rsid w:val="00951F14"/>
    <w:pPr>
      <w:ind w:left="720" w:hanging="720"/>
      <w:jc w:val="left"/>
    </w:pPr>
    <w:rPr>
      <w:rFonts w:cstheme="minorBidi"/>
      <w:snapToGrid/>
      <w:szCs w:val="22"/>
    </w:rPr>
  </w:style>
  <w:style w:type="character" w:customStyle="1" w:styleId="3BodytextChar">
    <w:name w:val="3. Body text Char"/>
    <w:basedOn w:val="DefaultParagraphFont"/>
    <w:link w:val="3Bodytext"/>
    <w:rsid w:val="00951F14"/>
    <w:rPr>
      <w:rFonts w:asciiTheme="minorHAnsi" w:hAnsi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04701">
      <w:bodyDiv w:val="1"/>
      <w:marLeft w:val="0"/>
      <w:marRight w:val="0"/>
      <w:marTop w:val="0"/>
      <w:marBottom w:val="0"/>
      <w:divBdr>
        <w:top w:val="none" w:sz="0" w:space="0" w:color="auto"/>
        <w:left w:val="none" w:sz="0" w:space="0" w:color="auto"/>
        <w:bottom w:val="none" w:sz="0" w:space="0" w:color="auto"/>
        <w:right w:val="none" w:sz="0" w:space="0" w:color="auto"/>
      </w:divBdr>
      <w:divsChild>
        <w:div w:id="1242104352">
          <w:marLeft w:val="0"/>
          <w:marRight w:val="0"/>
          <w:marTop w:val="0"/>
          <w:marBottom w:val="0"/>
          <w:divBdr>
            <w:top w:val="none" w:sz="0" w:space="0" w:color="auto"/>
            <w:left w:val="none" w:sz="0" w:space="0" w:color="auto"/>
            <w:bottom w:val="none" w:sz="0" w:space="0" w:color="auto"/>
            <w:right w:val="none" w:sz="0" w:space="0" w:color="auto"/>
          </w:divBdr>
          <w:divsChild>
            <w:div w:id="271284554">
              <w:marLeft w:val="0"/>
              <w:marRight w:val="0"/>
              <w:marTop w:val="0"/>
              <w:marBottom w:val="0"/>
              <w:divBdr>
                <w:top w:val="none" w:sz="0" w:space="0" w:color="auto"/>
                <w:left w:val="none" w:sz="0" w:space="0" w:color="auto"/>
                <w:bottom w:val="none" w:sz="0" w:space="0" w:color="auto"/>
                <w:right w:val="none" w:sz="0" w:space="0" w:color="auto"/>
              </w:divBdr>
              <w:divsChild>
                <w:div w:id="47005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95706">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287397">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49518613">
      <w:bodyDiv w:val="1"/>
      <w:marLeft w:val="0"/>
      <w:marRight w:val="0"/>
      <w:marTop w:val="0"/>
      <w:marBottom w:val="0"/>
      <w:divBdr>
        <w:top w:val="none" w:sz="0" w:space="0" w:color="auto"/>
        <w:left w:val="none" w:sz="0" w:space="0" w:color="auto"/>
        <w:bottom w:val="none" w:sz="0" w:space="0" w:color="auto"/>
        <w:right w:val="none" w:sz="0" w:space="0" w:color="auto"/>
      </w:divBdr>
    </w:div>
    <w:div w:id="152795435">
      <w:bodyDiv w:val="1"/>
      <w:marLeft w:val="0"/>
      <w:marRight w:val="0"/>
      <w:marTop w:val="0"/>
      <w:marBottom w:val="0"/>
      <w:divBdr>
        <w:top w:val="none" w:sz="0" w:space="0" w:color="auto"/>
        <w:left w:val="none" w:sz="0" w:space="0" w:color="auto"/>
        <w:bottom w:val="none" w:sz="0" w:space="0" w:color="auto"/>
        <w:right w:val="none" w:sz="0" w:space="0" w:color="auto"/>
      </w:divBdr>
    </w:div>
    <w:div w:id="201402399">
      <w:bodyDiv w:val="1"/>
      <w:marLeft w:val="0"/>
      <w:marRight w:val="0"/>
      <w:marTop w:val="0"/>
      <w:marBottom w:val="0"/>
      <w:divBdr>
        <w:top w:val="none" w:sz="0" w:space="0" w:color="auto"/>
        <w:left w:val="none" w:sz="0" w:space="0" w:color="auto"/>
        <w:bottom w:val="none" w:sz="0" w:space="0" w:color="auto"/>
        <w:right w:val="none" w:sz="0" w:space="0" w:color="auto"/>
      </w:divBdr>
    </w:div>
    <w:div w:id="250898781">
      <w:bodyDiv w:val="1"/>
      <w:marLeft w:val="0"/>
      <w:marRight w:val="0"/>
      <w:marTop w:val="0"/>
      <w:marBottom w:val="0"/>
      <w:divBdr>
        <w:top w:val="none" w:sz="0" w:space="0" w:color="auto"/>
        <w:left w:val="none" w:sz="0" w:space="0" w:color="auto"/>
        <w:bottom w:val="none" w:sz="0" w:space="0" w:color="auto"/>
        <w:right w:val="none" w:sz="0" w:space="0" w:color="auto"/>
      </w:divBdr>
    </w:div>
    <w:div w:id="281225603">
      <w:bodyDiv w:val="1"/>
      <w:marLeft w:val="0"/>
      <w:marRight w:val="0"/>
      <w:marTop w:val="0"/>
      <w:marBottom w:val="0"/>
      <w:divBdr>
        <w:top w:val="none" w:sz="0" w:space="0" w:color="auto"/>
        <w:left w:val="none" w:sz="0" w:space="0" w:color="auto"/>
        <w:bottom w:val="none" w:sz="0" w:space="0" w:color="auto"/>
        <w:right w:val="none" w:sz="0" w:space="0" w:color="auto"/>
      </w:divBdr>
    </w:div>
    <w:div w:id="29067267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575864953">
      <w:bodyDiv w:val="1"/>
      <w:marLeft w:val="0"/>
      <w:marRight w:val="0"/>
      <w:marTop w:val="0"/>
      <w:marBottom w:val="0"/>
      <w:divBdr>
        <w:top w:val="none" w:sz="0" w:space="0" w:color="auto"/>
        <w:left w:val="none" w:sz="0" w:space="0" w:color="auto"/>
        <w:bottom w:val="none" w:sz="0" w:space="0" w:color="auto"/>
        <w:right w:val="none" w:sz="0" w:space="0" w:color="auto"/>
      </w:divBdr>
    </w:div>
    <w:div w:id="620041269">
      <w:bodyDiv w:val="1"/>
      <w:marLeft w:val="0"/>
      <w:marRight w:val="0"/>
      <w:marTop w:val="0"/>
      <w:marBottom w:val="0"/>
      <w:divBdr>
        <w:top w:val="none" w:sz="0" w:space="0" w:color="auto"/>
        <w:left w:val="none" w:sz="0" w:space="0" w:color="auto"/>
        <w:bottom w:val="none" w:sz="0" w:space="0" w:color="auto"/>
        <w:right w:val="none" w:sz="0" w:space="0" w:color="auto"/>
      </w:divBdr>
    </w:div>
    <w:div w:id="629701088">
      <w:bodyDiv w:val="1"/>
      <w:marLeft w:val="0"/>
      <w:marRight w:val="0"/>
      <w:marTop w:val="0"/>
      <w:marBottom w:val="0"/>
      <w:divBdr>
        <w:top w:val="none" w:sz="0" w:space="0" w:color="auto"/>
        <w:left w:val="none" w:sz="0" w:space="0" w:color="auto"/>
        <w:bottom w:val="none" w:sz="0" w:space="0" w:color="auto"/>
        <w:right w:val="none" w:sz="0" w:space="0" w:color="auto"/>
      </w:divBdr>
    </w:div>
    <w:div w:id="648095018">
      <w:bodyDiv w:val="1"/>
      <w:marLeft w:val="0"/>
      <w:marRight w:val="0"/>
      <w:marTop w:val="0"/>
      <w:marBottom w:val="0"/>
      <w:divBdr>
        <w:top w:val="none" w:sz="0" w:space="0" w:color="auto"/>
        <w:left w:val="none" w:sz="0" w:space="0" w:color="auto"/>
        <w:bottom w:val="none" w:sz="0" w:space="0" w:color="auto"/>
        <w:right w:val="none" w:sz="0" w:space="0" w:color="auto"/>
      </w:divBdr>
    </w:div>
    <w:div w:id="748191276">
      <w:bodyDiv w:val="1"/>
      <w:marLeft w:val="0"/>
      <w:marRight w:val="0"/>
      <w:marTop w:val="0"/>
      <w:marBottom w:val="0"/>
      <w:divBdr>
        <w:top w:val="none" w:sz="0" w:space="0" w:color="auto"/>
        <w:left w:val="none" w:sz="0" w:space="0" w:color="auto"/>
        <w:bottom w:val="none" w:sz="0" w:space="0" w:color="auto"/>
        <w:right w:val="none" w:sz="0" w:space="0" w:color="auto"/>
      </w:divBdr>
    </w:div>
    <w:div w:id="848834546">
      <w:bodyDiv w:val="1"/>
      <w:marLeft w:val="0"/>
      <w:marRight w:val="0"/>
      <w:marTop w:val="0"/>
      <w:marBottom w:val="0"/>
      <w:divBdr>
        <w:top w:val="none" w:sz="0" w:space="0" w:color="auto"/>
        <w:left w:val="none" w:sz="0" w:space="0" w:color="auto"/>
        <w:bottom w:val="none" w:sz="0" w:space="0" w:color="auto"/>
        <w:right w:val="none" w:sz="0" w:space="0" w:color="auto"/>
      </w:divBdr>
    </w:div>
    <w:div w:id="905145163">
      <w:bodyDiv w:val="1"/>
      <w:marLeft w:val="0"/>
      <w:marRight w:val="0"/>
      <w:marTop w:val="0"/>
      <w:marBottom w:val="0"/>
      <w:divBdr>
        <w:top w:val="none" w:sz="0" w:space="0" w:color="auto"/>
        <w:left w:val="none" w:sz="0" w:space="0" w:color="auto"/>
        <w:bottom w:val="none" w:sz="0" w:space="0" w:color="auto"/>
        <w:right w:val="none" w:sz="0" w:space="0" w:color="auto"/>
      </w:divBdr>
    </w:div>
    <w:div w:id="1139112892">
      <w:bodyDiv w:val="1"/>
      <w:marLeft w:val="0"/>
      <w:marRight w:val="0"/>
      <w:marTop w:val="0"/>
      <w:marBottom w:val="0"/>
      <w:divBdr>
        <w:top w:val="none" w:sz="0" w:space="0" w:color="auto"/>
        <w:left w:val="none" w:sz="0" w:space="0" w:color="auto"/>
        <w:bottom w:val="none" w:sz="0" w:space="0" w:color="auto"/>
        <w:right w:val="none" w:sz="0" w:space="0" w:color="auto"/>
      </w:divBdr>
    </w:div>
    <w:div w:id="1151092414">
      <w:bodyDiv w:val="1"/>
      <w:marLeft w:val="0"/>
      <w:marRight w:val="0"/>
      <w:marTop w:val="0"/>
      <w:marBottom w:val="0"/>
      <w:divBdr>
        <w:top w:val="none" w:sz="0" w:space="0" w:color="auto"/>
        <w:left w:val="none" w:sz="0" w:space="0" w:color="auto"/>
        <w:bottom w:val="none" w:sz="0" w:space="0" w:color="auto"/>
        <w:right w:val="none" w:sz="0" w:space="0" w:color="auto"/>
      </w:divBdr>
      <w:divsChild>
        <w:div w:id="1255896644">
          <w:marLeft w:val="0"/>
          <w:marRight w:val="0"/>
          <w:marTop w:val="0"/>
          <w:marBottom w:val="0"/>
          <w:divBdr>
            <w:top w:val="none" w:sz="0" w:space="0" w:color="auto"/>
            <w:left w:val="none" w:sz="0" w:space="0" w:color="auto"/>
            <w:bottom w:val="none" w:sz="0" w:space="0" w:color="auto"/>
            <w:right w:val="none" w:sz="0" w:space="0" w:color="auto"/>
          </w:divBdr>
          <w:divsChild>
            <w:div w:id="800073686">
              <w:marLeft w:val="0"/>
              <w:marRight w:val="0"/>
              <w:marTop w:val="0"/>
              <w:marBottom w:val="0"/>
              <w:divBdr>
                <w:top w:val="none" w:sz="0" w:space="0" w:color="auto"/>
                <w:left w:val="none" w:sz="0" w:space="0" w:color="auto"/>
                <w:bottom w:val="none" w:sz="0" w:space="0" w:color="auto"/>
                <w:right w:val="none" w:sz="0" w:space="0" w:color="auto"/>
              </w:divBdr>
              <w:divsChild>
                <w:div w:id="1106921465">
                  <w:marLeft w:val="0"/>
                  <w:marRight w:val="0"/>
                  <w:marTop w:val="0"/>
                  <w:marBottom w:val="0"/>
                  <w:divBdr>
                    <w:top w:val="none" w:sz="0" w:space="0" w:color="auto"/>
                    <w:left w:val="none" w:sz="0" w:space="0" w:color="auto"/>
                    <w:bottom w:val="none" w:sz="0" w:space="0" w:color="auto"/>
                    <w:right w:val="none" w:sz="0" w:space="0" w:color="auto"/>
                  </w:divBdr>
                  <w:divsChild>
                    <w:div w:id="1354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12813">
      <w:bodyDiv w:val="1"/>
      <w:marLeft w:val="0"/>
      <w:marRight w:val="0"/>
      <w:marTop w:val="0"/>
      <w:marBottom w:val="0"/>
      <w:divBdr>
        <w:top w:val="none" w:sz="0" w:space="0" w:color="auto"/>
        <w:left w:val="none" w:sz="0" w:space="0" w:color="auto"/>
        <w:bottom w:val="none" w:sz="0" w:space="0" w:color="auto"/>
        <w:right w:val="none" w:sz="0" w:space="0" w:color="auto"/>
      </w:divBdr>
    </w:div>
    <w:div w:id="1290822843">
      <w:bodyDiv w:val="1"/>
      <w:marLeft w:val="0"/>
      <w:marRight w:val="0"/>
      <w:marTop w:val="0"/>
      <w:marBottom w:val="0"/>
      <w:divBdr>
        <w:top w:val="none" w:sz="0" w:space="0" w:color="auto"/>
        <w:left w:val="none" w:sz="0" w:space="0" w:color="auto"/>
        <w:bottom w:val="none" w:sz="0" w:space="0" w:color="auto"/>
        <w:right w:val="none" w:sz="0" w:space="0" w:color="auto"/>
      </w:divBdr>
    </w:div>
    <w:div w:id="1343970088">
      <w:bodyDiv w:val="1"/>
      <w:marLeft w:val="0"/>
      <w:marRight w:val="0"/>
      <w:marTop w:val="0"/>
      <w:marBottom w:val="0"/>
      <w:divBdr>
        <w:top w:val="none" w:sz="0" w:space="0" w:color="auto"/>
        <w:left w:val="none" w:sz="0" w:space="0" w:color="auto"/>
        <w:bottom w:val="none" w:sz="0" w:space="0" w:color="auto"/>
        <w:right w:val="none" w:sz="0" w:space="0" w:color="auto"/>
      </w:divBdr>
    </w:div>
    <w:div w:id="1398165306">
      <w:bodyDiv w:val="1"/>
      <w:marLeft w:val="0"/>
      <w:marRight w:val="0"/>
      <w:marTop w:val="0"/>
      <w:marBottom w:val="0"/>
      <w:divBdr>
        <w:top w:val="none" w:sz="0" w:space="0" w:color="auto"/>
        <w:left w:val="none" w:sz="0" w:space="0" w:color="auto"/>
        <w:bottom w:val="none" w:sz="0" w:space="0" w:color="auto"/>
        <w:right w:val="none" w:sz="0" w:space="0" w:color="auto"/>
      </w:divBdr>
    </w:div>
    <w:div w:id="1524590805">
      <w:bodyDiv w:val="1"/>
      <w:marLeft w:val="0"/>
      <w:marRight w:val="0"/>
      <w:marTop w:val="0"/>
      <w:marBottom w:val="0"/>
      <w:divBdr>
        <w:top w:val="none" w:sz="0" w:space="0" w:color="auto"/>
        <w:left w:val="none" w:sz="0" w:space="0" w:color="auto"/>
        <w:bottom w:val="none" w:sz="0" w:space="0" w:color="auto"/>
        <w:right w:val="none" w:sz="0" w:space="0" w:color="auto"/>
      </w:divBdr>
    </w:div>
    <w:div w:id="1588805574">
      <w:bodyDiv w:val="1"/>
      <w:marLeft w:val="0"/>
      <w:marRight w:val="0"/>
      <w:marTop w:val="0"/>
      <w:marBottom w:val="0"/>
      <w:divBdr>
        <w:top w:val="none" w:sz="0" w:space="0" w:color="auto"/>
        <w:left w:val="none" w:sz="0" w:space="0" w:color="auto"/>
        <w:bottom w:val="none" w:sz="0" w:space="0" w:color="auto"/>
        <w:right w:val="none" w:sz="0" w:space="0" w:color="auto"/>
      </w:divBdr>
    </w:div>
    <w:div w:id="1620840386">
      <w:bodyDiv w:val="1"/>
      <w:marLeft w:val="0"/>
      <w:marRight w:val="0"/>
      <w:marTop w:val="0"/>
      <w:marBottom w:val="0"/>
      <w:divBdr>
        <w:top w:val="none" w:sz="0" w:space="0" w:color="auto"/>
        <w:left w:val="none" w:sz="0" w:space="0" w:color="auto"/>
        <w:bottom w:val="none" w:sz="0" w:space="0" w:color="auto"/>
        <w:right w:val="none" w:sz="0" w:space="0" w:color="auto"/>
      </w:divBdr>
    </w:div>
    <w:div w:id="1653606949">
      <w:bodyDiv w:val="1"/>
      <w:marLeft w:val="0"/>
      <w:marRight w:val="0"/>
      <w:marTop w:val="0"/>
      <w:marBottom w:val="0"/>
      <w:divBdr>
        <w:top w:val="none" w:sz="0" w:space="0" w:color="auto"/>
        <w:left w:val="none" w:sz="0" w:space="0" w:color="auto"/>
        <w:bottom w:val="none" w:sz="0" w:space="0" w:color="auto"/>
        <w:right w:val="none" w:sz="0" w:space="0" w:color="auto"/>
      </w:divBdr>
    </w:div>
    <w:div w:id="1682898994">
      <w:bodyDiv w:val="1"/>
      <w:marLeft w:val="0"/>
      <w:marRight w:val="0"/>
      <w:marTop w:val="0"/>
      <w:marBottom w:val="0"/>
      <w:divBdr>
        <w:top w:val="none" w:sz="0" w:space="0" w:color="auto"/>
        <w:left w:val="none" w:sz="0" w:space="0" w:color="auto"/>
        <w:bottom w:val="none" w:sz="0" w:space="0" w:color="auto"/>
        <w:right w:val="none" w:sz="0" w:space="0" w:color="auto"/>
      </w:divBdr>
    </w:div>
    <w:div w:id="1787968967">
      <w:bodyDiv w:val="1"/>
      <w:marLeft w:val="0"/>
      <w:marRight w:val="0"/>
      <w:marTop w:val="0"/>
      <w:marBottom w:val="0"/>
      <w:divBdr>
        <w:top w:val="none" w:sz="0" w:space="0" w:color="auto"/>
        <w:left w:val="none" w:sz="0" w:space="0" w:color="auto"/>
        <w:bottom w:val="none" w:sz="0" w:space="0" w:color="auto"/>
        <w:right w:val="none" w:sz="0" w:space="0" w:color="auto"/>
      </w:divBdr>
    </w:div>
    <w:div w:id="1846819202">
      <w:bodyDiv w:val="1"/>
      <w:marLeft w:val="0"/>
      <w:marRight w:val="0"/>
      <w:marTop w:val="0"/>
      <w:marBottom w:val="0"/>
      <w:divBdr>
        <w:top w:val="none" w:sz="0" w:space="0" w:color="auto"/>
        <w:left w:val="none" w:sz="0" w:space="0" w:color="auto"/>
        <w:bottom w:val="none" w:sz="0" w:space="0" w:color="auto"/>
        <w:right w:val="none" w:sz="0" w:space="0" w:color="auto"/>
      </w:divBdr>
      <w:divsChild>
        <w:div w:id="1780488293">
          <w:marLeft w:val="0"/>
          <w:marRight w:val="0"/>
          <w:marTop w:val="0"/>
          <w:marBottom w:val="0"/>
          <w:divBdr>
            <w:top w:val="none" w:sz="0" w:space="0" w:color="auto"/>
            <w:left w:val="none" w:sz="0" w:space="0" w:color="auto"/>
            <w:bottom w:val="none" w:sz="0" w:space="0" w:color="auto"/>
            <w:right w:val="none" w:sz="0" w:space="0" w:color="auto"/>
          </w:divBdr>
          <w:divsChild>
            <w:div w:id="87968339">
              <w:marLeft w:val="0"/>
              <w:marRight w:val="0"/>
              <w:marTop w:val="0"/>
              <w:marBottom w:val="0"/>
              <w:divBdr>
                <w:top w:val="none" w:sz="0" w:space="0" w:color="auto"/>
                <w:left w:val="none" w:sz="0" w:space="0" w:color="auto"/>
                <w:bottom w:val="none" w:sz="0" w:space="0" w:color="auto"/>
                <w:right w:val="none" w:sz="0" w:space="0" w:color="auto"/>
              </w:divBdr>
              <w:divsChild>
                <w:div w:id="18803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70380378">
      <w:bodyDiv w:val="1"/>
      <w:marLeft w:val="0"/>
      <w:marRight w:val="0"/>
      <w:marTop w:val="0"/>
      <w:marBottom w:val="0"/>
      <w:divBdr>
        <w:top w:val="none" w:sz="0" w:space="0" w:color="auto"/>
        <w:left w:val="none" w:sz="0" w:space="0" w:color="auto"/>
        <w:bottom w:val="none" w:sz="0" w:space="0" w:color="auto"/>
        <w:right w:val="none" w:sz="0" w:space="0" w:color="auto"/>
      </w:divBdr>
      <w:divsChild>
        <w:div w:id="1799372541">
          <w:marLeft w:val="0"/>
          <w:marRight w:val="0"/>
          <w:marTop w:val="0"/>
          <w:marBottom w:val="0"/>
          <w:divBdr>
            <w:top w:val="none" w:sz="0" w:space="0" w:color="auto"/>
            <w:left w:val="none" w:sz="0" w:space="0" w:color="auto"/>
            <w:bottom w:val="none" w:sz="0" w:space="0" w:color="auto"/>
            <w:right w:val="none" w:sz="0" w:space="0" w:color="auto"/>
          </w:divBdr>
          <w:divsChild>
            <w:div w:id="136841096">
              <w:marLeft w:val="0"/>
              <w:marRight w:val="0"/>
              <w:marTop w:val="0"/>
              <w:marBottom w:val="0"/>
              <w:divBdr>
                <w:top w:val="none" w:sz="0" w:space="0" w:color="auto"/>
                <w:left w:val="none" w:sz="0" w:space="0" w:color="auto"/>
                <w:bottom w:val="none" w:sz="0" w:space="0" w:color="auto"/>
                <w:right w:val="none" w:sz="0" w:space="0" w:color="auto"/>
              </w:divBdr>
              <w:divsChild>
                <w:div w:id="512183508">
                  <w:marLeft w:val="0"/>
                  <w:marRight w:val="0"/>
                  <w:marTop w:val="0"/>
                  <w:marBottom w:val="0"/>
                  <w:divBdr>
                    <w:top w:val="none" w:sz="0" w:space="0" w:color="auto"/>
                    <w:left w:val="none" w:sz="0" w:space="0" w:color="auto"/>
                    <w:bottom w:val="none" w:sz="0" w:space="0" w:color="auto"/>
                    <w:right w:val="none" w:sz="0" w:space="0" w:color="auto"/>
                  </w:divBdr>
                  <w:divsChild>
                    <w:div w:id="152941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6B4AA-CD9D-4A3B-A3EB-EDA7EE533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11279</Words>
  <Characters>63877</Characters>
  <Application>Microsoft Office Word</Application>
  <DocSecurity>0</DocSecurity>
  <Lines>532</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2021-03-04T01:39:00Z</dcterms:created>
  <dcterms:modified xsi:type="dcterms:W3CDTF">2021-03-04T01:39:00Z</dcterms:modified>
</cp:coreProperties>
</file>