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CB54" w14:textId="77777777" w:rsidR="00C14466" w:rsidRPr="00FC7F1E" w:rsidRDefault="00DB2152" w:rsidP="00C14466">
      <w:pPr>
        <w:pStyle w:val="1-MainHeading"/>
        <w:spacing w:after="0"/>
      </w:pPr>
      <w:bookmarkStart w:id="0" w:name="_Toc50701406"/>
      <w:r w:rsidRPr="00FC7F1E">
        <w:t>7</w:t>
      </w:r>
      <w:r w:rsidR="00433044" w:rsidRPr="00FC7F1E">
        <w:t>.</w:t>
      </w:r>
      <w:r w:rsidRPr="00FC7F1E">
        <w:t>04</w:t>
      </w:r>
      <w:r w:rsidR="00163F66" w:rsidRPr="00FC7F1E">
        <w:tab/>
      </w:r>
      <w:r w:rsidR="003F6F94" w:rsidRPr="00FC7F1E">
        <w:t>NUSINERSEN</w:t>
      </w:r>
      <w:r w:rsidR="00163F66" w:rsidRPr="00FC7F1E">
        <w:t>,</w:t>
      </w:r>
      <w:r w:rsidR="00163F66" w:rsidRPr="00FC7F1E">
        <w:br/>
      </w:r>
      <w:r w:rsidR="00C14466" w:rsidRPr="00FC7F1E">
        <w:t xml:space="preserve">Solution for injection </w:t>
      </w:r>
      <w:r w:rsidR="00264CB2" w:rsidRPr="00FC7F1E">
        <w:t>12</w:t>
      </w:r>
      <w:r w:rsidR="003F6F94" w:rsidRPr="00FC7F1E">
        <w:t>mg</w:t>
      </w:r>
      <w:r w:rsidR="00C14466" w:rsidRPr="00FC7F1E">
        <w:t xml:space="preserve"> in</w:t>
      </w:r>
      <w:r w:rsidR="00DE20EB" w:rsidRPr="00FC7F1E">
        <w:t xml:space="preserve"> </w:t>
      </w:r>
      <w:r w:rsidR="003F6F94" w:rsidRPr="00FC7F1E">
        <w:t>5mL</w:t>
      </w:r>
      <w:r w:rsidR="00163F66" w:rsidRPr="00FC7F1E">
        <w:t>,</w:t>
      </w:r>
      <w:r w:rsidR="00163F66" w:rsidRPr="00FC7F1E">
        <w:br/>
      </w:r>
      <w:r w:rsidR="003F6F94" w:rsidRPr="00FC7F1E">
        <w:t>Spinraza</w:t>
      </w:r>
      <w:r w:rsidR="00B60939" w:rsidRPr="00FC7F1E">
        <w:rPr>
          <w:vertAlign w:val="superscript"/>
        </w:rPr>
        <w:t>®</w:t>
      </w:r>
      <w:r w:rsidR="004A6040" w:rsidRPr="00FC7F1E">
        <w:t>,</w:t>
      </w:r>
      <w:bookmarkEnd w:id="0"/>
      <w:r w:rsidR="00264CB2" w:rsidRPr="00FC7F1E">
        <w:t xml:space="preserve"> </w:t>
      </w:r>
    </w:p>
    <w:p w14:paraId="2DAA15CE" w14:textId="77777777" w:rsidR="00B60939" w:rsidRPr="00FC7F1E" w:rsidRDefault="003F6F94" w:rsidP="00987B69">
      <w:pPr>
        <w:pStyle w:val="1-MainHeading"/>
        <w:spacing w:before="0"/>
        <w:ind w:hanging="11"/>
        <w:outlineLvl w:val="9"/>
      </w:pPr>
      <w:bookmarkStart w:id="1" w:name="_Toc50701407"/>
      <w:r w:rsidRPr="00FC7F1E">
        <w:t>Biogen Australia Pty Ltd</w:t>
      </w:r>
      <w:bookmarkEnd w:id="1"/>
    </w:p>
    <w:p w14:paraId="711353D4" w14:textId="77777777" w:rsidR="00B50DB8" w:rsidRPr="00FC7F1E" w:rsidRDefault="00B50DB8" w:rsidP="004A6040">
      <w:pPr>
        <w:pStyle w:val="2-SectionHeading"/>
      </w:pPr>
      <w:bookmarkStart w:id="2" w:name="_Toc50701409"/>
      <w:r w:rsidRPr="00FC7F1E">
        <w:t xml:space="preserve">Purpose of </w:t>
      </w:r>
      <w:r w:rsidR="00C21E01" w:rsidRPr="00FC7F1E">
        <w:t>re</w:t>
      </w:r>
      <w:r w:rsidR="00CD7193" w:rsidRPr="00FC7F1E">
        <w:t>s</w:t>
      </w:r>
      <w:r w:rsidR="00BB3A45" w:rsidRPr="00FC7F1E">
        <w:t>ubmission</w:t>
      </w:r>
      <w:bookmarkEnd w:id="2"/>
    </w:p>
    <w:p w14:paraId="0D83DD9C" w14:textId="77777777" w:rsidR="002C2775" w:rsidRPr="00FC7F1E" w:rsidRDefault="007170DA" w:rsidP="003E2121">
      <w:pPr>
        <w:pStyle w:val="3-BodyText"/>
      </w:pPr>
      <w:r w:rsidRPr="00FC7F1E">
        <w:t xml:space="preserve">The </w:t>
      </w:r>
      <w:r w:rsidR="005017DB" w:rsidRPr="00FC7F1E">
        <w:t>re</w:t>
      </w:r>
      <w:r w:rsidRPr="00FC7F1E">
        <w:t xml:space="preserve">submission requested </w:t>
      </w:r>
      <w:r w:rsidR="0066674A" w:rsidRPr="00FC7F1E">
        <w:t xml:space="preserve">an extension to the current Section 100 (Highly Specialised Drugs Program) Authority Required listing </w:t>
      </w:r>
      <w:r w:rsidR="008B1757" w:rsidRPr="00FC7F1E">
        <w:t xml:space="preserve">for </w:t>
      </w:r>
      <w:r w:rsidR="00577E9C" w:rsidRPr="00FC7F1E">
        <w:t>initiation and continuation of nusinersen</w:t>
      </w:r>
      <w:r w:rsidR="008B1757" w:rsidRPr="00FC7F1E">
        <w:t xml:space="preserve"> for </w:t>
      </w:r>
      <w:r w:rsidR="0050174E" w:rsidRPr="00FC7F1E">
        <w:t xml:space="preserve">the </w:t>
      </w:r>
      <w:r w:rsidR="008B1757" w:rsidRPr="00FC7F1E">
        <w:t xml:space="preserve">treatment of </w:t>
      </w:r>
      <w:r w:rsidR="00577E9C" w:rsidRPr="00FC7F1E">
        <w:t xml:space="preserve">spinal muscular atrophy (SMA) in patients with symptom onset prior to 19 years of age, and removal of the age limit of 18 years for initiation of treatment. </w:t>
      </w:r>
    </w:p>
    <w:p w14:paraId="16D96B3D" w14:textId="77777777" w:rsidR="00C2778B" w:rsidRPr="00FC7F1E" w:rsidRDefault="00753DEB" w:rsidP="004E18E9">
      <w:pPr>
        <w:pStyle w:val="3-BodyText"/>
      </w:pPr>
      <w:r w:rsidRPr="00FC7F1E">
        <w:rPr>
          <w:color w:val="000000" w:themeColor="text1"/>
        </w:rPr>
        <w:t>The e</w:t>
      </w:r>
      <w:r w:rsidR="00D7521A" w:rsidRPr="00FC7F1E">
        <w:rPr>
          <w:color w:val="000000" w:themeColor="text1"/>
        </w:rPr>
        <w:t>xtension of l</w:t>
      </w:r>
      <w:r w:rsidR="005750C5" w:rsidRPr="00FC7F1E">
        <w:rPr>
          <w:color w:val="000000" w:themeColor="text1"/>
        </w:rPr>
        <w:t xml:space="preserve">isting was requested on the basis of a cost-effectiveness analysis </w:t>
      </w:r>
      <w:r w:rsidR="00577E9C" w:rsidRPr="00FC7F1E">
        <w:rPr>
          <w:color w:val="000000" w:themeColor="text1"/>
        </w:rPr>
        <w:t xml:space="preserve">of nusinersen and standard of care </w:t>
      </w:r>
      <w:r w:rsidR="005750C5" w:rsidRPr="00FC7F1E">
        <w:rPr>
          <w:color w:val="000000" w:themeColor="text1"/>
        </w:rPr>
        <w:t xml:space="preserve">versus </w:t>
      </w:r>
      <w:r w:rsidR="00577E9C" w:rsidRPr="00FC7F1E">
        <w:rPr>
          <w:color w:val="000000" w:themeColor="text1"/>
        </w:rPr>
        <w:t xml:space="preserve">standard of care alone in adult patients </w:t>
      </w:r>
      <w:r w:rsidR="00E746D0" w:rsidRPr="00FC7F1E">
        <w:rPr>
          <w:color w:val="000000" w:themeColor="text1"/>
        </w:rPr>
        <w:t>aged more than 18 years with Types II and III SMA initiating treatment with nusinersen</w:t>
      </w:r>
      <w:r w:rsidR="005750C5" w:rsidRPr="00FC7F1E">
        <w:rPr>
          <w:color w:val="000000" w:themeColor="text1"/>
        </w:rPr>
        <w:t xml:space="preserve">. </w:t>
      </w:r>
      <w:r w:rsidR="00CA098E" w:rsidRPr="00FC7F1E">
        <w:rPr>
          <w:color w:val="000000" w:themeColor="text1"/>
        </w:rPr>
        <w:t>Table 1</w:t>
      </w:r>
      <w:r w:rsidR="00D7521A" w:rsidRPr="00FC7F1E">
        <w:rPr>
          <w:color w:val="000000" w:themeColor="text1"/>
        </w:rPr>
        <w:t xml:space="preserve"> provides a summary of the key components of the </w:t>
      </w:r>
      <w:r w:rsidR="005017DB" w:rsidRPr="00FC7F1E">
        <w:rPr>
          <w:color w:val="000000" w:themeColor="text1"/>
        </w:rPr>
        <w:t>re</w:t>
      </w:r>
      <w:r w:rsidR="00D7521A" w:rsidRPr="00FC7F1E">
        <w:rPr>
          <w:color w:val="000000" w:themeColor="text1"/>
        </w:rPr>
        <w:t>submission.</w:t>
      </w:r>
    </w:p>
    <w:p w14:paraId="2DF3B42A" w14:textId="77777777" w:rsidR="008B1757" w:rsidRPr="00FC7F1E" w:rsidRDefault="00CA098E" w:rsidP="004A6040">
      <w:pPr>
        <w:pStyle w:val="TableFigureHeading"/>
        <w:rPr>
          <w:rStyle w:val="CommentReference"/>
          <w:b/>
          <w:szCs w:val="24"/>
        </w:rPr>
      </w:pPr>
      <w:bookmarkStart w:id="3" w:name="_Ref49225278"/>
      <w:r w:rsidRPr="00FC7F1E">
        <w:rPr>
          <w:rStyle w:val="CommentReference"/>
          <w:b/>
          <w:szCs w:val="24"/>
        </w:rPr>
        <w:t xml:space="preserve">Table </w:t>
      </w:r>
      <w:r w:rsidR="00082C7F" w:rsidRPr="00FC7F1E">
        <w:rPr>
          <w:rStyle w:val="CommentReference"/>
          <w:b/>
          <w:szCs w:val="24"/>
        </w:rPr>
        <w:t>1</w:t>
      </w:r>
      <w:bookmarkEnd w:id="3"/>
      <w:r w:rsidR="008B1757" w:rsidRPr="00FC7F1E">
        <w:rPr>
          <w:rStyle w:val="CommentReference"/>
          <w:b/>
          <w:szCs w:val="24"/>
        </w:rPr>
        <w:t>:</w:t>
      </w:r>
      <w:r w:rsidR="00BC591F" w:rsidRPr="00FC7F1E">
        <w:rPr>
          <w:rStyle w:val="CommentReference"/>
          <w:b/>
          <w:szCs w:val="24"/>
        </w:rPr>
        <w:t xml:space="preserve"> </w:t>
      </w:r>
      <w:r w:rsidR="008B1757" w:rsidRPr="00FC7F1E">
        <w:rPr>
          <w:rStyle w:val="CommentReference"/>
          <w:b/>
          <w:szCs w:val="24"/>
        </w:rPr>
        <w:t xml:space="preserve">Key components of the clinical issue addressed by the </w:t>
      </w:r>
      <w:r w:rsidR="005017DB" w:rsidRPr="00FC7F1E">
        <w:rPr>
          <w:rStyle w:val="CommentReference"/>
          <w:b/>
          <w:szCs w:val="24"/>
        </w:rPr>
        <w:t>re</w:t>
      </w:r>
      <w:r w:rsidR="008B1757" w:rsidRPr="00FC7F1E">
        <w:rPr>
          <w:rStyle w:val="CommentReference"/>
          <w:b/>
          <w:szCs w:val="24"/>
        </w:rPr>
        <w:t>submission</w:t>
      </w:r>
      <w:r w:rsidR="007170DA" w:rsidRPr="00FC7F1E">
        <w:rPr>
          <w:rStyle w:val="CommentReference"/>
          <w:b/>
          <w:szCs w:val="24"/>
        </w:rPr>
        <w:t xml:space="preserve"> (as stated in the </w:t>
      </w:r>
      <w:r w:rsidR="005017DB" w:rsidRPr="00FC7F1E">
        <w:rPr>
          <w:rStyle w:val="CommentReference"/>
          <w:b/>
          <w:szCs w:val="24"/>
        </w:rPr>
        <w:t>re</w:t>
      </w:r>
      <w:r w:rsidR="007170DA" w:rsidRPr="00FC7F1E">
        <w:rPr>
          <w:rStyle w:val="CommentReference"/>
          <w:b/>
          <w:szCs w:val="24"/>
        </w:rPr>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4F171F" w:rsidRPr="00FC7F1E" w14:paraId="6221CE17" w14:textId="77777777" w:rsidTr="008B4463">
        <w:tc>
          <w:tcPr>
            <w:tcW w:w="1668" w:type="dxa"/>
            <w:vAlign w:val="center"/>
          </w:tcPr>
          <w:p w14:paraId="79538127" w14:textId="77777777" w:rsidR="004F171F" w:rsidRPr="00FC7F1E" w:rsidRDefault="004F171F" w:rsidP="008B4463">
            <w:pPr>
              <w:pStyle w:val="In-tableHeading"/>
              <w:rPr>
                <w:lang w:val="en-AU"/>
              </w:rPr>
            </w:pPr>
            <w:r w:rsidRPr="00FC7F1E">
              <w:rPr>
                <w:lang w:val="en-AU"/>
              </w:rPr>
              <w:t>Component</w:t>
            </w:r>
          </w:p>
        </w:tc>
        <w:tc>
          <w:tcPr>
            <w:tcW w:w="7488" w:type="dxa"/>
            <w:vAlign w:val="center"/>
          </w:tcPr>
          <w:p w14:paraId="138EA377" w14:textId="77777777" w:rsidR="004F171F" w:rsidRPr="00FC7F1E" w:rsidRDefault="004F171F" w:rsidP="008B4463">
            <w:pPr>
              <w:pStyle w:val="In-tableHeading"/>
              <w:rPr>
                <w:lang w:val="en-AU"/>
              </w:rPr>
            </w:pPr>
            <w:r w:rsidRPr="00FC7F1E">
              <w:rPr>
                <w:lang w:val="en-AU"/>
              </w:rPr>
              <w:t>Description</w:t>
            </w:r>
          </w:p>
        </w:tc>
      </w:tr>
      <w:tr w:rsidR="004F171F" w:rsidRPr="00FC7F1E" w14:paraId="16068912" w14:textId="77777777" w:rsidTr="008B4463">
        <w:tc>
          <w:tcPr>
            <w:tcW w:w="1668" w:type="dxa"/>
            <w:vAlign w:val="center"/>
          </w:tcPr>
          <w:p w14:paraId="45EC3B98" w14:textId="77777777" w:rsidR="004F171F" w:rsidRPr="00FC7F1E" w:rsidRDefault="004F171F" w:rsidP="008B4463">
            <w:pPr>
              <w:pStyle w:val="TableText0"/>
            </w:pPr>
            <w:r w:rsidRPr="00FC7F1E">
              <w:t>Population</w:t>
            </w:r>
          </w:p>
        </w:tc>
        <w:tc>
          <w:tcPr>
            <w:tcW w:w="7488" w:type="dxa"/>
            <w:tcBorders>
              <w:top w:val="single" w:sz="4" w:space="0" w:color="auto"/>
              <w:left w:val="single" w:sz="4" w:space="0" w:color="auto"/>
              <w:bottom w:val="single" w:sz="4" w:space="0" w:color="auto"/>
              <w:right w:val="single" w:sz="4" w:space="0" w:color="auto"/>
            </w:tcBorders>
          </w:tcPr>
          <w:p w14:paraId="12B71DFF" w14:textId="77777777" w:rsidR="004F171F" w:rsidRPr="00FC7F1E" w:rsidRDefault="004F171F" w:rsidP="000248E8">
            <w:pPr>
              <w:pStyle w:val="TableText0"/>
            </w:pPr>
            <w:r w:rsidRPr="00FC7F1E">
              <w:rPr>
                <w:szCs w:val="20"/>
              </w:rPr>
              <w:t xml:space="preserve">Treatment of adult patients with at least two of the defined signs and symptoms of SMA Type I, II or III prior to 19 years of age </w:t>
            </w:r>
            <w:r w:rsidR="00B36CFC" w:rsidRPr="00FC7F1E">
              <w:rPr>
                <w:szCs w:val="20"/>
                <w:vertAlign w:val="superscript"/>
              </w:rPr>
              <w:t>a</w:t>
            </w:r>
            <w:r w:rsidRPr="00FC7F1E">
              <w:rPr>
                <w:szCs w:val="20"/>
              </w:rPr>
              <w:t>.</w:t>
            </w:r>
          </w:p>
        </w:tc>
      </w:tr>
      <w:tr w:rsidR="004F171F" w:rsidRPr="00FC7F1E" w14:paraId="517AEE94" w14:textId="77777777" w:rsidTr="008B4463">
        <w:tc>
          <w:tcPr>
            <w:tcW w:w="1668" w:type="dxa"/>
            <w:vAlign w:val="center"/>
          </w:tcPr>
          <w:p w14:paraId="13C52B51" w14:textId="77777777" w:rsidR="004F171F" w:rsidRPr="00FC7F1E" w:rsidRDefault="004F171F" w:rsidP="008B4463">
            <w:pPr>
              <w:pStyle w:val="TableText0"/>
            </w:pPr>
            <w:r w:rsidRPr="00FC7F1E">
              <w:t>Intervention</w:t>
            </w:r>
          </w:p>
        </w:tc>
        <w:tc>
          <w:tcPr>
            <w:tcW w:w="7488" w:type="dxa"/>
            <w:tcBorders>
              <w:top w:val="single" w:sz="4" w:space="0" w:color="auto"/>
              <w:left w:val="single" w:sz="4" w:space="0" w:color="auto"/>
              <w:bottom w:val="single" w:sz="4" w:space="0" w:color="auto"/>
              <w:right w:val="single" w:sz="4" w:space="0" w:color="auto"/>
            </w:tcBorders>
          </w:tcPr>
          <w:p w14:paraId="0E1B899C" w14:textId="77777777" w:rsidR="004F171F" w:rsidRPr="00FC7F1E" w:rsidRDefault="004F171F" w:rsidP="008B4463">
            <w:pPr>
              <w:pStyle w:val="TableText0"/>
            </w:pPr>
            <w:r w:rsidRPr="00FC7F1E">
              <w:rPr>
                <w:szCs w:val="20"/>
              </w:rPr>
              <w:t xml:space="preserve">Nusinersen administered at a dose of 12 mg via intrathecal injection with four loading doses and two maintenance doses in year 1 and three doses per year thereafter </w:t>
            </w:r>
          </w:p>
        </w:tc>
      </w:tr>
      <w:tr w:rsidR="004F171F" w:rsidRPr="00FC7F1E" w14:paraId="58CCC368" w14:textId="77777777" w:rsidTr="008B4463">
        <w:tc>
          <w:tcPr>
            <w:tcW w:w="1668" w:type="dxa"/>
            <w:vAlign w:val="center"/>
          </w:tcPr>
          <w:p w14:paraId="741F737D" w14:textId="77777777" w:rsidR="004F171F" w:rsidRPr="00FC7F1E" w:rsidRDefault="004F171F" w:rsidP="008B4463">
            <w:pPr>
              <w:pStyle w:val="TableText0"/>
            </w:pPr>
            <w:r w:rsidRPr="00FC7F1E">
              <w:t>Comparator</w:t>
            </w:r>
          </w:p>
        </w:tc>
        <w:tc>
          <w:tcPr>
            <w:tcW w:w="7488" w:type="dxa"/>
            <w:tcBorders>
              <w:top w:val="single" w:sz="4" w:space="0" w:color="auto"/>
              <w:left w:val="single" w:sz="4" w:space="0" w:color="auto"/>
              <w:bottom w:val="single" w:sz="4" w:space="0" w:color="auto"/>
              <w:right w:val="single" w:sz="4" w:space="0" w:color="auto"/>
            </w:tcBorders>
          </w:tcPr>
          <w:p w14:paraId="759E6670" w14:textId="77777777" w:rsidR="004F171F" w:rsidRPr="00FC7F1E" w:rsidRDefault="004F171F" w:rsidP="008B4463">
            <w:pPr>
              <w:pStyle w:val="TableText0"/>
              <w:rPr>
                <w:u w:val="single"/>
              </w:rPr>
            </w:pPr>
            <w:r w:rsidRPr="00FC7F1E">
              <w:rPr>
                <w:szCs w:val="20"/>
                <w:u w:val="single"/>
              </w:rPr>
              <w:t>Natural history of SMA with standard of care.</w:t>
            </w:r>
          </w:p>
        </w:tc>
      </w:tr>
      <w:tr w:rsidR="004F171F" w:rsidRPr="00FC7F1E" w14:paraId="1B9F8089" w14:textId="77777777" w:rsidTr="008B4463">
        <w:tc>
          <w:tcPr>
            <w:tcW w:w="1668" w:type="dxa"/>
            <w:vAlign w:val="center"/>
          </w:tcPr>
          <w:p w14:paraId="42715C33" w14:textId="77777777" w:rsidR="004F171F" w:rsidRPr="00FC7F1E" w:rsidRDefault="004F171F" w:rsidP="008B4463">
            <w:pPr>
              <w:pStyle w:val="TableText0"/>
            </w:pPr>
            <w:r w:rsidRPr="00FC7F1E">
              <w:t>Outcomes</w:t>
            </w:r>
          </w:p>
        </w:tc>
        <w:tc>
          <w:tcPr>
            <w:tcW w:w="7488" w:type="dxa"/>
            <w:tcBorders>
              <w:top w:val="single" w:sz="4" w:space="0" w:color="auto"/>
              <w:left w:val="single" w:sz="4" w:space="0" w:color="auto"/>
              <w:bottom w:val="single" w:sz="4" w:space="0" w:color="auto"/>
              <w:right w:val="single" w:sz="4" w:space="0" w:color="auto"/>
            </w:tcBorders>
          </w:tcPr>
          <w:p w14:paraId="11EAEE31" w14:textId="77777777" w:rsidR="004F171F" w:rsidRPr="00FC7F1E" w:rsidRDefault="004F171F" w:rsidP="008B4463">
            <w:pPr>
              <w:pStyle w:val="BodyText1"/>
              <w:keepNext/>
              <w:keepLines/>
              <w:spacing w:after="0" w:line="240" w:lineRule="auto"/>
              <w:jc w:val="left"/>
              <w:rPr>
                <w:rFonts w:ascii="Arial Narrow" w:hAnsi="Arial Narrow"/>
                <w:sz w:val="20"/>
                <w:szCs w:val="20"/>
              </w:rPr>
            </w:pPr>
            <w:r w:rsidRPr="00FC7F1E">
              <w:rPr>
                <w:rFonts w:ascii="Arial Narrow" w:hAnsi="Arial Narrow"/>
                <w:sz w:val="20"/>
                <w:szCs w:val="20"/>
              </w:rPr>
              <w:t>Primary endpoint:</w:t>
            </w:r>
          </w:p>
          <w:p w14:paraId="7CC08339" w14:textId="77777777" w:rsidR="004F171F" w:rsidRPr="00FC7F1E" w:rsidRDefault="004F171F" w:rsidP="000A1EFA">
            <w:pPr>
              <w:pStyle w:val="BodyText1"/>
              <w:keepNext/>
              <w:keepLines/>
              <w:numPr>
                <w:ilvl w:val="0"/>
                <w:numId w:val="6"/>
              </w:numPr>
              <w:spacing w:after="0" w:line="240" w:lineRule="auto"/>
              <w:ind w:left="201" w:hanging="201"/>
              <w:jc w:val="left"/>
              <w:rPr>
                <w:rFonts w:ascii="Arial Narrow" w:hAnsi="Arial Narrow"/>
                <w:sz w:val="20"/>
                <w:szCs w:val="20"/>
              </w:rPr>
            </w:pPr>
            <w:r w:rsidRPr="00FC7F1E">
              <w:rPr>
                <w:rFonts w:ascii="Arial Narrow" w:hAnsi="Arial Narrow"/>
                <w:sz w:val="20"/>
                <w:szCs w:val="20"/>
              </w:rPr>
              <w:t>Change from baseline in HFMSE score</w:t>
            </w:r>
          </w:p>
          <w:p w14:paraId="00770F1B" w14:textId="77777777" w:rsidR="004F171F" w:rsidRPr="00FC7F1E" w:rsidRDefault="004F171F" w:rsidP="005017DB">
            <w:pPr>
              <w:pStyle w:val="BodyText1"/>
              <w:keepNext/>
              <w:keepLines/>
              <w:spacing w:after="0" w:line="240" w:lineRule="auto"/>
              <w:ind w:left="201" w:hanging="201"/>
              <w:jc w:val="left"/>
              <w:rPr>
                <w:rFonts w:ascii="Arial Narrow" w:hAnsi="Arial Narrow"/>
                <w:sz w:val="20"/>
                <w:szCs w:val="20"/>
              </w:rPr>
            </w:pPr>
            <w:r w:rsidRPr="00FC7F1E">
              <w:rPr>
                <w:rFonts w:ascii="Arial Narrow" w:hAnsi="Arial Narrow"/>
                <w:sz w:val="20"/>
                <w:szCs w:val="20"/>
              </w:rPr>
              <w:t>Secondary endpoint:</w:t>
            </w:r>
          </w:p>
          <w:p w14:paraId="728B39C6" w14:textId="77777777" w:rsidR="004F171F" w:rsidRPr="00FC7F1E" w:rsidRDefault="004F171F" w:rsidP="000A1EFA">
            <w:pPr>
              <w:pStyle w:val="BodyText1"/>
              <w:keepNext/>
              <w:keepLines/>
              <w:numPr>
                <w:ilvl w:val="0"/>
                <w:numId w:val="6"/>
              </w:numPr>
              <w:spacing w:after="0" w:line="240" w:lineRule="auto"/>
              <w:ind w:left="201" w:hanging="201"/>
              <w:jc w:val="left"/>
              <w:rPr>
                <w:rFonts w:ascii="Arial Narrow" w:hAnsi="Arial Narrow"/>
                <w:sz w:val="20"/>
                <w:szCs w:val="20"/>
              </w:rPr>
            </w:pPr>
            <w:r w:rsidRPr="00FC7F1E">
              <w:rPr>
                <w:rFonts w:ascii="Arial Narrow" w:hAnsi="Arial Narrow"/>
                <w:sz w:val="20"/>
                <w:szCs w:val="20"/>
              </w:rPr>
              <w:t xml:space="preserve">Change from baseline in RULM score </w:t>
            </w:r>
          </w:p>
          <w:p w14:paraId="62345F42" w14:textId="77777777" w:rsidR="004F171F" w:rsidRPr="00FC7F1E" w:rsidRDefault="004F171F" w:rsidP="005017DB">
            <w:pPr>
              <w:pStyle w:val="BodyText1"/>
              <w:keepNext/>
              <w:keepLines/>
              <w:spacing w:after="0" w:line="240" w:lineRule="auto"/>
              <w:ind w:left="201" w:hanging="201"/>
              <w:jc w:val="left"/>
              <w:rPr>
                <w:rFonts w:ascii="Arial Narrow" w:hAnsi="Arial Narrow"/>
                <w:sz w:val="20"/>
                <w:szCs w:val="20"/>
              </w:rPr>
            </w:pPr>
            <w:r w:rsidRPr="00FC7F1E">
              <w:rPr>
                <w:rFonts w:ascii="Arial Narrow" w:hAnsi="Arial Narrow"/>
                <w:sz w:val="20"/>
                <w:szCs w:val="20"/>
              </w:rPr>
              <w:t>Other:</w:t>
            </w:r>
          </w:p>
          <w:p w14:paraId="0E3755CD" w14:textId="77777777" w:rsidR="004F171F" w:rsidRPr="00FC7F1E" w:rsidRDefault="004F171F" w:rsidP="000A1EFA">
            <w:pPr>
              <w:pStyle w:val="BodyText1"/>
              <w:keepNext/>
              <w:keepLines/>
              <w:numPr>
                <w:ilvl w:val="0"/>
                <w:numId w:val="6"/>
              </w:numPr>
              <w:spacing w:after="0" w:line="240" w:lineRule="auto"/>
              <w:ind w:left="201" w:hanging="201"/>
              <w:jc w:val="left"/>
              <w:rPr>
                <w:rFonts w:ascii="Arial Narrow" w:hAnsi="Arial Narrow"/>
                <w:sz w:val="20"/>
                <w:szCs w:val="20"/>
              </w:rPr>
            </w:pPr>
            <w:r w:rsidRPr="00FC7F1E">
              <w:rPr>
                <w:rFonts w:ascii="Arial Narrow" w:hAnsi="Arial Narrow"/>
                <w:sz w:val="20"/>
                <w:szCs w:val="20"/>
              </w:rPr>
              <w:t>Percentage of patients achieving motor milestone responses (≥ 3 increase in HFMSE score; ≥ 2 increase in RULM score)</w:t>
            </w:r>
          </w:p>
          <w:p w14:paraId="7BE33F62" w14:textId="77777777" w:rsidR="004F171F" w:rsidRPr="00FC7F1E" w:rsidRDefault="004F171F" w:rsidP="000A1EFA">
            <w:pPr>
              <w:pStyle w:val="BodyText1"/>
              <w:keepNext/>
              <w:keepLines/>
              <w:numPr>
                <w:ilvl w:val="0"/>
                <w:numId w:val="6"/>
              </w:numPr>
              <w:spacing w:after="0" w:line="240" w:lineRule="auto"/>
              <w:ind w:left="201" w:hanging="201"/>
              <w:jc w:val="left"/>
              <w:rPr>
                <w:rFonts w:ascii="Arial Narrow" w:hAnsi="Arial Narrow"/>
                <w:sz w:val="20"/>
                <w:szCs w:val="20"/>
              </w:rPr>
            </w:pPr>
            <w:r w:rsidRPr="00FC7F1E">
              <w:rPr>
                <w:rFonts w:ascii="Arial Narrow" w:hAnsi="Arial Narrow"/>
                <w:sz w:val="20"/>
                <w:szCs w:val="20"/>
              </w:rPr>
              <w:t xml:space="preserve">Change from baseline in 6MWT </w:t>
            </w:r>
          </w:p>
          <w:p w14:paraId="58038F5B" w14:textId="77777777" w:rsidR="004F171F" w:rsidRPr="00FC7F1E" w:rsidRDefault="004F171F" w:rsidP="000A1EFA">
            <w:pPr>
              <w:pStyle w:val="BodyText1"/>
              <w:keepNext/>
              <w:keepLines/>
              <w:numPr>
                <w:ilvl w:val="0"/>
                <w:numId w:val="6"/>
              </w:numPr>
              <w:spacing w:after="0" w:line="240" w:lineRule="auto"/>
              <w:ind w:left="201" w:hanging="201"/>
              <w:jc w:val="left"/>
              <w:rPr>
                <w:rFonts w:ascii="Arial Narrow" w:hAnsi="Arial Narrow"/>
                <w:sz w:val="20"/>
                <w:szCs w:val="20"/>
              </w:rPr>
            </w:pPr>
            <w:r w:rsidRPr="00FC7F1E">
              <w:rPr>
                <w:rFonts w:ascii="Arial Narrow" w:hAnsi="Arial Narrow"/>
                <w:sz w:val="20"/>
                <w:szCs w:val="20"/>
              </w:rPr>
              <w:t>Safety</w:t>
            </w:r>
          </w:p>
        </w:tc>
      </w:tr>
      <w:tr w:rsidR="004F171F" w:rsidRPr="00FC7F1E" w14:paraId="4E75A81B" w14:textId="77777777" w:rsidTr="008B4463">
        <w:tc>
          <w:tcPr>
            <w:tcW w:w="1668" w:type="dxa"/>
            <w:vAlign w:val="center"/>
          </w:tcPr>
          <w:p w14:paraId="5112BF84" w14:textId="77777777" w:rsidR="004F171F" w:rsidRPr="00FC7F1E" w:rsidRDefault="004F171F" w:rsidP="008B4463">
            <w:pPr>
              <w:pStyle w:val="TableText0"/>
            </w:pPr>
            <w:r w:rsidRPr="00FC7F1E">
              <w:t>Clinical claim</w:t>
            </w:r>
          </w:p>
        </w:tc>
        <w:tc>
          <w:tcPr>
            <w:tcW w:w="7488" w:type="dxa"/>
            <w:tcBorders>
              <w:top w:val="single" w:sz="4" w:space="0" w:color="auto"/>
              <w:left w:val="single" w:sz="4" w:space="0" w:color="auto"/>
              <w:bottom w:val="single" w:sz="4" w:space="0" w:color="auto"/>
              <w:right w:val="single" w:sz="4" w:space="0" w:color="auto"/>
            </w:tcBorders>
          </w:tcPr>
          <w:p w14:paraId="574A0A30" w14:textId="77777777" w:rsidR="004F171F" w:rsidRPr="00FC7F1E" w:rsidRDefault="004F171F" w:rsidP="008B4463">
            <w:pPr>
              <w:pStyle w:val="TableText0"/>
            </w:pPr>
            <w:r w:rsidRPr="00FC7F1E">
              <w:rPr>
                <w:rFonts w:eastAsia="Calibri" w:cs="Calibri"/>
                <w:szCs w:val="20"/>
              </w:rPr>
              <w:t xml:space="preserve"> Nusinersen has superior efficacy and </w:t>
            </w:r>
            <w:r w:rsidRPr="00FC7F1E">
              <w:rPr>
                <w:rFonts w:eastAsia="Calibri" w:cs="Calibri"/>
                <w:szCs w:val="20"/>
                <w:u w:val="single"/>
              </w:rPr>
              <w:t>non-inferior safety</w:t>
            </w:r>
            <w:r w:rsidRPr="00FC7F1E">
              <w:rPr>
                <w:rFonts w:eastAsia="Calibri" w:cs="Calibri"/>
                <w:szCs w:val="20"/>
              </w:rPr>
              <w:t xml:space="preserve"> compared to </w:t>
            </w:r>
            <w:r w:rsidRPr="00FC7F1E">
              <w:rPr>
                <w:rFonts w:eastAsia="Calibri" w:cs="Calibri"/>
                <w:szCs w:val="20"/>
                <w:u w:val="single"/>
              </w:rPr>
              <w:t>standard of care</w:t>
            </w:r>
            <w:r w:rsidRPr="00FC7F1E">
              <w:rPr>
                <w:szCs w:val="20"/>
                <w:u w:val="single"/>
              </w:rPr>
              <w:t>.</w:t>
            </w:r>
          </w:p>
        </w:tc>
      </w:tr>
    </w:tbl>
    <w:p w14:paraId="12BEF764" w14:textId="77777777" w:rsidR="004F171F" w:rsidRPr="00FC7F1E" w:rsidRDefault="004F171F" w:rsidP="004F171F">
      <w:pPr>
        <w:pStyle w:val="BodyText"/>
        <w:rPr>
          <w:rFonts w:ascii="Arial Narrow" w:hAnsi="Arial Narrow"/>
          <w:sz w:val="18"/>
          <w:szCs w:val="18"/>
        </w:rPr>
      </w:pPr>
      <w:r w:rsidRPr="00FC7F1E">
        <w:rPr>
          <w:rFonts w:ascii="Arial Narrow" w:hAnsi="Arial Narrow"/>
          <w:sz w:val="18"/>
          <w:szCs w:val="18"/>
        </w:rPr>
        <w:t xml:space="preserve">Source: Table 1.2, p36 of the </w:t>
      </w:r>
      <w:r w:rsidR="00CA098E" w:rsidRPr="00FC7F1E">
        <w:rPr>
          <w:rFonts w:ascii="Arial Narrow" w:hAnsi="Arial Narrow"/>
          <w:sz w:val="18"/>
          <w:szCs w:val="18"/>
        </w:rPr>
        <w:t>re</w:t>
      </w:r>
      <w:r w:rsidRPr="00FC7F1E">
        <w:rPr>
          <w:rFonts w:ascii="Arial Narrow" w:hAnsi="Arial Narrow"/>
          <w:sz w:val="18"/>
          <w:szCs w:val="18"/>
        </w:rPr>
        <w:t>submission.</w:t>
      </w:r>
    </w:p>
    <w:p w14:paraId="43257A2A" w14:textId="77777777" w:rsidR="004F171F" w:rsidRPr="00FC7F1E" w:rsidRDefault="004F171F" w:rsidP="004F171F">
      <w:pPr>
        <w:pStyle w:val="BodyText"/>
        <w:rPr>
          <w:rFonts w:ascii="Arial Narrow" w:hAnsi="Arial Narrow"/>
          <w:sz w:val="18"/>
          <w:szCs w:val="18"/>
        </w:rPr>
      </w:pPr>
      <w:r w:rsidRPr="00FC7F1E">
        <w:rPr>
          <w:rFonts w:ascii="Arial Narrow" w:hAnsi="Arial Narrow"/>
          <w:sz w:val="18"/>
          <w:szCs w:val="18"/>
        </w:rPr>
        <w:t xml:space="preserve">SMA, spinal muscular atrophy; HFMSE, Hammersmith Functional Motor Scale-Expanded; 6MWT, 6 minute walk test; RULM, revised upper limb module </w:t>
      </w:r>
    </w:p>
    <w:p w14:paraId="0FCC7800" w14:textId="77777777" w:rsidR="004F171F" w:rsidRPr="00FC7F1E" w:rsidRDefault="004F171F" w:rsidP="004F171F">
      <w:pPr>
        <w:pStyle w:val="BodyText"/>
        <w:rPr>
          <w:rFonts w:ascii="Arial Narrow" w:hAnsi="Arial Narrow"/>
          <w:sz w:val="18"/>
          <w:szCs w:val="18"/>
        </w:rPr>
      </w:pPr>
      <w:r w:rsidRPr="00FC7F1E">
        <w:rPr>
          <w:rFonts w:ascii="Arial Narrow" w:hAnsi="Arial Narrow"/>
          <w:sz w:val="18"/>
          <w:szCs w:val="18"/>
        </w:rPr>
        <w:t>Note: Underlined text refers to differences and/or patient populations that were not included in the November 2017 PBAC submission, where the comparator was placebo and the claim was no worse in terms of comparative safety</w:t>
      </w:r>
    </w:p>
    <w:p w14:paraId="32244A34" w14:textId="77777777" w:rsidR="00B36CFC" w:rsidRPr="00FC7F1E" w:rsidRDefault="00B36CFC" w:rsidP="00B30601">
      <w:pPr>
        <w:pStyle w:val="BodyText"/>
        <w:tabs>
          <w:tab w:val="left" w:pos="284"/>
        </w:tabs>
        <w:ind w:left="284" w:hanging="284"/>
        <w:rPr>
          <w:rFonts w:ascii="Arial Narrow" w:hAnsi="Arial Narrow"/>
          <w:sz w:val="18"/>
          <w:szCs w:val="18"/>
        </w:rPr>
      </w:pPr>
      <w:r w:rsidRPr="00FC7F1E">
        <w:rPr>
          <w:rFonts w:ascii="Arial Narrow" w:hAnsi="Arial Narrow"/>
          <w:sz w:val="18"/>
          <w:szCs w:val="18"/>
          <w:vertAlign w:val="superscript"/>
        </w:rPr>
        <w:t>a</w:t>
      </w:r>
      <w:r w:rsidR="00B30601" w:rsidRPr="00FC7F1E">
        <w:rPr>
          <w:rFonts w:ascii="Arial Narrow" w:hAnsi="Arial Narrow"/>
          <w:sz w:val="18"/>
          <w:szCs w:val="18"/>
        </w:rPr>
        <w:tab/>
      </w:r>
      <w:r w:rsidRPr="00FC7F1E">
        <w:rPr>
          <w:rFonts w:ascii="Arial Narrow" w:hAnsi="Arial Narrow"/>
          <w:sz w:val="18"/>
          <w:szCs w:val="18"/>
        </w:rPr>
        <w:t xml:space="preserve">The </w:t>
      </w:r>
      <w:r w:rsidR="00A840E6" w:rsidRPr="00FC7F1E">
        <w:rPr>
          <w:rFonts w:ascii="Arial Narrow" w:hAnsi="Arial Narrow"/>
          <w:sz w:val="18"/>
          <w:szCs w:val="18"/>
        </w:rPr>
        <w:t>re</w:t>
      </w:r>
      <w:r w:rsidRPr="00FC7F1E">
        <w:rPr>
          <w:rFonts w:ascii="Arial Narrow" w:hAnsi="Arial Narrow"/>
          <w:sz w:val="18"/>
          <w:szCs w:val="18"/>
        </w:rPr>
        <w:t>submission also requested listing in patients aged &lt;18 years, where symptoms only developed after the patient turned 3 years of age (SMA Type IIIb).</w:t>
      </w:r>
    </w:p>
    <w:p w14:paraId="353F7B31" w14:textId="77777777" w:rsidR="00C56C10" w:rsidRPr="00FC7F1E" w:rsidRDefault="00C56C10" w:rsidP="00C56C10">
      <w:pPr>
        <w:pStyle w:val="3-BodyText"/>
        <w:numPr>
          <w:ilvl w:val="0"/>
          <w:numId w:val="0"/>
        </w:numPr>
        <w:ind w:left="720"/>
        <w:rPr>
          <w:rFonts w:ascii="Arial Narrow" w:hAnsi="Arial Narrow"/>
          <w:sz w:val="18"/>
          <w:szCs w:val="18"/>
        </w:rPr>
      </w:pPr>
    </w:p>
    <w:p w14:paraId="5F65D985" w14:textId="77777777" w:rsidR="00987B69" w:rsidRPr="00FC7F1E" w:rsidRDefault="00987B69" w:rsidP="00987B69">
      <w:pPr>
        <w:pStyle w:val="3-BodyText"/>
        <w:numPr>
          <w:ilvl w:val="0"/>
          <w:numId w:val="0"/>
        </w:numPr>
        <w:ind w:left="720"/>
        <w:rPr>
          <w:i/>
        </w:rPr>
      </w:pPr>
      <w:r w:rsidRPr="00FC7F1E">
        <w:rPr>
          <w:i/>
        </w:rPr>
        <w:t>For more detail on PBAC’s view, see section 7 PBAC outcome.</w:t>
      </w:r>
    </w:p>
    <w:p w14:paraId="6156B189" w14:textId="77777777" w:rsidR="005C25FF" w:rsidRPr="00FC7F1E" w:rsidRDefault="005C25FF" w:rsidP="004A6040">
      <w:pPr>
        <w:pStyle w:val="2-SectionHeading"/>
      </w:pPr>
      <w:bookmarkStart w:id="4" w:name="_Toc50701410"/>
      <w:r w:rsidRPr="00FC7F1E">
        <w:lastRenderedPageBreak/>
        <w:t>Background</w:t>
      </w:r>
      <w:bookmarkEnd w:id="4"/>
    </w:p>
    <w:p w14:paraId="55E5B607" w14:textId="77777777" w:rsidR="005C25FF" w:rsidRPr="00FC7F1E" w:rsidRDefault="005C25FF" w:rsidP="004A6040">
      <w:pPr>
        <w:pStyle w:val="4-SubsectionHeading"/>
        <w:rPr>
          <w:i w:val="0"/>
        </w:rPr>
      </w:pPr>
      <w:bookmarkStart w:id="5" w:name="_Toc22897638"/>
      <w:bookmarkStart w:id="6" w:name="_Toc50701411"/>
      <w:r w:rsidRPr="00FC7F1E">
        <w:rPr>
          <w:i w:val="0"/>
        </w:rPr>
        <w:t>Registration status</w:t>
      </w:r>
      <w:bookmarkEnd w:id="5"/>
      <w:bookmarkEnd w:id="6"/>
    </w:p>
    <w:p w14:paraId="6884FB8A" w14:textId="77777777" w:rsidR="005C25FF" w:rsidRPr="00FC7F1E" w:rsidRDefault="00095F9A" w:rsidP="004E18E9">
      <w:pPr>
        <w:pStyle w:val="3-BodyText"/>
      </w:pPr>
      <w:r w:rsidRPr="00FC7F1E">
        <w:t>Nusinersen was TGA registered for the treatment of 5q spinal muscular atrophy (SMA) on 2 November 2017.</w:t>
      </w:r>
    </w:p>
    <w:p w14:paraId="50B2C488" w14:textId="77777777" w:rsidR="005C25FF" w:rsidRPr="00FC7F1E" w:rsidRDefault="005C25FF" w:rsidP="004E18E9">
      <w:pPr>
        <w:pStyle w:val="4-SubsectionHeading"/>
        <w:rPr>
          <w:i w:val="0"/>
        </w:rPr>
      </w:pPr>
      <w:bookmarkStart w:id="7" w:name="_Toc22897639"/>
      <w:bookmarkStart w:id="8" w:name="_Toc50701412"/>
      <w:r w:rsidRPr="00FC7F1E">
        <w:rPr>
          <w:i w:val="0"/>
        </w:rPr>
        <w:t>Previous PBAC consideration</w:t>
      </w:r>
      <w:bookmarkEnd w:id="7"/>
      <w:bookmarkEnd w:id="8"/>
    </w:p>
    <w:p w14:paraId="752A88B8" w14:textId="77777777" w:rsidR="005614BF" w:rsidRPr="00FC7F1E" w:rsidRDefault="00C96BED" w:rsidP="00990519">
      <w:pPr>
        <w:pStyle w:val="3-BodyText"/>
      </w:pPr>
      <w:r w:rsidRPr="00FC7F1E">
        <w:t xml:space="preserve">This was the first resubmission for the requested patient population. The previous submission was first considered at the November 2017 PBAC meeting. </w:t>
      </w:r>
      <w:r w:rsidR="00990519" w:rsidRPr="00FC7F1E">
        <w:t xml:space="preserve">This was for a broad population comprising patients with infantile-onset (Type I) and childhood-onset (Types II &amp; Type III) SMA with no restrictions </w:t>
      </w:r>
      <w:r w:rsidR="00B7011F" w:rsidRPr="00FC7F1E">
        <w:t>proposed regarding</w:t>
      </w:r>
      <w:r w:rsidR="00C43CB9" w:rsidRPr="00FC7F1E">
        <w:t xml:space="preserve"> the age of </w:t>
      </w:r>
      <w:r w:rsidR="00B7011F" w:rsidRPr="00FC7F1E">
        <w:t xml:space="preserve">nusinersen </w:t>
      </w:r>
      <w:r w:rsidR="00C43CB9" w:rsidRPr="00FC7F1E">
        <w:t>commencement</w:t>
      </w:r>
      <w:r w:rsidR="00990519" w:rsidRPr="00FC7F1E">
        <w:t>.</w:t>
      </w:r>
    </w:p>
    <w:p w14:paraId="7BCBE996" w14:textId="77777777" w:rsidR="00CC3F57" w:rsidRPr="00FC7F1E" w:rsidRDefault="00CC3F57" w:rsidP="00F37EFC">
      <w:pPr>
        <w:pStyle w:val="3-BodyText"/>
      </w:pPr>
      <w:r w:rsidRPr="00FC7F1E">
        <w:t>A minor submission was also considered at the March 2018 PBAC meeting</w:t>
      </w:r>
      <w:r w:rsidR="005614BF" w:rsidRPr="00FC7F1E">
        <w:t xml:space="preserve">. The minor March 2018 submission for symptomatic SMA patients was originally submitted for patients aged 18 years or less with Type I SMA only, however following input and discussion from clinical experts, the requested patient population was expanded to patients aged 18 years or less with Type I, II or IIIa SMA, where the patient had two of the defined signs and symptoms of SMA prior to 3 years of age (with age of onset being a defined sign/symptom). At this meeting, </w:t>
      </w:r>
      <w:r w:rsidRPr="00FC7F1E">
        <w:t>nusinersen received a positive recommendation f</w:t>
      </w:r>
      <w:r w:rsidR="005614BF" w:rsidRPr="00FC7F1E">
        <w:t>rom</w:t>
      </w:r>
      <w:r w:rsidRPr="00FC7F1E">
        <w:t xml:space="preserve"> the PBAC and was listed for the treatment of patients aged 18 years or less at initiation of treatment, who have had at least two of the defined signs and symptoms of SMA Type I, II or IIIa prior to 3 years of age. </w:t>
      </w:r>
    </w:p>
    <w:p w14:paraId="58CD0B50" w14:textId="77777777" w:rsidR="00C96BED" w:rsidRPr="00FC7F1E" w:rsidRDefault="00D17574" w:rsidP="002E4F02">
      <w:pPr>
        <w:pStyle w:val="3-BodyText"/>
      </w:pPr>
      <w:r w:rsidRPr="00FC7F1E">
        <w:t xml:space="preserve">This </w:t>
      </w:r>
      <w:r w:rsidR="005017DB" w:rsidRPr="00FC7F1E">
        <w:t>re</w:t>
      </w:r>
      <w:r w:rsidRPr="00FC7F1E">
        <w:t>submission is for the patient population included in the submission for the November 2017 PBAC meeting, who are not currently able to access nusinersen on the PBS under the current listing. For this patient population, t</w:t>
      </w:r>
      <w:r w:rsidR="00C96BED" w:rsidRPr="00FC7F1E">
        <w:t xml:space="preserve">he key matters of concern </w:t>
      </w:r>
      <w:r w:rsidR="00CC3F57" w:rsidRPr="00FC7F1E">
        <w:t xml:space="preserve">from the November 2017 PBAC meeting </w:t>
      </w:r>
      <w:r w:rsidR="00C96BED" w:rsidRPr="00FC7F1E">
        <w:t xml:space="preserve">are summarised in </w:t>
      </w:r>
      <w:r w:rsidR="00CA098E" w:rsidRPr="00FC7F1E">
        <w:t>Table 2</w:t>
      </w:r>
      <w:r w:rsidR="00C96BED" w:rsidRPr="00FC7F1E">
        <w:t xml:space="preserve">. </w:t>
      </w:r>
    </w:p>
    <w:p w14:paraId="4D37E496" w14:textId="77777777" w:rsidR="005C25FF" w:rsidRPr="00FC7F1E" w:rsidRDefault="00CA098E" w:rsidP="002E4F02">
      <w:pPr>
        <w:pStyle w:val="TableFigureHeading"/>
        <w:rPr>
          <w:rStyle w:val="CommentReference"/>
          <w:b/>
          <w:szCs w:val="24"/>
        </w:rPr>
      </w:pPr>
      <w:bookmarkStart w:id="9" w:name="_Ref49225324"/>
      <w:r w:rsidRPr="00FC7F1E">
        <w:rPr>
          <w:rStyle w:val="CommentReference"/>
          <w:b/>
          <w:szCs w:val="24"/>
        </w:rPr>
        <w:lastRenderedPageBreak/>
        <w:t xml:space="preserve">Table </w:t>
      </w:r>
      <w:r w:rsidR="00082C7F" w:rsidRPr="00FC7F1E">
        <w:rPr>
          <w:rStyle w:val="CommentReference"/>
          <w:b/>
          <w:szCs w:val="24"/>
        </w:rPr>
        <w:t>2</w:t>
      </w:r>
      <w:bookmarkEnd w:id="9"/>
      <w:r w:rsidR="005C25FF" w:rsidRPr="00FC7F1E">
        <w:rPr>
          <w:rStyle w:val="CommentReference"/>
          <w:b/>
          <w:szCs w:val="24"/>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3802"/>
        <w:gridCol w:w="3802"/>
      </w:tblGrid>
      <w:tr w:rsidR="005C25FF" w:rsidRPr="00FC7F1E" w14:paraId="0D81A57C" w14:textId="77777777" w:rsidTr="005017DB">
        <w:trPr>
          <w:cantSplit/>
          <w:tblHeader/>
        </w:trPr>
        <w:tc>
          <w:tcPr>
            <w:tcW w:w="784" w:type="pct"/>
          </w:tcPr>
          <w:p w14:paraId="7449373D" w14:textId="77777777" w:rsidR="005C25FF" w:rsidRPr="00FC7F1E" w:rsidRDefault="005C25FF" w:rsidP="005017DB">
            <w:pPr>
              <w:pStyle w:val="In-tableHeading"/>
              <w:rPr>
                <w:lang w:val="en-AU"/>
              </w:rPr>
            </w:pPr>
            <w:r w:rsidRPr="00FC7F1E">
              <w:rPr>
                <w:lang w:val="en-AU"/>
              </w:rPr>
              <w:t>Component</w:t>
            </w:r>
          </w:p>
        </w:tc>
        <w:tc>
          <w:tcPr>
            <w:tcW w:w="2108" w:type="pct"/>
            <w:vAlign w:val="center"/>
          </w:tcPr>
          <w:p w14:paraId="37D91CD1" w14:textId="77777777" w:rsidR="005C25FF" w:rsidRPr="00FC7F1E" w:rsidRDefault="005C25FF" w:rsidP="005017DB">
            <w:pPr>
              <w:pStyle w:val="In-tableHeading"/>
              <w:jc w:val="center"/>
              <w:rPr>
                <w:lang w:val="en-AU"/>
              </w:rPr>
            </w:pPr>
            <w:r w:rsidRPr="00FC7F1E">
              <w:rPr>
                <w:lang w:val="en-AU"/>
              </w:rPr>
              <w:t>Matter of concern</w:t>
            </w:r>
            <w:r w:rsidR="00C96BED" w:rsidRPr="00FC7F1E">
              <w:rPr>
                <w:lang w:val="en-AU"/>
              </w:rPr>
              <w:t xml:space="preserve"> (November 2017)</w:t>
            </w:r>
          </w:p>
        </w:tc>
        <w:tc>
          <w:tcPr>
            <w:tcW w:w="2108" w:type="pct"/>
            <w:vAlign w:val="center"/>
          </w:tcPr>
          <w:p w14:paraId="1F3348EE" w14:textId="77777777" w:rsidR="005C25FF" w:rsidRPr="00FC7F1E" w:rsidRDefault="005C25FF" w:rsidP="005017DB">
            <w:pPr>
              <w:pStyle w:val="In-tableHeading"/>
              <w:jc w:val="center"/>
              <w:rPr>
                <w:lang w:val="en-AU"/>
              </w:rPr>
            </w:pPr>
            <w:r w:rsidRPr="00FC7F1E">
              <w:rPr>
                <w:lang w:val="en-AU"/>
              </w:rPr>
              <w:t>How the resubmission addresses it</w:t>
            </w:r>
          </w:p>
        </w:tc>
      </w:tr>
      <w:tr w:rsidR="00B02DF3" w:rsidRPr="00FC7F1E" w14:paraId="607865FB" w14:textId="77777777" w:rsidTr="005017DB">
        <w:trPr>
          <w:cantSplit/>
        </w:trPr>
        <w:tc>
          <w:tcPr>
            <w:tcW w:w="784" w:type="pct"/>
            <w:vMerge w:val="restart"/>
          </w:tcPr>
          <w:p w14:paraId="41B6436A" w14:textId="77777777" w:rsidR="00B02DF3" w:rsidRPr="00FC7F1E" w:rsidRDefault="00B02DF3" w:rsidP="005017DB">
            <w:pPr>
              <w:pStyle w:val="TableText0"/>
            </w:pPr>
            <w:r w:rsidRPr="00FC7F1E">
              <w:t>Clinical effectiveness</w:t>
            </w:r>
          </w:p>
        </w:tc>
        <w:tc>
          <w:tcPr>
            <w:tcW w:w="2108" w:type="pct"/>
          </w:tcPr>
          <w:p w14:paraId="08450A49" w14:textId="77777777" w:rsidR="00B02DF3" w:rsidRPr="00FC7F1E" w:rsidRDefault="00B02DF3" w:rsidP="006234EA">
            <w:pPr>
              <w:pStyle w:val="TableText0"/>
              <w:rPr>
                <w:rFonts w:eastAsia="Times New Roman" w:cs="Arial"/>
                <w:bCs w:val="0"/>
                <w:snapToGrid w:val="0"/>
                <w:color w:val="000000" w:themeColor="text1"/>
                <w:szCs w:val="20"/>
              </w:rPr>
            </w:pPr>
            <w:r w:rsidRPr="00FC7F1E">
              <w:rPr>
                <w:rFonts w:eastAsia="Times New Roman" w:cs="Arial"/>
                <w:bCs w:val="0"/>
                <w:snapToGrid w:val="0"/>
                <w:color w:val="000000" w:themeColor="text1"/>
                <w:szCs w:val="20"/>
              </w:rPr>
              <w:t>There was a lack of randomised comparative evidence for patients with Type III SMA compared to sham-control (the comparator)</w:t>
            </w:r>
            <w:r w:rsidR="006234EA" w:rsidRPr="00FC7F1E">
              <w:rPr>
                <w:rFonts w:eastAsia="Times New Roman" w:cs="Arial"/>
                <w:bCs w:val="0"/>
                <w:snapToGrid w:val="0"/>
                <w:color w:val="000000" w:themeColor="text1"/>
                <w:szCs w:val="20"/>
              </w:rPr>
              <w:t xml:space="preserve"> and the naïve comparison of data from 25 patients in the single-arm non-randomised CS12 study versus the natural history of the disease was not sufficient </w:t>
            </w:r>
            <w:r w:rsidRPr="00FC7F1E">
              <w:rPr>
                <w:rFonts w:eastAsia="Times New Roman" w:cs="Arial"/>
                <w:bCs w:val="0"/>
                <w:snapToGrid w:val="0"/>
                <w:color w:val="000000" w:themeColor="text1"/>
                <w:szCs w:val="20"/>
              </w:rPr>
              <w:t>(para 6.38, 7.14)</w:t>
            </w:r>
          </w:p>
        </w:tc>
        <w:tc>
          <w:tcPr>
            <w:tcW w:w="2108" w:type="pct"/>
          </w:tcPr>
          <w:p w14:paraId="5BA83EA7" w14:textId="77777777" w:rsidR="00B02DF3" w:rsidRPr="00FC7F1E" w:rsidRDefault="00B02DF3" w:rsidP="009B2610">
            <w:pPr>
              <w:pStyle w:val="TableText0"/>
              <w:rPr>
                <w:rFonts w:eastAsia="Times New Roman" w:cs="Arial"/>
                <w:bCs w:val="0"/>
                <w:snapToGrid w:val="0"/>
                <w:color w:val="000000" w:themeColor="text1"/>
                <w:szCs w:val="20"/>
              </w:rPr>
            </w:pPr>
            <w:r w:rsidRPr="00FC7F1E">
              <w:rPr>
                <w:rFonts w:eastAsia="Times New Roman" w:cs="Arial"/>
                <w:bCs w:val="0"/>
                <w:snapToGrid w:val="0"/>
                <w:color w:val="000000" w:themeColor="text1"/>
                <w:szCs w:val="20"/>
              </w:rPr>
              <w:t>Not addressed. No new relevant randomised co</w:t>
            </w:r>
            <w:r w:rsidR="006234EA" w:rsidRPr="00FC7F1E">
              <w:rPr>
                <w:rFonts w:eastAsia="Times New Roman" w:cs="Arial"/>
                <w:bCs w:val="0"/>
                <w:snapToGrid w:val="0"/>
                <w:color w:val="000000" w:themeColor="text1"/>
                <w:szCs w:val="20"/>
              </w:rPr>
              <w:t xml:space="preserve">ntrolled trials were identified. Single-arm data on nusinersen in </w:t>
            </w:r>
            <w:r w:rsidR="005017DB" w:rsidRPr="00FC7F1E">
              <w:rPr>
                <w:rFonts w:eastAsia="Times New Roman" w:cs="Arial"/>
                <w:bCs w:val="0"/>
                <w:snapToGrid w:val="0"/>
                <w:color w:val="000000" w:themeColor="text1"/>
                <w:szCs w:val="20"/>
              </w:rPr>
              <w:t>a greater number of patients</w:t>
            </w:r>
            <w:r w:rsidR="006234EA" w:rsidRPr="00FC7F1E">
              <w:rPr>
                <w:rFonts w:eastAsia="Times New Roman" w:cs="Arial"/>
                <w:bCs w:val="0"/>
                <w:snapToGrid w:val="0"/>
                <w:color w:val="000000" w:themeColor="text1"/>
                <w:szCs w:val="20"/>
              </w:rPr>
              <w:t xml:space="preserve"> was provided</w:t>
            </w:r>
            <w:r w:rsidR="009D1381" w:rsidRPr="00FC7F1E">
              <w:rPr>
                <w:rFonts w:eastAsia="Times New Roman" w:cs="Arial"/>
                <w:bCs w:val="0"/>
                <w:snapToGrid w:val="0"/>
                <w:color w:val="000000" w:themeColor="text1"/>
                <w:szCs w:val="20"/>
              </w:rPr>
              <w:t>.</w:t>
            </w:r>
            <w:r w:rsidR="006234EA" w:rsidRPr="00FC7F1E">
              <w:rPr>
                <w:rFonts w:eastAsia="Times New Roman" w:cs="Arial"/>
                <w:bCs w:val="0"/>
                <w:snapToGrid w:val="0"/>
                <w:color w:val="000000" w:themeColor="text1"/>
                <w:szCs w:val="20"/>
              </w:rPr>
              <w:t xml:space="preserve"> </w:t>
            </w:r>
          </w:p>
        </w:tc>
      </w:tr>
      <w:tr w:rsidR="006234EA" w:rsidRPr="00FC7F1E" w14:paraId="66B86952" w14:textId="77777777" w:rsidTr="005017DB">
        <w:trPr>
          <w:cantSplit/>
          <w:trHeight w:val="469"/>
        </w:trPr>
        <w:tc>
          <w:tcPr>
            <w:tcW w:w="784" w:type="pct"/>
            <w:vMerge/>
          </w:tcPr>
          <w:p w14:paraId="05ED3BCF" w14:textId="77777777" w:rsidR="006234EA" w:rsidRPr="00FC7F1E" w:rsidRDefault="006234EA" w:rsidP="005017DB">
            <w:pPr>
              <w:pStyle w:val="TableText0"/>
            </w:pPr>
          </w:p>
        </w:tc>
        <w:tc>
          <w:tcPr>
            <w:tcW w:w="2108" w:type="pct"/>
          </w:tcPr>
          <w:p w14:paraId="791C1DB5" w14:textId="77777777" w:rsidR="006234EA" w:rsidRPr="00FC7F1E" w:rsidRDefault="006234EA" w:rsidP="002757B2">
            <w:pPr>
              <w:pStyle w:val="TableText0"/>
              <w:rPr>
                <w:rFonts w:eastAsia="Times New Roman" w:cs="Arial"/>
                <w:bCs w:val="0"/>
                <w:snapToGrid w:val="0"/>
                <w:color w:val="000000" w:themeColor="text1"/>
                <w:szCs w:val="20"/>
              </w:rPr>
            </w:pPr>
            <w:r w:rsidRPr="00FC7F1E">
              <w:rPr>
                <w:rFonts w:eastAsia="Times New Roman" w:cs="Arial"/>
                <w:bCs w:val="0"/>
                <w:snapToGrid w:val="0"/>
                <w:color w:val="000000" w:themeColor="text1"/>
                <w:szCs w:val="20"/>
              </w:rPr>
              <w:t>Long-term efficacy with nusinersen is uncertain (para 7.15)</w:t>
            </w:r>
          </w:p>
        </w:tc>
        <w:tc>
          <w:tcPr>
            <w:tcW w:w="2108" w:type="pct"/>
          </w:tcPr>
          <w:p w14:paraId="46AC9AB8" w14:textId="77777777" w:rsidR="006234EA" w:rsidRPr="00FC7F1E" w:rsidRDefault="006234EA" w:rsidP="009B2610">
            <w:pPr>
              <w:pStyle w:val="TableText0"/>
              <w:rPr>
                <w:rFonts w:eastAsia="Times New Roman" w:cs="Arial"/>
                <w:bCs w:val="0"/>
                <w:snapToGrid w:val="0"/>
                <w:color w:val="000000" w:themeColor="text1"/>
                <w:szCs w:val="20"/>
              </w:rPr>
            </w:pPr>
            <w:r w:rsidRPr="00FC7F1E">
              <w:rPr>
                <w:rFonts w:eastAsia="Times New Roman" w:cs="Arial"/>
                <w:bCs w:val="0"/>
                <w:snapToGrid w:val="0"/>
                <w:color w:val="000000" w:themeColor="text1"/>
                <w:szCs w:val="20"/>
              </w:rPr>
              <w:t>Not addressed.</w:t>
            </w:r>
            <w:r w:rsidR="00F86D8F" w:rsidRPr="00FC7F1E">
              <w:rPr>
                <w:rFonts w:eastAsia="Times New Roman" w:cs="Arial"/>
                <w:bCs w:val="0"/>
                <w:snapToGrid w:val="0"/>
                <w:color w:val="000000" w:themeColor="text1"/>
                <w:szCs w:val="20"/>
              </w:rPr>
              <w:t xml:space="preserve"> </w:t>
            </w:r>
          </w:p>
        </w:tc>
      </w:tr>
      <w:tr w:rsidR="00563CFD" w:rsidRPr="00FC7F1E" w14:paraId="6D897AF7" w14:textId="77777777" w:rsidTr="005017DB">
        <w:trPr>
          <w:cantSplit/>
        </w:trPr>
        <w:tc>
          <w:tcPr>
            <w:tcW w:w="784" w:type="pct"/>
            <w:vMerge w:val="restart"/>
          </w:tcPr>
          <w:p w14:paraId="4BAD5EE2" w14:textId="77777777" w:rsidR="00563CFD" w:rsidRPr="00FC7F1E" w:rsidRDefault="00563CFD" w:rsidP="005017DB">
            <w:pPr>
              <w:pStyle w:val="TableText0"/>
            </w:pPr>
            <w:r w:rsidRPr="00FC7F1E">
              <w:t>Cost-effectiveness</w:t>
            </w:r>
          </w:p>
        </w:tc>
        <w:tc>
          <w:tcPr>
            <w:tcW w:w="2108" w:type="pct"/>
          </w:tcPr>
          <w:p w14:paraId="551DD3C0" w14:textId="77777777" w:rsidR="00563CFD" w:rsidRPr="00FC7F1E" w:rsidRDefault="00563CFD" w:rsidP="00C65C8A">
            <w:pPr>
              <w:pStyle w:val="TableText0"/>
              <w:rPr>
                <w:rFonts w:eastAsia="Times New Roman" w:cs="Arial"/>
                <w:bCs w:val="0"/>
                <w:snapToGrid w:val="0"/>
                <w:color w:val="000000" w:themeColor="text1"/>
                <w:szCs w:val="20"/>
              </w:rPr>
            </w:pPr>
            <w:r w:rsidRPr="00FC7F1E">
              <w:rPr>
                <w:rFonts w:eastAsia="Times New Roman" w:cs="Arial"/>
                <w:bCs w:val="0"/>
                <w:snapToGrid w:val="0"/>
                <w:color w:val="000000" w:themeColor="text1"/>
                <w:szCs w:val="20"/>
              </w:rPr>
              <w:t>A cost per responder approach was not justified, and use of utility values to estimate QALYs was preferable (para 6.52)</w:t>
            </w:r>
          </w:p>
        </w:tc>
        <w:tc>
          <w:tcPr>
            <w:tcW w:w="2108" w:type="pct"/>
          </w:tcPr>
          <w:p w14:paraId="745149CF" w14:textId="77777777" w:rsidR="00563CFD" w:rsidRPr="00FC7F1E" w:rsidRDefault="00563CFD" w:rsidP="00536185">
            <w:pPr>
              <w:pStyle w:val="TableText0"/>
              <w:rPr>
                <w:rFonts w:eastAsia="Times New Roman" w:cs="Arial"/>
                <w:bCs w:val="0"/>
                <w:snapToGrid w:val="0"/>
                <w:color w:val="000000" w:themeColor="text1"/>
                <w:szCs w:val="20"/>
              </w:rPr>
            </w:pPr>
            <w:r w:rsidRPr="00FC7F1E">
              <w:rPr>
                <w:rFonts w:eastAsia="Times New Roman" w:cs="Arial"/>
                <w:bCs w:val="0"/>
                <w:snapToGrid w:val="0"/>
                <w:color w:val="000000" w:themeColor="text1"/>
                <w:szCs w:val="20"/>
              </w:rPr>
              <w:t>Addressed by using literature</w:t>
            </w:r>
            <w:r w:rsidR="00A840E6" w:rsidRPr="00FC7F1E">
              <w:rPr>
                <w:rFonts w:eastAsia="Times New Roman" w:cs="Arial"/>
                <w:bCs w:val="0"/>
                <w:snapToGrid w:val="0"/>
                <w:color w:val="000000" w:themeColor="text1"/>
                <w:szCs w:val="20"/>
              </w:rPr>
              <w:t>-</w:t>
            </w:r>
            <w:r w:rsidRPr="00FC7F1E">
              <w:rPr>
                <w:rFonts w:eastAsia="Times New Roman" w:cs="Arial"/>
                <w:bCs w:val="0"/>
                <w:snapToGrid w:val="0"/>
                <w:color w:val="000000" w:themeColor="text1"/>
                <w:szCs w:val="20"/>
              </w:rPr>
              <w:t>based utility values from a study funded by the sponsor (Lloyd 201</w:t>
            </w:r>
            <w:r w:rsidR="00536185" w:rsidRPr="00FC7F1E">
              <w:rPr>
                <w:rFonts w:eastAsia="Times New Roman" w:cs="Arial"/>
                <w:bCs w:val="0"/>
                <w:snapToGrid w:val="0"/>
                <w:color w:val="000000" w:themeColor="text1"/>
                <w:szCs w:val="20"/>
              </w:rPr>
              <w:t>9</w:t>
            </w:r>
            <w:r w:rsidRPr="00FC7F1E">
              <w:rPr>
                <w:rFonts w:eastAsia="Times New Roman" w:cs="Arial"/>
                <w:bCs w:val="0"/>
                <w:snapToGrid w:val="0"/>
                <w:color w:val="000000" w:themeColor="text1"/>
                <w:szCs w:val="20"/>
              </w:rPr>
              <w:t>)</w:t>
            </w:r>
          </w:p>
        </w:tc>
      </w:tr>
      <w:tr w:rsidR="00563CFD" w:rsidRPr="00FC7F1E" w14:paraId="28D329DF" w14:textId="77777777" w:rsidTr="005017DB">
        <w:trPr>
          <w:cantSplit/>
        </w:trPr>
        <w:tc>
          <w:tcPr>
            <w:tcW w:w="784" w:type="pct"/>
            <w:vMerge/>
          </w:tcPr>
          <w:p w14:paraId="4E3F3DCE" w14:textId="77777777" w:rsidR="00563CFD" w:rsidRPr="00FC7F1E" w:rsidRDefault="00563CFD" w:rsidP="005017DB">
            <w:pPr>
              <w:pStyle w:val="TableText0"/>
            </w:pPr>
          </w:p>
        </w:tc>
        <w:tc>
          <w:tcPr>
            <w:tcW w:w="2108" w:type="pct"/>
          </w:tcPr>
          <w:p w14:paraId="6B32ED36" w14:textId="77777777" w:rsidR="00563CFD" w:rsidRPr="00FC7F1E" w:rsidRDefault="00563CFD" w:rsidP="00CA13BB">
            <w:pPr>
              <w:pStyle w:val="TableText0"/>
              <w:rPr>
                <w:rFonts w:eastAsia="Times New Roman" w:cs="Arial"/>
                <w:bCs w:val="0"/>
                <w:snapToGrid w:val="0"/>
                <w:color w:val="000000" w:themeColor="text1"/>
                <w:szCs w:val="20"/>
              </w:rPr>
            </w:pPr>
            <w:r w:rsidRPr="00FC7F1E">
              <w:rPr>
                <w:szCs w:val="20"/>
              </w:rPr>
              <w:t>The PBAC considered that the submission contained insufficient information for the Committee to form a view on the cost-effectiveness of treatment across the spectrum of SMA (para 7.1)</w:t>
            </w:r>
          </w:p>
        </w:tc>
        <w:tc>
          <w:tcPr>
            <w:tcW w:w="2108" w:type="pct"/>
            <w:shd w:val="clear" w:color="auto" w:fill="auto"/>
          </w:tcPr>
          <w:p w14:paraId="1BC3279B" w14:textId="77777777" w:rsidR="00563CFD" w:rsidRPr="00FC7F1E" w:rsidRDefault="00C56C10" w:rsidP="00C56C10">
            <w:pPr>
              <w:pStyle w:val="TableText0"/>
              <w:rPr>
                <w:rFonts w:eastAsia="Times New Roman" w:cs="Arial"/>
                <w:bCs w:val="0"/>
                <w:snapToGrid w:val="0"/>
                <w:color w:val="000000" w:themeColor="text1"/>
                <w:szCs w:val="20"/>
              </w:rPr>
            </w:pPr>
            <w:r w:rsidRPr="00FC7F1E">
              <w:rPr>
                <w:szCs w:val="20"/>
              </w:rPr>
              <w:t xml:space="preserve">Partially addressed. </w:t>
            </w:r>
            <w:r w:rsidR="003E5CC9" w:rsidRPr="00FC7F1E">
              <w:rPr>
                <w:szCs w:val="20"/>
              </w:rPr>
              <w:t>Incremental c</w:t>
            </w:r>
            <w:r w:rsidR="00563CFD" w:rsidRPr="00FC7F1E">
              <w:rPr>
                <w:szCs w:val="20"/>
              </w:rPr>
              <w:t>ost/QALY gained presented</w:t>
            </w:r>
            <w:r w:rsidRPr="00FC7F1E">
              <w:rPr>
                <w:szCs w:val="20"/>
              </w:rPr>
              <w:t>.</w:t>
            </w:r>
            <w:r w:rsidR="000270B5" w:rsidRPr="00FC7F1E">
              <w:rPr>
                <w:szCs w:val="20"/>
              </w:rPr>
              <w:t xml:space="preserve"> </w:t>
            </w:r>
          </w:p>
        </w:tc>
      </w:tr>
      <w:tr w:rsidR="00563CFD" w:rsidRPr="00FC7F1E" w14:paraId="208439EE" w14:textId="77777777" w:rsidTr="005017DB">
        <w:trPr>
          <w:cantSplit/>
        </w:trPr>
        <w:tc>
          <w:tcPr>
            <w:tcW w:w="784" w:type="pct"/>
            <w:vMerge/>
          </w:tcPr>
          <w:p w14:paraId="47FA0B34" w14:textId="77777777" w:rsidR="00563CFD" w:rsidRPr="00FC7F1E" w:rsidRDefault="00563CFD" w:rsidP="005017DB">
            <w:pPr>
              <w:pStyle w:val="TableText0"/>
            </w:pPr>
          </w:p>
        </w:tc>
        <w:tc>
          <w:tcPr>
            <w:tcW w:w="2108" w:type="pct"/>
          </w:tcPr>
          <w:p w14:paraId="5E8CB6C3" w14:textId="77777777" w:rsidR="00563CFD" w:rsidRPr="00FC7F1E" w:rsidRDefault="00563CFD" w:rsidP="00CA13BB">
            <w:pPr>
              <w:pStyle w:val="TableText0"/>
              <w:rPr>
                <w:szCs w:val="20"/>
              </w:rPr>
            </w:pPr>
            <w:r w:rsidRPr="00FC7F1E">
              <w:rPr>
                <w:szCs w:val="20"/>
              </w:rPr>
              <w:t>The PBAC considered that the cost per responder estimates presented for Type II and Type III SMA were highly uncertain (para 7.20).</w:t>
            </w:r>
            <w:r w:rsidRPr="00FC7F1E">
              <w:t xml:space="preserve"> </w:t>
            </w:r>
          </w:p>
        </w:tc>
        <w:tc>
          <w:tcPr>
            <w:tcW w:w="2108" w:type="pct"/>
            <w:shd w:val="clear" w:color="auto" w:fill="auto"/>
          </w:tcPr>
          <w:p w14:paraId="574C2DC1" w14:textId="77777777" w:rsidR="00563CFD" w:rsidRPr="00FC7F1E" w:rsidRDefault="003E5CC9" w:rsidP="003E5CC9">
            <w:pPr>
              <w:pStyle w:val="TableText0"/>
              <w:rPr>
                <w:szCs w:val="20"/>
              </w:rPr>
            </w:pPr>
            <w:r w:rsidRPr="00FC7F1E">
              <w:rPr>
                <w:szCs w:val="20"/>
              </w:rPr>
              <w:t>Incremental c</w:t>
            </w:r>
            <w:r w:rsidR="00563CFD" w:rsidRPr="00FC7F1E">
              <w:rPr>
                <w:szCs w:val="20"/>
              </w:rPr>
              <w:t>ost/QALY gained presented</w:t>
            </w:r>
          </w:p>
        </w:tc>
      </w:tr>
      <w:tr w:rsidR="00563CFD" w:rsidRPr="00FC7F1E" w14:paraId="5F549CBD" w14:textId="77777777" w:rsidTr="005017DB">
        <w:trPr>
          <w:cantSplit/>
        </w:trPr>
        <w:tc>
          <w:tcPr>
            <w:tcW w:w="784" w:type="pct"/>
            <w:vMerge/>
          </w:tcPr>
          <w:p w14:paraId="0BAF19C2" w14:textId="77777777" w:rsidR="00563CFD" w:rsidRPr="00FC7F1E" w:rsidRDefault="00563CFD" w:rsidP="005017DB">
            <w:pPr>
              <w:pStyle w:val="TableText0"/>
            </w:pPr>
          </w:p>
        </w:tc>
        <w:tc>
          <w:tcPr>
            <w:tcW w:w="2108" w:type="pct"/>
          </w:tcPr>
          <w:p w14:paraId="577BE717" w14:textId="77777777" w:rsidR="00563CFD" w:rsidRPr="00FC7F1E" w:rsidRDefault="00563CFD" w:rsidP="00563CFD">
            <w:pPr>
              <w:pStyle w:val="TableText0"/>
              <w:rPr>
                <w:rFonts w:eastAsia="Times New Roman" w:cs="Arial"/>
                <w:bCs w:val="0"/>
                <w:snapToGrid w:val="0"/>
                <w:color w:val="000000" w:themeColor="text1"/>
                <w:szCs w:val="20"/>
              </w:rPr>
            </w:pPr>
            <w:r w:rsidRPr="00FC7F1E">
              <w:rPr>
                <w:szCs w:val="20"/>
              </w:rPr>
              <w:t xml:space="preserve">The PBAC advised that a resubmission presenting a model based on </w:t>
            </w:r>
            <w:r w:rsidR="009D1381" w:rsidRPr="00FC7F1E">
              <w:rPr>
                <w:szCs w:val="20"/>
              </w:rPr>
              <w:t xml:space="preserve">a </w:t>
            </w:r>
            <w:r w:rsidRPr="00FC7F1E">
              <w:rPr>
                <w:szCs w:val="20"/>
              </w:rPr>
              <w:t>cost-utility analysis for Types II and III SMA would be required to establish the cost-effectiveness of treatment compared with standard care. Additionally, the PBAC considered that a substantial price reduction would likely be required to render nusinersen cost-effective in the overall SMA population [para 7.21].</w:t>
            </w:r>
          </w:p>
        </w:tc>
        <w:tc>
          <w:tcPr>
            <w:tcW w:w="2108" w:type="pct"/>
            <w:shd w:val="clear" w:color="auto" w:fill="auto"/>
          </w:tcPr>
          <w:p w14:paraId="475D3F5D" w14:textId="77777777" w:rsidR="00563CFD" w:rsidRPr="00FC7F1E" w:rsidRDefault="00CB727E" w:rsidP="00CB727E">
            <w:pPr>
              <w:spacing w:after="120"/>
              <w:jc w:val="left"/>
              <w:rPr>
                <w:bCs/>
                <w:snapToGrid w:val="0"/>
                <w:color w:val="000000" w:themeColor="text1"/>
                <w:szCs w:val="20"/>
              </w:rPr>
            </w:pPr>
            <w:r w:rsidRPr="00FC7F1E">
              <w:rPr>
                <w:rFonts w:ascii="Arial Narrow" w:hAnsi="Arial Narrow"/>
                <w:sz w:val="20"/>
                <w:szCs w:val="20"/>
              </w:rPr>
              <w:t>For adult patients initiating treatment, t</w:t>
            </w:r>
            <w:r w:rsidR="008F2846" w:rsidRPr="00FC7F1E">
              <w:rPr>
                <w:rFonts w:ascii="Arial Narrow" w:hAnsi="Arial Narrow"/>
                <w:sz w:val="20"/>
                <w:szCs w:val="20"/>
              </w:rPr>
              <w:t>he submission proposed a vial price of $</w:t>
            </w:r>
            <w:r w:rsidR="008E2DDA">
              <w:rPr>
                <w:rFonts w:ascii="Arial Narrow" w:hAnsi="Arial Narrow"/>
                <w:noProof/>
                <w:color w:val="000000"/>
                <w:sz w:val="20"/>
                <w:szCs w:val="20"/>
                <w:highlight w:val="black"/>
              </w:rPr>
              <w:t>'''''''''''''''</w:t>
            </w:r>
            <w:r w:rsidRPr="00FC7F1E">
              <w:rPr>
                <w:rFonts w:ascii="Arial Narrow" w:hAnsi="Arial Narrow"/>
                <w:sz w:val="20"/>
                <w:szCs w:val="20"/>
              </w:rPr>
              <w:t xml:space="preserve">, with </w:t>
            </w:r>
            <w:r w:rsidR="008E2DDA">
              <w:rPr>
                <w:rFonts w:ascii="Arial Narrow" w:hAnsi="Arial Narrow"/>
                <w:noProof/>
                <w:color w:val="000000"/>
                <w:sz w:val="20"/>
                <w:szCs w:val="20"/>
                <w:highlight w:val="black"/>
              </w:rPr>
              <w:t>'''''''''' ''''''''''''''''' '''''''''''''</w:t>
            </w:r>
            <w:r w:rsidRPr="00FC7F1E">
              <w:rPr>
                <w:rFonts w:ascii="Arial Narrow" w:hAnsi="Arial Narrow"/>
                <w:sz w:val="20"/>
                <w:szCs w:val="20"/>
              </w:rPr>
              <w:t xml:space="preserve"> rebated. </w:t>
            </w:r>
            <w:r w:rsidR="004716FC" w:rsidRPr="00FC7F1E">
              <w:rPr>
                <w:rFonts w:ascii="Arial Narrow" w:hAnsi="Arial Narrow"/>
                <w:sz w:val="20"/>
                <w:szCs w:val="20"/>
              </w:rPr>
              <w:t>F</w:t>
            </w:r>
            <w:r w:rsidR="00791647" w:rsidRPr="00FC7F1E">
              <w:rPr>
                <w:rFonts w:ascii="Arial Narrow" w:hAnsi="Arial Narrow"/>
                <w:sz w:val="20"/>
                <w:szCs w:val="20"/>
              </w:rPr>
              <w:t>or non-adult patients with Type IIIb SMA</w:t>
            </w:r>
            <w:r w:rsidR="004716FC" w:rsidRPr="00FC7F1E">
              <w:rPr>
                <w:rFonts w:ascii="Arial Narrow" w:hAnsi="Arial Narrow"/>
                <w:sz w:val="20"/>
                <w:szCs w:val="20"/>
              </w:rPr>
              <w:t>, the existing listed price</w:t>
            </w:r>
            <w:r w:rsidR="009D1381" w:rsidRPr="00FC7F1E">
              <w:rPr>
                <w:rFonts w:ascii="Arial Narrow" w:hAnsi="Arial Narrow"/>
                <w:sz w:val="20"/>
                <w:szCs w:val="20"/>
              </w:rPr>
              <w:t xml:space="preserve"> ($</w:t>
            </w:r>
            <w:r w:rsidR="008E2DDA">
              <w:rPr>
                <w:rFonts w:ascii="Arial Narrow" w:hAnsi="Arial Narrow"/>
                <w:noProof/>
                <w:color w:val="000000"/>
                <w:sz w:val="20"/>
                <w:szCs w:val="20"/>
                <w:highlight w:val="black"/>
              </w:rPr>
              <w:t>''''''''''''''''''</w:t>
            </w:r>
            <w:r w:rsidR="009D1381" w:rsidRPr="00FC7F1E">
              <w:rPr>
                <w:rFonts w:ascii="Arial Narrow" w:hAnsi="Arial Narrow"/>
                <w:sz w:val="20"/>
                <w:szCs w:val="20"/>
              </w:rPr>
              <w:t>)</w:t>
            </w:r>
            <w:r w:rsidR="004716FC" w:rsidRPr="00FC7F1E">
              <w:rPr>
                <w:rFonts w:ascii="Arial Narrow" w:hAnsi="Arial Narrow"/>
                <w:sz w:val="20"/>
                <w:szCs w:val="20"/>
              </w:rPr>
              <w:t xml:space="preserve"> was requested in Table 1.5 of the </w:t>
            </w:r>
            <w:r w:rsidR="00C21E01" w:rsidRPr="00FC7F1E">
              <w:rPr>
                <w:rFonts w:ascii="Arial Narrow" w:hAnsi="Arial Narrow"/>
                <w:sz w:val="20"/>
                <w:szCs w:val="20"/>
              </w:rPr>
              <w:t>re</w:t>
            </w:r>
            <w:r w:rsidR="004716FC" w:rsidRPr="00FC7F1E">
              <w:rPr>
                <w:rFonts w:ascii="Arial Narrow" w:hAnsi="Arial Narrow"/>
                <w:sz w:val="20"/>
                <w:szCs w:val="20"/>
              </w:rPr>
              <w:t>submission</w:t>
            </w:r>
          </w:p>
        </w:tc>
      </w:tr>
      <w:tr w:rsidR="00C96BED" w:rsidRPr="00FC7F1E" w14:paraId="6CB74318" w14:textId="77777777" w:rsidTr="005017DB">
        <w:trPr>
          <w:cantSplit/>
        </w:trPr>
        <w:tc>
          <w:tcPr>
            <w:tcW w:w="784" w:type="pct"/>
          </w:tcPr>
          <w:p w14:paraId="4C0DE337" w14:textId="77777777" w:rsidR="00C96BED" w:rsidRPr="00FC7F1E" w:rsidRDefault="00C96BED" w:rsidP="005017DB">
            <w:pPr>
              <w:pStyle w:val="TableText0"/>
            </w:pPr>
            <w:r w:rsidRPr="00FC7F1E">
              <w:t>Financial estimates</w:t>
            </w:r>
          </w:p>
        </w:tc>
        <w:tc>
          <w:tcPr>
            <w:tcW w:w="2108" w:type="pct"/>
          </w:tcPr>
          <w:p w14:paraId="4BD285AE" w14:textId="77777777" w:rsidR="00C96BED" w:rsidRPr="00FC7F1E" w:rsidRDefault="00C96BED" w:rsidP="004E18E9">
            <w:pPr>
              <w:pStyle w:val="TableText0"/>
              <w:rPr>
                <w:rFonts w:eastAsia="Times New Roman" w:cs="Arial"/>
                <w:bCs w:val="0"/>
                <w:snapToGrid w:val="0"/>
                <w:color w:val="000000" w:themeColor="text1"/>
                <w:szCs w:val="20"/>
              </w:rPr>
            </w:pPr>
            <w:r w:rsidRPr="00FC7F1E">
              <w:rPr>
                <w:rFonts w:eastAsia="Times New Roman" w:cs="Arial"/>
                <w:bCs w:val="0"/>
                <w:snapToGrid w:val="0"/>
                <w:color w:val="000000" w:themeColor="text1"/>
                <w:szCs w:val="20"/>
              </w:rPr>
              <w:t>The PBAC considered that the patient numbers were underestimated, and particularly the number of patients over the age of 18 years (para 7.4)</w:t>
            </w:r>
          </w:p>
        </w:tc>
        <w:tc>
          <w:tcPr>
            <w:tcW w:w="2108" w:type="pct"/>
          </w:tcPr>
          <w:p w14:paraId="665F2FBD" w14:textId="77777777" w:rsidR="00C96BED" w:rsidRPr="00FC7F1E" w:rsidRDefault="00C96BED" w:rsidP="004E18E9">
            <w:pPr>
              <w:pStyle w:val="TableText0"/>
              <w:rPr>
                <w:rFonts w:eastAsia="Times New Roman" w:cs="Arial"/>
                <w:bCs w:val="0"/>
                <w:snapToGrid w:val="0"/>
                <w:color w:val="000000" w:themeColor="text1"/>
                <w:szCs w:val="20"/>
              </w:rPr>
            </w:pPr>
            <w:r w:rsidRPr="00FC7F1E">
              <w:rPr>
                <w:rFonts w:eastAsia="Times New Roman" w:cs="Arial"/>
                <w:bCs w:val="0"/>
                <w:snapToGrid w:val="0"/>
                <w:color w:val="000000" w:themeColor="text1"/>
                <w:szCs w:val="20"/>
              </w:rPr>
              <w:t>Not addressed</w:t>
            </w:r>
            <w:r w:rsidR="00563CFD" w:rsidRPr="00FC7F1E">
              <w:rPr>
                <w:rFonts w:eastAsia="Times New Roman" w:cs="Arial"/>
                <w:bCs w:val="0"/>
                <w:snapToGrid w:val="0"/>
                <w:color w:val="000000" w:themeColor="text1"/>
                <w:szCs w:val="20"/>
              </w:rPr>
              <w:t>, although a risk share arrangement with expenditure caps was proposed</w:t>
            </w:r>
          </w:p>
        </w:tc>
      </w:tr>
    </w:tbl>
    <w:p w14:paraId="4D95DCF7" w14:textId="77777777" w:rsidR="005C25FF" w:rsidRPr="00FC7F1E" w:rsidRDefault="00E365B1" w:rsidP="004E18E9">
      <w:pPr>
        <w:pStyle w:val="TableFigureFooter"/>
      </w:pPr>
      <w:r w:rsidRPr="00FC7F1E">
        <w:t xml:space="preserve">Source: November 2017 </w:t>
      </w:r>
      <w:r w:rsidR="006D3E35">
        <w:t>Public summary document (</w:t>
      </w:r>
      <w:r w:rsidRPr="00FC7F1E">
        <w:t>PSD</w:t>
      </w:r>
      <w:r w:rsidR="006D3E35">
        <w:t>)</w:t>
      </w:r>
      <w:r w:rsidRPr="00FC7F1E">
        <w:t xml:space="preserve"> for nusinersen</w:t>
      </w:r>
      <w:r w:rsidR="005C25FF" w:rsidRPr="00FC7F1E">
        <w:t>.</w:t>
      </w:r>
    </w:p>
    <w:p w14:paraId="094AC347" w14:textId="77777777" w:rsidR="002757B2" w:rsidRPr="00FC7F1E" w:rsidRDefault="002757B2" w:rsidP="00EB6D0A">
      <w:pPr>
        <w:pStyle w:val="TableFigureFooter"/>
        <w:spacing w:after="240"/>
      </w:pPr>
      <w:r w:rsidRPr="00FC7F1E">
        <w:t>Paragraph references refer to the November 2017 PSD for nusinersen.</w:t>
      </w:r>
    </w:p>
    <w:p w14:paraId="14324294" w14:textId="77777777" w:rsidR="00EB6D0A" w:rsidRPr="00FC7F1E" w:rsidRDefault="00EB6D0A" w:rsidP="00EB6D0A">
      <w:pPr>
        <w:pStyle w:val="3-BodyText"/>
      </w:pPr>
      <w:r w:rsidRPr="00FC7F1E">
        <w:t>In July 2020, nusinersen was recommended for treatment initiation in patients with genetically diagnosed pre-symptomatic SMA with SMN2 copy number of 1 or 2</w:t>
      </w:r>
      <w:r w:rsidR="00FC7F1E">
        <w:t xml:space="preserve">. </w:t>
      </w:r>
    </w:p>
    <w:p w14:paraId="6730DBB0" w14:textId="77777777" w:rsidR="00987B69" w:rsidRPr="00FC7F1E" w:rsidRDefault="00987B69" w:rsidP="00987B69">
      <w:pPr>
        <w:pStyle w:val="3-BodyText"/>
        <w:numPr>
          <w:ilvl w:val="0"/>
          <w:numId w:val="0"/>
        </w:numPr>
        <w:ind w:left="720"/>
        <w:rPr>
          <w:i/>
        </w:rPr>
      </w:pPr>
      <w:r w:rsidRPr="00FC7F1E">
        <w:rPr>
          <w:i/>
        </w:rPr>
        <w:t>For more detail on PBAC’s view, see section 7 PBAC outcome.</w:t>
      </w:r>
    </w:p>
    <w:p w14:paraId="5868EA6B" w14:textId="77777777" w:rsidR="00B60939" w:rsidRPr="00FC7F1E" w:rsidRDefault="00B50DB8" w:rsidP="009D191E">
      <w:pPr>
        <w:pStyle w:val="2-SectionHeading"/>
        <w:keepLines/>
      </w:pPr>
      <w:bookmarkStart w:id="10" w:name="_Toc50701413"/>
      <w:r w:rsidRPr="00FC7F1E">
        <w:t>Requested listing</w:t>
      </w:r>
      <w:bookmarkEnd w:id="10"/>
    </w:p>
    <w:p w14:paraId="4BF5F1E6" w14:textId="77777777" w:rsidR="003E2121" w:rsidRPr="00FC7F1E" w:rsidRDefault="008B5C6C" w:rsidP="008B5C6C">
      <w:pPr>
        <w:pStyle w:val="3-BodyText"/>
      </w:pPr>
      <w:r w:rsidRPr="00FC7F1E">
        <w:t>The listing requested by the resubmission is outlined below. Underlined and strikethrough text indicate changes compared with the existing PBS listing.</w:t>
      </w:r>
    </w:p>
    <w:tbl>
      <w:tblPr>
        <w:tblW w:w="9021" w:type="dxa"/>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566"/>
        <w:gridCol w:w="1028"/>
        <w:gridCol w:w="1035"/>
        <w:gridCol w:w="2056"/>
        <w:gridCol w:w="2061"/>
        <w:gridCol w:w="7"/>
      </w:tblGrid>
      <w:tr w:rsidR="006D61C1" w:rsidRPr="00FC7F1E" w14:paraId="597C5934" w14:textId="77777777" w:rsidTr="006D61C1">
        <w:trPr>
          <w:gridAfter w:val="1"/>
          <w:wAfter w:w="7" w:type="dxa"/>
        </w:trPr>
        <w:tc>
          <w:tcPr>
            <w:tcW w:w="2834" w:type="dxa"/>
            <w:gridSpan w:val="2"/>
          </w:tcPr>
          <w:p w14:paraId="354DD507" w14:textId="77777777" w:rsidR="006D61C1" w:rsidRPr="00FC7F1E" w:rsidRDefault="006D61C1" w:rsidP="009D191E">
            <w:pPr>
              <w:keepNext/>
              <w:keepLines/>
              <w:jc w:val="left"/>
              <w:rPr>
                <w:rFonts w:ascii="Arial Narrow" w:hAnsi="Arial Narrow" w:cs="Times New Roman"/>
                <w:b/>
                <w:bCs/>
                <w:sz w:val="20"/>
                <w:szCs w:val="22"/>
                <w:lang w:eastAsia="en-US"/>
              </w:rPr>
            </w:pPr>
            <w:r w:rsidRPr="00FC7F1E">
              <w:rPr>
                <w:rFonts w:ascii="Arial Narrow" w:hAnsi="Arial Narrow" w:cs="Times New Roman"/>
                <w:b/>
                <w:sz w:val="20"/>
                <w:szCs w:val="22"/>
                <w:lang w:eastAsia="en-US"/>
              </w:rPr>
              <w:lastRenderedPageBreak/>
              <w:t>Name, restriction, manner of administration, form</w:t>
            </w:r>
          </w:p>
        </w:tc>
        <w:tc>
          <w:tcPr>
            <w:tcW w:w="1028" w:type="dxa"/>
          </w:tcPr>
          <w:p w14:paraId="05F24A88" w14:textId="77777777" w:rsidR="006D61C1" w:rsidRPr="00FC7F1E" w:rsidRDefault="006D61C1" w:rsidP="009D191E">
            <w:pPr>
              <w:keepNext/>
              <w:keepLines/>
              <w:jc w:val="center"/>
              <w:rPr>
                <w:rFonts w:ascii="Arial Narrow" w:hAnsi="Arial Narrow" w:cs="Times New Roman"/>
                <w:b/>
                <w:bCs/>
                <w:sz w:val="20"/>
                <w:szCs w:val="22"/>
                <w:lang w:eastAsia="en-US"/>
              </w:rPr>
            </w:pPr>
            <w:r w:rsidRPr="00FC7F1E">
              <w:rPr>
                <w:rFonts w:ascii="Arial Narrow" w:hAnsi="Arial Narrow" w:cs="Times New Roman"/>
                <w:b/>
                <w:sz w:val="20"/>
                <w:szCs w:val="22"/>
                <w:lang w:eastAsia="en-US"/>
              </w:rPr>
              <w:t>Maximum quantity (packs)</w:t>
            </w:r>
          </w:p>
        </w:tc>
        <w:tc>
          <w:tcPr>
            <w:tcW w:w="1035" w:type="dxa"/>
          </w:tcPr>
          <w:p w14:paraId="3B2206D8" w14:textId="77777777" w:rsidR="006D61C1" w:rsidRPr="00FC7F1E" w:rsidRDefault="006D61C1" w:rsidP="009D191E">
            <w:pPr>
              <w:keepNext/>
              <w:keepLines/>
              <w:jc w:val="center"/>
              <w:rPr>
                <w:rFonts w:ascii="Arial Narrow" w:hAnsi="Arial Narrow" w:cs="Times New Roman"/>
                <w:b/>
                <w:bCs/>
                <w:sz w:val="20"/>
                <w:szCs w:val="22"/>
                <w:lang w:eastAsia="en-US"/>
              </w:rPr>
            </w:pPr>
            <w:r w:rsidRPr="00FC7F1E">
              <w:rPr>
                <w:rFonts w:ascii="Arial Narrow" w:hAnsi="Arial Narrow" w:cs="Times New Roman"/>
                <w:b/>
                <w:sz w:val="20"/>
                <w:szCs w:val="22"/>
                <w:lang w:eastAsia="en-US"/>
              </w:rPr>
              <w:t>No. of repeats</w:t>
            </w:r>
          </w:p>
        </w:tc>
        <w:tc>
          <w:tcPr>
            <w:tcW w:w="2056" w:type="dxa"/>
          </w:tcPr>
          <w:p w14:paraId="236D523B" w14:textId="77777777" w:rsidR="006D61C1" w:rsidRPr="00FC7F1E" w:rsidRDefault="006D61C1" w:rsidP="009D191E">
            <w:pPr>
              <w:keepNext/>
              <w:keepLines/>
              <w:jc w:val="center"/>
              <w:rPr>
                <w:rFonts w:ascii="Arial Narrow" w:hAnsi="Arial Narrow" w:cs="Times New Roman"/>
                <w:b/>
                <w:bCs/>
                <w:sz w:val="20"/>
                <w:szCs w:val="22"/>
                <w:lang w:eastAsia="en-US"/>
              </w:rPr>
            </w:pPr>
            <w:r w:rsidRPr="00FC7F1E">
              <w:rPr>
                <w:rFonts w:ascii="Arial Narrow" w:hAnsi="Arial Narrow" w:cs="Times New Roman"/>
                <w:b/>
                <w:sz w:val="20"/>
                <w:szCs w:val="22"/>
                <w:lang w:eastAsia="en-US"/>
              </w:rPr>
              <w:t>Dispensed price for maximum quantity</w:t>
            </w:r>
          </w:p>
        </w:tc>
        <w:tc>
          <w:tcPr>
            <w:tcW w:w="2061" w:type="dxa"/>
          </w:tcPr>
          <w:p w14:paraId="33F85908" w14:textId="77777777" w:rsidR="006D61C1" w:rsidRPr="00FC7F1E" w:rsidRDefault="006D61C1" w:rsidP="009D191E">
            <w:pPr>
              <w:keepNext/>
              <w:keepLines/>
              <w:jc w:val="center"/>
              <w:rPr>
                <w:rFonts w:ascii="Arial Narrow" w:hAnsi="Arial Narrow" w:cs="Times New Roman"/>
                <w:b/>
                <w:bCs/>
                <w:sz w:val="20"/>
                <w:szCs w:val="22"/>
                <w:lang w:eastAsia="en-US"/>
              </w:rPr>
            </w:pPr>
            <w:r w:rsidRPr="00FC7F1E">
              <w:rPr>
                <w:rFonts w:ascii="Arial Narrow" w:hAnsi="Arial Narrow" w:cs="Times New Roman"/>
                <w:b/>
                <w:sz w:val="20"/>
                <w:szCs w:val="22"/>
                <w:lang w:eastAsia="en-US"/>
              </w:rPr>
              <w:t>Proprietary name and manufacturer</w:t>
            </w:r>
          </w:p>
        </w:tc>
      </w:tr>
      <w:tr w:rsidR="006D61C1" w:rsidRPr="00FC7F1E" w14:paraId="586FDAE8" w14:textId="77777777" w:rsidTr="006D61C1">
        <w:trPr>
          <w:gridAfter w:val="1"/>
          <w:wAfter w:w="7" w:type="dxa"/>
        </w:trPr>
        <w:tc>
          <w:tcPr>
            <w:tcW w:w="2834" w:type="dxa"/>
            <w:gridSpan w:val="2"/>
          </w:tcPr>
          <w:p w14:paraId="1276FCCE" w14:textId="77777777" w:rsidR="006D61C1" w:rsidRPr="00FC7F1E" w:rsidRDefault="006D61C1" w:rsidP="009D191E">
            <w:pPr>
              <w:keepNext/>
              <w:keepLines/>
              <w:widowControl w:val="0"/>
              <w:spacing w:before="40" w:after="40"/>
              <w:rPr>
                <w:rFonts w:ascii="Arial Narrow" w:hAnsi="Arial Narrow"/>
                <w:snapToGrid w:val="0"/>
                <w:sz w:val="20"/>
                <w:szCs w:val="20"/>
                <w:lang w:eastAsia="en-US"/>
              </w:rPr>
            </w:pPr>
            <w:r w:rsidRPr="00FC7F1E">
              <w:rPr>
                <w:rFonts w:ascii="Arial Narrow" w:hAnsi="Arial Narrow"/>
                <w:smallCaps/>
                <w:snapToGrid w:val="0"/>
                <w:sz w:val="20"/>
                <w:szCs w:val="20"/>
                <w:lang w:eastAsia="en-US"/>
              </w:rPr>
              <w:t xml:space="preserve">NUSINERSEN </w:t>
            </w:r>
            <w:r w:rsidRPr="00FC7F1E">
              <w:rPr>
                <w:rFonts w:ascii="Arial Narrow" w:hAnsi="Arial Narrow"/>
                <w:snapToGrid w:val="0"/>
                <w:sz w:val="20"/>
                <w:szCs w:val="20"/>
                <w:lang w:eastAsia="en-US"/>
              </w:rPr>
              <w:t xml:space="preserve">Initial treatment </w:t>
            </w:r>
          </w:p>
          <w:p w14:paraId="79CD274D" w14:textId="77777777" w:rsidR="006D61C1" w:rsidRPr="00FC7F1E" w:rsidRDefault="006D61C1" w:rsidP="009D191E">
            <w:pPr>
              <w:keepNext/>
              <w:keepLines/>
              <w:widowControl w:val="0"/>
              <w:spacing w:before="40" w:after="40"/>
              <w:rPr>
                <w:rFonts w:ascii="Arial Narrow" w:hAnsi="Arial Narrow"/>
                <w:snapToGrid w:val="0"/>
                <w:sz w:val="20"/>
                <w:szCs w:val="20"/>
                <w:lang w:eastAsia="en-US"/>
              </w:rPr>
            </w:pPr>
            <w:r w:rsidRPr="00FC7F1E">
              <w:rPr>
                <w:rFonts w:ascii="Arial Narrow" w:hAnsi="Arial Narrow"/>
                <w:snapToGrid w:val="0"/>
                <w:sz w:val="20"/>
                <w:szCs w:val="20"/>
                <w:lang w:eastAsia="en-US"/>
              </w:rPr>
              <w:t xml:space="preserve">12mg*/5mL injection, 1 x 5 mL vial </w:t>
            </w:r>
          </w:p>
          <w:p w14:paraId="4E69A537" w14:textId="77777777" w:rsidR="006D61C1" w:rsidRPr="00FC7F1E" w:rsidRDefault="006D61C1" w:rsidP="009D191E">
            <w:pPr>
              <w:keepNext/>
              <w:keepLines/>
              <w:widowControl w:val="0"/>
              <w:spacing w:before="40" w:after="40"/>
              <w:rPr>
                <w:rFonts w:ascii="Arial Narrow" w:hAnsi="Arial Narrow"/>
                <w:snapToGrid w:val="0"/>
                <w:sz w:val="20"/>
                <w:szCs w:val="20"/>
                <w:lang w:eastAsia="en-US"/>
              </w:rPr>
            </w:pPr>
            <w:r w:rsidRPr="00FC7F1E">
              <w:rPr>
                <w:rFonts w:ascii="Arial Narrow" w:hAnsi="Arial Narrow"/>
                <w:snapToGrid w:val="0"/>
                <w:sz w:val="20"/>
                <w:szCs w:val="20"/>
                <w:lang w:eastAsia="en-US"/>
              </w:rPr>
              <w:t xml:space="preserve">Continuing treatment </w:t>
            </w:r>
          </w:p>
          <w:p w14:paraId="45F40CB7" w14:textId="77777777" w:rsidR="006D61C1" w:rsidRPr="00FC7F1E" w:rsidRDefault="006D61C1" w:rsidP="009D191E">
            <w:pPr>
              <w:keepNext/>
              <w:keepLines/>
              <w:jc w:val="left"/>
              <w:rPr>
                <w:rFonts w:ascii="Arial Narrow" w:hAnsi="Arial Narrow" w:cs="Times New Roman"/>
                <w:b/>
                <w:bCs/>
                <w:sz w:val="20"/>
                <w:szCs w:val="22"/>
                <w:lang w:eastAsia="en-US"/>
              </w:rPr>
            </w:pPr>
            <w:r w:rsidRPr="00FC7F1E">
              <w:rPr>
                <w:rFonts w:ascii="Arial Narrow" w:hAnsi="Arial Narrow"/>
                <w:sz w:val="20"/>
                <w:szCs w:val="20"/>
                <w:lang w:eastAsia="en-US"/>
              </w:rPr>
              <w:t xml:space="preserve">12mg*/5mL injection, 1 x 5 mL vial </w:t>
            </w:r>
          </w:p>
        </w:tc>
        <w:tc>
          <w:tcPr>
            <w:tcW w:w="1028" w:type="dxa"/>
          </w:tcPr>
          <w:p w14:paraId="3E98AB3D" w14:textId="77777777" w:rsidR="006D61C1" w:rsidRPr="00FC7F1E" w:rsidRDefault="006D61C1" w:rsidP="009D191E">
            <w:pPr>
              <w:keepNext/>
              <w:keepLines/>
              <w:widowControl w:val="0"/>
              <w:spacing w:before="40" w:after="40"/>
              <w:jc w:val="center"/>
              <w:rPr>
                <w:rFonts w:ascii="Arial Narrow" w:hAnsi="Arial Narrow"/>
                <w:snapToGrid w:val="0"/>
                <w:sz w:val="20"/>
                <w:szCs w:val="20"/>
                <w:lang w:eastAsia="en-US"/>
              </w:rPr>
            </w:pPr>
          </w:p>
          <w:p w14:paraId="01EE0613" w14:textId="77777777" w:rsidR="006D61C1" w:rsidRPr="00FC7F1E" w:rsidRDefault="006D61C1" w:rsidP="009D191E">
            <w:pPr>
              <w:keepNext/>
              <w:keepLines/>
              <w:widowControl w:val="0"/>
              <w:spacing w:before="40" w:after="40"/>
              <w:jc w:val="center"/>
              <w:rPr>
                <w:rFonts w:ascii="Arial Narrow" w:hAnsi="Arial Narrow"/>
                <w:snapToGrid w:val="0"/>
                <w:sz w:val="20"/>
                <w:szCs w:val="20"/>
                <w:lang w:eastAsia="en-US"/>
              </w:rPr>
            </w:pPr>
            <w:r w:rsidRPr="00FC7F1E">
              <w:rPr>
                <w:rFonts w:ascii="Arial Narrow" w:hAnsi="Arial Narrow"/>
                <w:snapToGrid w:val="0"/>
                <w:sz w:val="20"/>
                <w:szCs w:val="20"/>
                <w:lang w:eastAsia="en-US"/>
              </w:rPr>
              <w:t>1</w:t>
            </w:r>
          </w:p>
          <w:p w14:paraId="236BC23F" w14:textId="77777777" w:rsidR="006D61C1" w:rsidRPr="00FC7F1E" w:rsidRDefault="006D61C1" w:rsidP="009D191E">
            <w:pPr>
              <w:keepNext/>
              <w:keepLines/>
              <w:widowControl w:val="0"/>
              <w:spacing w:before="40" w:after="40"/>
              <w:jc w:val="center"/>
              <w:rPr>
                <w:rFonts w:ascii="Arial Narrow" w:hAnsi="Arial Narrow"/>
                <w:snapToGrid w:val="0"/>
                <w:sz w:val="20"/>
                <w:szCs w:val="20"/>
                <w:lang w:eastAsia="en-US"/>
              </w:rPr>
            </w:pPr>
          </w:p>
          <w:p w14:paraId="7807BF55" w14:textId="77777777" w:rsidR="006D61C1" w:rsidRPr="00FC7F1E" w:rsidRDefault="006D61C1" w:rsidP="009D191E">
            <w:pPr>
              <w:keepNext/>
              <w:keepLines/>
              <w:spacing w:before="40" w:after="40"/>
              <w:jc w:val="center"/>
              <w:rPr>
                <w:rFonts w:ascii="Times" w:hAnsi="Times" w:cs="Times New Roman"/>
                <w:sz w:val="20"/>
                <w:szCs w:val="22"/>
                <w:lang w:eastAsia="en-US"/>
              </w:rPr>
            </w:pPr>
            <w:r w:rsidRPr="00FC7F1E">
              <w:rPr>
                <w:rFonts w:ascii="Arial Narrow" w:hAnsi="Arial Narrow"/>
                <w:sz w:val="20"/>
                <w:szCs w:val="20"/>
                <w:lang w:eastAsia="en-US"/>
              </w:rPr>
              <w:t>1</w:t>
            </w:r>
          </w:p>
        </w:tc>
        <w:tc>
          <w:tcPr>
            <w:tcW w:w="1035" w:type="dxa"/>
          </w:tcPr>
          <w:p w14:paraId="5C44058E" w14:textId="77777777" w:rsidR="006D61C1" w:rsidRPr="00FC7F1E" w:rsidRDefault="006D61C1" w:rsidP="009D191E">
            <w:pPr>
              <w:keepNext/>
              <w:keepLines/>
              <w:widowControl w:val="0"/>
              <w:spacing w:before="40" w:after="40"/>
              <w:jc w:val="center"/>
              <w:rPr>
                <w:rFonts w:ascii="Arial Narrow" w:hAnsi="Arial Narrow"/>
                <w:b/>
                <w:snapToGrid w:val="0"/>
                <w:sz w:val="20"/>
                <w:szCs w:val="20"/>
                <w:lang w:eastAsia="en-US"/>
              </w:rPr>
            </w:pPr>
          </w:p>
          <w:p w14:paraId="38960528" w14:textId="77777777" w:rsidR="006D61C1" w:rsidRPr="00FC7F1E" w:rsidRDefault="006D61C1" w:rsidP="009D191E">
            <w:pPr>
              <w:keepNext/>
              <w:keepLines/>
              <w:widowControl w:val="0"/>
              <w:spacing w:before="40" w:after="40"/>
              <w:jc w:val="center"/>
              <w:rPr>
                <w:rFonts w:ascii="Arial Narrow" w:hAnsi="Arial Narrow"/>
                <w:snapToGrid w:val="0"/>
                <w:sz w:val="20"/>
                <w:szCs w:val="20"/>
                <w:lang w:eastAsia="en-US"/>
              </w:rPr>
            </w:pPr>
            <w:r w:rsidRPr="00FC7F1E">
              <w:rPr>
                <w:rFonts w:ascii="Arial Narrow" w:hAnsi="Arial Narrow"/>
                <w:snapToGrid w:val="0"/>
                <w:sz w:val="20"/>
                <w:szCs w:val="20"/>
                <w:lang w:eastAsia="en-US"/>
              </w:rPr>
              <w:t>3</w:t>
            </w:r>
          </w:p>
          <w:p w14:paraId="6E50B0EF" w14:textId="77777777" w:rsidR="006D61C1" w:rsidRPr="00FC7F1E" w:rsidRDefault="006D61C1" w:rsidP="009D191E">
            <w:pPr>
              <w:keepNext/>
              <w:keepLines/>
              <w:widowControl w:val="0"/>
              <w:spacing w:before="40" w:after="40"/>
              <w:jc w:val="center"/>
              <w:rPr>
                <w:rFonts w:ascii="Arial Narrow" w:hAnsi="Arial Narrow"/>
                <w:snapToGrid w:val="0"/>
                <w:sz w:val="20"/>
                <w:szCs w:val="20"/>
                <w:lang w:eastAsia="en-US"/>
              </w:rPr>
            </w:pPr>
          </w:p>
          <w:p w14:paraId="28A0C620" w14:textId="77777777" w:rsidR="006D61C1" w:rsidRPr="00FC7F1E" w:rsidRDefault="006D61C1" w:rsidP="009D191E">
            <w:pPr>
              <w:keepNext/>
              <w:keepLines/>
              <w:widowControl w:val="0"/>
              <w:spacing w:before="40" w:after="40"/>
              <w:jc w:val="center"/>
              <w:rPr>
                <w:rFonts w:ascii="Times" w:hAnsi="Times"/>
                <w:b/>
                <w:snapToGrid w:val="0"/>
                <w:szCs w:val="22"/>
                <w:lang w:eastAsia="en-US"/>
              </w:rPr>
            </w:pPr>
            <w:r w:rsidRPr="00FC7F1E">
              <w:rPr>
                <w:rFonts w:ascii="Arial Narrow" w:hAnsi="Arial Narrow"/>
                <w:snapToGrid w:val="0"/>
                <w:sz w:val="20"/>
                <w:szCs w:val="20"/>
                <w:lang w:eastAsia="en-US"/>
              </w:rPr>
              <w:t>2</w:t>
            </w:r>
          </w:p>
        </w:tc>
        <w:tc>
          <w:tcPr>
            <w:tcW w:w="2056" w:type="dxa"/>
          </w:tcPr>
          <w:p w14:paraId="3ADD727F" w14:textId="77777777" w:rsidR="006D61C1" w:rsidRPr="00FC7F1E" w:rsidRDefault="006D61C1" w:rsidP="009D191E">
            <w:pPr>
              <w:keepNext/>
              <w:keepLines/>
              <w:widowControl w:val="0"/>
              <w:spacing w:before="40" w:after="40"/>
              <w:jc w:val="center"/>
              <w:rPr>
                <w:rFonts w:ascii="Arial Narrow" w:hAnsi="Arial Narrow"/>
                <w:snapToGrid w:val="0"/>
                <w:sz w:val="20"/>
                <w:szCs w:val="20"/>
                <w:lang w:eastAsia="en-US"/>
              </w:rPr>
            </w:pPr>
            <w:r w:rsidRPr="00FC7F1E">
              <w:rPr>
                <w:rFonts w:ascii="Arial Narrow" w:hAnsi="Arial Narrow"/>
                <w:snapToGrid w:val="0"/>
                <w:sz w:val="20"/>
                <w:szCs w:val="20"/>
                <w:lang w:eastAsia="en-US"/>
              </w:rPr>
              <w:t>$110,000</w:t>
            </w:r>
            <w:r w:rsidR="00C43CB9" w:rsidRPr="00FC7F1E">
              <w:rPr>
                <w:rFonts w:ascii="Arial Narrow" w:hAnsi="Arial Narrow"/>
                <w:snapToGrid w:val="0"/>
                <w:sz w:val="20"/>
                <w:szCs w:val="20"/>
                <w:lang w:eastAsia="en-US"/>
              </w:rPr>
              <w:t xml:space="preserve"> (published)</w:t>
            </w:r>
          </w:p>
          <w:p w14:paraId="5C7E46CE" w14:textId="77777777" w:rsidR="006D61C1" w:rsidRPr="00FC7F1E" w:rsidRDefault="006D61C1" w:rsidP="009D191E">
            <w:pPr>
              <w:keepNext/>
              <w:keepLines/>
              <w:widowControl w:val="0"/>
              <w:spacing w:before="40" w:after="40"/>
              <w:jc w:val="center"/>
              <w:rPr>
                <w:rFonts w:ascii="Arial Narrow" w:hAnsi="Arial Narrow"/>
                <w:snapToGrid w:val="0"/>
                <w:sz w:val="20"/>
                <w:szCs w:val="20"/>
                <w:lang w:eastAsia="en-US"/>
              </w:rPr>
            </w:pPr>
            <w:r w:rsidRPr="00FC7F1E">
              <w:rPr>
                <w:rFonts w:ascii="Arial Narrow" w:hAnsi="Arial Narrow"/>
                <w:snapToGrid w:val="0"/>
                <w:sz w:val="20"/>
                <w:szCs w:val="20"/>
                <w:lang w:eastAsia="en-US"/>
              </w:rPr>
              <w:t>$</w:t>
            </w:r>
            <w:r w:rsidR="008E2DDA">
              <w:rPr>
                <w:rFonts w:ascii="Arial Narrow" w:hAnsi="Arial Narrow"/>
                <w:noProof/>
                <w:snapToGrid w:val="0"/>
                <w:color w:val="000000"/>
                <w:sz w:val="20"/>
                <w:szCs w:val="20"/>
                <w:highlight w:val="black"/>
                <w:lang w:eastAsia="en-US"/>
              </w:rPr>
              <w:t>'''''''''''''''''</w:t>
            </w:r>
            <w:r w:rsidRPr="00FC7F1E">
              <w:rPr>
                <w:rFonts w:ascii="Arial Narrow" w:hAnsi="Arial Narrow"/>
                <w:snapToGrid w:val="0"/>
                <w:sz w:val="20"/>
                <w:szCs w:val="20"/>
                <w:lang w:eastAsia="en-US"/>
              </w:rPr>
              <w:t xml:space="preserve"> (effective price)</w:t>
            </w:r>
          </w:p>
          <w:p w14:paraId="736F306A" w14:textId="77777777" w:rsidR="006D61C1" w:rsidRPr="00FC7F1E" w:rsidRDefault="006D61C1" w:rsidP="009D191E">
            <w:pPr>
              <w:keepNext/>
              <w:keepLines/>
              <w:widowControl w:val="0"/>
              <w:spacing w:before="40" w:after="40"/>
              <w:jc w:val="center"/>
              <w:rPr>
                <w:rFonts w:ascii="Arial Narrow" w:hAnsi="Arial Narrow"/>
                <w:snapToGrid w:val="0"/>
                <w:sz w:val="20"/>
                <w:szCs w:val="20"/>
                <w:vertAlign w:val="superscript"/>
                <w:lang w:eastAsia="en-US"/>
              </w:rPr>
            </w:pPr>
            <w:r w:rsidRPr="00FC7F1E">
              <w:rPr>
                <w:rFonts w:ascii="Arial Narrow" w:hAnsi="Arial Narrow"/>
                <w:snapToGrid w:val="0"/>
                <w:sz w:val="20"/>
                <w:szCs w:val="20"/>
                <w:lang w:eastAsia="en-US"/>
              </w:rPr>
              <w:t>$110,000</w:t>
            </w:r>
            <w:r w:rsidR="00C43CB9" w:rsidRPr="00FC7F1E">
              <w:rPr>
                <w:rFonts w:ascii="Arial Narrow" w:hAnsi="Arial Narrow"/>
                <w:snapToGrid w:val="0"/>
                <w:sz w:val="20"/>
                <w:szCs w:val="20"/>
                <w:lang w:eastAsia="en-US"/>
              </w:rPr>
              <w:t xml:space="preserve"> (published)</w:t>
            </w:r>
          </w:p>
          <w:p w14:paraId="0BA13BB6" w14:textId="77777777" w:rsidR="006D61C1" w:rsidRPr="00FC7F1E" w:rsidRDefault="006D61C1" w:rsidP="009D191E">
            <w:pPr>
              <w:keepNext/>
              <w:keepLines/>
              <w:jc w:val="center"/>
              <w:rPr>
                <w:rFonts w:ascii="Times" w:hAnsi="Times" w:cs="Times New Roman"/>
                <w:sz w:val="20"/>
                <w:szCs w:val="22"/>
                <w:lang w:eastAsia="en-US"/>
              </w:rPr>
            </w:pPr>
            <w:r w:rsidRPr="00FC7F1E">
              <w:rPr>
                <w:rFonts w:ascii="Arial Narrow" w:hAnsi="Arial Narrow" w:cs="Times New Roman"/>
                <w:sz w:val="20"/>
                <w:szCs w:val="20"/>
                <w:lang w:eastAsia="en-US"/>
              </w:rPr>
              <w:t>$</w:t>
            </w:r>
            <w:r w:rsidR="008E2DDA">
              <w:rPr>
                <w:rFonts w:ascii="Arial Narrow" w:hAnsi="Arial Narrow" w:cs="Times New Roman"/>
                <w:noProof/>
                <w:color w:val="000000"/>
                <w:sz w:val="20"/>
                <w:szCs w:val="20"/>
                <w:highlight w:val="black"/>
                <w:lang w:eastAsia="en-US"/>
              </w:rPr>
              <w:t>'''''''''''''''''</w:t>
            </w:r>
            <w:r w:rsidRPr="00FC7F1E">
              <w:rPr>
                <w:rFonts w:ascii="Arial Narrow" w:hAnsi="Arial Narrow" w:cs="Times New Roman"/>
                <w:sz w:val="20"/>
                <w:szCs w:val="20"/>
                <w:lang w:eastAsia="en-US"/>
              </w:rPr>
              <w:t xml:space="preserve"> (effective price)</w:t>
            </w:r>
          </w:p>
        </w:tc>
        <w:tc>
          <w:tcPr>
            <w:tcW w:w="2061" w:type="dxa"/>
          </w:tcPr>
          <w:p w14:paraId="437C697E" w14:textId="77777777" w:rsidR="006D61C1" w:rsidRPr="00FC7F1E" w:rsidRDefault="006D61C1" w:rsidP="009D191E">
            <w:pPr>
              <w:keepNext/>
              <w:keepLines/>
              <w:widowControl w:val="0"/>
              <w:spacing w:before="40" w:after="40"/>
              <w:jc w:val="center"/>
              <w:rPr>
                <w:rFonts w:ascii="Arial Narrow" w:hAnsi="Arial Narrow"/>
                <w:snapToGrid w:val="0"/>
                <w:sz w:val="20"/>
                <w:szCs w:val="20"/>
                <w:lang w:eastAsia="en-US"/>
              </w:rPr>
            </w:pPr>
          </w:p>
          <w:p w14:paraId="16E7DF57" w14:textId="77777777" w:rsidR="006D61C1" w:rsidRPr="00FC7F1E" w:rsidRDefault="006D61C1" w:rsidP="009D191E">
            <w:pPr>
              <w:keepNext/>
              <w:keepLines/>
              <w:jc w:val="center"/>
              <w:rPr>
                <w:rFonts w:ascii="Times" w:hAnsi="Times" w:cs="Times New Roman"/>
                <w:sz w:val="20"/>
                <w:szCs w:val="22"/>
                <w:lang w:eastAsia="en-US"/>
              </w:rPr>
            </w:pPr>
            <w:r w:rsidRPr="00FC7F1E">
              <w:rPr>
                <w:rFonts w:ascii="Arial Narrow" w:hAnsi="Arial Narrow"/>
                <w:sz w:val="20"/>
                <w:szCs w:val="20"/>
                <w:lang w:eastAsia="en-US"/>
              </w:rPr>
              <w:t>Spinraza, Biogen Australia Pty Ltd</w:t>
            </w:r>
          </w:p>
        </w:tc>
      </w:tr>
      <w:tr w:rsidR="006D61C1" w:rsidRPr="00FC7F1E" w14:paraId="48738C9A"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562DC900" w14:textId="77777777" w:rsidR="006D61C1" w:rsidRPr="00FC7F1E" w:rsidRDefault="006D61C1" w:rsidP="009D191E">
            <w:pPr>
              <w:pStyle w:val="TableText0"/>
              <w:keepLines/>
              <w:rPr>
                <w:b/>
              </w:rPr>
            </w:pPr>
            <w:r w:rsidRPr="00FC7F1E">
              <w:rPr>
                <w:b/>
              </w:rPr>
              <w:t>Category / Program:</w:t>
            </w:r>
          </w:p>
        </w:tc>
        <w:tc>
          <w:tcPr>
            <w:tcW w:w="6753" w:type="dxa"/>
            <w:gridSpan w:val="6"/>
            <w:tcBorders>
              <w:top w:val="single" w:sz="4" w:space="0" w:color="auto"/>
              <w:left w:val="single" w:sz="4" w:space="0" w:color="auto"/>
              <w:bottom w:val="single" w:sz="4" w:space="0" w:color="auto"/>
              <w:right w:val="single" w:sz="4" w:space="0" w:color="auto"/>
            </w:tcBorders>
          </w:tcPr>
          <w:p w14:paraId="3584F338" w14:textId="77777777" w:rsidR="006D61C1" w:rsidRPr="00FC7F1E" w:rsidRDefault="006D61C1" w:rsidP="009D191E">
            <w:pPr>
              <w:pStyle w:val="TableText0"/>
              <w:keepLines/>
            </w:pPr>
            <w:r w:rsidRPr="00FC7F1E">
              <w:t>Section 100 – Highly Specialised Drugs Program</w:t>
            </w:r>
          </w:p>
        </w:tc>
      </w:tr>
      <w:tr w:rsidR="006D61C1" w:rsidRPr="00FC7F1E" w14:paraId="40BB9198"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13E5C0F2" w14:textId="77777777" w:rsidR="006D61C1" w:rsidRPr="00FC7F1E" w:rsidRDefault="006D61C1" w:rsidP="00885D1C">
            <w:pPr>
              <w:pStyle w:val="TableText0"/>
              <w:rPr>
                <w:b/>
              </w:rPr>
            </w:pPr>
            <w:r w:rsidRPr="00FC7F1E">
              <w:rPr>
                <w:b/>
              </w:rPr>
              <w:t>Prescriber type:</w:t>
            </w:r>
          </w:p>
        </w:tc>
        <w:tc>
          <w:tcPr>
            <w:tcW w:w="6753" w:type="dxa"/>
            <w:gridSpan w:val="6"/>
            <w:tcBorders>
              <w:top w:val="single" w:sz="4" w:space="0" w:color="auto"/>
              <w:left w:val="single" w:sz="4" w:space="0" w:color="auto"/>
              <w:bottom w:val="single" w:sz="4" w:space="0" w:color="auto"/>
              <w:right w:val="single" w:sz="4" w:space="0" w:color="auto"/>
            </w:tcBorders>
          </w:tcPr>
          <w:p w14:paraId="7027C4F3" w14:textId="77777777" w:rsidR="006D61C1" w:rsidRPr="00FC7F1E" w:rsidRDefault="006D61C1" w:rsidP="00885D1C">
            <w:pPr>
              <w:pStyle w:val="TableText0"/>
            </w:pPr>
            <w:r w:rsidRPr="00FC7F1E">
              <w:rPr>
                <w:szCs w:val="20"/>
              </w:rPr>
              <w:fldChar w:fldCharType="begin">
                <w:ffData>
                  <w:name w:val=""/>
                  <w:enabled/>
                  <w:calcOnExit w:val="0"/>
                  <w:checkBox>
                    <w:sizeAuto/>
                    <w:default w:val="1"/>
                  </w:checkBox>
                </w:ffData>
              </w:fldChar>
            </w:r>
            <w:r w:rsidRPr="00FC7F1E">
              <w:rPr>
                <w:szCs w:val="20"/>
              </w:rPr>
              <w:instrText xml:space="preserve"> FORMCHECKBOX </w:instrText>
            </w:r>
            <w:r w:rsidR="00575675">
              <w:rPr>
                <w:szCs w:val="20"/>
              </w:rPr>
            </w:r>
            <w:r w:rsidR="00575675">
              <w:rPr>
                <w:szCs w:val="20"/>
              </w:rPr>
              <w:fldChar w:fldCharType="separate"/>
            </w:r>
            <w:r w:rsidRPr="00FC7F1E">
              <w:rPr>
                <w:szCs w:val="20"/>
              </w:rPr>
              <w:fldChar w:fldCharType="end"/>
            </w:r>
            <w:r w:rsidRPr="00FC7F1E">
              <w:rPr>
                <w:szCs w:val="20"/>
              </w:rPr>
              <w:tab/>
              <w:t>Medical Practitioners</w:t>
            </w:r>
          </w:p>
        </w:tc>
      </w:tr>
      <w:tr w:rsidR="006D61C1" w:rsidRPr="00FC7F1E" w14:paraId="4808F32B"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76CD3CAC" w14:textId="77777777" w:rsidR="006D61C1" w:rsidRPr="00FC7F1E" w:rsidRDefault="006D61C1" w:rsidP="00885D1C">
            <w:pPr>
              <w:pStyle w:val="TableText0"/>
              <w:rPr>
                <w:b/>
              </w:rPr>
            </w:pPr>
            <w:r w:rsidRPr="00FC7F1E">
              <w:rPr>
                <w:b/>
              </w:rPr>
              <w:t>Condition:</w:t>
            </w:r>
          </w:p>
        </w:tc>
        <w:tc>
          <w:tcPr>
            <w:tcW w:w="6753" w:type="dxa"/>
            <w:gridSpan w:val="6"/>
            <w:tcBorders>
              <w:top w:val="single" w:sz="4" w:space="0" w:color="auto"/>
              <w:left w:val="single" w:sz="4" w:space="0" w:color="auto"/>
              <w:bottom w:val="single" w:sz="4" w:space="0" w:color="auto"/>
              <w:right w:val="single" w:sz="4" w:space="0" w:color="auto"/>
            </w:tcBorders>
          </w:tcPr>
          <w:p w14:paraId="3A9D8520" w14:textId="77777777" w:rsidR="006D61C1" w:rsidRPr="00FC7F1E" w:rsidRDefault="006D61C1" w:rsidP="00885D1C">
            <w:pPr>
              <w:pStyle w:val="TableText0"/>
            </w:pPr>
            <w:r w:rsidRPr="00FC7F1E">
              <w:t>Spinal muscular atrophy (SMA)</w:t>
            </w:r>
          </w:p>
        </w:tc>
      </w:tr>
      <w:tr w:rsidR="006D61C1" w:rsidRPr="00FC7F1E" w14:paraId="65DE3B00"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1A658A98" w14:textId="77777777" w:rsidR="006D61C1" w:rsidRPr="00FC7F1E" w:rsidRDefault="006D61C1" w:rsidP="00885D1C">
            <w:pPr>
              <w:pStyle w:val="TableText0"/>
              <w:rPr>
                <w:b/>
              </w:rPr>
            </w:pPr>
            <w:r w:rsidRPr="00FC7F1E">
              <w:rPr>
                <w:b/>
              </w:rPr>
              <w:t>PBS Indication:</w:t>
            </w:r>
          </w:p>
        </w:tc>
        <w:tc>
          <w:tcPr>
            <w:tcW w:w="6753" w:type="dxa"/>
            <w:gridSpan w:val="6"/>
            <w:tcBorders>
              <w:top w:val="single" w:sz="4" w:space="0" w:color="auto"/>
              <w:left w:val="single" w:sz="4" w:space="0" w:color="auto"/>
              <w:bottom w:val="single" w:sz="4" w:space="0" w:color="auto"/>
              <w:right w:val="single" w:sz="4" w:space="0" w:color="auto"/>
            </w:tcBorders>
          </w:tcPr>
          <w:p w14:paraId="4482B81E" w14:textId="77777777" w:rsidR="006D61C1" w:rsidRPr="00FC7F1E" w:rsidRDefault="006D61C1" w:rsidP="00885D1C">
            <w:pPr>
              <w:pStyle w:val="TableText0"/>
            </w:pPr>
            <w:r w:rsidRPr="00FC7F1E">
              <w:t>Treatment of SMA</w:t>
            </w:r>
          </w:p>
        </w:tc>
      </w:tr>
      <w:tr w:rsidR="006D61C1" w:rsidRPr="00FC7F1E" w14:paraId="3535C312"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198A629E" w14:textId="77777777" w:rsidR="006D61C1" w:rsidRPr="00FC7F1E" w:rsidRDefault="006D61C1" w:rsidP="00885D1C">
            <w:pPr>
              <w:pStyle w:val="TableText0"/>
            </w:pPr>
            <w:r w:rsidRPr="00FC7F1E">
              <w:rPr>
                <w:b/>
              </w:rPr>
              <w:t>Treatment phase:</w:t>
            </w:r>
          </w:p>
        </w:tc>
        <w:tc>
          <w:tcPr>
            <w:tcW w:w="6753" w:type="dxa"/>
            <w:gridSpan w:val="6"/>
            <w:tcBorders>
              <w:top w:val="single" w:sz="4" w:space="0" w:color="auto"/>
              <w:left w:val="single" w:sz="4" w:space="0" w:color="auto"/>
              <w:bottom w:val="single" w:sz="4" w:space="0" w:color="auto"/>
              <w:right w:val="single" w:sz="4" w:space="0" w:color="auto"/>
            </w:tcBorders>
          </w:tcPr>
          <w:p w14:paraId="6CF60549" w14:textId="77777777" w:rsidR="006D61C1" w:rsidRPr="00FC7F1E" w:rsidRDefault="006D61C1" w:rsidP="00885D1C">
            <w:pPr>
              <w:pStyle w:val="TableText0"/>
            </w:pPr>
            <w:r w:rsidRPr="00FC7F1E">
              <w:t>Initial – New patients</w:t>
            </w:r>
          </w:p>
        </w:tc>
      </w:tr>
      <w:tr w:rsidR="006D61C1" w:rsidRPr="00FC7F1E" w14:paraId="60B199C1"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6A8965A0" w14:textId="77777777" w:rsidR="006D61C1" w:rsidRPr="00FC7F1E" w:rsidRDefault="006D61C1" w:rsidP="00885D1C">
            <w:pPr>
              <w:pStyle w:val="TableText0"/>
            </w:pPr>
            <w:r w:rsidRPr="00FC7F1E">
              <w:rPr>
                <w:b/>
              </w:rPr>
              <w:t>Restriction:</w:t>
            </w:r>
          </w:p>
        </w:tc>
        <w:tc>
          <w:tcPr>
            <w:tcW w:w="6753" w:type="dxa"/>
            <w:gridSpan w:val="6"/>
            <w:tcBorders>
              <w:top w:val="single" w:sz="4" w:space="0" w:color="auto"/>
              <w:left w:val="single" w:sz="4" w:space="0" w:color="auto"/>
              <w:bottom w:val="single" w:sz="4" w:space="0" w:color="auto"/>
              <w:right w:val="single" w:sz="4" w:space="0" w:color="auto"/>
            </w:tcBorders>
          </w:tcPr>
          <w:p w14:paraId="340C8E08" w14:textId="77777777" w:rsidR="006D61C1" w:rsidRPr="00FC7F1E" w:rsidRDefault="006D61C1" w:rsidP="00885D1C">
            <w:pPr>
              <w:pStyle w:val="TableText0"/>
            </w:pPr>
            <w:r w:rsidRPr="00FC7F1E">
              <w:rPr>
                <w:rFonts w:asciiTheme="minorHAnsi" w:hAnsiTheme="minorHAnsi"/>
                <w:szCs w:val="20"/>
              </w:rPr>
              <w:fldChar w:fldCharType="begin">
                <w:ffData>
                  <w:name w:val=""/>
                  <w:enabled/>
                  <w:calcOnExit w:val="0"/>
                  <w:checkBox>
                    <w:sizeAuto/>
                    <w:default w:val="1"/>
                  </w:checkBox>
                </w:ffData>
              </w:fldChar>
            </w:r>
            <w:r w:rsidRPr="00FC7F1E">
              <w:rPr>
                <w:rFonts w:asciiTheme="minorHAnsi" w:hAnsiTheme="minorHAnsi"/>
                <w:szCs w:val="20"/>
              </w:rPr>
              <w:instrText xml:space="preserve"> FORMCHECKBOX </w:instrText>
            </w:r>
            <w:r w:rsidR="00575675">
              <w:rPr>
                <w:rFonts w:asciiTheme="minorHAnsi" w:hAnsiTheme="minorHAnsi"/>
                <w:szCs w:val="20"/>
              </w:rPr>
            </w:r>
            <w:r w:rsidR="00575675">
              <w:rPr>
                <w:rFonts w:asciiTheme="minorHAnsi" w:hAnsiTheme="minorHAnsi"/>
                <w:szCs w:val="20"/>
              </w:rPr>
              <w:fldChar w:fldCharType="separate"/>
            </w:r>
            <w:r w:rsidRPr="00FC7F1E">
              <w:rPr>
                <w:rFonts w:asciiTheme="minorHAnsi" w:hAnsiTheme="minorHAnsi"/>
                <w:szCs w:val="20"/>
              </w:rPr>
              <w:fldChar w:fldCharType="end"/>
            </w:r>
            <w:r w:rsidRPr="00FC7F1E">
              <w:rPr>
                <w:rFonts w:asciiTheme="minorHAnsi" w:hAnsiTheme="minorHAnsi"/>
                <w:szCs w:val="20"/>
              </w:rPr>
              <w:tab/>
            </w:r>
            <w:r w:rsidRPr="00FC7F1E">
              <w:t>Authority Required - In Writing</w:t>
            </w:r>
          </w:p>
        </w:tc>
      </w:tr>
      <w:tr w:rsidR="006D61C1" w:rsidRPr="00FC7F1E" w14:paraId="0DD0115B"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18645A95" w14:textId="77777777" w:rsidR="006D61C1" w:rsidRPr="00FC7F1E" w:rsidRDefault="006D61C1" w:rsidP="00885D1C">
            <w:pPr>
              <w:pStyle w:val="TableText0"/>
              <w:rPr>
                <w:b/>
              </w:rPr>
            </w:pPr>
            <w:r w:rsidRPr="00FC7F1E">
              <w:rPr>
                <w:b/>
              </w:rPr>
              <w:t>Treatment criteria:</w:t>
            </w:r>
          </w:p>
          <w:p w14:paraId="5CF3B4F5" w14:textId="77777777" w:rsidR="006D61C1" w:rsidRPr="00FC7F1E" w:rsidRDefault="006D61C1" w:rsidP="00885D1C">
            <w:pPr>
              <w:pStyle w:val="TableText0"/>
            </w:pPr>
          </w:p>
        </w:tc>
        <w:tc>
          <w:tcPr>
            <w:tcW w:w="6753" w:type="dxa"/>
            <w:gridSpan w:val="6"/>
            <w:tcBorders>
              <w:top w:val="single" w:sz="4" w:space="0" w:color="auto"/>
              <w:left w:val="single" w:sz="4" w:space="0" w:color="auto"/>
              <w:bottom w:val="single" w:sz="4" w:space="0" w:color="auto"/>
              <w:right w:val="single" w:sz="4" w:space="0" w:color="auto"/>
            </w:tcBorders>
          </w:tcPr>
          <w:p w14:paraId="0C720901" w14:textId="77777777" w:rsidR="006D61C1" w:rsidRPr="00FC7F1E" w:rsidRDefault="006D61C1" w:rsidP="00885D1C">
            <w:pPr>
              <w:pStyle w:val="TableText0"/>
              <w:rPr>
                <w:rFonts w:cs="Arial"/>
              </w:rPr>
            </w:pPr>
            <w:r w:rsidRPr="00FC7F1E">
              <w:rPr>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006D61C1" w:rsidRPr="00FC7F1E" w14:paraId="34536B18"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0236870F" w14:textId="77777777" w:rsidR="006D61C1" w:rsidRPr="00FC7F1E" w:rsidRDefault="006D61C1" w:rsidP="00885D1C">
            <w:pPr>
              <w:pStyle w:val="TableText0"/>
              <w:rPr>
                <w:b/>
              </w:rPr>
            </w:pPr>
            <w:r w:rsidRPr="00FC7F1E">
              <w:rPr>
                <w:b/>
              </w:rPr>
              <w:t>Clinical criteria:</w:t>
            </w:r>
          </w:p>
          <w:p w14:paraId="00E80A5E" w14:textId="77777777" w:rsidR="006D61C1" w:rsidRPr="00FC7F1E" w:rsidRDefault="006D61C1" w:rsidP="00885D1C">
            <w:pPr>
              <w:pStyle w:val="TableText0"/>
            </w:pPr>
          </w:p>
        </w:tc>
        <w:tc>
          <w:tcPr>
            <w:tcW w:w="6753" w:type="dxa"/>
            <w:gridSpan w:val="6"/>
            <w:tcBorders>
              <w:top w:val="single" w:sz="4" w:space="0" w:color="auto"/>
              <w:left w:val="single" w:sz="4" w:space="0" w:color="auto"/>
              <w:bottom w:val="single" w:sz="4" w:space="0" w:color="auto"/>
              <w:right w:val="single" w:sz="4" w:space="0" w:color="auto"/>
            </w:tcBorders>
          </w:tcPr>
          <w:p w14:paraId="60E2694D" w14:textId="77777777" w:rsidR="006D61C1" w:rsidRPr="00FC7F1E" w:rsidRDefault="006D61C1" w:rsidP="00885D1C">
            <w:pPr>
              <w:pStyle w:val="TableText0"/>
              <w:rPr>
                <w:rFonts w:cs="Arial"/>
              </w:rPr>
            </w:pPr>
            <w:r w:rsidRPr="00FC7F1E">
              <w:rPr>
                <w:rFonts w:cs="Arial"/>
              </w:rPr>
              <w:t xml:space="preserve">The condition must </w:t>
            </w:r>
            <w:r w:rsidRPr="00FC7F1E">
              <w:rPr>
                <w:rFonts w:cs="Arial"/>
                <w:u w:val="single"/>
              </w:rPr>
              <w:t>be</w:t>
            </w:r>
            <w:r w:rsidRPr="00FC7F1E">
              <w:rPr>
                <w:rFonts w:cs="Arial"/>
              </w:rPr>
              <w:t xml:space="preserve"> 5q homozygous deletion, mutation of, or compound heterozygous mutation in the SMN1 gene of type I, II </w:t>
            </w:r>
            <w:r w:rsidRPr="00FC7F1E">
              <w:rPr>
                <w:rFonts w:cs="Arial"/>
                <w:szCs w:val="20"/>
              </w:rPr>
              <w:t xml:space="preserve">or </w:t>
            </w:r>
            <w:r w:rsidRPr="00FC7F1E">
              <w:rPr>
                <w:rFonts w:cs="Arial"/>
                <w:strike/>
                <w:szCs w:val="20"/>
              </w:rPr>
              <w:t>IIIa</w:t>
            </w:r>
            <w:r w:rsidRPr="00FC7F1E">
              <w:rPr>
                <w:rFonts w:cs="Arial"/>
                <w:szCs w:val="20"/>
              </w:rPr>
              <w:t xml:space="preserve"> </w:t>
            </w:r>
            <w:r w:rsidRPr="00FC7F1E">
              <w:rPr>
                <w:rFonts w:cs="Arial"/>
                <w:szCs w:val="20"/>
                <w:u w:val="single"/>
              </w:rPr>
              <w:t>III</w:t>
            </w:r>
            <w:r w:rsidRPr="00FC7F1E">
              <w:rPr>
                <w:rFonts w:cs="Arial"/>
                <w:szCs w:val="20"/>
              </w:rPr>
              <w:t>;</w:t>
            </w:r>
          </w:p>
          <w:p w14:paraId="68EEA5CD" w14:textId="77777777" w:rsidR="006D61C1" w:rsidRPr="00FC7F1E" w:rsidRDefault="006D61C1" w:rsidP="00885D1C">
            <w:pPr>
              <w:pStyle w:val="TableText0"/>
              <w:rPr>
                <w:rFonts w:cs="Arial"/>
              </w:rPr>
            </w:pPr>
            <w:r w:rsidRPr="00FC7F1E">
              <w:rPr>
                <w:rFonts w:cs="Arial"/>
              </w:rPr>
              <w:t>AND</w:t>
            </w:r>
          </w:p>
          <w:p w14:paraId="265B99B8" w14:textId="77777777" w:rsidR="006D61C1" w:rsidRPr="00FC7F1E" w:rsidRDefault="006D61C1" w:rsidP="00885D1C">
            <w:pPr>
              <w:pStyle w:val="TableText0"/>
              <w:rPr>
                <w:rFonts w:cs="Arial"/>
              </w:rPr>
            </w:pPr>
            <w:r w:rsidRPr="00FC7F1E">
              <w:rPr>
                <w:rFonts w:cs="Arial"/>
              </w:rPr>
              <w:t xml:space="preserve">Patient must have experienced at least two of the defined signs and symptoms of SMA type I, II </w:t>
            </w:r>
            <w:r w:rsidRPr="00FC7F1E">
              <w:rPr>
                <w:szCs w:val="20"/>
              </w:rPr>
              <w:t xml:space="preserve">or </w:t>
            </w:r>
            <w:r w:rsidRPr="00FC7F1E">
              <w:rPr>
                <w:strike/>
                <w:szCs w:val="20"/>
              </w:rPr>
              <w:t>IIIa</w:t>
            </w:r>
            <w:r w:rsidRPr="00FC7F1E">
              <w:rPr>
                <w:szCs w:val="20"/>
              </w:rPr>
              <w:t xml:space="preserve"> </w:t>
            </w:r>
            <w:r w:rsidRPr="00FC7F1E">
              <w:rPr>
                <w:szCs w:val="20"/>
                <w:u w:val="single"/>
              </w:rPr>
              <w:t>III</w:t>
            </w:r>
            <w:r w:rsidRPr="00FC7F1E">
              <w:rPr>
                <w:szCs w:val="20"/>
              </w:rPr>
              <w:t xml:space="preserve"> prior to </w:t>
            </w:r>
            <w:r w:rsidRPr="00FC7F1E">
              <w:rPr>
                <w:strike/>
                <w:szCs w:val="20"/>
              </w:rPr>
              <w:t>3</w:t>
            </w:r>
            <w:r w:rsidRPr="00FC7F1E">
              <w:rPr>
                <w:szCs w:val="20"/>
              </w:rPr>
              <w:t xml:space="preserve"> </w:t>
            </w:r>
            <w:r w:rsidRPr="00FC7F1E">
              <w:rPr>
                <w:szCs w:val="20"/>
                <w:u w:val="single"/>
              </w:rPr>
              <w:t xml:space="preserve">19 </w:t>
            </w:r>
            <w:r w:rsidRPr="00FC7F1E">
              <w:rPr>
                <w:szCs w:val="20"/>
              </w:rPr>
              <w:t>years of age</w:t>
            </w:r>
          </w:p>
          <w:p w14:paraId="2324DF11" w14:textId="77777777" w:rsidR="006D61C1" w:rsidRPr="00FC7F1E" w:rsidRDefault="006D61C1" w:rsidP="00885D1C">
            <w:pPr>
              <w:pStyle w:val="TableText0"/>
              <w:rPr>
                <w:rFonts w:cs="Arial"/>
              </w:rPr>
            </w:pPr>
            <w:r w:rsidRPr="00FC7F1E">
              <w:rPr>
                <w:rFonts w:cs="Arial"/>
              </w:rPr>
              <w:t>AND</w:t>
            </w:r>
          </w:p>
          <w:p w14:paraId="588E63FE" w14:textId="77777777" w:rsidR="006D61C1" w:rsidRPr="00FC7F1E" w:rsidRDefault="006D61C1" w:rsidP="00885D1C">
            <w:pPr>
              <w:pStyle w:val="TableText0"/>
              <w:rPr>
                <w:rFonts w:cs="Arial"/>
              </w:rPr>
            </w:pPr>
            <w:r w:rsidRPr="00FC7F1E">
              <w:rPr>
                <w:rFonts w:cs="Arial"/>
              </w:rPr>
              <w:t>The treatment must be given concomitantly with standard of care for this condition.</w:t>
            </w:r>
          </w:p>
          <w:p w14:paraId="699EF8CA" w14:textId="77777777" w:rsidR="006D61C1" w:rsidRPr="00FC7F1E" w:rsidRDefault="006D61C1" w:rsidP="00885D1C">
            <w:pPr>
              <w:pStyle w:val="TableText0"/>
              <w:rPr>
                <w:rFonts w:cs="Arial"/>
              </w:rPr>
            </w:pPr>
            <w:r w:rsidRPr="00FC7F1E">
              <w:rPr>
                <w:rFonts w:cs="Arial"/>
              </w:rPr>
              <w:t>AND</w:t>
            </w:r>
          </w:p>
          <w:p w14:paraId="12BB3E58" w14:textId="77777777" w:rsidR="006D61C1" w:rsidRPr="00FC7F1E" w:rsidRDefault="006D61C1" w:rsidP="00885D1C">
            <w:pPr>
              <w:pStyle w:val="TableText0"/>
              <w:rPr>
                <w:rFonts w:cs="Arial"/>
              </w:rPr>
            </w:pPr>
            <w:r w:rsidRPr="00FC7F1E">
              <w:rPr>
                <w:rFonts w:cs="Arial"/>
              </w:rPr>
              <w:t>The treatment must not exceed four loading doses (at days 0, 14, 28 and 63) under this restriction.</w:t>
            </w:r>
          </w:p>
        </w:tc>
      </w:tr>
      <w:tr w:rsidR="006D61C1" w:rsidRPr="00FC7F1E" w14:paraId="0FB43F5E"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7F40493D" w14:textId="77777777" w:rsidR="006D61C1" w:rsidRPr="00FC7F1E" w:rsidRDefault="006D61C1" w:rsidP="008B5C6C">
            <w:pPr>
              <w:pStyle w:val="TableText0"/>
            </w:pPr>
            <w:r w:rsidRPr="00FC7F1E">
              <w:rPr>
                <w:b/>
              </w:rPr>
              <w:t>Population criteria:</w:t>
            </w:r>
          </w:p>
        </w:tc>
        <w:tc>
          <w:tcPr>
            <w:tcW w:w="6753" w:type="dxa"/>
            <w:gridSpan w:val="6"/>
            <w:tcBorders>
              <w:top w:val="single" w:sz="4" w:space="0" w:color="auto"/>
              <w:left w:val="single" w:sz="4" w:space="0" w:color="auto"/>
              <w:bottom w:val="single" w:sz="4" w:space="0" w:color="auto"/>
              <w:right w:val="single" w:sz="4" w:space="0" w:color="auto"/>
            </w:tcBorders>
          </w:tcPr>
          <w:p w14:paraId="60469AF9" w14:textId="77777777" w:rsidR="006D61C1" w:rsidRPr="00FC7F1E" w:rsidRDefault="006D61C1" w:rsidP="00885D1C">
            <w:pPr>
              <w:pStyle w:val="TableText0"/>
            </w:pPr>
            <w:r w:rsidRPr="00FC7F1E">
              <w:rPr>
                <w:strike/>
                <w:szCs w:val="20"/>
              </w:rPr>
              <w:t>Patient must be 18 years of age or under.</w:t>
            </w:r>
          </w:p>
        </w:tc>
      </w:tr>
      <w:tr w:rsidR="006D61C1" w:rsidRPr="00FC7F1E" w14:paraId="574BB56F"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10EFA4C3" w14:textId="77777777" w:rsidR="006D61C1" w:rsidRPr="00FC7F1E" w:rsidRDefault="006D61C1" w:rsidP="00885D1C">
            <w:pPr>
              <w:pStyle w:val="TableText0"/>
              <w:rPr>
                <w:b/>
              </w:rPr>
            </w:pPr>
            <w:r w:rsidRPr="00FC7F1E">
              <w:rPr>
                <w:b/>
              </w:rPr>
              <w:t>Administrative Advice:</w:t>
            </w:r>
          </w:p>
        </w:tc>
        <w:tc>
          <w:tcPr>
            <w:tcW w:w="6753" w:type="dxa"/>
            <w:gridSpan w:val="6"/>
            <w:tcBorders>
              <w:top w:val="single" w:sz="4" w:space="0" w:color="auto"/>
              <w:left w:val="single" w:sz="4" w:space="0" w:color="auto"/>
              <w:bottom w:val="single" w:sz="4" w:space="0" w:color="auto"/>
              <w:right w:val="single" w:sz="4" w:space="0" w:color="auto"/>
            </w:tcBorders>
          </w:tcPr>
          <w:p w14:paraId="54907560" w14:textId="77777777" w:rsidR="006D61C1" w:rsidRPr="00FC7F1E" w:rsidRDefault="006D61C1" w:rsidP="00885D1C">
            <w:pPr>
              <w:spacing w:line="276" w:lineRule="auto"/>
              <w:rPr>
                <w:rFonts w:ascii="Arial Narrow" w:eastAsiaTheme="minorHAnsi" w:hAnsi="Arial Narrow" w:cstheme="minorBidi"/>
                <w:sz w:val="20"/>
                <w:szCs w:val="20"/>
              </w:rPr>
            </w:pPr>
            <w:r w:rsidRPr="00FC7F1E">
              <w:rPr>
                <w:rFonts w:ascii="Arial Narrow" w:eastAsiaTheme="minorHAnsi" w:hAnsi="Arial Narrow" w:cstheme="minorBidi"/>
                <w:sz w:val="20"/>
                <w:szCs w:val="20"/>
              </w:rPr>
              <w:t>Special Pricing Arrangements apply.</w:t>
            </w:r>
          </w:p>
          <w:p w14:paraId="44F3C7FB" w14:textId="77777777" w:rsidR="006D61C1" w:rsidRPr="00FC7F1E" w:rsidRDefault="006D61C1" w:rsidP="00885D1C">
            <w:pPr>
              <w:pStyle w:val="TableText0"/>
            </w:pPr>
            <w:r w:rsidRPr="00FC7F1E">
              <w:rPr>
                <w:rFonts w:eastAsiaTheme="minorHAnsi" w:cstheme="minorBidi"/>
                <w:bCs w:val="0"/>
                <w:szCs w:val="20"/>
              </w:rPr>
              <w:t>No increase in the maximum number of repeats may be authorised.</w:t>
            </w:r>
          </w:p>
        </w:tc>
      </w:tr>
      <w:tr w:rsidR="006D61C1" w:rsidRPr="00FC7F1E" w14:paraId="431A13A7"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0E7C4795" w14:textId="77777777" w:rsidR="006D61C1" w:rsidRPr="00FC7F1E" w:rsidRDefault="006D61C1" w:rsidP="00885D1C">
            <w:pPr>
              <w:pStyle w:val="TableText0"/>
            </w:pPr>
            <w:r w:rsidRPr="00FC7F1E">
              <w:rPr>
                <w:b/>
              </w:rPr>
              <w:t>Treatment phase:</w:t>
            </w:r>
          </w:p>
        </w:tc>
        <w:tc>
          <w:tcPr>
            <w:tcW w:w="6753" w:type="dxa"/>
            <w:gridSpan w:val="6"/>
            <w:tcBorders>
              <w:top w:val="single" w:sz="4" w:space="0" w:color="auto"/>
              <w:left w:val="single" w:sz="4" w:space="0" w:color="auto"/>
              <w:bottom w:val="single" w:sz="4" w:space="0" w:color="auto"/>
              <w:right w:val="single" w:sz="4" w:space="0" w:color="auto"/>
            </w:tcBorders>
          </w:tcPr>
          <w:p w14:paraId="50D2D3F4" w14:textId="77777777" w:rsidR="006D61C1" w:rsidRPr="00FC7F1E" w:rsidRDefault="006D61C1" w:rsidP="00885D1C">
            <w:pPr>
              <w:pStyle w:val="TableText0"/>
            </w:pPr>
            <w:r w:rsidRPr="00FC7F1E">
              <w:t>Continuing treatment</w:t>
            </w:r>
          </w:p>
        </w:tc>
      </w:tr>
      <w:tr w:rsidR="006D61C1" w:rsidRPr="00FC7F1E" w14:paraId="0F5DC0E3"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5A70C99B" w14:textId="77777777" w:rsidR="006D61C1" w:rsidRPr="00FC7F1E" w:rsidRDefault="006D61C1" w:rsidP="00885D1C">
            <w:pPr>
              <w:pStyle w:val="TableText0"/>
              <w:rPr>
                <w:b/>
              </w:rPr>
            </w:pPr>
            <w:r w:rsidRPr="00FC7F1E">
              <w:rPr>
                <w:b/>
              </w:rPr>
              <w:t>Restriction:</w:t>
            </w:r>
          </w:p>
        </w:tc>
        <w:tc>
          <w:tcPr>
            <w:tcW w:w="6753" w:type="dxa"/>
            <w:gridSpan w:val="6"/>
            <w:tcBorders>
              <w:top w:val="single" w:sz="4" w:space="0" w:color="auto"/>
              <w:left w:val="single" w:sz="4" w:space="0" w:color="auto"/>
              <w:bottom w:val="single" w:sz="4" w:space="0" w:color="auto"/>
              <w:right w:val="single" w:sz="4" w:space="0" w:color="auto"/>
            </w:tcBorders>
          </w:tcPr>
          <w:p w14:paraId="33F31447" w14:textId="77777777" w:rsidR="006D61C1" w:rsidRPr="00FC7F1E" w:rsidRDefault="006D61C1" w:rsidP="00885D1C">
            <w:pPr>
              <w:spacing w:line="276" w:lineRule="auto"/>
              <w:rPr>
                <w:rFonts w:ascii="Arial Narrow" w:eastAsiaTheme="minorHAnsi" w:hAnsi="Arial Narrow" w:cstheme="minorBidi"/>
                <w:sz w:val="20"/>
                <w:szCs w:val="20"/>
              </w:rPr>
            </w:pPr>
            <w:r w:rsidRPr="00FC7F1E">
              <w:rPr>
                <w:rFonts w:asciiTheme="minorHAnsi" w:hAnsiTheme="minorHAnsi"/>
                <w:sz w:val="20"/>
                <w:szCs w:val="20"/>
              </w:rPr>
              <w:fldChar w:fldCharType="begin">
                <w:ffData>
                  <w:name w:val=""/>
                  <w:enabled/>
                  <w:calcOnExit w:val="0"/>
                  <w:checkBox>
                    <w:sizeAuto/>
                    <w:default w:val="1"/>
                  </w:checkBox>
                </w:ffData>
              </w:fldChar>
            </w:r>
            <w:r w:rsidRPr="00FC7F1E">
              <w:rPr>
                <w:rFonts w:asciiTheme="minorHAnsi" w:hAnsiTheme="minorHAnsi"/>
                <w:sz w:val="20"/>
                <w:szCs w:val="20"/>
              </w:rPr>
              <w:instrText xml:space="preserve"> FORMCHECKBOX </w:instrText>
            </w:r>
            <w:r w:rsidR="00575675">
              <w:rPr>
                <w:rFonts w:asciiTheme="minorHAnsi" w:hAnsiTheme="minorHAnsi"/>
                <w:sz w:val="20"/>
                <w:szCs w:val="20"/>
              </w:rPr>
            </w:r>
            <w:r w:rsidR="00575675">
              <w:rPr>
                <w:rFonts w:asciiTheme="minorHAnsi" w:hAnsiTheme="minorHAnsi"/>
                <w:sz w:val="20"/>
                <w:szCs w:val="20"/>
              </w:rPr>
              <w:fldChar w:fldCharType="separate"/>
            </w:r>
            <w:r w:rsidRPr="00FC7F1E">
              <w:rPr>
                <w:rFonts w:asciiTheme="minorHAnsi" w:hAnsiTheme="minorHAnsi"/>
                <w:sz w:val="20"/>
                <w:szCs w:val="20"/>
              </w:rPr>
              <w:fldChar w:fldCharType="end"/>
            </w:r>
            <w:r w:rsidRPr="00FC7F1E">
              <w:rPr>
                <w:rFonts w:asciiTheme="minorHAnsi" w:hAnsiTheme="minorHAnsi"/>
                <w:sz w:val="20"/>
                <w:szCs w:val="20"/>
              </w:rPr>
              <w:tab/>
            </w:r>
            <w:r w:rsidRPr="00FC7F1E">
              <w:rPr>
                <w:rFonts w:ascii="Arial Narrow" w:hAnsi="Arial Narrow"/>
                <w:sz w:val="20"/>
                <w:szCs w:val="20"/>
              </w:rPr>
              <w:t>Authority Required - In Writing</w:t>
            </w:r>
          </w:p>
        </w:tc>
      </w:tr>
      <w:tr w:rsidR="006D61C1" w:rsidRPr="00FC7F1E" w14:paraId="3FA14045" w14:textId="77777777" w:rsidTr="0065049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14:paraId="1ABD76D2" w14:textId="77777777" w:rsidR="006D61C1" w:rsidRPr="00FC7F1E" w:rsidRDefault="006D61C1" w:rsidP="00885D1C">
            <w:pPr>
              <w:pStyle w:val="TableText0"/>
              <w:rPr>
                <w:b/>
              </w:rPr>
            </w:pPr>
            <w:r w:rsidRPr="00FC7F1E">
              <w:rPr>
                <w:b/>
              </w:rPr>
              <w:t>Clinical criteria:</w:t>
            </w:r>
          </w:p>
          <w:p w14:paraId="71840C29" w14:textId="77777777" w:rsidR="006D61C1" w:rsidRPr="00FC7F1E" w:rsidRDefault="006D61C1" w:rsidP="00885D1C">
            <w:pPr>
              <w:pStyle w:val="TableText0"/>
              <w:rPr>
                <w:b/>
              </w:rPr>
            </w:pPr>
          </w:p>
        </w:tc>
        <w:tc>
          <w:tcPr>
            <w:tcW w:w="6753" w:type="dxa"/>
            <w:gridSpan w:val="6"/>
            <w:tcBorders>
              <w:top w:val="single" w:sz="4" w:space="0" w:color="auto"/>
              <w:left w:val="single" w:sz="4" w:space="0" w:color="auto"/>
              <w:bottom w:val="single" w:sz="4" w:space="0" w:color="auto"/>
              <w:right w:val="single" w:sz="4" w:space="0" w:color="auto"/>
            </w:tcBorders>
          </w:tcPr>
          <w:p w14:paraId="71D371BC" w14:textId="77777777" w:rsidR="006D61C1" w:rsidRPr="00FC7F1E" w:rsidRDefault="006D61C1" w:rsidP="00885D1C">
            <w:pPr>
              <w:pStyle w:val="TableText0"/>
              <w:rPr>
                <w:rFonts w:cs="Arial"/>
              </w:rPr>
            </w:pPr>
            <w:r w:rsidRPr="00FC7F1E">
              <w:rPr>
                <w:rFonts w:cs="Arial"/>
              </w:rPr>
              <w:t>Patient must have previously received PBS-subsidised treatment with this drug for this condition</w:t>
            </w:r>
          </w:p>
          <w:p w14:paraId="57BF286A" w14:textId="77777777" w:rsidR="006D61C1" w:rsidRPr="00FC7F1E" w:rsidRDefault="006D61C1" w:rsidP="00885D1C">
            <w:pPr>
              <w:pStyle w:val="TableText0"/>
              <w:rPr>
                <w:rFonts w:cs="Arial"/>
              </w:rPr>
            </w:pPr>
            <w:r w:rsidRPr="00FC7F1E">
              <w:rPr>
                <w:rFonts w:cs="Arial"/>
              </w:rPr>
              <w:t>AND</w:t>
            </w:r>
          </w:p>
          <w:p w14:paraId="5B7E52BB" w14:textId="77777777" w:rsidR="006D61C1" w:rsidRPr="00FC7F1E" w:rsidRDefault="006D61C1" w:rsidP="00885D1C">
            <w:pPr>
              <w:pStyle w:val="TableText0"/>
              <w:rPr>
                <w:rFonts w:cs="Arial"/>
              </w:rPr>
            </w:pPr>
            <w:r w:rsidRPr="00FC7F1E">
              <w:rPr>
                <w:rFonts w:cs="Arial"/>
              </w:rPr>
              <w:t>The treatment must be given concomitantly with standard of care for this condition</w:t>
            </w:r>
          </w:p>
          <w:p w14:paraId="1838C32D" w14:textId="77777777" w:rsidR="006D61C1" w:rsidRPr="00FC7F1E" w:rsidRDefault="006D61C1" w:rsidP="00885D1C">
            <w:pPr>
              <w:pStyle w:val="TableText0"/>
              <w:rPr>
                <w:rFonts w:cs="Arial"/>
              </w:rPr>
            </w:pPr>
            <w:r w:rsidRPr="00FC7F1E">
              <w:rPr>
                <w:rFonts w:cs="Arial"/>
              </w:rPr>
              <w:t>AND</w:t>
            </w:r>
          </w:p>
          <w:p w14:paraId="54A456C2" w14:textId="77777777" w:rsidR="006D61C1" w:rsidRPr="00FC7F1E" w:rsidRDefault="006D61C1" w:rsidP="00D10B21">
            <w:pPr>
              <w:pStyle w:val="TableText0"/>
              <w:rPr>
                <w:rFonts w:cs="Arial"/>
              </w:rPr>
            </w:pPr>
            <w:r w:rsidRPr="00FC7F1E">
              <w:rPr>
                <w:rFonts w:cs="Arial"/>
              </w:rPr>
              <w:t>The treatment must be ceased when invasive permanent assisted ventilation is required in the absence of a potentially reversible cause</w:t>
            </w:r>
            <w:r w:rsidRPr="00FC7F1E">
              <w:rPr>
                <w:rFonts w:asciiTheme="minorHAnsi" w:hAnsiTheme="minorHAnsi" w:cs="Arial"/>
                <w:szCs w:val="20"/>
              </w:rPr>
              <w:t xml:space="preserve"> </w:t>
            </w:r>
            <w:r w:rsidRPr="00FC7F1E">
              <w:rPr>
                <w:rFonts w:cs="Arial"/>
                <w:szCs w:val="20"/>
              </w:rPr>
              <w:t>while being treated with this drug</w:t>
            </w:r>
            <w:r w:rsidR="002F6BB6" w:rsidRPr="00FC7F1E">
              <w:rPr>
                <w:rFonts w:cs="Arial"/>
                <w:szCs w:val="20"/>
              </w:rPr>
              <w:t>**</w:t>
            </w:r>
            <w:r w:rsidRPr="00FC7F1E">
              <w:rPr>
                <w:rFonts w:cs="Arial"/>
                <w:szCs w:val="20"/>
              </w:rPr>
              <w:t xml:space="preserve"> </w:t>
            </w:r>
            <w:r w:rsidRPr="00FC7F1E">
              <w:rPr>
                <w:rFonts w:cs="Arial"/>
                <w:szCs w:val="20"/>
                <w:u w:val="single"/>
              </w:rPr>
              <w:t>or when further treatment is deemed futile</w:t>
            </w:r>
            <w:r w:rsidRPr="00FC7F1E">
              <w:rPr>
                <w:rFonts w:cs="Arial"/>
              </w:rPr>
              <w:t>.</w:t>
            </w:r>
          </w:p>
        </w:tc>
      </w:tr>
    </w:tbl>
    <w:p w14:paraId="282B7135" w14:textId="77777777" w:rsidR="006D61C1" w:rsidRPr="00FC7F1E" w:rsidRDefault="006D61C1" w:rsidP="005017DB">
      <w:pPr>
        <w:pStyle w:val="TableFigureFooter"/>
        <w:tabs>
          <w:tab w:val="left" w:pos="284"/>
        </w:tabs>
        <w:ind w:left="284" w:hanging="284"/>
      </w:pPr>
      <w:r w:rsidRPr="00FC7F1E">
        <w:rPr>
          <w:szCs w:val="18"/>
          <w:lang w:eastAsia="en-US"/>
        </w:rPr>
        <w:t>*</w:t>
      </w:r>
      <w:r w:rsidR="005017DB" w:rsidRPr="00FC7F1E">
        <w:rPr>
          <w:szCs w:val="18"/>
          <w:lang w:eastAsia="en-US"/>
        </w:rPr>
        <w:tab/>
      </w:r>
      <w:r w:rsidR="00F61FEB" w:rsidRPr="00FC7F1E">
        <w:rPr>
          <w:szCs w:val="18"/>
          <w:lang w:eastAsia="en-US"/>
        </w:rPr>
        <w:t>res</w:t>
      </w:r>
      <w:r w:rsidRPr="00FC7F1E">
        <w:rPr>
          <w:szCs w:val="18"/>
          <w:lang w:eastAsia="en-US"/>
        </w:rPr>
        <w:t>ubmission refers to the strength as 12.6mg/5mL</w:t>
      </w:r>
      <w:r w:rsidRPr="00FC7F1E">
        <w:t xml:space="preserve"> </w:t>
      </w:r>
    </w:p>
    <w:p w14:paraId="25A2C570" w14:textId="77777777" w:rsidR="006D61C1" w:rsidRPr="00FC7F1E" w:rsidRDefault="006D61C1" w:rsidP="005017DB">
      <w:pPr>
        <w:pStyle w:val="TableFigureFooter"/>
        <w:tabs>
          <w:tab w:val="left" w:pos="284"/>
        </w:tabs>
        <w:ind w:left="284" w:hanging="284"/>
      </w:pPr>
      <w:r w:rsidRPr="00FC7F1E">
        <w:t xml:space="preserve">** </w:t>
      </w:r>
      <w:r w:rsidR="005017DB" w:rsidRPr="00FC7F1E">
        <w:tab/>
      </w:r>
      <w:r w:rsidR="00B24B6A" w:rsidRPr="00FC7F1E">
        <w:t>i</w:t>
      </w:r>
      <w:r w:rsidRPr="00FC7F1E">
        <w:t>n alignment with the current PBS restriction, invasive permanent assisted ventilation means ventilation via tracheostomy tube for greater than or equal to 16 hours per day.</w:t>
      </w:r>
    </w:p>
    <w:p w14:paraId="707D2297" w14:textId="77777777" w:rsidR="00AF15A0" w:rsidRPr="00FC7F1E" w:rsidRDefault="006D61C1" w:rsidP="006D61C1">
      <w:pPr>
        <w:pStyle w:val="TableFigureFooter"/>
        <w:rPr>
          <w:lang w:eastAsia="en-US"/>
        </w:rPr>
      </w:pPr>
      <w:r w:rsidRPr="00FC7F1E">
        <w:rPr>
          <w:szCs w:val="18"/>
          <w:lang w:eastAsia="en-US"/>
        </w:rPr>
        <w:t xml:space="preserve">Effective price is for adults with SMA, the effective price for paediatric patients with SMA </w:t>
      </w:r>
      <w:r w:rsidR="0051100C" w:rsidRPr="00FC7F1E">
        <w:rPr>
          <w:szCs w:val="18"/>
          <w:lang w:eastAsia="en-US"/>
        </w:rPr>
        <w:t>wa</w:t>
      </w:r>
      <w:r w:rsidRPr="00FC7F1E">
        <w:rPr>
          <w:szCs w:val="18"/>
          <w:lang w:eastAsia="en-US"/>
        </w:rPr>
        <w:t>s proposed to continue to be $</w:t>
      </w:r>
      <w:r w:rsidR="008E2DDA">
        <w:rPr>
          <w:noProof/>
          <w:color w:val="000000"/>
          <w:szCs w:val="18"/>
          <w:highlight w:val="black"/>
          <w:lang w:eastAsia="en-US"/>
        </w:rPr>
        <w:t>'''''''''''''''</w:t>
      </w:r>
      <w:r w:rsidRPr="00FC7F1E">
        <w:rPr>
          <w:szCs w:val="18"/>
          <w:lang w:eastAsia="en-US"/>
        </w:rPr>
        <w:t>.</w:t>
      </w:r>
    </w:p>
    <w:p w14:paraId="0BA4F0F2" w14:textId="77777777" w:rsidR="006D61C1" w:rsidRPr="00FC7F1E" w:rsidRDefault="006D61C1" w:rsidP="006D61C1">
      <w:pPr>
        <w:pStyle w:val="TableFigureFooter"/>
      </w:pPr>
      <w:r w:rsidRPr="00FC7F1E">
        <w:t xml:space="preserve">Source: Tables 1.5 and 1.6, p48 and p50 of the </w:t>
      </w:r>
      <w:r w:rsidR="00CA098E" w:rsidRPr="00FC7F1E">
        <w:t>re</w:t>
      </w:r>
      <w:r w:rsidRPr="00FC7F1E">
        <w:t xml:space="preserve">submission. </w:t>
      </w:r>
    </w:p>
    <w:p w14:paraId="51BC3194" w14:textId="77777777" w:rsidR="00F05EFE" w:rsidRPr="00FC7F1E" w:rsidRDefault="00C43CB9" w:rsidP="000B5E82">
      <w:pPr>
        <w:pStyle w:val="3-BodyText"/>
        <w:rPr>
          <w:color w:val="000000" w:themeColor="text1"/>
        </w:rPr>
      </w:pPr>
      <w:r w:rsidRPr="00FC7F1E">
        <w:t xml:space="preserve">The resubmission requested that the existing listing for nusinersen </w:t>
      </w:r>
      <w:r w:rsidR="005F1F62" w:rsidRPr="00FC7F1E">
        <w:t xml:space="preserve">in symptomatic patients </w:t>
      </w:r>
      <w:r w:rsidRPr="00FC7F1E">
        <w:t xml:space="preserve">be updated </w:t>
      </w:r>
      <w:r w:rsidR="005F1F62" w:rsidRPr="00FC7F1E">
        <w:t xml:space="preserve">(per the underlining and strikethrough in the restriction above) </w:t>
      </w:r>
      <w:r w:rsidRPr="00FC7F1E">
        <w:t xml:space="preserve">to include the </w:t>
      </w:r>
      <w:r w:rsidR="002C712C" w:rsidRPr="00FC7F1E">
        <w:t xml:space="preserve">proposed </w:t>
      </w:r>
      <w:r w:rsidR="00B7011F" w:rsidRPr="00FC7F1E">
        <w:t xml:space="preserve">new </w:t>
      </w:r>
      <w:r w:rsidRPr="00FC7F1E">
        <w:t>population</w:t>
      </w:r>
      <w:r w:rsidR="00B7011F" w:rsidRPr="00FC7F1E">
        <w:t>s</w:t>
      </w:r>
      <w:r w:rsidR="00F56943" w:rsidRPr="00FC7F1E">
        <w:t xml:space="preserve"> i.e. </w:t>
      </w:r>
      <w:r w:rsidR="00924B04" w:rsidRPr="00FC7F1E">
        <w:t>to allow</w:t>
      </w:r>
      <w:r w:rsidR="00F56943" w:rsidRPr="00FC7F1E">
        <w:t xml:space="preserve"> initiation and continuation</w:t>
      </w:r>
      <w:r w:rsidR="00924B04" w:rsidRPr="00FC7F1E">
        <w:t xml:space="preserve"> in patients with symptom onset prior to 19 years of age, </w:t>
      </w:r>
      <w:r w:rsidR="00A0793A" w:rsidRPr="00FC7F1E">
        <w:t xml:space="preserve">to </w:t>
      </w:r>
      <w:r w:rsidR="00924B04" w:rsidRPr="00FC7F1E">
        <w:t xml:space="preserve">allow use in patients with all forms of type III SMA, and </w:t>
      </w:r>
      <w:r w:rsidR="00A0793A" w:rsidRPr="00FC7F1E">
        <w:t xml:space="preserve">to </w:t>
      </w:r>
      <w:r w:rsidR="00924B04" w:rsidRPr="00FC7F1E">
        <w:t>remove the age limit of 18 years for initiation of treatment</w:t>
      </w:r>
      <w:r w:rsidRPr="00FC7F1E">
        <w:t>.</w:t>
      </w:r>
      <w:r w:rsidR="00F05EFE" w:rsidRPr="00FC7F1E">
        <w:t xml:space="preserve"> </w:t>
      </w:r>
    </w:p>
    <w:p w14:paraId="3BC6E76A" w14:textId="77777777" w:rsidR="00F67A69" w:rsidRPr="00FC7F1E" w:rsidRDefault="000B5E82" w:rsidP="00CB727E">
      <w:pPr>
        <w:pStyle w:val="3-BodyText"/>
      </w:pPr>
      <w:r w:rsidRPr="00FC7F1E">
        <w:lastRenderedPageBreak/>
        <w:t xml:space="preserve">The </w:t>
      </w:r>
      <w:r w:rsidR="005017DB" w:rsidRPr="00FC7F1E">
        <w:t>re</w:t>
      </w:r>
      <w:r w:rsidR="00FB434F" w:rsidRPr="00FC7F1E">
        <w:t xml:space="preserve">submission proposed a special pricing arrangement with </w:t>
      </w:r>
      <w:r w:rsidR="00A0793A" w:rsidRPr="00FC7F1E">
        <w:t>a</w:t>
      </w:r>
      <w:r w:rsidR="00FB434F" w:rsidRPr="00FC7F1E">
        <w:t xml:space="preserve"> </w:t>
      </w:r>
      <w:r w:rsidRPr="00FC7F1E">
        <w:t xml:space="preserve">requested effective price </w:t>
      </w:r>
      <w:r w:rsidR="00CB727E" w:rsidRPr="00FC7F1E">
        <w:t>of $</w:t>
      </w:r>
      <w:r w:rsidR="008E2DDA">
        <w:rPr>
          <w:noProof/>
          <w:color w:val="000000"/>
          <w:highlight w:val="black"/>
        </w:rPr>
        <w:t>''''''''''''</w:t>
      </w:r>
      <w:r w:rsidR="00CB727E" w:rsidRPr="00FC7F1E">
        <w:t xml:space="preserve"> per dose, and proposed to rebate </w:t>
      </w:r>
      <w:r w:rsidR="008E2DDA">
        <w:rPr>
          <w:noProof/>
          <w:color w:val="000000"/>
          <w:highlight w:val="black"/>
        </w:rPr>
        <w:t>''''''' ''''''''''''' ''''''''''</w:t>
      </w:r>
      <w:r w:rsidRPr="00FC7F1E">
        <w:t xml:space="preserve">. </w:t>
      </w:r>
      <w:r w:rsidR="00FB434F" w:rsidRPr="00FC7F1E">
        <w:t xml:space="preserve">However, this </w:t>
      </w:r>
      <w:r w:rsidR="00A0793A" w:rsidRPr="00FC7F1E">
        <w:t xml:space="preserve">price </w:t>
      </w:r>
      <w:r w:rsidR="00FB434F" w:rsidRPr="00FC7F1E">
        <w:t xml:space="preserve">was only proposed for adult patients over 18 years of age initiating treatment on nusinersen. </w:t>
      </w:r>
      <w:r w:rsidR="00CB727E" w:rsidRPr="00FC7F1E">
        <w:rPr>
          <w:color w:val="000000" w:themeColor="text1"/>
        </w:rPr>
        <w:t>For non-adult patients with Type IIIb SMA, the existing listed price ($</w:t>
      </w:r>
      <w:r w:rsidR="008E2DDA">
        <w:rPr>
          <w:noProof/>
          <w:color w:val="000000"/>
          <w:highlight w:val="black"/>
        </w:rPr>
        <w:t>''''''''''''</w:t>
      </w:r>
      <w:r w:rsidR="00EF4433" w:rsidRPr="00FC7F1E">
        <w:rPr>
          <w:color w:val="000000" w:themeColor="text1"/>
        </w:rPr>
        <w:t xml:space="preserve"> per dose</w:t>
      </w:r>
      <w:r w:rsidR="00CB727E" w:rsidRPr="00FC7F1E">
        <w:rPr>
          <w:color w:val="000000" w:themeColor="text1"/>
        </w:rPr>
        <w:t xml:space="preserve">) was requested, with </w:t>
      </w:r>
      <w:r w:rsidR="008E2DDA">
        <w:rPr>
          <w:noProof/>
          <w:color w:val="000000"/>
          <w:highlight w:val="black"/>
        </w:rPr>
        <w:t>''''' '''''''''''''' ''''''''''</w:t>
      </w:r>
      <w:r w:rsidR="00CB727E" w:rsidRPr="00FC7F1E">
        <w:rPr>
          <w:color w:val="000000" w:themeColor="text1"/>
        </w:rPr>
        <w:t xml:space="preserve"> rebated. </w:t>
      </w:r>
    </w:p>
    <w:p w14:paraId="58A88F85" w14:textId="77777777" w:rsidR="00CC35EA" w:rsidRPr="00FC7F1E" w:rsidRDefault="00FB434F" w:rsidP="00F9393E">
      <w:pPr>
        <w:pStyle w:val="3-BodyText"/>
      </w:pPr>
      <w:r w:rsidRPr="00FC7F1E">
        <w:t xml:space="preserve">The requested restriction </w:t>
      </w:r>
      <w:r w:rsidR="00A0793A" w:rsidRPr="00FC7F1E">
        <w:t xml:space="preserve">included </w:t>
      </w:r>
      <w:r w:rsidRPr="00FC7F1E">
        <w:t xml:space="preserve">a </w:t>
      </w:r>
      <w:r w:rsidR="00A71ADA" w:rsidRPr="00FC7F1E">
        <w:t>patient population for wh</w:t>
      </w:r>
      <w:r w:rsidR="00A0793A" w:rsidRPr="00FC7F1E">
        <w:t>om</w:t>
      </w:r>
      <w:r w:rsidR="00A71ADA" w:rsidRPr="00FC7F1E">
        <w:t xml:space="preserve"> very little </w:t>
      </w:r>
      <w:r w:rsidR="00B71D61" w:rsidRPr="00FC7F1E">
        <w:t xml:space="preserve">clinical </w:t>
      </w:r>
      <w:r w:rsidRPr="00FC7F1E">
        <w:t>evidence was provided</w:t>
      </w:r>
      <w:r w:rsidR="00A0793A" w:rsidRPr="00FC7F1E">
        <w:t xml:space="preserve">: </w:t>
      </w:r>
      <w:r w:rsidRPr="00FC7F1E">
        <w:t xml:space="preserve">persons </w:t>
      </w:r>
      <w:r w:rsidR="00B24B6A" w:rsidRPr="00FC7F1E">
        <w:t xml:space="preserve">aged </w:t>
      </w:r>
      <w:r w:rsidRPr="00FC7F1E">
        <w:t xml:space="preserve">18 years or younger initiating treatment with nusinersen who are not currently covered by the existing symptomatic listing for nusinersen (i.e. patients with Type IIIb SMA, where onset of symptoms commence </w:t>
      </w:r>
      <w:r w:rsidR="00941921" w:rsidRPr="00FC7F1E">
        <w:t xml:space="preserve">at or </w:t>
      </w:r>
      <w:r w:rsidR="00B7011F" w:rsidRPr="00FC7F1E">
        <w:t>after</w:t>
      </w:r>
      <w:r w:rsidRPr="00FC7F1E">
        <w:t xml:space="preserve"> 3 years of age</w:t>
      </w:r>
      <w:r w:rsidR="003809E4" w:rsidRPr="00FC7F1E">
        <w:t>)</w:t>
      </w:r>
      <w:r w:rsidRPr="00FC7F1E">
        <w:t>.</w:t>
      </w:r>
      <w:r w:rsidR="00A71ADA" w:rsidRPr="00FC7F1E">
        <w:t xml:space="preserve"> While a small number of patients in the presented studies were aged 16 to 18 years, no data w</w:t>
      </w:r>
      <w:r w:rsidR="003E6026" w:rsidRPr="00FC7F1E">
        <w:t>ere</w:t>
      </w:r>
      <w:r w:rsidR="00A71ADA" w:rsidRPr="00FC7F1E">
        <w:t xml:space="preserve"> presented for patients with Type IIIb SMA who were aged younger than this at the time of initiation of nusinersen.</w:t>
      </w:r>
    </w:p>
    <w:p w14:paraId="5596BC21" w14:textId="77777777" w:rsidR="00F46AC3" w:rsidRPr="00FC7F1E" w:rsidRDefault="00F46AC3" w:rsidP="00EB6D0A">
      <w:pPr>
        <w:pStyle w:val="3-BodyText"/>
      </w:pPr>
      <w:r w:rsidRPr="00FC7F1E">
        <w:t xml:space="preserve">As a minimum, the </w:t>
      </w:r>
      <w:r w:rsidR="00CA098E" w:rsidRPr="00FC7F1E">
        <w:t>re</w:t>
      </w:r>
      <w:r w:rsidRPr="00FC7F1E">
        <w:t>submission requested removing the age restriction for initiation of treatment with nusinersen</w:t>
      </w:r>
      <w:r w:rsidR="00EB6D0A" w:rsidRPr="00FC7F1E">
        <w:t xml:space="preserve"> i.e. allowing </w:t>
      </w:r>
      <w:r w:rsidR="00C5418F" w:rsidRPr="00FC7F1E">
        <w:t>initiation</w:t>
      </w:r>
      <w:r w:rsidR="00EB6D0A" w:rsidRPr="00FC7F1E">
        <w:t xml:space="preserve"> in patients &gt;18 years with SMA symptom onset prior to 3 years of age (Type I, II or IIIa)</w:t>
      </w:r>
      <w:r w:rsidRPr="00FC7F1E">
        <w:t xml:space="preserve">. The </w:t>
      </w:r>
      <w:r w:rsidR="00CA098E" w:rsidRPr="00FC7F1E">
        <w:t>re</w:t>
      </w:r>
      <w:r w:rsidRPr="00FC7F1E">
        <w:t>submission stated that a cut-off age for initiation of treatment is not equitable because patients with the exact same clinical features born one day apart would have different access to treatment on the basis of their day of birth.</w:t>
      </w:r>
      <w:r w:rsidR="00CB727E" w:rsidRPr="00FC7F1E">
        <w:t xml:space="preserve"> The ESC considered that</w:t>
      </w:r>
      <w:r w:rsidR="00EF4433" w:rsidRPr="00FC7F1E">
        <w:t>, rather than removing criteria around age, alternative criteria could be considered that identify patients most likely to benefit (e.g. based on level or type of disability).</w:t>
      </w:r>
      <w:r w:rsidR="00CB727E" w:rsidRPr="00FC7F1E">
        <w:t xml:space="preserve"> </w:t>
      </w:r>
      <w:r w:rsidR="00EF4433" w:rsidRPr="00FC7F1E">
        <w:t>Specialist</w:t>
      </w:r>
      <w:r w:rsidR="00CB727E" w:rsidRPr="00FC7F1E">
        <w:t xml:space="preserve"> clinical input would be required</w:t>
      </w:r>
      <w:r w:rsidR="00BA6E00" w:rsidRPr="00FC7F1E">
        <w:t xml:space="preserve"> to help determine such criteria and thus define the appropriate patient population.</w:t>
      </w:r>
    </w:p>
    <w:p w14:paraId="12BC1D86" w14:textId="77777777" w:rsidR="00A0793A" w:rsidRPr="00FC7F1E" w:rsidRDefault="002F6BB6" w:rsidP="00AA3F5F">
      <w:pPr>
        <w:pStyle w:val="3-BodyText"/>
        <w:rPr>
          <w:color w:val="000000" w:themeColor="text1"/>
        </w:rPr>
      </w:pPr>
      <w:r w:rsidRPr="00FC7F1E">
        <w:t xml:space="preserve">The resubmission proposed that the existing ‘stopping rule’ should apply, i.e. “treatment must be ceased when invasive permanent assisted ventilation is required in the absence of a potentially reversible cause while being treated with this drug”. The resubmission also proposed the addition of a further criterion: “or when further treatment is deemed futile”, which it stated was based on expert opinion. </w:t>
      </w:r>
      <w:r w:rsidRPr="00FC7F1E">
        <w:rPr>
          <w:color w:val="000000" w:themeColor="text1"/>
        </w:rPr>
        <w:t>This</w:t>
      </w:r>
      <w:r w:rsidR="00816BC2" w:rsidRPr="00FC7F1E">
        <w:rPr>
          <w:color w:val="000000" w:themeColor="text1"/>
        </w:rPr>
        <w:t xml:space="preserve"> </w:t>
      </w:r>
      <w:r w:rsidR="00CB727E" w:rsidRPr="00FC7F1E">
        <w:rPr>
          <w:color w:val="000000" w:themeColor="text1"/>
        </w:rPr>
        <w:t>w</w:t>
      </w:r>
      <w:r w:rsidR="00816BC2" w:rsidRPr="00FC7F1E">
        <w:rPr>
          <w:color w:val="000000" w:themeColor="text1"/>
        </w:rPr>
        <w:t xml:space="preserve">ould allow </w:t>
      </w:r>
      <w:r w:rsidRPr="00FC7F1E">
        <w:rPr>
          <w:color w:val="000000" w:themeColor="text1"/>
        </w:rPr>
        <w:t xml:space="preserve">patients to continue nusinersen if they experience </w:t>
      </w:r>
      <w:r w:rsidR="00985D90" w:rsidRPr="00FC7F1E">
        <w:rPr>
          <w:color w:val="000000" w:themeColor="text1"/>
        </w:rPr>
        <w:t xml:space="preserve">a decline in motor function. </w:t>
      </w:r>
      <w:r w:rsidRPr="00FC7F1E">
        <w:rPr>
          <w:color w:val="000000" w:themeColor="text1"/>
        </w:rPr>
        <w:t>This was inconsistent with t</w:t>
      </w:r>
      <w:r w:rsidR="00985D90" w:rsidRPr="00FC7F1E">
        <w:rPr>
          <w:color w:val="000000" w:themeColor="text1"/>
        </w:rPr>
        <w:t>he economic model</w:t>
      </w:r>
      <w:r w:rsidRPr="00FC7F1E">
        <w:rPr>
          <w:color w:val="000000" w:themeColor="text1"/>
        </w:rPr>
        <w:t xml:space="preserve">, which </w:t>
      </w:r>
      <w:r w:rsidR="00985D90" w:rsidRPr="00FC7F1E">
        <w:rPr>
          <w:color w:val="000000" w:themeColor="text1"/>
        </w:rPr>
        <w:t xml:space="preserve">assumed that the effectiveness of nusinersen </w:t>
      </w:r>
      <w:r w:rsidR="00B24B6A" w:rsidRPr="00FC7F1E">
        <w:rPr>
          <w:color w:val="000000" w:themeColor="text1"/>
        </w:rPr>
        <w:t xml:space="preserve">would </w:t>
      </w:r>
      <w:r w:rsidR="00985D90" w:rsidRPr="00FC7F1E">
        <w:rPr>
          <w:color w:val="000000" w:themeColor="text1"/>
        </w:rPr>
        <w:t xml:space="preserve">remain constant for patients who remain on treatment. </w:t>
      </w:r>
      <w:r w:rsidR="00A0793A" w:rsidRPr="00FC7F1E">
        <w:rPr>
          <w:color w:val="000000" w:themeColor="text1"/>
        </w:rPr>
        <w:t>A stopping rule / c</w:t>
      </w:r>
      <w:r w:rsidR="008C3842" w:rsidRPr="00FC7F1E">
        <w:rPr>
          <w:color w:val="000000" w:themeColor="text1"/>
        </w:rPr>
        <w:t>ontinuation</w:t>
      </w:r>
      <w:r w:rsidR="00881801" w:rsidRPr="00FC7F1E">
        <w:rPr>
          <w:color w:val="000000" w:themeColor="text1"/>
        </w:rPr>
        <w:t xml:space="preserve"> criteria</w:t>
      </w:r>
      <w:r w:rsidR="00A0793A" w:rsidRPr="00FC7F1E">
        <w:rPr>
          <w:color w:val="000000" w:themeColor="text1"/>
        </w:rPr>
        <w:t xml:space="preserve"> </w:t>
      </w:r>
      <w:r w:rsidR="008C3842" w:rsidRPr="00FC7F1E">
        <w:rPr>
          <w:color w:val="000000" w:themeColor="text1"/>
        </w:rPr>
        <w:t xml:space="preserve">may be required given that 3.5% to 13% of patients may still experience </w:t>
      </w:r>
      <w:r w:rsidR="00012DE8" w:rsidRPr="00FC7F1E">
        <w:rPr>
          <w:color w:val="000000" w:themeColor="text1"/>
        </w:rPr>
        <w:t xml:space="preserve">a </w:t>
      </w:r>
      <w:r w:rsidR="008C3842" w:rsidRPr="00FC7F1E">
        <w:rPr>
          <w:color w:val="000000" w:themeColor="text1"/>
        </w:rPr>
        <w:t>decline in motor function, upper limb strength or in distance walked in the six-minute walk test (6MWT) despite being treated with nusinersen. The P</w:t>
      </w:r>
      <w:r w:rsidR="00AA3F5F" w:rsidRPr="00FC7F1E">
        <w:rPr>
          <w:color w:val="000000" w:themeColor="text1"/>
        </w:rPr>
        <w:t>re-</w:t>
      </w:r>
      <w:r w:rsidR="008C3842" w:rsidRPr="00FC7F1E">
        <w:rPr>
          <w:color w:val="000000" w:themeColor="text1"/>
        </w:rPr>
        <w:t>S</w:t>
      </w:r>
      <w:r w:rsidR="00AA3F5F" w:rsidRPr="00FC7F1E">
        <w:rPr>
          <w:color w:val="000000" w:themeColor="text1"/>
        </w:rPr>
        <w:t>ub-</w:t>
      </w:r>
      <w:r w:rsidR="008C3842" w:rsidRPr="00FC7F1E">
        <w:rPr>
          <w:color w:val="000000" w:themeColor="text1"/>
        </w:rPr>
        <w:t>C</w:t>
      </w:r>
      <w:r w:rsidR="00AA3F5F" w:rsidRPr="00FC7F1E">
        <w:rPr>
          <w:color w:val="000000" w:themeColor="text1"/>
        </w:rPr>
        <w:t xml:space="preserve">ommittee </w:t>
      </w:r>
      <w:r w:rsidR="008C3842" w:rsidRPr="00FC7F1E">
        <w:rPr>
          <w:color w:val="000000" w:themeColor="text1"/>
        </w:rPr>
        <w:t>R</w:t>
      </w:r>
      <w:r w:rsidR="00AA3F5F" w:rsidRPr="00FC7F1E">
        <w:rPr>
          <w:color w:val="000000" w:themeColor="text1"/>
        </w:rPr>
        <w:t>esponse</w:t>
      </w:r>
      <w:r w:rsidR="008C3842" w:rsidRPr="00FC7F1E">
        <w:rPr>
          <w:color w:val="000000" w:themeColor="text1"/>
        </w:rPr>
        <w:t xml:space="preserve"> (</w:t>
      </w:r>
      <w:r w:rsidR="00AA3F5F" w:rsidRPr="00FC7F1E">
        <w:rPr>
          <w:color w:val="000000" w:themeColor="text1"/>
        </w:rPr>
        <w:t>PSCR</w:t>
      </w:r>
      <w:r w:rsidR="008C3842" w:rsidRPr="00FC7F1E">
        <w:rPr>
          <w:color w:val="000000" w:themeColor="text1"/>
        </w:rPr>
        <w:t xml:space="preserve"> agreed it would be appropriate to include continuation criteria for adult SMA patients</w:t>
      </w:r>
      <w:r w:rsidR="008C3842" w:rsidRPr="00FC7F1E">
        <w:t xml:space="preserve"> </w:t>
      </w:r>
      <w:r w:rsidR="00881801" w:rsidRPr="00FC7F1E">
        <w:t xml:space="preserve">and </w:t>
      </w:r>
      <w:r w:rsidR="00A0793A" w:rsidRPr="00FC7F1E">
        <w:t>suggested that patients could be required to cease treatment if they experience</w:t>
      </w:r>
      <w:r w:rsidR="00881801" w:rsidRPr="00FC7F1E">
        <w:rPr>
          <w:color w:val="000000" w:themeColor="text1"/>
        </w:rPr>
        <w:t xml:space="preserve">: </w:t>
      </w:r>
      <w:r w:rsidR="00390BDC" w:rsidRPr="00FC7F1E">
        <w:rPr>
          <w:color w:val="000000" w:themeColor="text1"/>
        </w:rPr>
        <w:t>‘o</w:t>
      </w:r>
      <w:r w:rsidR="008C3842" w:rsidRPr="00FC7F1E">
        <w:rPr>
          <w:color w:val="000000" w:themeColor="text1"/>
        </w:rPr>
        <w:t>bjectively assessable, SMA-related deterioration in motor function with validated scales</w:t>
      </w:r>
      <w:r w:rsidR="00390BDC" w:rsidRPr="00FC7F1E">
        <w:rPr>
          <w:color w:val="000000" w:themeColor="text1"/>
        </w:rPr>
        <w:t>’</w:t>
      </w:r>
      <w:r w:rsidR="00AA3F5F" w:rsidRPr="00FC7F1E">
        <w:rPr>
          <w:color w:val="000000" w:themeColor="text1"/>
        </w:rPr>
        <w:t xml:space="preserve"> as proposed in Hagenacker 2019</w:t>
      </w:r>
      <w:r w:rsidR="00390BDC" w:rsidRPr="00FC7F1E">
        <w:rPr>
          <w:color w:val="000000" w:themeColor="text1"/>
        </w:rPr>
        <w:t xml:space="preserve"> </w:t>
      </w:r>
      <w:r w:rsidR="00A0793A" w:rsidRPr="00FC7F1E">
        <w:rPr>
          <w:color w:val="000000" w:themeColor="text1"/>
        </w:rPr>
        <w:t>(</w:t>
      </w:r>
      <w:r w:rsidR="00390BDC" w:rsidRPr="00FC7F1E">
        <w:rPr>
          <w:color w:val="000000" w:themeColor="text1"/>
        </w:rPr>
        <w:t>Hagenacker 2019</w:t>
      </w:r>
      <w:r w:rsidR="00AA3F5F" w:rsidRPr="00FC7F1E">
        <w:rPr>
          <w:color w:val="000000" w:themeColor="text1"/>
        </w:rPr>
        <w:t xml:space="preserve"> also added that ‘a delay in progression, however, may justify further treatment’)</w:t>
      </w:r>
      <w:r w:rsidR="00390BDC" w:rsidRPr="00FC7F1E">
        <w:rPr>
          <w:color w:val="000000" w:themeColor="text1"/>
        </w:rPr>
        <w:t xml:space="preserve">. </w:t>
      </w:r>
      <w:r w:rsidR="00881801" w:rsidRPr="00FC7F1E">
        <w:rPr>
          <w:color w:val="000000" w:themeColor="text1"/>
        </w:rPr>
        <w:t xml:space="preserve">The PSCR stated that such a criterion would require patients to cease nusinersen if they are not benefitting from treatment, without being ‘limited to a single scale that may not be applicable to all patients in all circumstances’. However the ESC considered that the PSCR’s proposed stopping rule </w:t>
      </w:r>
      <w:r w:rsidR="0039026E" w:rsidRPr="00FC7F1E">
        <w:rPr>
          <w:color w:val="000000" w:themeColor="text1"/>
        </w:rPr>
        <w:t>was subjective</w:t>
      </w:r>
      <w:r w:rsidR="00390BDC" w:rsidRPr="00FC7F1E">
        <w:rPr>
          <w:color w:val="000000" w:themeColor="text1"/>
        </w:rPr>
        <w:t xml:space="preserve"> </w:t>
      </w:r>
      <w:r w:rsidR="00390BDC" w:rsidRPr="00FC7F1E">
        <w:rPr>
          <w:color w:val="000000" w:themeColor="text1"/>
        </w:rPr>
        <w:lastRenderedPageBreak/>
        <w:t>and that ‘validated scales’ and ‘objectively assessable’ may require further definition</w:t>
      </w:r>
      <w:r w:rsidR="0039026E" w:rsidRPr="00FC7F1E">
        <w:rPr>
          <w:color w:val="000000" w:themeColor="text1"/>
        </w:rPr>
        <w:t>.</w:t>
      </w:r>
      <w:r w:rsidR="00A0793A" w:rsidRPr="00FC7F1E">
        <w:rPr>
          <w:color w:val="000000" w:themeColor="text1"/>
        </w:rPr>
        <w:t xml:space="preserve"> </w:t>
      </w:r>
      <w:r w:rsidR="00CB727E" w:rsidRPr="00FC7F1E">
        <w:rPr>
          <w:color w:val="000000" w:themeColor="text1"/>
        </w:rPr>
        <w:t xml:space="preserve">Specialist clinical input may be required to define </w:t>
      </w:r>
      <w:r w:rsidR="00EF4433" w:rsidRPr="00FC7F1E">
        <w:rPr>
          <w:color w:val="000000" w:themeColor="text1"/>
        </w:rPr>
        <w:t>an appropriate stopping rule</w:t>
      </w:r>
      <w:r w:rsidR="0065099C" w:rsidRPr="00FC7F1E">
        <w:rPr>
          <w:color w:val="000000" w:themeColor="text1"/>
        </w:rPr>
        <w:t>/continuation criteria</w:t>
      </w:r>
      <w:r w:rsidR="00EF4433" w:rsidRPr="00FC7F1E">
        <w:rPr>
          <w:color w:val="000000" w:themeColor="text1"/>
        </w:rPr>
        <w:t xml:space="preserve"> for the requested population.</w:t>
      </w:r>
    </w:p>
    <w:p w14:paraId="55C567DC" w14:textId="77777777" w:rsidR="00B71D61" w:rsidRPr="00FC7F1E" w:rsidRDefault="00646F1C" w:rsidP="009560FB">
      <w:pPr>
        <w:pStyle w:val="3-BodyText"/>
      </w:pPr>
      <w:r w:rsidRPr="00FC7F1E">
        <w:t xml:space="preserve">The ESC noted that the </w:t>
      </w:r>
      <w:r w:rsidR="00390BDC" w:rsidRPr="00FC7F1E">
        <w:t>existing listing</w:t>
      </w:r>
      <w:r w:rsidRPr="00FC7F1E">
        <w:t xml:space="preserve"> requires </w:t>
      </w:r>
      <w:r w:rsidR="00390BDC" w:rsidRPr="00FC7F1E">
        <w:t xml:space="preserve">the patient to be treated </w:t>
      </w:r>
      <w:r w:rsidR="00111980" w:rsidRPr="00FC7F1E">
        <w:t>by, or in consultation with, a specialist medical practitioner associated with a neuromuscular clinic of one of eight recognised hospitals in the management of SMA</w:t>
      </w:r>
      <w:r w:rsidRPr="00FC7F1E">
        <w:t>. The ESC considered that it was unc</w:t>
      </w:r>
      <w:r w:rsidR="00A9457A" w:rsidRPr="00FC7F1E">
        <w:t>lear</w:t>
      </w:r>
      <w:r w:rsidRPr="00FC7F1E">
        <w:t xml:space="preserve"> whether adult clinical management providers and services would be within the same context</w:t>
      </w:r>
      <w:r w:rsidR="00EF4433" w:rsidRPr="00FC7F1E">
        <w:t xml:space="preserve">. </w:t>
      </w:r>
      <w:r w:rsidR="0001672B" w:rsidRPr="00FC7F1E">
        <w:t>S</w:t>
      </w:r>
      <w:r w:rsidR="0001672B" w:rsidRPr="00FC7F1E">
        <w:rPr>
          <w:color w:val="000000" w:themeColor="text1"/>
        </w:rPr>
        <w:t>pecialist clinical input may be required to help determine the appropriate prescriber/treatment setting for adult patients</w:t>
      </w:r>
      <w:r w:rsidR="0001672B" w:rsidRPr="00FC7F1E">
        <w:t xml:space="preserve">. </w:t>
      </w:r>
      <w:r w:rsidR="00776621" w:rsidRPr="00FC7F1E">
        <w:t xml:space="preserve">SMA Australia </w:t>
      </w:r>
      <w:r w:rsidR="00776621" w:rsidRPr="00FC7F1E">
        <w:rPr>
          <w:bCs/>
        </w:rPr>
        <w:t>conducted a survey of 113 adults with SMA (refer to ‘consumer comments’)</w:t>
      </w:r>
      <w:r w:rsidR="00776621" w:rsidRPr="00FC7F1E">
        <w:t xml:space="preserve">, which found that 61% of those surveyed hadn’t seen a neurologist in ‘years’ or weren’t connected with a neurologist at all. </w:t>
      </w:r>
      <w:r w:rsidR="0001672B" w:rsidRPr="00FC7F1E">
        <w:t>The pre-PBAC response stated that ‘</w:t>
      </w:r>
      <w:r w:rsidR="0001672B" w:rsidRPr="00FC7F1E">
        <w:rPr>
          <w:color w:val="000000" w:themeColor="text1"/>
        </w:rPr>
        <w:t>neuromuscular centres of excellence do not currently exist to serve the adult SMA population’ and ‘the SMA clinical community is currently working to identify the appropriate treatment setting for adult patients’</w:t>
      </w:r>
      <w:r w:rsidR="00776621" w:rsidRPr="00FC7F1E">
        <w:rPr>
          <w:color w:val="000000" w:themeColor="text1"/>
        </w:rPr>
        <w:t>, with the latter outlined by t</w:t>
      </w:r>
      <w:r w:rsidR="00DD5168" w:rsidRPr="00FC7F1E">
        <w:t xml:space="preserve">he clinician who presented at the hearing </w:t>
      </w:r>
      <w:r w:rsidR="00776621" w:rsidRPr="00FC7F1E">
        <w:t>(refer to ‘sponsor hearing’).</w:t>
      </w:r>
      <w:r w:rsidR="00776621" w:rsidRPr="00FC7F1E">
        <w:rPr>
          <w:bCs/>
        </w:rPr>
        <w:t xml:space="preserve"> </w:t>
      </w:r>
    </w:p>
    <w:p w14:paraId="112E3605" w14:textId="77777777" w:rsidR="00A9457A" w:rsidRPr="008E2DDA" w:rsidRDefault="00A9457A" w:rsidP="00A9457A">
      <w:pPr>
        <w:pStyle w:val="3-BodyText"/>
      </w:pPr>
      <w:r w:rsidRPr="00FC7F1E">
        <w:t>The requested listing requires the condition to be ‘5q homozygous deletion, mutation of, or compound heterozygous mutation in the SMN1 gene of type I, II or III’. The ESC noted that adult patients with SMA may have had genetic testing performed some time prior to commencing PBS-subsidised nusinersen. The ESC considered that it was unclear whether clinicians would have confirmatory records of such testing, noting that the cost of a test for deletion or mutation in the SMN1 gene is not funded by the MBS and patients will generally rely on public hospital systems to cover the costs of such testing.</w:t>
      </w:r>
      <w:r w:rsidR="00FA05B7" w:rsidRPr="00FC7F1E">
        <w:t xml:space="preserve"> The pre-PBAC response </w:t>
      </w:r>
      <w:r w:rsidR="0001672B" w:rsidRPr="00FC7F1E">
        <w:t xml:space="preserve">stated that the sponsor </w:t>
      </w:r>
      <w:r w:rsidR="008E2DDA">
        <w:rPr>
          <w:noProof/>
          <w:color w:val="000000"/>
          <w:highlight w:val="black"/>
        </w:rPr>
        <w:t>''''''' '''''''''''''' ''''''''''''''' '''''''''''''''' ''''' ''''''''''''' ''''' ''''''''''' ''''''''' ''''''''' ''''''' ''''''''''' '''''''''''''''''''''' ''''''''''''' '''''''''''' '''' '''''' '''''''''''''' '''''''''''''''''''''''' ''''' '''''''''''''''' '''''''''''</w:t>
      </w:r>
    </w:p>
    <w:p w14:paraId="34DB2227" w14:textId="77777777" w:rsidR="005865C8" w:rsidRPr="00FC7F1E" w:rsidRDefault="005865C8" w:rsidP="00A9457A">
      <w:pPr>
        <w:pStyle w:val="3-BodyText"/>
      </w:pPr>
      <w:r w:rsidRPr="00FC7F1E">
        <w:t>The ESC considered it may be appropriate to include a clinical criterion which states that nusinersen must not be used in combination with, or in patients who have previously received treatment with, onasemnogene abeparvovec, risdiplam, or branaplam (refer to ‘Other relevant factors’ section).</w:t>
      </w:r>
      <w:r w:rsidR="00EF4433" w:rsidRPr="00FC7F1E">
        <w:t xml:space="preserve"> S</w:t>
      </w:r>
      <w:r w:rsidR="00EF4433" w:rsidRPr="00FC7F1E">
        <w:rPr>
          <w:color w:val="000000" w:themeColor="text1"/>
        </w:rPr>
        <w:t>pecialist clinical input may be required.</w:t>
      </w:r>
    </w:p>
    <w:p w14:paraId="55B9FED2" w14:textId="77777777" w:rsidR="000A1EFA" w:rsidRPr="00FC7F1E" w:rsidRDefault="000A1EFA" w:rsidP="000A1EFA">
      <w:pPr>
        <w:pStyle w:val="3-BodyText"/>
      </w:pPr>
      <w:r w:rsidRPr="00FC7F1E">
        <w:t>The number of repeats requested for continuing treatment (two) is higher than the number of repeats for the current continuing treatment listing (zero). No rationale was provided, and the PBAC considered the increased number of repeats did not seem reasonable</w:t>
      </w:r>
      <w:r w:rsidR="00FC7F1E">
        <w:t xml:space="preserve">. </w:t>
      </w:r>
    </w:p>
    <w:p w14:paraId="5B719129" w14:textId="77777777" w:rsidR="00AC2ACA" w:rsidRPr="00FC7F1E" w:rsidRDefault="00AC2ACA" w:rsidP="00AC2ACA">
      <w:pPr>
        <w:pStyle w:val="3-BodyText"/>
      </w:pPr>
      <w:r w:rsidRPr="00FC7F1E">
        <w:rPr>
          <w:color w:val="000000" w:themeColor="text1"/>
        </w:rPr>
        <w:t xml:space="preserve">The existing listing for symptomatic patients outlines the defined signs and symptoms for patients with Types I, II and IIIa SMA (of which a patient must have experienced at least two, prior to the cut-off age). Defined signs and symptoms for the broader Type III population (including IIIb and IIIc) will need to be detailed in the restriction. </w:t>
      </w:r>
      <w:r w:rsidRPr="00FC7F1E">
        <w:t>S</w:t>
      </w:r>
      <w:r w:rsidRPr="00FC7F1E">
        <w:rPr>
          <w:color w:val="000000" w:themeColor="text1"/>
        </w:rPr>
        <w:t>pecialist clinical input may be required.</w:t>
      </w:r>
    </w:p>
    <w:p w14:paraId="2EDAA7B0" w14:textId="77777777" w:rsidR="00AC2ACA" w:rsidRPr="00FC7F1E" w:rsidRDefault="00AC2ACA" w:rsidP="00D32494">
      <w:pPr>
        <w:pStyle w:val="3-BodyText"/>
        <w:rPr>
          <w:color w:val="000000" w:themeColor="text1"/>
        </w:rPr>
      </w:pPr>
      <w:r w:rsidRPr="00FC7F1E">
        <w:rPr>
          <w:color w:val="000000" w:themeColor="text1"/>
        </w:rPr>
        <w:lastRenderedPageBreak/>
        <w:t xml:space="preserve">While the requested listing comprised an update to the existing listing, the resubmission requested a separate PBS item number for the initial treatment of adult patients to facilitate </w:t>
      </w:r>
      <w:r w:rsidR="008E2DDA">
        <w:rPr>
          <w:noProof/>
          <w:color w:val="000000"/>
          <w:highlight w:val="black"/>
        </w:rPr>
        <w:t>'''''''''''''' ''''''' ''''''''''''''''''''''''''' '''' '''''''''''''''''''' ''''''''''''' '''''''' '''''''' ''''''''''''''' ''''''' '''''''' ''' '''''''''''''''''' ''''''' ''''''''' '''''''''''''''' ''''''' '''''''''''''''''''''''''' '''''''''''''''''''' '''' ''''''''' '''''''''''''' '''''''''' ''''''' '''''''''''''''''' ''''''' '''''''''''' ''''''''' ''''''' ''''''''''''''''''' '''''' '''''''''''''''' '''''''' ''''''''''''' '''''''''''''''''''' ''''''''' '''''''' '''''''''''</w:t>
      </w:r>
      <w:r w:rsidRPr="00FC7F1E">
        <w:rPr>
          <w:color w:val="000000" w:themeColor="text1"/>
        </w:rPr>
        <w:t xml:space="preserve">. This would not be possible with the proposed combined listing for the new and existing patient populations, and instead would require two separate initiation restrictions (one for patients aged &gt; 18 years and one for patients aged ≤ 18 years) and potentially two separate continuing restrictions. </w:t>
      </w:r>
    </w:p>
    <w:p w14:paraId="155FE3F5" w14:textId="77777777" w:rsidR="00987B69" w:rsidRPr="00FC7F1E" w:rsidRDefault="00987B69" w:rsidP="00987B69">
      <w:pPr>
        <w:pStyle w:val="3-BodyText"/>
        <w:numPr>
          <w:ilvl w:val="0"/>
          <w:numId w:val="0"/>
        </w:numPr>
        <w:ind w:left="720"/>
        <w:rPr>
          <w:i/>
        </w:rPr>
      </w:pPr>
      <w:r w:rsidRPr="00FC7F1E">
        <w:rPr>
          <w:i/>
        </w:rPr>
        <w:t>For more detail on PBAC’s view, see section 7 PBAC outcome.</w:t>
      </w:r>
    </w:p>
    <w:p w14:paraId="1AB8D964" w14:textId="77777777" w:rsidR="00B50DB8" w:rsidRPr="00FC7F1E" w:rsidRDefault="00203181" w:rsidP="004E18E9">
      <w:pPr>
        <w:pStyle w:val="2-SectionHeading"/>
      </w:pPr>
      <w:bookmarkStart w:id="11" w:name="_Toc50701414"/>
      <w:r w:rsidRPr="00FC7F1E">
        <w:t xml:space="preserve">Population and </w:t>
      </w:r>
      <w:r w:rsidR="008E0D3C" w:rsidRPr="00FC7F1E">
        <w:t>d</w:t>
      </w:r>
      <w:r w:rsidRPr="00FC7F1E">
        <w:t>isease</w:t>
      </w:r>
      <w:bookmarkEnd w:id="11"/>
    </w:p>
    <w:p w14:paraId="40788B53" w14:textId="77777777" w:rsidR="00885D1C" w:rsidRPr="00FC7F1E" w:rsidRDefault="006E2172" w:rsidP="004E18E9">
      <w:pPr>
        <w:pStyle w:val="3-BodyText"/>
      </w:pPr>
      <w:r w:rsidRPr="00FC7F1E">
        <w:t>SMA</w:t>
      </w:r>
      <w:r w:rsidR="00885D1C" w:rsidRPr="00FC7F1E">
        <w:t xml:space="preserve"> is an autosomal recessive progressive neuromuscular disease caused by mutations or deletions in the SMN1 gene on chromosome 5q. Alterations to this gene results in deficiency of SMN protein, which in turn results in loss of motor function and respiratory failure, which is a major cause of morbidity and mortality. The SMN2 gene also produces SMN protein, albeit at low levels which are not sufficient to sustain survival of spinal motor neuron function. As SMN2 copy number varies from patient to patient, there is a clinical spectrum of the disease where fewer SMN2 gene copies sometimes correlate</w:t>
      </w:r>
      <w:r w:rsidR="00E05D05" w:rsidRPr="00FC7F1E">
        <w:t>s</w:t>
      </w:r>
      <w:r w:rsidR="00885D1C" w:rsidRPr="00FC7F1E">
        <w:t xml:space="preserve"> to earlier age of onset and increased disease severity</w:t>
      </w:r>
      <w:r w:rsidR="00E05D05" w:rsidRPr="00FC7F1E">
        <w:t>.</w:t>
      </w:r>
      <w:r w:rsidR="00885D1C" w:rsidRPr="00FC7F1E">
        <w:t xml:space="preserve"> </w:t>
      </w:r>
      <w:r w:rsidRPr="00FC7F1E">
        <w:t xml:space="preserve">As outlined in Table 3, </w:t>
      </w:r>
      <w:r w:rsidR="00885D1C" w:rsidRPr="00FC7F1E">
        <w:t xml:space="preserve">SMA is classified based on age of onset and maximal motor function achieved into </w:t>
      </w:r>
      <w:r w:rsidR="00E05D05" w:rsidRPr="00FC7F1E">
        <w:t>T</w:t>
      </w:r>
      <w:r w:rsidR="00885D1C" w:rsidRPr="00FC7F1E">
        <w:t xml:space="preserve">ypes (0, I, II, III and IV) with Type III SMA further classified into subtypes (a, b, c). The </w:t>
      </w:r>
      <w:r w:rsidR="00CA098E" w:rsidRPr="00FC7F1E">
        <w:t>re</w:t>
      </w:r>
      <w:r w:rsidR="00885D1C" w:rsidRPr="00FC7F1E">
        <w:t xml:space="preserve">submission has not requested a listing </w:t>
      </w:r>
      <w:r w:rsidR="00541E83" w:rsidRPr="00FC7F1E">
        <w:t>for</w:t>
      </w:r>
      <w:r w:rsidR="00885D1C" w:rsidRPr="00FC7F1E">
        <w:t xml:space="preserve"> patients with Type IV SMA, defined as age at symptom onset of more than 18 years (i.e. at 19 years of age or more).</w:t>
      </w:r>
    </w:p>
    <w:p w14:paraId="6B85B941" w14:textId="77777777" w:rsidR="006E2172" w:rsidRPr="00FC7F1E" w:rsidRDefault="006E2172" w:rsidP="00A9457A">
      <w:pPr>
        <w:keepNext/>
        <w:keepLines/>
        <w:rPr>
          <w:rFonts w:ascii="Arial Narrow" w:hAnsi="Arial Narrow"/>
          <w:b/>
          <w:sz w:val="20"/>
          <w:szCs w:val="20"/>
        </w:rPr>
      </w:pPr>
      <w:r w:rsidRPr="00FC7F1E">
        <w:rPr>
          <w:rFonts w:ascii="Arial Narrow" w:hAnsi="Arial Narrow"/>
          <w:b/>
          <w:sz w:val="20"/>
          <w:szCs w:val="20"/>
        </w:rPr>
        <w:t xml:space="preserve">Table </w:t>
      </w:r>
      <w:r w:rsidR="00E729C8" w:rsidRPr="00FC7F1E">
        <w:rPr>
          <w:rFonts w:ascii="Arial Narrow" w:hAnsi="Arial Narrow"/>
          <w:b/>
          <w:sz w:val="20"/>
          <w:szCs w:val="20"/>
        </w:rPr>
        <w:t>3</w:t>
      </w:r>
      <w:r w:rsidRPr="00FC7F1E">
        <w:rPr>
          <w:rFonts w:ascii="Arial Narrow" w:hAnsi="Arial Narrow"/>
          <w:b/>
          <w:sz w:val="20"/>
          <w:szCs w:val="20"/>
        </w:rPr>
        <w:t>: Classification of SMA based on age of symptom onset and maximal motor function achieved</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851"/>
        <w:gridCol w:w="1842"/>
        <w:gridCol w:w="3119"/>
        <w:gridCol w:w="1876"/>
      </w:tblGrid>
      <w:tr w:rsidR="006E2172" w:rsidRPr="00FC7F1E" w14:paraId="18AF3C66" w14:textId="77777777" w:rsidTr="005270B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420E51C" w14:textId="77777777" w:rsidR="006E2172" w:rsidRPr="00FC7F1E" w:rsidRDefault="006E2172" w:rsidP="00A9457A">
            <w:pPr>
              <w:keepNext/>
              <w:keepLines/>
              <w:rPr>
                <w:rFonts w:ascii="Arial Narrow" w:hAnsi="Arial Narrow"/>
                <w:b/>
                <w:sz w:val="20"/>
                <w:szCs w:val="20"/>
              </w:rPr>
            </w:pPr>
            <w:r w:rsidRPr="00FC7F1E">
              <w:rPr>
                <w:rFonts w:ascii="Arial Narrow" w:hAnsi="Arial Narrow"/>
                <w:b/>
                <w:sz w:val="20"/>
                <w:szCs w:val="20"/>
              </w:rPr>
              <w:t>Terminology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020543" w14:textId="77777777" w:rsidR="006E2172" w:rsidRPr="00FC7F1E" w:rsidRDefault="006E2172" w:rsidP="00A9457A">
            <w:pPr>
              <w:keepNext/>
              <w:keepLines/>
              <w:jc w:val="center"/>
              <w:rPr>
                <w:rFonts w:ascii="Arial Narrow" w:hAnsi="Arial Narrow"/>
                <w:b/>
                <w:sz w:val="20"/>
                <w:szCs w:val="20"/>
              </w:rPr>
            </w:pPr>
            <w:r w:rsidRPr="00FC7F1E">
              <w:rPr>
                <w:rFonts w:ascii="Arial Narrow" w:hAnsi="Arial Narrow"/>
                <w:b/>
                <w:sz w:val="20"/>
                <w:szCs w:val="20"/>
              </w:rPr>
              <w:t>SMA Type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90CDFB" w14:textId="77777777" w:rsidR="006E2172" w:rsidRPr="00FC7F1E" w:rsidRDefault="006E2172" w:rsidP="00A9457A">
            <w:pPr>
              <w:keepNext/>
              <w:keepLines/>
              <w:jc w:val="center"/>
              <w:rPr>
                <w:rFonts w:ascii="Arial Narrow" w:hAnsi="Arial Narrow"/>
                <w:b/>
                <w:sz w:val="20"/>
                <w:szCs w:val="20"/>
              </w:rPr>
            </w:pPr>
            <w:r w:rsidRPr="00FC7F1E">
              <w:rPr>
                <w:rFonts w:ascii="Arial Narrow" w:hAnsi="Arial Narrow"/>
                <w:b/>
                <w:sz w:val="20"/>
                <w:szCs w:val="20"/>
              </w:rPr>
              <w:t xml:space="preserve">Age at </w:t>
            </w:r>
            <w:r w:rsidR="00E729C8" w:rsidRPr="00FC7F1E">
              <w:rPr>
                <w:rFonts w:ascii="Arial Narrow" w:hAnsi="Arial Narrow"/>
                <w:b/>
                <w:sz w:val="20"/>
                <w:szCs w:val="20"/>
              </w:rPr>
              <w:t>s</w:t>
            </w:r>
            <w:r w:rsidRPr="00FC7F1E">
              <w:rPr>
                <w:rFonts w:ascii="Arial Narrow" w:hAnsi="Arial Narrow"/>
                <w:b/>
                <w:sz w:val="20"/>
                <w:szCs w:val="20"/>
              </w:rPr>
              <w:t xml:space="preserve">ymptom </w:t>
            </w:r>
            <w:r w:rsidR="00E729C8" w:rsidRPr="00FC7F1E">
              <w:rPr>
                <w:rFonts w:ascii="Arial Narrow" w:hAnsi="Arial Narrow"/>
                <w:b/>
                <w:sz w:val="20"/>
                <w:szCs w:val="20"/>
              </w:rPr>
              <w:t>o</w:t>
            </w:r>
            <w:r w:rsidRPr="00FC7F1E">
              <w:rPr>
                <w:rFonts w:ascii="Arial Narrow" w:hAnsi="Arial Narrow"/>
                <w:b/>
                <w:sz w:val="20"/>
                <w:szCs w:val="20"/>
              </w:rPr>
              <w:t>nset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B3AECBA" w14:textId="77777777" w:rsidR="006E2172" w:rsidRPr="00FC7F1E" w:rsidRDefault="006E2172" w:rsidP="00A9457A">
            <w:pPr>
              <w:keepNext/>
              <w:keepLines/>
              <w:jc w:val="center"/>
              <w:rPr>
                <w:rFonts w:ascii="Arial Narrow" w:hAnsi="Arial Narrow"/>
                <w:b/>
                <w:sz w:val="20"/>
                <w:szCs w:val="20"/>
              </w:rPr>
            </w:pPr>
            <w:r w:rsidRPr="00FC7F1E">
              <w:rPr>
                <w:rFonts w:ascii="Arial Narrow" w:hAnsi="Arial Narrow"/>
                <w:b/>
                <w:sz w:val="20"/>
                <w:szCs w:val="20"/>
              </w:rPr>
              <w:t xml:space="preserve">Highest </w:t>
            </w:r>
            <w:r w:rsidR="00E729C8" w:rsidRPr="00FC7F1E">
              <w:rPr>
                <w:rFonts w:ascii="Arial Narrow" w:hAnsi="Arial Narrow"/>
                <w:b/>
                <w:sz w:val="20"/>
                <w:szCs w:val="20"/>
              </w:rPr>
              <w:t>m</w:t>
            </w:r>
            <w:r w:rsidRPr="00FC7F1E">
              <w:rPr>
                <w:rFonts w:ascii="Arial Narrow" w:hAnsi="Arial Narrow"/>
                <w:b/>
                <w:sz w:val="20"/>
                <w:szCs w:val="20"/>
              </w:rPr>
              <w:t xml:space="preserve">otor </w:t>
            </w:r>
            <w:r w:rsidR="00E729C8" w:rsidRPr="00FC7F1E">
              <w:rPr>
                <w:rFonts w:ascii="Arial Narrow" w:hAnsi="Arial Narrow"/>
                <w:b/>
                <w:sz w:val="20"/>
                <w:szCs w:val="20"/>
              </w:rPr>
              <w:t>f</w:t>
            </w:r>
            <w:r w:rsidRPr="00FC7F1E">
              <w:rPr>
                <w:rFonts w:ascii="Arial Narrow" w:hAnsi="Arial Narrow"/>
                <w:b/>
                <w:sz w:val="20"/>
                <w:szCs w:val="20"/>
              </w:rPr>
              <w:t xml:space="preserve">unction </w:t>
            </w:r>
            <w:r w:rsidR="00E729C8" w:rsidRPr="00FC7F1E">
              <w:rPr>
                <w:rFonts w:ascii="Arial Narrow" w:hAnsi="Arial Narrow"/>
                <w:b/>
                <w:sz w:val="20"/>
                <w:szCs w:val="20"/>
              </w:rPr>
              <w:t>a</w:t>
            </w:r>
            <w:r w:rsidRPr="00FC7F1E">
              <w:rPr>
                <w:rFonts w:ascii="Arial Narrow" w:hAnsi="Arial Narrow"/>
                <w:b/>
                <w:sz w:val="20"/>
                <w:szCs w:val="20"/>
              </w:rPr>
              <w:t>chieved</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14:paraId="5E986D8A" w14:textId="77777777" w:rsidR="006E2172" w:rsidRPr="00FC7F1E" w:rsidRDefault="006E2172" w:rsidP="00A9457A">
            <w:pPr>
              <w:keepNext/>
              <w:keepLines/>
              <w:jc w:val="center"/>
              <w:rPr>
                <w:rFonts w:ascii="Arial Narrow" w:hAnsi="Arial Narrow"/>
                <w:b/>
                <w:sz w:val="20"/>
                <w:szCs w:val="20"/>
              </w:rPr>
            </w:pPr>
            <w:r w:rsidRPr="00FC7F1E">
              <w:rPr>
                <w:rFonts w:ascii="Arial Narrow" w:hAnsi="Arial Narrow"/>
                <w:b/>
                <w:sz w:val="20"/>
                <w:szCs w:val="20"/>
              </w:rPr>
              <w:t xml:space="preserve">Average </w:t>
            </w:r>
            <w:r w:rsidR="00E729C8" w:rsidRPr="00FC7F1E">
              <w:rPr>
                <w:rFonts w:ascii="Arial Narrow" w:hAnsi="Arial Narrow"/>
                <w:b/>
                <w:sz w:val="20"/>
                <w:szCs w:val="20"/>
              </w:rPr>
              <w:t>l</w:t>
            </w:r>
            <w:r w:rsidRPr="00FC7F1E">
              <w:rPr>
                <w:rFonts w:ascii="Arial Narrow" w:hAnsi="Arial Narrow"/>
                <w:b/>
                <w:sz w:val="20"/>
                <w:szCs w:val="20"/>
              </w:rPr>
              <w:t xml:space="preserve">ife </w:t>
            </w:r>
            <w:r w:rsidR="00E729C8" w:rsidRPr="00FC7F1E">
              <w:rPr>
                <w:rFonts w:ascii="Arial Narrow" w:hAnsi="Arial Narrow"/>
                <w:b/>
                <w:sz w:val="20"/>
                <w:szCs w:val="20"/>
              </w:rPr>
              <w:t>e</w:t>
            </w:r>
            <w:r w:rsidRPr="00FC7F1E">
              <w:rPr>
                <w:rFonts w:ascii="Arial Narrow" w:hAnsi="Arial Narrow"/>
                <w:b/>
                <w:sz w:val="20"/>
                <w:szCs w:val="20"/>
              </w:rPr>
              <w:t>xpectancy</w:t>
            </w:r>
          </w:p>
        </w:tc>
      </w:tr>
      <w:tr w:rsidR="006E2172" w:rsidRPr="00FC7F1E" w14:paraId="64BF4917" w14:textId="77777777" w:rsidTr="00E729C8">
        <w:tc>
          <w:tcPr>
            <w:tcW w:w="1271" w:type="dxa"/>
            <w:tcBorders>
              <w:top w:val="single" w:sz="4" w:space="0" w:color="auto"/>
              <w:left w:val="single" w:sz="4" w:space="0" w:color="auto"/>
              <w:bottom w:val="single" w:sz="4" w:space="0" w:color="auto"/>
              <w:right w:val="single" w:sz="4" w:space="0" w:color="auto"/>
            </w:tcBorders>
            <w:vAlign w:val="center"/>
          </w:tcPr>
          <w:p w14:paraId="15ACD2CC"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Pre-natal</w:t>
            </w:r>
          </w:p>
        </w:tc>
        <w:tc>
          <w:tcPr>
            <w:tcW w:w="851" w:type="dxa"/>
            <w:tcBorders>
              <w:top w:val="single" w:sz="4" w:space="0" w:color="auto"/>
              <w:left w:val="single" w:sz="4" w:space="0" w:color="auto"/>
              <w:bottom w:val="single" w:sz="4" w:space="0" w:color="auto"/>
              <w:right w:val="single" w:sz="4" w:space="0" w:color="auto"/>
            </w:tcBorders>
            <w:vAlign w:val="center"/>
          </w:tcPr>
          <w:p w14:paraId="221FA95D" w14:textId="77777777" w:rsidR="006E2172" w:rsidRPr="00FC7F1E" w:rsidRDefault="006E2172" w:rsidP="00A9457A">
            <w:pPr>
              <w:keepNext/>
              <w:keepLines/>
              <w:jc w:val="center"/>
              <w:rPr>
                <w:rFonts w:ascii="Arial Narrow" w:hAnsi="Arial Narrow"/>
                <w:sz w:val="20"/>
                <w:szCs w:val="20"/>
              </w:rPr>
            </w:pPr>
            <w:r w:rsidRPr="00FC7F1E">
              <w:rPr>
                <w:rFonts w:ascii="Arial Narrow" w:hAnsi="Arial Narrow"/>
                <w:sz w:val="20"/>
                <w:szCs w:val="20"/>
              </w:rPr>
              <w:t>0</w:t>
            </w:r>
          </w:p>
        </w:tc>
        <w:tc>
          <w:tcPr>
            <w:tcW w:w="1842" w:type="dxa"/>
            <w:tcBorders>
              <w:top w:val="single" w:sz="4" w:space="0" w:color="auto"/>
              <w:left w:val="single" w:sz="4" w:space="0" w:color="auto"/>
              <w:bottom w:val="single" w:sz="4" w:space="0" w:color="auto"/>
              <w:right w:val="single" w:sz="4" w:space="0" w:color="auto"/>
            </w:tcBorders>
            <w:vAlign w:val="center"/>
          </w:tcPr>
          <w:p w14:paraId="33B112AD"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Prenatal</w:t>
            </w:r>
          </w:p>
        </w:tc>
        <w:tc>
          <w:tcPr>
            <w:tcW w:w="3119" w:type="dxa"/>
            <w:tcBorders>
              <w:top w:val="single" w:sz="4" w:space="0" w:color="auto"/>
              <w:left w:val="single" w:sz="4" w:space="0" w:color="auto"/>
              <w:bottom w:val="single" w:sz="4" w:space="0" w:color="auto"/>
              <w:right w:val="single" w:sz="4" w:space="0" w:color="auto"/>
            </w:tcBorders>
            <w:vAlign w:val="center"/>
          </w:tcPr>
          <w:p w14:paraId="2B265209"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None – unable to sit</w:t>
            </w:r>
            <w:r w:rsidR="00E729C8" w:rsidRPr="00FC7F1E">
              <w:rPr>
                <w:rFonts w:ascii="Arial Narrow" w:hAnsi="Arial Narrow"/>
                <w:sz w:val="20"/>
                <w:szCs w:val="20"/>
              </w:rPr>
              <w:t xml:space="preserve"> </w:t>
            </w:r>
            <w:r w:rsidRPr="00FC7F1E">
              <w:rPr>
                <w:rFonts w:ascii="Arial Narrow" w:hAnsi="Arial Narrow"/>
                <w:sz w:val="20"/>
                <w:szCs w:val="20"/>
              </w:rPr>
              <w:t>or roll</w:t>
            </w:r>
          </w:p>
        </w:tc>
        <w:tc>
          <w:tcPr>
            <w:tcW w:w="1876" w:type="dxa"/>
            <w:tcBorders>
              <w:top w:val="single" w:sz="4" w:space="0" w:color="auto"/>
              <w:left w:val="single" w:sz="4" w:space="0" w:color="auto"/>
              <w:bottom w:val="single" w:sz="4" w:space="0" w:color="auto"/>
              <w:right w:val="single" w:sz="4" w:space="0" w:color="auto"/>
            </w:tcBorders>
            <w:vAlign w:val="center"/>
          </w:tcPr>
          <w:p w14:paraId="7825FF47"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Death within weeks</w:t>
            </w:r>
          </w:p>
        </w:tc>
      </w:tr>
      <w:tr w:rsidR="006E2172" w:rsidRPr="00FC7F1E" w14:paraId="41567CC4" w14:textId="77777777" w:rsidTr="00E729C8">
        <w:trPr>
          <w:trHeight w:val="60"/>
        </w:trPr>
        <w:tc>
          <w:tcPr>
            <w:tcW w:w="1271" w:type="dxa"/>
            <w:tcBorders>
              <w:top w:val="single" w:sz="4" w:space="0" w:color="auto"/>
              <w:left w:val="single" w:sz="4" w:space="0" w:color="auto"/>
              <w:bottom w:val="single" w:sz="4" w:space="0" w:color="auto"/>
              <w:right w:val="single" w:sz="4" w:space="0" w:color="auto"/>
            </w:tcBorders>
            <w:vAlign w:val="center"/>
          </w:tcPr>
          <w:p w14:paraId="1963F2C4"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Infantile-onset</w:t>
            </w:r>
          </w:p>
        </w:tc>
        <w:tc>
          <w:tcPr>
            <w:tcW w:w="851" w:type="dxa"/>
            <w:tcBorders>
              <w:top w:val="single" w:sz="4" w:space="0" w:color="auto"/>
              <w:left w:val="single" w:sz="4" w:space="0" w:color="auto"/>
              <w:bottom w:val="single" w:sz="4" w:space="0" w:color="auto"/>
              <w:right w:val="single" w:sz="4" w:space="0" w:color="auto"/>
            </w:tcBorders>
            <w:vAlign w:val="center"/>
          </w:tcPr>
          <w:p w14:paraId="2A6502E6" w14:textId="77777777" w:rsidR="006E2172" w:rsidRPr="00FC7F1E" w:rsidRDefault="006E2172" w:rsidP="00A9457A">
            <w:pPr>
              <w:keepNext/>
              <w:keepLines/>
              <w:jc w:val="center"/>
              <w:rPr>
                <w:rFonts w:ascii="Arial Narrow" w:hAnsi="Arial Narrow"/>
                <w:sz w:val="20"/>
                <w:szCs w:val="20"/>
              </w:rPr>
            </w:pPr>
            <w:r w:rsidRPr="00FC7F1E">
              <w:rPr>
                <w:rFonts w:ascii="Arial Narrow" w:hAnsi="Arial Narrow"/>
                <w:sz w:val="20"/>
                <w:szCs w:val="20"/>
              </w:rPr>
              <w:t>I</w:t>
            </w:r>
          </w:p>
        </w:tc>
        <w:tc>
          <w:tcPr>
            <w:tcW w:w="1842" w:type="dxa"/>
            <w:tcBorders>
              <w:top w:val="single" w:sz="4" w:space="0" w:color="auto"/>
              <w:left w:val="single" w:sz="4" w:space="0" w:color="auto"/>
              <w:bottom w:val="single" w:sz="4" w:space="0" w:color="auto"/>
              <w:right w:val="single" w:sz="4" w:space="0" w:color="auto"/>
            </w:tcBorders>
            <w:vAlign w:val="center"/>
          </w:tcPr>
          <w:p w14:paraId="002D0627"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&lt; 6 months</w:t>
            </w:r>
          </w:p>
        </w:tc>
        <w:tc>
          <w:tcPr>
            <w:tcW w:w="3119" w:type="dxa"/>
            <w:tcBorders>
              <w:top w:val="single" w:sz="4" w:space="0" w:color="auto"/>
              <w:left w:val="single" w:sz="4" w:space="0" w:color="auto"/>
              <w:bottom w:val="single" w:sz="4" w:space="0" w:color="auto"/>
              <w:right w:val="single" w:sz="4" w:space="0" w:color="auto"/>
            </w:tcBorders>
            <w:vAlign w:val="center"/>
          </w:tcPr>
          <w:p w14:paraId="5A51BC6A" w14:textId="77777777" w:rsidR="006E2172" w:rsidRPr="00FC7F1E" w:rsidRDefault="00B71D61" w:rsidP="00A9457A">
            <w:pPr>
              <w:keepNext/>
              <w:keepLines/>
              <w:rPr>
                <w:rFonts w:ascii="Arial Narrow" w:hAnsi="Arial Narrow"/>
                <w:sz w:val="20"/>
                <w:szCs w:val="20"/>
              </w:rPr>
            </w:pPr>
            <w:r w:rsidRPr="00FC7F1E">
              <w:rPr>
                <w:rFonts w:ascii="Arial Narrow" w:hAnsi="Arial Narrow"/>
                <w:sz w:val="20"/>
                <w:szCs w:val="20"/>
              </w:rPr>
              <w:t>U</w:t>
            </w:r>
            <w:r w:rsidR="00E729C8" w:rsidRPr="00FC7F1E">
              <w:rPr>
                <w:rFonts w:ascii="Arial Narrow" w:hAnsi="Arial Narrow"/>
                <w:sz w:val="20"/>
                <w:szCs w:val="20"/>
              </w:rPr>
              <w:t>nable to sit or roll</w:t>
            </w:r>
          </w:p>
        </w:tc>
        <w:tc>
          <w:tcPr>
            <w:tcW w:w="1876" w:type="dxa"/>
            <w:tcBorders>
              <w:top w:val="single" w:sz="4" w:space="0" w:color="auto"/>
              <w:left w:val="single" w:sz="4" w:space="0" w:color="auto"/>
              <w:bottom w:val="single" w:sz="4" w:space="0" w:color="auto"/>
              <w:right w:val="single" w:sz="4" w:space="0" w:color="auto"/>
            </w:tcBorders>
            <w:vAlign w:val="center"/>
          </w:tcPr>
          <w:p w14:paraId="0CB61BD5"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Death within</w:t>
            </w:r>
            <w:r w:rsidR="00E729C8" w:rsidRPr="00FC7F1E">
              <w:rPr>
                <w:rFonts w:ascii="Arial Narrow" w:hAnsi="Arial Narrow"/>
                <w:sz w:val="20"/>
                <w:szCs w:val="20"/>
              </w:rPr>
              <w:t xml:space="preserve"> </w:t>
            </w:r>
            <w:r w:rsidRPr="00FC7F1E">
              <w:rPr>
                <w:rFonts w:ascii="Arial Narrow" w:hAnsi="Arial Narrow"/>
                <w:sz w:val="20"/>
                <w:szCs w:val="20"/>
              </w:rPr>
              <w:t>2 years</w:t>
            </w:r>
          </w:p>
        </w:tc>
      </w:tr>
      <w:tr w:rsidR="006E2172" w:rsidRPr="00FC7F1E" w14:paraId="0A6E2860" w14:textId="77777777" w:rsidTr="00E729C8">
        <w:tc>
          <w:tcPr>
            <w:tcW w:w="1271" w:type="dxa"/>
            <w:tcBorders>
              <w:top w:val="single" w:sz="4" w:space="0" w:color="auto"/>
              <w:left w:val="single" w:sz="4" w:space="0" w:color="auto"/>
              <w:bottom w:val="single" w:sz="4" w:space="0" w:color="auto"/>
              <w:right w:val="single" w:sz="4" w:space="0" w:color="auto"/>
            </w:tcBorders>
            <w:vAlign w:val="center"/>
          </w:tcPr>
          <w:p w14:paraId="2DFD427F"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Childhood-onset</w:t>
            </w:r>
          </w:p>
        </w:tc>
        <w:tc>
          <w:tcPr>
            <w:tcW w:w="851" w:type="dxa"/>
            <w:tcBorders>
              <w:top w:val="single" w:sz="4" w:space="0" w:color="auto"/>
              <w:left w:val="single" w:sz="4" w:space="0" w:color="auto"/>
              <w:bottom w:val="single" w:sz="4" w:space="0" w:color="auto"/>
              <w:right w:val="single" w:sz="4" w:space="0" w:color="auto"/>
            </w:tcBorders>
            <w:vAlign w:val="center"/>
          </w:tcPr>
          <w:p w14:paraId="67ECCD10" w14:textId="77777777" w:rsidR="006E2172" w:rsidRPr="00FC7F1E" w:rsidRDefault="006E2172" w:rsidP="00A9457A">
            <w:pPr>
              <w:keepNext/>
              <w:keepLines/>
              <w:jc w:val="center"/>
              <w:rPr>
                <w:rFonts w:ascii="Arial Narrow" w:hAnsi="Arial Narrow"/>
                <w:sz w:val="20"/>
                <w:szCs w:val="20"/>
              </w:rPr>
            </w:pPr>
            <w:r w:rsidRPr="00FC7F1E">
              <w:rPr>
                <w:rFonts w:ascii="Arial Narrow" w:hAnsi="Arial Narrow"/>
                <w:sz w:val="20"/>
                <w:szCs w:val="20"/>
              </w:rPr>
              <w:t>II</w:t>
            </w:r>
          </w:p>
        </w:tc>
        <w:tc>
          <w:tcPr>
            <w:tcW w:w="1842" w:type="dxa"/>
            <w:tcBorders>
              <w:top w:val="single" w:sz="4" w:space="0" w:color="auto"/>
              <w:left w:val="single" w:sz="4" w:space="0" w:color="auto"/>
              <w:bottom w:val="single" w:sz="4" w:space="0" w:color="auto"/>
              <w:right w:val="single" w:sz="4" w:space="0" w:color="auto"/>
            </w:tcBorders>
            <w:vAlign w:val="center"/>
          </w:tcPr>
          <w:p w14:paraId="0283D13B"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6 - 18 months</w:t>
            </w:r>
          </w:p>
        </w:tc>
        <w:tc>
          <w:tcPr>
            <w:tcW w:w="3119" w:type="dxa"/>
            <w:tcBorders>
              <w:top w:val="single" w:sz="4" w:space="0" w:color="auto"/>
              <w:left w:val="single" w:sz="4" w:space="0" w:color="auto"/>
              <w:bottom w:val="single" w:sz="4" w:space="0" w:color="auto"/>
              <w:right w:val="single" w:sz="4" w:space="0" w:color="auto"/>
            </w:tcBorders>
            <w:vAlign w:val="center"/>
          </w:tcPr>
          <w:p w14:paraId="15FE85EC"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Sitting – unable to walk independently</w:t>
            </w:r>
          </w:p>
        </w:tc>
        <w:tc>
          <w:tcPr>
            <w:tcW w:w="1876" w:type="dxa"/>
            <w:tcBorders>
              <w:top w:val="single" w:sz="4" w:space="0" w:color="auto"/>
              <w:left w:val="single" w:sz="4" w:space="0" w:color="auto"/>
              <w:bottom w:val="single" w:sz="4" w:space="0" w:color="auto"/>
              <w:right w:val="single" w:sz="4" w:space="0" w:color="auto"/>
            </w:tcBorders>
            <w:vAlign w:val="center"/>
          </w:tcPr>
          <w:p w14:paraId="60647F22"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Survival into adulthood</w:t>
            </w:r>
          </w:p>
        </w:tc>
      </w:tr>
      <w:tr w:rsidR="006E2172" w:rsidRPr="00FC7F1E" w14:paraId="09163C7D" w14:textId="77777777" w:rsidTr="00E729C8">
        <w:tc>
          <w:tcPr>
            <w:tcW w:w="1271" w:type="dxa"/>
            <w:tcBorders>
              <w:top w:val="single" w:sz="4" w:space="0" w:color="auto"/>
              <w:left w:val="single" w:sz="4" w:space="0" w:color="auto"/>
              <w:bottom w:val="single" w:sz="4" w:space="0" w:color="auto"/>
              <w:right w:val="single" w:sz="4" w:space="0" w:color="auto"/>
            </w:tcBorders>
            <w:vAlign w:val="center"/>
          </w:tcPr>
          <w:p w14:paraId="3F0FA95E" w14:textId="77777777" w:rsidR="006E2172" w:rsidRPr="00FC7F1E" w:rsidRDefault="006E2172" w:rsidP="00A9457A">
            <w:pPr>
              <w:keepNext/>
              <w:keepLines/>
              <w:rPr>
                <w:rFonts w:ascii="Arial Narrow" w:hAnsi="Arial Narrow"/>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6E1415B" w14:textId="77777777" w:rsidR="006E2172" w:rsidRPr="00FC7F1E" w:rsidRDefault="006E2172" w:rsidP="00A9457A">
            <w:pPr>
              <w:keepNext/>
              <w:keepLines/>
              <w:jc w:val="center"/>
              <w:rPr>
                <w:rFonts w:ascii="Arial Narrow" w:hAnsi="Arial Narrow"/>
                <w:sz w:val="20"/>
                <w:szCs w:val="20"/>
              </w:rPr>
            </w:pPr>
            <w:r w:rsidRPr="00FC7F1E">
              <w:rPr>
                <w:rFonts w:ascii="Arial Narrow" w:hAnsi="Arial Narrow"/>
                <w:sz w:val="20"/>
                <w:szCs w:val="20"/>
              </w:rPr>
              <w:t>III</w:t>
            </w:r>
          </w:p>
        </w:tc>
        <w:tc>
          <w:tcPr>
            <w:tcW w:w="1842" w:type="dxa"/>
            <w:tcBorders>
              <w:top w:val="single" w:sz="4" w:space="0" w:color="auto"/>
              <w:left w:val="single" w:sz="4" w:space="0" w:color="auto"/>
              <w:bottom w:val="single" w:sz="4" w:space="0" w:color="auto"/>
              <w:right w:val="single" w:sz="4" w:space="0" w:color="auto"/>
            </w:tcBorders>
            <w:vAlign w:val="center"/>
          </w:tcPr>
          <w:p w14:paraId="1A952178"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&lt; 3 years (IIIa)</w:t>
            </w:r>
          </w:p>
          <w:p w14:paraId="6631B12A"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&gt; 3 years (IIIb)</w:t>
            </w:r>
          </w:p>
          <w:p w14:paraId="1B66776B"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&gt; 12 to ≤18 years (IIIc)</w:t>
            </w:r>
          </w:p>
        </w:tc>
        <w:tc>
          <w:tcPr>
            <w:tcW w:w="3119" w:type="dxa"/>
            <w:tcBorders>
              <w:top w:val="single" w:sz="4" w:space="0" w:color="auto"/>
              <w:left w:val="single" w:sz="4" w:space="0" w:color="auto"/>
              <w:bottom w:val="single" w:sz="4" w:space="0" w:color="auto"/>
              <w:right w:val="single" w:sz="4" w:space="0" w:color="auto"/>
            </w:tcBorders>
            <w:vAlign w:val="center"/>
          </w:tcPr>
          <w:p w14:paraId="45001192"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Independently stand and walk, may lose ability to walk over time</w:t>
            </w:r>
          </w:p>
        </w:tc>
        <w:tc>
          <w:tcPr>
            <w:tcW w:w="1876" w:type="dxa"/>
            <w:tcBorders>
              <w:top w:val="single" w:sz="4" w:space="0" w:color="auto"/>
              <w:left w:val="single" w:sz="4" w:space="0" w:color="auto"/>
              <w:bottom w:val="single" w:sz="4" w:space="0" w:color="auto"/>
              <w:right w:val="single" w:sz="4" w:space="0" w:color="auto"/>
            </w:tcBorders>
            <w:vAlign w:val="center"/>
          </w:tcPr>
          <w:p w14:paraId="2EAEF5BE"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Normal lifespan</w:t>
            </w:r>
          </w:p>
        </w:tc>
      </w:tr>
      <w:tr w:rsidR="006E2172" w:rsidRPr="00FC7F1E" w14:paraId="5FAE7882" w14:textId="77777777" w:rsidTr="00E729C8">
        <w:tc>
          <w:tcPr>
            <w:tcW w:w="1271" w:type="dxa"/>
            <w:tcBorders>
              <w:top w:val="single" w:sz="4" w:space="0" w:color="auto"/>
              <w:left w:val="single" w:sz="4" w:space="0" w:color="auto"/>
              <w:bottom w:val="single" w:sz="4" w:space="0" w:color="auto"/>
              <w:right w:val="single" w:sz="4" w:space="0" w:color="auto"/>
            </w:tcBorders>
            <w:vAlign w:val="center"/>
          </w:tcPr>
          <w:p w14:paraId="351B3F4F"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Adult-onset</w:t>
            </w:r>
          </w:p>
        </w:tc>
        <w:tc>
          <w:tcPr>
            <w:tcW w:w="851" w:type="dxa"/>
            <w:tcBorders>
              <w:top w:val="single" w:sz="4" w:space="0" w:color="auto"/>
              <w:left w:val="single" w:sz="4" w:space="0" w:color="auto"/>
              <w:bottom w:val="single" w:sz="4" w:space="0" w:color="auto"/>
              <w:right w:val="single" w:sz="4" w:space="0" w:color="auto"/>
            </w:tcBorders>
            <w:vAlign w:val="center"/>
          </w:tcPr>
          <w:p w14:paraId="71588081" w14:textId="77777777" w:rsidR="006E2172" w:rsidRPr="00FC7F1E" w:rsidRDefault="006E2172" w:rsidP="00A9457A">
            <w:pPr>
              <w:keepNext/>
              <w:keepLines/>
              <w:jc w:val="center"/>
              <w:rPr>
                <w:rFonts w:ascii="Arial Narrow" w:hAnsi="Arial Narrow"/>
                <w:sz w:val="20"/>
                <w:szCs w:val="20"/>
              </w:rPr>
            </w:pPr>
            <w:r w:rsidRPr="00FC7F1E">
              <w:rPr>
                <w:rFonts w:ascii="Arial Narrow" w:hAnsi="Arial Narrow"/>
                <w:sz w:val="20"/>
                <w:szCs w:val="20"/>
              </w:rPr>
              <w:t>IV</w:t>
            </w:r>
          </w:p>
        </w:tc>
        <w:tc>
          <w:tcPr>
            <w:tcW w:w="1842" w:type="dxa"/>
            <w:tcBorders>
              <w:top w:val="single" w:sz="4" w:space="0" w:color="auto"/>
              <w:left w:val="single" w:sz="4" w:space="0" w:color="auto"/>
              <w:bottom w:val="single" w:sz="4" w:space="0" w:color="auto"/>
              <w:right w:val="single" w:sz="4" w:space="0" w:color="auto"/>
            </w:tcBorders>
            <w:vAlign w:val="center"/>
          </w:tcPr>
          <w:p w14:paraId="6B46C7A7"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&gt; 18 years</w:t>
            </w:r>
          </w:p>
        </w:tc>
        <w:tc>
          <w:tcPr>
            <w:tcW w:w="3119" w:type="dxa"/>
            <w:tcBorders>
              <w:top w:val="single" w:sz="4" w:space="0" w:color="auto"/>
              <w:left w:val="single" w:sz="4" w:space="0" w:color="auto"/>
              <w:bottom w:val="single" w:sz="4" w:space="0" w:color="auto"/>
              <w:right w:val="single" w:sz="4" w:space="0" w:color="auto"/>
            </w:tcBorders>
            <w:vAlign w:val="center"/>
          </w:tcPr>
          <w:p w14:paraId="15663600"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Normal – mild motor impairment.</w:t>
            </w:r>
          </w:p>
        </w:tc>
        <w:tc>
          <w:tcPr>
            <w:tcW w:w="1876" w:type="dxa"/>
            <w:tcBorders>
              <w:top w:val="single" w:sz="4" w:space="0" w:color="auto"/>
              <w:left w:val="single" w:sz="4" w:space="0" w:color="auto"/>
              <w:bottom w:val="single" w:sz="4" w:space="0" w:color="auto"/>
              <w:right w:val="single" w:sz="4" w:space="0" w:color="auto"/>
            </w:tcBorders>
            <w:vAlign w:val="center"/>
          </w:tcPr>
          <w:p w14:paraId="0D3259DF" w14:textId="77777777" w:rsidR="006E2172" w:rsidRPr="00FC7F1E" w:rsidRDefault="006E2172" w:rsidP="00A9457A">
            <w:pPr>
              <w:keepNext/>
              <w:keepLines/>
              <w:rPr>
                <w:rFonts w:ascii="Arial Narrow" w:hAnsi="Arial Narrow"/>
                <w:sz w:val="20"/>
                <w:szCs w:val="20"/>
              </w:rPr>
            </w:pPr>
            <w:r w:rsidRPr="00FC7F1E">
              <w:rPr>
                <w:rFonts w:ascii="Arial Narrow" w:hAnsi="Arial Narrow"/>
                <w:sz w:val="20"/>
                <w:szCs w:val="20"/>
              </w:rPr>
              <w:t>Normal lifespan</w:t>
            </w:r>
          </w:p>
        </w:tc>
      </w:tr>
    </w:tbl>
    <w:p w14:paraId="4351EB6B" w14:textId="77777777" w:rsidR="00987B69" w:rsidRPr="00FC7F1E" w:rsidRDefault="006E2172" w:rsidP="00987B69">
      <w:pPr>
        <w:rPr>
          <w:rFonts w:ascii="Arial Narrow" w:hAnsi="Arial Narrow"/>
          <w:sz w:val="18"/>
          <w:szCs w:val="18"/>
        </w:rPr>
      </w:pPr>
      <w:r w:rsidRPr="00FC7F1E">
        <w:rPr>
          <w:rFonts w:ascii="Arial Narrow" w:hAnsi="Arial Narrow"/>
          <w:sz w:val="18"/>
          <w:szCs w:val="18"/>
        </w:rPr>
        <w:t>Source: Table 1.1, p29 of the submission.</w:t>
      </w:r>
    </w:p>
    <w:p w14:paraId="38C139B2" w14:textId="77777777" w:rsidR="00987B69" w:rsidRPr="00FC7F1E" w:rsidRDefault="00987B69" w:rsidP="00987B69">
      <w:pPr>
        <w:rPr>
          <w:rFonts w:ascii="Arial Narrow" w:hAnsi="Arial Narrow"/>
          <w:sz w:val="18"/>
          <w:szCs w:val="18"/>
        </w:rPr>
      </w:pPr>
    </w:p>
    <w:p w14:paraId="67CF22A0" w14:textId="77777777" w:rsidR="00987B69" w:rsidRPr="00FC7F1E" w:rsidRDefault="00987B69" w:rsidP="00987B69">
      <w:pPr>
        <w:pStyle w:val="3-BodyText"/>
        <w:numPr>
          <w:ilvl w:val="0"/>
          <w:numId w:val="0"/>
        </w:numPr>
        <w:ind w:left="720"/>
        <w:rPr>
          <w:i/>
        </w:rPr>
      </w:pPr>
      <w:r w:rsidRPr="00FC7F1E">
        <w:rPr>
          <w:i/>
        </w:rPr>
        <w:t>For more detail on PBAC’s view, see section 7 PBAC outcome.</w:t>
      </w:r>
    </w:p>
    <w:p w14:paraId="10704079" w14:textId="77777777" w:rsidR="00B50DB8" w:rsidRPr="00FC7F1E" w:rsidRDefault="00B50DB8" w:rsidP="004E18E9">
      <w:pPr>
        <w:pStyle w:val="2-SectionHeading"/>
      </w:pPr>
      <w:bookmarkStart w:id="12" w:name="_Toc50701415"/>
      <w:r w:rsidRPr="00FC7F1E">
        <w:t>Comparator</w:t>
      </w:r>
      <w:bookmarkEnd w:id="12"/>
    </w:p>
    <w:p w14:paraId="3D662E76" w14:textId="77777777" w:rsidR="00732451" w:rsidRPr="00FC7F1E" w:rsidRDefault="00732451" w:rsidP="00732451">
      <w:pPr>
        <w:pStyle w:val="3-BodyText"/>
        <w:rPr>
          <w:snapToGrid/>
        </w:rPr>
      </w:pPr>
      <w:r w:rsidRPr="00FC7F1E">
        <w:rPr>
          <w:snapToGrid/>
        </w:rPr>
        <w:t xml:space="preserve">The </w:t>
      </w:r>
      <w:r w:rsidR="00CA098E" w:rsidRPr="00FC7F1E">
        <w:rPr>
          <w:snapToGrid/>
        </w:rPr>
        <w:t>re</w:t>
      </w:r>
      <w:r w:rsidRPr="00FC7F1E">
        <w:rPr>
          <w:snapToGrid/>
        </w:rPr>
        <w:t>submission nominated placebo</w:t>
      </w:r>
      <w:r w:rsidR="00FD2C2A" w:rsidRPr="00FC7F1E">
        <w:rPr>
          <w:snapToGrid/>
        </w:rPr>
        <w:t xml:space="preserve">/standard of care </w:t>
      </w:r>
      <w:r w:rsidRPr="00FC7F1E">
        <w:rPr>
          <w:snapToGrid/>
        </w:rPr>
        <w:t xml:space="preserve">as the main comparator. </w:t>
      </w:r>
    </w:p>
    <w:p w14:paraId="141129CE" w14:textId="77777777" w:rsidR="00732451" w:rsidRPr="00FC7F1E" w:rsidRDefault="00FD2C2A" w:rsidP="00D32494">
      <w:pPr>
        <w:pStyle w:val="3-BodyText"/>
        <w:rPr>
          <w:snapToGrid/>
        </w:rPr>
      </w:pPr>
      <w:r w:rsidRPr="00FC7F1E">
        <w:t>T</w:t>
      </w:r>
      <w:r w:rsidR="00CA098E" w:rsidRPr="00FC7F1E">
        <w:t xml:space="preserve">here are two near market comparators - onasemnogene abeparvovec (Zolgensma) gene therapy and risdiplam, an orally administered SMN2 splicing modifier. </w:t>
      </w:r>
      <w:r w:rsidR="00CA098E" w:rsidRPr="00FC7F1E">
        <w:lastRenderedPageBreak/>
        <w:t xml:space="preserve">Onasemnogene abeparvovec (Zolgensma) is approved in the US and </w:t>
      </w:r>
      <w:r w:rsidR="006E2172" w:rsidRPr="00FC7F1E">
        <w:t xml:space="preserve">received conditional approval </w:t>
      </w:r>
      <w:r w:rsidR="00CA098E" w:rsidRPr="00FC7F1E">
        <w:t xml:space="preserve">by the European Medicines Agency in May 2020, but is not </w:t>
      </w:r>
      <w:r w:rsidR="006E2172" w:rsidRPr="00FC7F1E">
        <w:t>currently</w:t>
      </w:r>
      <w:r w:rsidR="00CA098E" w:rsidRPr="00FC7F1E">
        <w:t xml:space="preserve"> </w:t>
      </w:r>
      <w:r w:rsidR="00EC2036" w:rsidRPr="00FC7F1E">
        <w:t xml:space="preserve">registered </w:t>
      </w:r>
      <w:r w:rsidR="00CA098E" w:rsidRPr="00FC7F1E">
        <w:t xml:space="preserve">in Australia. </w:t>
      </w:r>
      <w:r w:rsidR="002C712C" w:rsidRPr="00FC7F1E">
        <w:t>A submission for onasemnogene abeparvovec (Zolgensma) is</w:t>
      </w:r>
      <w:r w:rsidR="005C4BCF" w:rsidRPr="00FC7F1E">
        <w:t xml:space="preserve"> </w:t>
      </w:r>
      <w:r w:rsidR="002C712C" w:rsidRPr="00FC7F1E">
        <w:t xml:space="preserve">being considered at the November 2020 PBAC meeting for paediatric patients less than 2 years of age with Type </w:t>
      </w:r>
      <w:r w:rsidR="00B24B6A" w:rsidRPr="00FC7F1E">
        <w:t xml:space="preserve">I </w:t>
      </w:r>
      <w:r w:rsidR="002C712C" w:rsidRPr="00FC7F1E">
        <w:t xml:space="preserve">SMA. </w:t>
      </w:r>
      <w:r w:rsidR="00CA098E" w:rsidRPr="00FC7F1E">
        <w:t xml:space="preserve">Risdiplam </w:t>
      </w:r>
      <w:r w:rsidR="0071603B" w:rsidRPr="00FC7F1E">
        <w:t xml:space="preserve">was registered by the FDA on 7 August 2020 for the treatment of </w:t>
      </w:r>
      <w:r w:rsidR="008B5C6C" w:rsidRPr="00FC7F1E">
        <w:t>S</w:t>
      </w:r>
      <w:r w:rsidR="0071603B" w:rsidRPr="00FC7F1E">
        <w:t>MA in patients 2 months</w:t>
      </w:r>
      <w:r w:rsidR="008B5C6C" w:rsidRPr="00FC7F1E">
        <w:t xml:space="preserve"> </w:t>
      </w:r>
      <w:r w:rsidR="0071603B" w:rsidRPr="00FC7F1E">
        <w:t xml:space="preserve">of age and older. </w:t>
      </w:r>
    </w:p>
    <w:p w14:paraId="717D7B81" w14:textId="3CAF9805" w:rsidR="00732451" w:rsidRPr="00FC7F1E" w:rsidRDefault="006C2DF7" w:rsidP="00732451">
      <w:pPr>
        <w:pStyle w:val="3-BodyText"/>
        <w:rPr>
          <w:snapToGrid/>
        </w:rPr>
      </w:pPr>
      <w:r w:rsidRPr="00FC7F1E">
        <w:rPr>
          <w:snapToGrid/>
        </w:rPr>
        <w:t>In addition,</w:t>
      </w:r>
      <w:r w:rsidR="00732451" w:rsidRPr="00FC7F1E">
        <w:rPr>
          <w:snapToGrid/>
        </w:rPr>
        <w:t xml:space="preserve"> while sodium valproate is not approved for the treatment of SMA in Australia, that there is some evidence (E</w:t>
      </w:r>
      <w:r w:rsidR="001A4070" w:rsidRPr="00FC7F1E">
        <w:rPr>
          <w:snapToGrid/>
        </w:rPr>
        <w:t>l</w:t>
      </w:r>
      <w:r w:rsidR="00732451" w:rsidRPr="00FC7F1E">
        <w:rPr>
          <w:snapToGrid/>
        </w:rPr>
        <w:t>shafay et al, 2019</w:t>
      </w:r>
      <w:r w:rsidR="00271E58">
        <w:rPr>
          <w:rStyle w:val="FootnoteReference"/>
          <w:snapToGrid/>
        </w:rPr>
        <w:footnoteReference w:id="1"/>
      </w:r>
      <w:r w:rsidR="00732451" w:rsidRPr="00FC7F1E">
        <w:rPr>
          <w:snapToGrid/>
        </w:rPr>
        <w:t xml:space="preserve">) to show that it may improve gross motor function in patients with SMA. Similarly, salbutamol (while not approved for the treatment of SMA in Australia) </w:t>
      </w:r>
      <w:r w:rsidR="00B23F94" w:rsidRPr="00FC7F1E">
        <w:rPr>
          <w:snapToGrid/>
        </w:rPr>
        <w:t xml:space="preserve">is </w:t>
      </w:r>
      <w:r w:rsidR="00732451" w:rsidRPr="00FC7F1E">
        <w:rPr>
          <w:snapToGrid/>
        </w:rPr>
        <w:t xml:space="preserve">often used in some countries in clinical practice, based on functional improvements </w:t>
      </w:r>
      <w:r w:rsidR="00042571" w:rsidRPr="00FC7F1E">
        <w:rPr>
          <w:snapToGrid/>
        </w:rPr>
        <w:t xml:space="preserve">seen </w:t>
      </w:r>
      <w:r w:rsidR="00732451" w:rsidRPr="00FC7F1E">
        <w:rPr>
          <w:snapToGrid/>
        </w:rPr>
        <w:t xml:space="preserve">in open label studies </w:t>
      </w:r>
      <w:r w:rsidR="00042571" w:rsidRPr="00FC7F1E">
        <w:rPr>
          <w:snapToGrid/>
        </w:rPr>
        <w:t>in children.</w:t>
      </w:r>
      <w:r w:rsidR="00732451" w:rsidRPr="00FC7F1E">
        <w:rPr>
          <w:snapToGrid/>
        </w:rPr>
        <w:t xml:space="preserve"> In a study identified during the evalu</w:t>
      </w:r>
      <w:r w:rsidR="00B23F94" w:rsidRPr="00FC7F1E">
        <w:rPr>
          <w:snapToGrid/>
        </w:rPr>
        <w:t>a</w:t>
      </w:r>
      <w:r w:rsidR="00732451" w:rsidRPr="00FC7F1E">
        <w:rPr>
          <w:snapToGrid/>
        </w:rPr>
        <w:t>tion by Sivo</w:t>
      </w:r>
      <w:r w:rsidR="00042571" w:rsidRPr="00FC7F1E">
        <w:rPr>
          <w:snapToGrid/>
        </w:rPr>
        <w:t xml:space="preserve"> et al,</w:t>
      </w:r>
      <w:r w:rsidR="00732451" w:rsidRPr="00FC7F1E">
        <w:rPr>
          <w:snapToGrid/>
        </w:rPr>
        <w:t xml:space="preserve"> 2015</w:t>
      </w:r>
      <w:r w:rsidR="00271E58">
        <w:rPr>
          <w:rStyle w:val="FootnoteReference"/>
          <w:snapToGrid/>
        </w:rPr>
        <w:footnoteReference w:id="2"/>
      </w:r>
      <w:r w:rsidR="00E46B1E">
        <w:rPr>
          <w:snapToGrid/>
        </w:rPr>
        <w:t xml:space="preserve"> </w:t>
      </w:r>
      <w:r w:rsidR="00732451" w:rsidRPr="00FC7F1E">
        <w:rPr>
          <w:snapToGrid/>
        </w:rPr>
        <w:t xml:space="preserve">in 74 non-ambulant patients with SMA, 100% of patients were taking salbutamol. The publication </w:t>
      </w:r>
      <w:r w:rsidR="00B23F94" w:rsidRPr="00FC7F1E">
        <w:rPr>
          <w:snapToGrid/>
        </w:rPr>
        <w:t>s</w:t>
      </w:r>
      <w:r w:rsidR="00732451" w:rsidRPr="00FC7F1E">
        <w:rPr>
          <w:snapToGrid/>
        </w:rPr>
        <w:t xml:space="preserve">tated that it was the </w:t>
      </w:r>
      <w:r w:rsidR="00DF6423" w:rsidRPr="00FC7F1E">
        <w:rPr>
          <w:snapToGrid/>
        </w:rPr>
        <w:t>author’</w:t>
      </w:r>
      <w:r w:rsidR="00B42C57" w:rsidRPr="00FC7F1E">
        <w:rPr>
          <w:snapToGrid/>
        </w:rPr>
        <w:t>s</w:t>
      </w:r>
      <w:r w:rsidR="00732451" w:rsidRPr="00FC7F1E">
        <w:rPr>
          <w:snapToGrid/>
        </w:rPr>
        <w:t xml:space="preserve"> experience that the effect reaches its peak at 6 months after administration, with further minimal improvement between 6 and 12 months.</w:t>
      </w:r>
    </w:p>
    <w:p w14:paraId="75F8027D" w14:textId="77777777" w:rsidR="00987B69" w:rsidRPr="00FC7F1E" w:rsidRDefault="00987B69" w:rsidP="00987B69">
      <w:pPr>
        <w:pStyle w:val="3-BodyText"/>
        <w:numPr>
          <w:ilvl w:val="0"/>
          <w:numId w:val="0"/>
        </w:numPr>
        <w:ind w:left="720"/>
        <w:rPr>
          <w:i/>
        </w:rPr>
      </w:pPr>
      <w:r w:rsidRPr="00FC7F1E">
        <w:rPr>
          <w:i/>
        </w:rPr>
        <w:t>For more detail on PBAC’s view, see section 7 PBAC outcome.</w:t>
      </w:r>
    </w:p>
    <w:p w14:paraId="468474B7" w14:textId="77777777" w:rsidR="00223D5A" w:rsidRPr="00FC7F1E" w:rsidRDefault="00223D5A" w:rsidP="00732451">
      <w:pPr>
        <w:pStyle w:val="2-SectionHeading"/>
      </w:pPr>
      <w:bookmarkStart w:id="13" w:name="_Toc50701416"/>
      <w:bookmarkStart w:id="14" w:name="_Toc22897640"/>
      <w:r w:rsidRPr="00FC7F1E">
        <w:t>Consideration of the evidence</w:t>
      </w:r>
      <w:bookmarkEnd w:id="13"/>
    </w:p>
    <w:p w14:paraId="627E5B55" w14:textId="77777777" w:rsidR="00987B69" w:rsidRPr="00FC7F1E" w:rsidRDefault="00987B69" w:rsidP="00987B69">
      <w:pPr>
        <w:widowControl w:val="0"/>
        <w:spacing w:before="240" w:line="276" w:lineRule="auto"/>
        <w:outlineLvl w:val="1"/>
        <w:rPr>
          <w:rFonts w:asciiTheme="minorHAnsi" w:hAnsiTheme="minorHAnsi"/>
          <w:b/>
          <w:bCs/>
          <w:i/>
          <w:snapToGrid w:val="0"/>
          <w:sz w:val="28"/>
          <w:szCs w:val="28"/>
        </w:rPr>
      </w:pPr>
      <w:bookmarkStart w:id="15" w:name="_Toc50701417"/>
      <w:r w:rsidRPr="00FC7F1E">
        <w:rPr>
          <w:rFonts w:asciiTheme="minorHAnsi" w:hAnsiTheme="minorHAnsi"/>
          <w:b/>
          <w:bCs/>
          <w:i/>
          <w:snapToGrid w:val="0"/>
          <w:sz w:val="28"/>
          <w:szCs w:val="28"/>
        </w:rPr>
        <w:t>Sponsor hearing</w:t>
      </w:r>
    </w:p>
    <w:p w14:paraId="2482B754" w14:textId="77777777" w:rsidR="001E3925" w:rsidRPr="00FC7F1E" w:rsidRDefault="00987B69" w:rsidP="00AC7DB4">
      <w:pPr>
        <w:pStyle w:val="3-BodyText"/>
        <w:rPr>
          <w:bCs/>
        </w:rPr>
      </w:pPr>
      <w:r w:rsidRPr="00FC7F1E">
        <w:t xml:space="preserve">The sponsor requested a hearing for this item. </w:t>
      </w:r>
      <w:r w:rsidR="00B326A5" w:rsidRPr="00FC7F1E">
        <w:t xml:space="preserve">The clinician outlined that earlier treatment is associated with better outcomes. </w:t>
      </w:r>
      <w:r w:rsidR="001E3925" w:rsidRPr="00FC7F1E">
        <w:t>The clinician discussed the natural history of SMA in adults and the clinical studies</w:t>
      </w:r>
      <w:r w:rsidR="00B326A5" w:rsidRPr="00FC7F1E">
        <w:t xml:space="preserve"> of nusinersen</w:t>
      </w:r>
      <w:r w:rsidR="001E3925" w:rsidRPr="00FC7F1E">
        <w:t xml:space="preserve"> in adults (Maggi and Hagenacker</w:t>
      </w:r>
      <w:r w:rsidR="00B326A5" w:rsidRPr="00FC7F1E">
        <w:t>)</w:t>
      </w:r>
      <w:r w:rsidR="001E3925" w:rsidRPr="00FC7F1E">
        <w:t>. The clinician outlined that functions that impact quality of life include ability to t</w:t>
      </w:r>
      <w:r w:rsidR="001E3925" w:rsidRPr="00FC7F1E">
        <w:rPr>
          <w:bCs/>
        </w:rPr>
        <w:t xml:space="preserve">ransfer, feed, wash, </w:t>
      </w:r>
      <w:r w:rsidR="008D1EA7" w:rsidRPr="00FC7F1E">
        <w:rPr>
          <w:bCs/>
        </w:rPr>
        <w:t xml:space="preserve">use the restroom and </w:t>
      </w:r>
      <w:r w:rsidR="001E3925" w:rsidRPr="00FC7F1E">
        <w:rPr>
          <w:bCs/>
        </w:rPr>
        <w:t xml:space="preserve">get dressed </w:t>
      </w:r>
      <w:r w:rsidR="008D1EA7" w:rsidRPr="00FC7F1E">
        <w:rPr>
          <w:bCs/>
        </w:rPr>
        <w:t xml:space="preserve">on their own </w:t>
      </w:r>
      <w:r w:rsidR="001E3925" w:rsidRPr="00FC7F1E">
        <w:rPr>
          <w:bCs/>
        </w:rPr>
        <w:t xml:space="preserve">and use </w:t>
      </w:r>
      <w:r w:rsidR="00B326A5" w:rsidRPr="00FC7F1E">
        <w:rPr>
          <w:bCs/>
        </w:rPr>
        <w:t xml:space="preserve">of </w:t>
      </w:r>
      <w:r w:rsidR="001E3925" w:rsidRPr="00FC7F1E">
        <w:rPr>
          <w:bCs/>
        </w:rPr>
        <w:t xml:space="preserve">technological devices. </w:t>
      </w:r>
    </w:p>
    <w:p w14:paraId="45BFD720" w14:textId="77777777" w:rsidR="00DD5168" w:rsidRPr="00FC7F1E" w:rsidRDefault="00B326A5" w:rsidP="00DD5168">
      <w:pPr>
        <w:pStyle w:val="3-BodyText"/>
        <w:rPr>
          <w:bCs/>
        </w:rPr>
      </w:pPr>
      <w:r w:rsidRPr="00FC7F1E">
        <w:rPr>
          <w:bCs/>
        </w:rPr>
        <w:t>The clinician</w:t>
      </w:r>
      <w:r w:rsidR="001E3925" w:rsidRPr="00FC7F1E">
        <w:rPr>
          <w:bCs/>
        </w:rPr>
        <w:t xml:space="preserve"> outlined that a group of 13 neuromuscular s</w:t>
      </w:r>
      <w:r w:rsidR="00FA05B7" w:rsidRPr="00FC7F1E">
        <w:rPr>
          <w:bCs/>
        </w:rPr>
        <w:t>pecialists who treat</w:t>
      </w:r>
      <w:r w:rsidR="001E3925" w:rsidRPr="00FC7F1E">
        <w:rPr>
          <w:bCs/>
        </w:rPr>
        <w:t xml:space="preserve"> adult patients with SMA</w:t>
      </w:r>
      <w:r w:rsidR="008D1EA7" w:rsidRPr="00FC7F1E">
        <w:rPr>
          <w:bCs/>
        </w:rPr>
        <w:t>,</w:t>
      </w:r>
      <w:r w:rsidR="001E3925" w:rsidRPr="00FC7F1E">
        <w:rPr>
          <w:bCs/>
        </w:rPr>
        <w:t xml:space="preserve"> </w:t>
      </w:r>
      <w:r w:rsidR="008D1EA7" w:rsidRPr="00FC7F1E">
        <w:rPr>
          <w:bCs/>
        </w:rPr>
        <w:t>represent</w:t>
      </w:r>
      <w:r w:rsidRPr="00FC7F1E">
        <w:rPr>
          <w:bCs/>
        </w:rPr>
        <w:t>ing major centres in Australia</w:t>
      </w:r>
      <w:r w:rsidR="008D1EA7" w:rsidRPr="00FC7F1E">
        <w:rPr>
          <w:bCs/>
        </w:rPr>
        <w:t xml:space="preserve"> across every State and Territory, </w:t>
      </w:r>
      <w:r w:rsidR="001E3925" w:rsidRPr="00FC7F1E">
        <w:rPr>
          <w:bCs/>
        </w:rPr>
        <w:t>have convened</w:t>
      </w:r>
      <w:r w:rsidR="00DD5168" w:rsidRPr="00FC7F1E">
        <w:rPr>
          <w:bCs/>
        </w:rPr>
        <w:t>. The group is developing consensus guidelines for the treatment of adults with SMA, along with a consensus on the minimum clinical and functional assessments, including collecting data through a patient registry. In terms of feasibility, the clinician stated that a neurologist is available in each state to administer nusinersen to adult patients.</w:t>
      </w:r>
    </w:p>
    <w:p w14:paraId="6BACB6A5" w14:textId="77777777" w:rsidR="00987B69" w:rsidRPr="00FC7F1E" w:rsidRDefault="00987B69" w:rsidP="00AC7DB4">
      <w:pPr>
        <w:widowControl w:val="0"/>
        <w:spacing w:before="240" w:line="276" w:lineRule="auto"/>
        <w:outlineLvl w:val="1"/>
        <w:rPr>
          <w:rFonts w:asciiTheme="minorHAnsi" w:hAnsiTheme="minorHAnsi"/>
          <w:b/>
          <w:bCs/>
          <w:i/>
          <w:snapToGrid w:val="0"/>
          <w:sz w:val="28"/>
          <w:szCs w:val="28"/>
        </w:rPr>
      </w:pPr>
      <w:r w:rsidRPr="00FC7F1E">
        <w:rPr>
          <w:rFonts w:asciiTheme="minorHAnsi" w:hAnsiTheme="minorHAnsi"/>
          <w:b/>
          <w:bCs/>
          <w:i/>
          <w:snapToGrid w:val="0"/>
          <w:sz w:val="28"/>
          <w:szCs w:val="28"/>
        </w:rPr>
        <w:t>Consumer comments</w:t>
      </w:r>
    </w:p>
    <w:p w14:paraId="5BE7D7D8" w14:textId="77777777" w:rsidR="00987B69" w:rsidRPr="00FC7F1E" w:rsidRDefault="00987B69" w:rsidP="00987B69">
      <w:pPr>
        <w:widowControl w:val="0"/>
        <w:numPr>
          <w:ilvl w:val="1"/>
          <w:numId w:val="3"/>
        </w:numPr>
        <w:spacing w:after="120"/>
        <w:rPr>
          <w:rFonts w:asciiTheme="minorHAnsi" w:hAnsiTheme="minorHAnsi"/>
          <w:bCs/>
          <w:snapToGrid w:val="0"/>
        </w:rPr>
      </w:pPr>
      <w:r w:rsidRPr="00FC7F1E">
        <w:rPr>
          <w:rFonts w:asciiTheme="minorHAnsi" w:hAnsiTheme="minorHAnsi"/>
          <w:bCs/>
          <w:snapToGrid w:val="0"/>
        </w:rPr>
        <w:lastRenderedPageBreak/>
        <w:t>The PBAC noted and welcomed the input from individuals (</w:t>
      </w:r>
      <w:r w:rsidR="000A6A1C" w:rsidRPr="00FC7F1E">
        <w:rPr>
          <w:rFonts w:asciiTheme="minorHAnsi" w:hAnsiTheme="minorHAnsi"/>
          <w:bCs/>
          <w:snapToGrid w:val="0"/>
        </w:rPr>
        <w:t>121</w:t>
      </w:r>
      <w:r w:rsidRPr="00FC7F1E">
        <w:rPr>
          <w:rFonts w:asciiTheme="minorHAnsi" w:hAnsiTheme="minorHAnsi"/>
          <w:bCs/>
          <w:snapToGrid w:val="0"/>
        </w:rPr>
        <w:t>), health care professionals (</w:t>
      </w:r>
      <w:r w:rsidR="000A6A1C" w:rsidRPr="00FC7F1E">
        <w:rPr>
          <w:rFonts w:asciiTheme="minorHAnsi" w:hAnsiTheme="minorHAnsi"/>
          <w:bCs/>
          <w:snapToGrid w:val="0"/>
        </w:rPr>
        <w:t>6</w:t>
      </w:r>
      <w:r w:rsidRPr="00FC7F1E">
        <w:rPr>
          <w:rFonts w:asciiTheme="minorHAnsi" w:hAnsiTheme="minorHAnsi"/>
          <w:bCs/>
          <w:snapToGrid w:val="0"/>
        </w:rPr>
        <w:t>) and organisations (</w:t>
      </w:r>
      <w:r w:rsidR="000A6A1C" w:rsidRPr="00FC7F1E">
        <w:rPr>
          <w:rFonts w:asciiTheme="minorHAnsi" w:hAnsiTheme="minorHAnsi"/>
          <w:bCs/>
          <w:snapToGrid w:val="0"/>
        </w:rPr>
        <w:t>4</w:t>
      </w:r>
      <w:r w:rsidRPr="00FC7F1E">
        <w:rPr>
          <w:rFonts w:asciiTheme="minorHAnsi" w:hAnsiTheme="minorHAnsi"/>
          <w:bCs/>
          <w:snapToGrid w:val="0"/>
        </w:rPr>
        <w:t>) via the Consumer Comments facility on the PBS website</w:t>
      </w:r>
      <w:r w:rsidR="00FC7F1E">
        <w:rPr>
          <w:rFonts w:asciiTheme="minorHAnsi" w:hAnsiTheme="minorHAnsi"/>
          <w:bCs/>
          <w:snapToGrid w:val="0"/>
        </w:rPr>
        <w:t xml:space="preserve">. </w:t>
      </w:r>
    </w:p>
    <w:p w14:paraId="685055B4" w14:textId="77777777" w:rsidR="00A471B7" w:rsidRPr="00FC7F1E" w:rsidRDefault="00AD5FA0" w:rsidP="00D32494">
      <w:pPr>
        <w:widowControl w:val="0"/>
        <w:numPr>
          <w:ilvl w:val="1"/>
          <w:numId w:val="3"/>
        </w:numPr>
        <w:spacing w:after="120"/>
        <w:rPr>
          <w:rFonts w:asciiTheme="minorHAnsi" w:hAnsiTheme="minorHAnsi"/>
          <w:bCs/>
          <w:snapToGrid w:val="0"/>
        </w:rPr>
      </w:pPr>
      <w:r w:rsidRPr="00FC7F1E">
        <w:rPr>
          <w:rFonts w:asciiTheme="minorHAnsi" w:hAnsiTheme="minorHAnsi"/>
          <w:bCs/>
          <w:snapToGrid w:val="0"/>
        </w:rPr>
        <w:t xml:space="preserve">The comments </w:t>
      </w:r>
      <w:r w:rsidR="00A619AF" w:rsidRPr="00FC7F1E">
        <w:rPr>
          <w:rFonts w:asciiTheme="minorHAnsi" w:hAnsiTheme="minorHAnsi"/>
          <w:bCs/>
          <w:snapToGrid w:val="0"/>
        </w:rPr>
        <w:t>highlighted that</w:t>
      </w:r>
      <w:r w:rsidR="0053655F" w:rsidRPr="00FC7F1E">
        <w:rPr>
          <w:rFonts w:asciiTheme="minorHAnsi" w:hAnsiTheme="minorHAnsi"/>
          <w:bCs/>
          <w:snapToGrid w:val="0"/>
        </w:rPr>
        <w:t xml:space="preserve"> stopping </w:t>
      </w:r>
      <w:r w:rsidR="00336B21" w:rsidRPr="00FC7F1E">
        <w:rPr>
          <w:rFonts w:asciiTheme="minorHAnsi" w:hAnsiTheme="minorHAnsi"/>
          <w:bCs/>
          <w:snapToGrid w:val="0"/>
        </w:rPr>
        <w:t xml:space="preserve">motor function </w:t>
      </w:r>
      <w:r w:rsidR="00A471B7" w:rsidRPr="00FC7F1E">
        <w:rPr>
          <w:rFonts w:asciiTheme="minorHAnsi" w:hAnsiTheme="minorHAnsi"/>
          <w:bCs/>
          <w:snapToGrid w:val="0"/>
        </w:rPr>
        <w:t xml:space="preserve">deterioration </w:t>
      </w:r>
      <w:r w:rsidR="00A619AF" w:rsidRPr="00FC7F1E">
        <w:rPr>
          <w:rFonts w:asciiTheme="minorHAnsi" w:hAnsiTheme="minorHAnsi"/>
          <w:bCs/>
          <w:snapToGrid w:val="0"/>
        </w:rPr>
        <w:t xml:space="preserve">was important </w:t>
      </w:r>
      <w:r w:rsidR="00A471B7" w:rsidRPr="00FC7F1E">
        <w:rPr>
          <w:rFonts w:asciiTheme="minorHAnsi" w:hAnsiTheme="minorHAnsi"/>
          <w:bCs/>
          <w:snapToGrid w:val="0"/>
        </w:rPr>
        <w:t xml:space="preserve">as even minor deterioration </w:t>
      </w:r>
      <w:r w:rsidRPr="00FC7F1E">
        <w:rPr>
          <w:rFonts w:asciiTheme="minorHAnsi" w:hAnsiTheme="minorHAnsi"/>
          <w:bCs/>
          <w:snapToGrid w:val="0"/>
        </w:rPr>
        <w:t>can have</w:t>
      </w:r>
      <w:r w:rsidR="00A471B7" w:rsidRPr="00FC7F1E">
        <w:rPr>
          <w:rFonts w:asciiTheme="minorHAnsi" w:hAnsiTheme="minorHAnsi"/>
          <w:bCs/>
          <w:snapToGrid w:val="0"/>
        </w:rPr>
        <w:t xml:space="preserve"> significant impacts on </w:t>
      </w:r>
      <w:r w:rsidR="00A619AF" w:rsidRPr="00FC7F1E">
        <w:rPr>
          <w:rFonts w:asciiTheme="minorHAnsi" w:hAnsiTheme="minorHAnsi"/>
          <w:bCs/>
          <w:snapToGrid w:val="0"/>
        </w:rPr>
        <w:t>patient</w:t>
      </w:r>
      <w:r w:rsidR="00A471B7" w:rsidRPr="00FC7F1E">
        <w:rPr>
          <w:rFonts w:asciiTheme="minorHAnsi" w:hAnsiTheme="minorHAnsi"/>
          <w:bCs/>
          <w:snapToGrid w:val="0"/>
        </w:rPr>
        <w:t xml:space="preserve"> quality of life</w:t>
      </w:r>
      <w:r w:rsidR="00A619AF" w:rsidRPr="00FC7F1E">
        <w:rPr>
          <w:rFonts w:asciiTheme="minorHAnsi" w:hAnsiTheme="minorHAnsi"/>
          <w:bCs/>
          <w:snapToGrid w:val="0"/>
        </w:rPr>
        <w:t>.</w:t>
      </w:r>
      <w:r w:rsidRPr="00FC7F1E">
        <w:rPr>
          <w:rFonts w:asciiTheme="minorHAnsi" w:hAnsiTheme="minorHAnsi"/>
          <w:bCs/>
          <w:snapToGrid w:val="0"/>
        </w:rPr>
        <w:t xml:space="preserve"> </w:t>
      </w:r>
      <w:r w:rsidR="00A619AF" w:rsidRPr="00FC7F1E">
        <w:rPr>
          <w:rFonts w:asciiTheme="minorHAnsi" w:hAnsiTheme="minorHAnsi"/>
          <w:bCs/>
          <w:snapToGrid w:val="0"/>
        </w:rPr>
        <w:t>Patients described the p</w:t>
      </w:r>
      <w:r w:rsidR="00E73750" w:rsidRPr="00FC7F1E">
        <w:rPr>
          <w:rFonts w:asciiTheme="minorHAnsi" w:hAnsiTheme="minorHAnsi"/>
          <w:bCs/>
          <w:snapToGrid w:val="0"/>
        </w:rPr>
        <w:t>rogressive deterioration in activities of daily life</w:t>
      </w:r>
      <w:r w:rsidR="00A619AF" w:rsidRPr="00FC7F1E">
        <w:rPr>
          <w:rFonts w:asciiTheme="minorHAnsi" w:hAnsiTheme="minorHAnsi"/>
          <w:bCs/>
          <w:snapToGrid w:val="0"/>
        </w:rPr>
        <w:t>, and the importance of at least maintaining their current functions particularly the ability to self-</w:t>
      </w:r>
      <w:r w:rsidR="00E73750" w:rsidRPr="00FC7F1E">
        <w:rPr>
          <w:rFonts w:asciiTheme="minorHAnsi" w:hAnsiTheme="minorHAnsi"/>
          <w:bCs/>
          <w:snapToGrid w:val="0"/>
        </w:rPr>
        <w:t>care</w:t>
      </w:r>
      <w:r w:rsidR="00D42960" w:rsidRPr="00FC7F1E">
        <w:rPr>
          <w:rFonts w:asciiTheme="minorHAnsi" w:hAnsiTheme="minorHAnsi"/>
          <w:bCs/>
          <w:snapToGrid w:val="0"/>
        </w:rPr>
        <w:t xml:space="preserve"> </w:t>
      </w:r>
      <w:r w:rsidR="00A619AF" w:rsidRPr="00FC7F1E">
        <w:rPr>
          <w:rFonts w:asciiTheme="minorHAnsi" w:hAnsiTheme="minorHAnsi"/>
          <w:bCs/>
          <w:snapToGrid w:val="0"/>
        </w:rPr>
        <w:t xml:space="preserve">(e.g. </w:t>
      </w:r>
      <w:r w:rsidR="00D42960" w:rsidRPr="00FC7F1E">
        <w:rPr>
          <w:rFonts w:asciiTheme="minorHAnsi" w:hAnsiTheme="minorHAnsi"/>
          <w:bCs/>
          <w:snapToGrid w:val="0"/>
        </w:rPr>
        <w:t>ability to feed and dress</w:t>
      </w:r>
      <w:r w:rsidR="00A619AF" w:rsidRPr="00FC7F1E">
        <w:rPr>
          <w:rFonts w:asciiTheme="minorHAnsi" w:hAnsiTheme="minorHAnsi"/>
          <w:bCs/>
          <w:snapToGrid w:val="0"/>
        </w:rPr>
        <w:t xml:space="preserve">) and </w:t>
      </w:r>
      <w:r w:rsidRPr="00FC7F1E">
        <w:rPr>
          <w:rFonts w:asciiTheme="minorHAnsi" w:hAnsiTheme="minorHAnsi"/>
          <w:bCs/>
          <w:snapToGrid w:val="0"/>
        </w:rPr>
        <w:t xml:space="preserve">the ability to </w:t>
      </w:r>
      <w:r w:rsidR="00A619AF" w:rsidRPr="00FC7F1E">
        <w:rPr>
          <w:rFonts w:asciiTheme="minorHAnsi" w:hAnsiTheme="minorHAnsi"/>
          <w:bCs/>
          <w:snapToGrid w:val="0"/>
        </w:rPr>
        <w:t>maintain</w:t>
      </w:r>
      <w:r w:rsidR="00E73750" w:rsidRPr="00FC7F1E">
        <w:rPr>
          <w:rFonts w:asciiTheme="minorHAnsi" w:hAnsiTheme="minorHAnsi"/>
          <w:bCs/>
          <w:snapToGrid w:val="0"/>
        </w:rPr>
        <w:t xml:space="preserve"> independence</w:t>
      </w:r>
      <w:r w:rsidR="00A619AF" w:rsidRPr="00FC7F1E">
        <w:rPr>
          <w:rFonts w:asciiTheme="minorHAnsi" w:hAnsiTheme="minorHAnsi"/>
          <w:bCs/>
          <w:snapToGrid w:val="0"/>
        </w:rPr>
        <w:t xml:space="preserve"> and remain</w:t>
      </w:r>
      <w:r w:rsidR="00D42960" w:rsidRPr="00FC7F1E">
        <w:rPr>
          <w:rFonts w:asciiTheme="minorHAnsi" w:hAnsiTheme="minorHAnsi"/>
          <w:bCs/>
          <w:snapToGrid w:val="0"/>
        </w:rPr>
        <w:t xml:space="preserve"> in the workforce</w:t>
      </w:r>
      <w:r w:rsidR="00E73750" w:rsidRPr="00FC7F1E">
        <w:rPr>
          <w:rFonts w:asciiTheme="minorHAnsi" w:hAnsiTheme="minorHAnsi"/>
          <w:bCs/>
          <w:snapToGrid w:val="0"/>
        </w:rPr>
        <w:t xml:space="preserve">. </w:t>
      </w:r>
      <w:r w:rsidR="00A619AF" w:rsidRPr="00FC7F1E">
        <w:rPr>
          <w:rFonts w:asciiTheme="minorHAnsi" w:hAnsiTheme="minorHAnsi"/>
          <w:bCs/>
          <w:snapToGrid w:val="0"/>
        </w:rPr>
        <w:t xml:space="preserve">In addition to loss of motor function, patients described other impacts of the condition including nerve pain, breathing issues </w:t>
      </w:r>
      <w:r w:rsidR="0039754B" w:rsidRPr="00FC7F1E">
        <w:rPr>
          <w:rFonts w:asciiTheme="minorHAnsi" w:hAnsiTheme="minorHAnsi"/>
          <w:bCs/>
          <w:snapToGrid w:val="0"/>
        </w:rPr>
        <w:t>(including difficult</w:t>
      </w:r>
      <w:r w:rsidRPr="00FC7F1E">
        <w:rPr>
          <w:rFonts w:asciiTheme="minorHAnsi" w:hAnsiTheme="minorHAnsi"/>
          <w:bCs/>
          <w:snapToGrid w:val="0"/>
        </w:rPr>
        <w:t>y</w:t>
      </w:r>
      <w:r w:rsidR="0039754B" w:rsidRPr="00FC7F1E">
        <w:rPr>
          <w:rFonts w:asciiTheme="minorHAnsi" w:hAnsiTheme="minorHAnsi"/>
          <w:bCs/>
          <w:snapToGrid w:val="0"/>
        </w:rPr>
        <w:t xml:space="preserve"> breathing </w:t>
      </w:r>
      <w:r w:rsidR="00A619AF" w:rsidRPr="00FC7F1E">
        <w:rPr>
          <w:rFonts w:asciiTheme="minorHAnsi" w:hAnsiTheme="minorHAnsi"/>
          <w:bCs/>
          <w:snapToGrid w:val="0"/>
        </w:rPr>
        <w:t xml:space="preserve">and </w:t>
      </w:r>
      <w:r w:rsidR="0039754B" w:rsidRPr="00FC7F1E">
        <w:rPr>
          <w:rFonts w:asciiTheme="minorHAnsi" w:hAnsiTheme="minorHAnsi"/>
          <w:bCs/>
          <w:snapToGrid w:val="0"/>
        </w:rPr>
        <w:t>requir</w:t>
      </w:r>
      <w:r w:rsidR="00336B21" w:rsidRPr="00FC7F1E">
        <w:rPr>
          <w:rFonts w:asciiTheme="minorHAnsi" w:hAnsiTheme="minorHAnsi"/>
          <w:bCs/>
          <w:snapToGrid w:val="0"/>
        </w:rPr>
        <w:t>ing</w:t>
      </w:r>
      <w:r w:rsidR="00A619AF" w:rsidRPr="00FC7F1E">
        <w:rPr>
          <w:rFonts w:asciiTheme="minorHAnsi" w:hAnsiTheme="minorHAnsi"/>
          <w:bCs/>
          <w:snapToGrid w:val="0"/>
        </w:rPr>
        <w:t xml:space="preserve"> ventilation), fatigue</w:t>
      </w:r>
      <w:r w:rsidR="0039754B" w:rsidRPr="00FC7F1E">
        <w:rPr>
          <w:rFonts w:asciiTheme="minorHAnsi" w:hAnsiTheme="minorHAnsi"/>
          <w:bCs/>
          <w:snapToGrid w:val="0"/>
        </w:rPr>
        <w:t xml:space="preserve"> and</w:t>
      </w:r>
      <w:r w:rsidR="00A619AF" w:rsidRPr="00FC7F1E">
        <w:rPr>
          <w:rFonts w:asciiTheme="minorHAnsi" w:hAnsiTheme="minorHAnsi"/>
          <w:bCs/>
          <w:snapToGrid w:val="0"/>
        </w:rPr>
        <w:t xml:space="preserve"> mental health</w:t>
      </w:r>
      <w:r w:rsidR="0039754B" w:rsidRPr="00FC7F1E">
        <w:rPr>
          <w:rFonts w:asciiTheme="minorHAnsi" w:hAnsiTheme="minorHAnsi"/>
          <w:bCs/>
          <w:snapToGrid w:val="0"/>
        </w:rPr>
        <w:t xml:space="preserve"> impacts</w:t>
      </w:r>
      <w:r w:rsidR="00A619AF" w:rsidRPr="00FC7F1E">
        <w:rPr>
          <w:rFonts w:asciiTheme="minorHAnsi" w:hAnsiTheme="minorHAnsi"/>
          <w:bCs/>
          <w:snapToGrid w:val="0"/>
        </w:rPr>
        <w:t xml:space="preserve">. </w:t>
      </w:r>
      <w:r w:rsidR="00A471B7" w:rsidRPr="00FC7F1E">
        <w:rPr>
          <w:rFonts w:asciiTheme="minorHAnsi" w:hAnsiTheme="minorHAnsi"/>
          <w:bCs/>
          <w:snapToGrid w:val="0"/>
        </w:rPr>
        <w:t xml:space="preserve">Patients described </w:t>
      </w:r>
      <w:r w:rsidR="00A619AF" w:rsidRPr="00FC7F1E">
        <w:rPr>
          <w:rFonts w:asciiTheme="minorHAnsi" w:hAnsiTheme="minorHAnsi"/>
          <w:bCs/>
          <w:snapToGrid w:val="0"/>
        </w:rPr>
        <w:t xml:space="preserve">the </w:t>
      </w:r>
      <w:r w:rsidR="009A2664" w:rsidRPr="00FC7F1E">
        <w:rPr>
          <w:rFonts w:asciiTheme="minorHAnsi" w:hAnsiTheme="minorHAnsi"/>
          <w:bCs/>
          <w:snapToGrid w:val="0"/>
        </w:rPr>
        <w:t xml:space="preserve">fear </w:t>
      </w:r>
      <w:r w:rsidR="00A619AF" w:rsidRPr="00FC7F1E">
        <w:rPr>
          <w:rFonts w:asciiTheme="minorHAnsi" w:hAnsiTheme="minorHAnsi"/>
          <w:bCs/>
          <w:snapToGrid w:val="0"/>
        </w:rPr>
        <w:t>of</w:t>
      </w:r>
      <w:r w:rsidR="009A2664" w:rsidRPr="00FC7F1E">
        <w:rPr>
          <w:rFonts w:asciiTheme="minorHAnsi" w:hAnsiTheme="minorHAnsi"/>
          <w:bCs/>
          <w:snapToGrid w:val="0"/>
        </w:rPr>
        <w:t xml:space="preserve"> disease progression,</w:t>
      </w:r>
      <w:r w:rsidR="00A619AF" w:rsidRPr="00FC7F1E">
        <w:rPr>
          <w:rFonts w:asciiTheme="minorHAnsi" w:hAnsiTheme="minorHAnsi"/>
          <w:bCs/>
          <w:snapToGrid w:val="0"/>
        </w:rPr>
        <w:t xml:space="preserve"> in particular </w:t>
      </w:r>
      <w:r w:rsidR="0039754B" w:rsidRPr="00FC7F1E">
        <w:rPr>
          <w:rFonts w:asciiTheme="minorHAnsi" w:hAnsiTheme="minorHAnsi"/>
          <w:bCs/>
          <w:snapToGrid w:val="0"/>
        </w:rPr>
        <w:t xml:space="preserve">fears regarding </w:t>
      </w:r>
      <w:r w:rsidR="00A619AF" w:rsidRPr="00FC7F1E">
        <w:rPr>
          <w:rFonts w:asciiTheme="minorHAnsi" w:hAnsiTheme="minorHAnsi"/>
          <w:bCs/>
          <w:snapToGrid w:val="0"/>
        </w:rPr>
        <w:t xml:space="preserve">the </w:t>
      </w:r>
      <w:r w:rsidR="009A2664" w:rsidRPr="00FC7F1E">
        <w:rPr>
          <w:rFonts w:asciiTheme="minorHAnsi" w:hAnsiTheme="minorHAnsi"/>
          <w:bCs/>
          <w:snapToGrid w:val="0"/>
        </w:rPr>
        <w:t>loss of independence and dignity</w:t>
      </w:r>
      <w:r w:rsidR="00A619AF" w:rsidRPr="00FC7F1E">
        <w:rPr>
          <w:rFonts w:asciiTheme="minorHAnsi" w:hAnsiTheme="minorHAnsi"/>
          <w:bCs/>
          <w:snapToGrid w:val="0"/>
        </w:rPr>
        <w:t xml:space="preserve">. Patients also described the equity issues with the existing </w:t>
      </w:r>
      <w:r w:rsidR="00DB1A71" w:rsidRPr="00FC7F1E">
        <w:rPr>
          <w:rFonts w:asciiTheme="minorHAnsi" w:hAnsiTheme="minorHAnsi"/>
          <w:bCs/>
          <w:snapToGrid w:val="0"/>
        </w:rPr>
        <w:t>age cut-offs</w:t>
      </w:r>
      <w:r w:rsidR="0039754B" w:rsidRPr="00FC7F1E">
        <w:rPr>
          <w:rFonts w:asciiTheme="minorHAnsi" w:hAnsiTheme="minorHAnsi"/>
          <w:bCs/>
          <w:snapToGrid w:val="0"/>
        </w:rPr>
        <w:t>.</w:t>
      </w:r>
      <w:r w:rsidR="00DB1A71" w:rsidRPr="00FC7F1E">
        <w:rPr>
          <w:rFonts w:asciiTheme="minorHAnsi" w:hAnsiTheme="minorHAnsi"/>
          <w:bCs/>
          <w:snapToGrid w:val="0"/>
        </w:rPr>
        <w:t xml:space="preserve"> </w:t>
      </w:r>
    </w:p>
    <w:p w14:paraId="6CF4CB3B" w14:textId="77777777" w:rsidR="00D8460A" w:rsidRPr="00FC7F1E" w:rsidRDefault="00E73750" w:rsidP="00987B69">
      <w:pPr>
        <w:widowControl w:val="0"/>
        <w:numPr>
          <w:ilvl w:val="1"/>
          <w:numId w:val="3"/>
        </w:numPr>
        <w:spacing w:after="120"/>
        <w:rPr>
          <w:rFonts w:asciiTheme="minorHAnsi" w:hAnsiTheme="minorHAnsi"/>
          <w:bCs/>
          <w:snapToGrid w:val="0"/>
        </w:rPr>
      </w:pPr>
      <w:r w:rsidRPr="00FC7F1E">
        <w:rPr>
          <w:rFonts w:asciiTheme="minorHAnsi" w:hAnsiTheme="minorHAnsi"/>
          <w:bCs/>
          <w:snapToGrid w:val="0"/>
        </w:rPr>
        <w:t>SMA Australia conducted a survey of 113</w:t>
      </w:r>
      <w:r w:rsidR="00D42960" w:rsidRPr="00FC7F1E">
        <w:rPr>
          <w:rFonts w:asciiTheme="minorHAnsi" w:hAnsiTheme="minorHAnsi"/>
          <w:bCs/>
          <w:snapToGrid w:val="0"/>
        </w:rPr>
        <w:t xml:space="preserve"> adults with SMA</w:t>
      </w:r>
      <w:r w:rsidR="00D8460A" w:rsidRPr="00FC7F1E">
        <w:rPr>
          <w:rFonts w:asciiTheme="minorHAnsi" w:hAnsiTheme="minorHAnsi"/>
          <w:bCs/>
          <w:snapToGrid w:val="0"/>
        </w:rPr>
        <w:t>, which found that</w:t>
      </w:r>
      <w:r w:rsidR="00D42960" w:rsidRPr="00FC7F1E">
        <w:rPr>
          <w:rFonts w:asciiTheme="minorHAnsi" w:hAnsiTheme="minorHAnsi"/>
          <w:bCs/>
          <w:snapToGrid w:val="0"/>
        </w:rPr>
        <w:t xml:space="preserve"> </w:t>
      </w:r>
      <w:r w:rsidR="00D8460A" w:rsidRPr="00FC7F1E">
        <w:rPr>
          <w:rFonts w:asciiTheme="minorHAnsi" w:hAnsiTheme="minorHAnsi"/>
          <w:bCs/>
          <w:snapToGrid w:val="0"/>
        </w:rPr>
        <w:t>93% of respondents want access to treatment</w:t>
      </w:r>
      <w:r w:rsidR="00A619AF" w:rsidRPr="00FC7F1E">
        <w:rPr>
          <w:rFonts w:asciiTheme="minorHAnsi" w:hAnsiTheme="minorHAnsi"/>
          <w:bCs/>
          <w:snapToGrid w:val="0"/>
        </w:rPr>
        <w:t xml:space="preserve"> and that there was a preference for oral treatment</w:t>
      </w:r>
      <w:r w:rsidR="00D8460A" w:rsidRPr="00FC7F1E">
        <w:rPr>
          <w:rFonts w:asciiTheme="minorHAnsi" w:hAnsiTheme="minorHAnsi"/>
          <w:bCs/>
          <w:snapToGrid w:val="0"/>
        </w:rPr>
        <w:t xml:space="preserve">. </w:t>
      </w:r>
      <w:r w:rsidR="00A619AF" w:rsidRPr="00FC7F1E">
        <w:rPr>
          <w:rFonts w:asciiTheme="minorHAnsi" w:hAnsiTheme="minorHAnsi"/>
          <w:bCs/>
          <w:snapToGrid w:val="0"/>
        </w:rPr>
        <w:t>The survey included the values and perspectives of adults with SMA. Key concerns included the d</w:t>
      </w:r>
      <w:r w:rsidR="00D8460A" w:rsidRPr="00FC7F1E">
        <w:rPr>
          <w:rFonts w:asciiTheme="minorHAnsi" w:hAnsiTheme="minorHAnsi"/>
          <w:bCs/>
          <w:snapToGrid w:val="0"/>
        </w:rPr>
        <w:t>ecline in ever</w:t>
      </w:r>
      <w:r w:rsidR="00A619AF" w:rsidRPr="00FC7F1E">
        <w:rPr>
          <w:rFonts w:asciiTheme="minorHAnsi" w:hAnsiTheme="minorHAnsi"/>
          <w:bCs/>
          <w:snapToGrid w:val="0"/>
        </w:rPr>
        <w:t>y</w:t>
      </w:r>
      <w:r w:rsidR="00D8460A" w:rsidRPr="00FC7F1E">
        <w:rPr>
          <w:rFonts w:asciiTheme="minorHAnsi" w:hAnsiTheme="minorHAnsi"/>
          <w:bCs/>
          <w:snapToGrid w:val="0"/>
        </w:rPr>
        <w:t xml:space="preserve">day living skills </w:t>
      </w:r>
      <w:r w:rsidR="00AD5FA0" w:rsidRPr="00FC7F1E">
        <w:rPr>
          <w:rFonts w:asciiTheme="minorHAnsi" w:hAnsiTheme="minorHAnsi"/>
          <w:bCs/>
          <w:snapToGrid w:val="0"/>
        </w:rPr>
        <w:t>and</w:t>
      </w:r>
      <w:r w:rsidR="00D8460A" w:rsidRPr="00FC7F1E">
        <w:rPr>
          <w:rFonts w:asciiTheme="minorHAnsi" w:hAnsiTheme="minorHAnsi"/>
          <w:bCs/>
          <w:snapToGrid w:val="0"/>
        </w:rPr>
        <w:t xml:space="preserve"> independence, </w:t>
      </w:r>
      <w:r w:rsidR="00AD5FA0" w:rsidRPr="00FC7F1E">
        <w:rPr>
          <w:rFonts w:asciiTheme="minorHAnsi" w:hAnsiTheme="minorHAnsi"/>
          <w:bCs/>
          <w:snapToGrid w:val="0"/>
        </w:rPr>
        <w:t xml:space="preserve">the </w:t>
      </w:r>
      <w:r w:rsidR="00D8460A" w:rsidRPr="00FC7F1E">
        <w:rPr>
          <w:rFonts w:asciiTheme="minorHAnsi" w:hAnsiTheme="minorHAnsi"/>
          <w:bCs/>
          <w:snapToGrid w:val="0"/>
        </w:rPr>
        <w:t xml:space="preserve">decline in function, fatigue, </w:t>
      </w:r>
      <w:r w:rsidR="00A619AF" w:rsidRPr="00FC7F1E">
        <w:rPr>
          <w:rFonts w:asciiTheme="minorHAnsi" w:hAnsiTheme="minorHAnsi"/>
          <w:bCs/>
          <w:snapToGrid w:val="0"/>
        </w:rPr>
        <w:t>the</w:t>
      </w:r>
      <w:r w:rsidR="00D8460A" w:rsidRPr="00FC7F1E">
        <w:rPr>
          <w:rFonts w:asciiTheme="minorHAnsi" w:hAnsiTheme="minorHAnsi"/>
          <w:bCs/>
          <w:snapToGrid w:val="0"/>
        </w:rPr>
        <w:t xml:space="preserve"> </w:t>
      </w:r>
      <w:r w:rsidR="00A619AF" w:rsidRPr="00FC7F1E">
        <w:rPr>
          <w:rFonts w:asciiTheme="minorHAnsi" w:hAnsiTheme="minorHAnsi"/>
          <w:bCs/>
          <w:snapToGrid w:val="0"/>
        </w:rPr>
        <w:t>impact on mental health, and the flow-on effects to extended family</w:t>
      </w:r>
      <w:r w:rsidR="00FC7F1E">
        <w:rPr>
          <w:rFonts w:asciiTheme="minorHAnsi" w:hAnsiTheme="minorHAnsi"/>
          <w:bCs/>
          <w:snapToGrid w:val="0"/>
        </w:rPr>
        <w:t xml:space="preserve">. </w:t>
      </w:r>
    </w:p>
    <w:p w14:paraId="06258568" w14:textId="77777777" w:rsidR="00AD5FA0" w:rsidRPr="00FC7F1E" w:rsidRDefault="00AD5FA0" w:rsidP="00AD5FA0">
      <w:pPr>
        <w:widowControl w:val="0"/>
        <w:numPr>
          <w:ilvl w:val="1"/>
          <w:numId w:val="3"/>
        </w:numPr>
        <w:spacing w:after="120"/>
        <w:rPr>
          <w:rFonts w:asciiTheme="minorHAnsi" w:hAnsiTheme="minorHAnsi"/>
          <w:bCs/>
          <w:snapToGrid w:val="0"/>
        </w:rPr>
      </w:pPr>
      <w:r w:rsidRPr="00FC7F1E">
        <w:rPr>
          <w:rFonts w:asciiTheme="minorHAnsi" w:hAnsiTheme="minorHAnsi"/>
          <w:bCs/>
          <w:snapToGrid w:val="0"/>
        </w:rPr>
        <w:t>Clinicians outlined that it can be difficult to assess the impact of treatment using functional motor scales, and that patient reported outcome measures may be more reflective of the small</w:t>
      </w:r>
      <w:r w:rsidRPr="00FC7F1E">
        <w:rPr>
          <w:rFonts w:ascii="Arial" w:hAnsi="Arial"/>
          <w:color w:val="000000"/>
          <w:sz w:val="20"/>
          <w:szCs w:val="20"/>
        </w:rPr>
        <w:t xml:space="preserve"> </w:t>
      </w:r>
      <w:r w:rsidRPr="00FC7F1E">
        <w:rPr>
          <w:rFonts w:asciiTheme="minorHAnsi" w:hAnsiTheme="minorHAnsi"/>
          <w:bCs/>
          <w:snapToGrid w:val="0"/>
        </w:rPr>
        <w:t xml:space="preserve">physical changes that lead to maintenance of current levels of function. </w:t>
      </w:r>
    </w:p>
    <w:p w14:paraId="687B9AB4" w14:textId="77777777" w:rsidR="00B60939" w:rsidRPr="00FC7F1E" w:rsidRDefault="00B60939" w:rsidP="002E4F02">
      <w:pPr>
        <w:pStyle w:val="4-SubsectionHeading"/>
      </w:pPr>
      <w:r w:rsidRPr="00FC7F1E">
        <w:t xml:space="preserve">Clinical </w:t>
      </w:r>
      <w:r w:rsidR="00D5243B" w:rsidRPr="00FC7F1E">
        <w:t>studies</w:t>
      </w:r>
      <w:bookmarkEnd w:id="14"/>
      <w:bookmarkEnd w:id="15"/>
    </w:p>
    <w:p w14:paraId="68EAE6DF" w14:textId="77777777" w:rsidR="0096298B" w:rsidRPr="00FC7F1E" w:rsidRDefault="008A6EA5" w:rsidP="00F60A9A">
      <w:pPr>
        <w:pStyle w:val="3-BodyText"/>
      </w:pPr>
      <w:r w:rsidRPr="00FC7F1E">
        <w:rPr>
          <w:snapToGrid/>
        </w:rPr>
        <w:t xml:space="preserve">The </w:t>
      </w:r>
      <w:r w:rsidR="00CA098E" w:rsidRPr="00FC7F1E">
        <w:rPr>
          <w:snapToGrid/>
        </w:rPr>
        <w:t>re</w:t>
      </w:r>
      <w:r w:rsidRPr="00FC7F1E">
        <w:rPr>
          <w:snapToGrid/>
        </w:rPr>
        <w:t>submission was based on two studies of nusinersen in patients aged 16 years or more with SMA Type II or III disease (Hagenacker 2020 and Walter 2019). Natural history data from f</w:t>
      </w:r>
      <w:r w:rsidR="00F03010" w:rsidRPr="00FC7F1E">
        <w:rPr>
          <w:snapToGrid/>
        </w:rPr>
        <w:t>our</w:t>
      </w:r>
      <w:r w:rsidRPr="00FC7F1E">
        <w:rPr>
          <w:snapToGrid/>
        </w:rPr>
        <w:t xml:space="preserve"> studies </w:t>
      </w:r>
      <w:r w:rsidR="009569FE" w:rsidRPr="00FC7F1E">
        <w:rPr>
          <w:snapToGrid/>
        </w:rPr>
        <w:t>(Montes</w:t>
      </w:r>
      <w:r w:rsidR="00F03010" w:rsidRPr="00FC7F1E">
        <w:rPr>
          <w:snapToGrid/>
        </w:rPr>
        <w:t xml:space="preserve"> 2018</w:t>
      </w:r>
      <w:r w:rsidR="009569FE" w:rsidRPr="00FC7F1E">
        <w:rPr>
          <w:snapToGrid/>
        </w:rPr>
        <w:t>, Pera</w:t>
      </w:r>
      <w:r w:rsidR="00F03010" w:rsidRPr="00FC7F1E">
        <w:rPr>
          <w:snapToGrid/>
        </w:rPr>
        <w:t xml:space="preserve"> 2019</w:t>
      </w:r>
      <w:r w:rsidR="009569FE" w:rsidRPr="00FC7F1E">
        <w:rPr>
          <w:snapToGrid/>
        </w:rPr>
        <w:t>, Wadman</w:t>
      </w:r>
      <w:r w:rsidR="00F03010" w:rsidRPr="00FC7F1E">
        <w:rPr>
          <w:snapToGrid/>
        </w:rPr>
        <w:t xml:space="preserve"> 2018 and</w:t>
      </w:r>
      <w:r w:rsidR="009569FE" w:rsidRPr="00FC7F1E">
        <w:rPr>
          <w:snapToGrid/>
        </w:rPr>
        <w:t xml:space="preserve"> Mercuri </w:t>
      </w:r>
      <w:r w:rsidR="00F03010" w:rsidRPr="00FC7F1E">
        <w:rPr>
          <w:snapToGrid/>
        </w:rPr>
        <w:t>2016</w:t>
      </w:r>
      <w:r w:rsidR="009569FE" w:rsidRPr="00FC7F1E">
        <w:rPr>
          <w:snapToGrid/>
        </w:rPr>
        <w:t xml:space="preserve">) </w:t>
      </w:r>
      <w:r w:rsidRPr="00FC7F1E">
        <w:rPr>
          <w:snapToGrid/>
        </w:rPr>
        <w:t xml:space="preserve">was also presented from which the </w:t>
      </w:r>
      <w:r w:rsidR="00CA098E" w:rsidRPr="00FC7F1E">
        <w:rPr>
          <w:snapToGrid/>
        </w:rPr>
        <w:t>re</w:t>
      </w:r>
      <w:r w:rsidRPr="00FC7F1E">
        <w:rPr>
          <w:snapToGrid/>
        </w:rPr>
        <w:t>submission provided a naïve indirect comparison of outcomes compared to patients treated with nusinersen</w:t>
      </w:r>
      <w:r w:rsidR="0096298B" w:rsidRPr="00FC7F1E">
        <w:rPr>
          <w:snapToGrid/>
        </w:rPr>
        <w:t xml:space="preserve"> from the Hagenacker 2020 study only</w:t>
      </w:r>
      <w:r w:rsidRPr="00FC7F1E">
        <w:rPr>
          <w:snapToGrid/>
        </w:rPr>
        <w:t xml:space="preserve">. </w:t>
      </w:r>
      <w:r w:rsidR="00081352" w:rsidRPr="00FC7F1E">
        <w:rPr>
          <w:snapToGrid/>
        </w:rPr>
        <w:t xml:space="preserve">The evaluation </w:t>
      </w:r>
      <w:r w:rsidR="00081352" w:rsidRPr="00FC7F1E">
        <w:t xml:space="preserve">considered that the exclusion of the Walter 2019 study from the indirect comparison was unreasonable. </w:t>
      </w:r>
      <w:r w:rsidR="0096298B" w:rsidRPr="00FC7F1E">
        <w:t xml:space="preserve">Reasons for exclusion of </w:t>
      </w:r>
      <w:r w:rsidR="00081352" w:rsidRPr="00FC7F1E">
        <w:t xml:space="preserve">Walter 2019 </w:t>
      </w:r>
      <w:r w:rsidR="0096298B" w:rsidRPr="00FC7F1E">
        <w:t xml:space="preserve">from the indirect comparison given by the </w:t>
      </w:r>
      <w:r w:rsidR="00F61FEB" w:rsidRPr="00FC7F1E">
        <w:t>re</w:t>
      </w:r>
      <w:r w:rsidR="0096298B" w:rsidRPr="00FC7F1E">
        <w:t>submission appeared to be invalid in that baseline data w</w:t>
      </w:r>
      <w:r w:rsidR="002A6808" w:rsidRPr="00FC7F1E">
        <w:t>ere</w:t>
      </w:r>
      <w:r w:rsidR="0096298B" w:rsidRPr="00FC7F1E">
        <w:t xml:space="preserve"> available to enable calculation of change from baseline for the outcomes presented in the publication.</w:t>
      </w:r>
      <w:r w:rsidR="002A6808" w:rsidRPr="00FC7F1E">
        <w:t xml:space="preserve"> The PSCR  maintained that it was appropriate to exclude the Walter 2019 study from the naïve comparison since</w:t>
      </w:r>
      <w:r w:rsidR="005270B3" w:rsidRPr="00FC7F1E">
        <w:t xml:space="preserve"> </w:t>
      </w:r>
      <w:r w:rsidR="002A6808" w:rsidRPr="00FC7F1E">
        <w:t>attrition observed at assessments after baseline meant that the baseline values were no longer applicable and the change from baseline could not be adequately determined. However</w:t>
      </w:r>
      <w:r w:rsidR="00B60B0E" w:rsidRPr="00FC7F1E">
        <w:t>,</w:t>
      </w:r>
      <w:r w:rsidR="002A6808" w:rsidRPr="00FC7F1E">
        <w:t xml:space="preserve"> the ESC noted that 2 of 19 patients withdrew during the Walter 2019 study</w:t>
      </w:r>
      <w:r w:rsidR="00F60A9A" w:rsidRPr="00FC7F1E">
        <w:t xml:space="preserve"> </w:t>
      </w:r>
      <w:r w:rsidR="005270B3" w:rsidRPr="00FC7F1E">
        <w:t>and considered that the change from baseline could be adequately assessed</w:t>
      </w:r>
      <w:r w:rsidR="002A6808" w:rsidRPr="00FC7F1E">
        <w:t>.</w:t>
      </w:r>
    </w:p>
    <w:p w14:paraId="16A7E00A" w14:textId="25F4A23E" w:rsidR="00CD2137" w:rsidRPr="00FC7F1E" w:rsidRDefault="00CD2137" w:rsidP="00732451">
      <w:pPr>
        <w:pStyle w:val="3-BodyText"/>
      </w:pPr>
      <w:r w:rsidRPr="00FC7F1E">
        <w:lastRenderedPageBreak/>
        <w:t xml:space="preserve">The </w:t>
      </w:r>
      <w:r w:rsidR="00CA098E" w:rsidRPr="00FC7F1E">
        <w:t>re</w:t>
      </w:r>
      <w:r w:rsidRPr="00FC7F1E">
        <w:t xml:space="preserve">submission also excluded a number of studies </w:t>
      </w:r>
      <w:r w:rsidR="00756666" w:rsidRPr="00FC7F1E">
        <w:t xml:space="preserve">that included patients treated with nusinersen, </w:t>
      </w:r>
      <w:r w:rsidRPr="00FC7F1E">
        <w:t xml:space="preserve">based on </w:t>
      </w:r>
      <w:r w:rsidR="001A2CA6" w:rsidRPr="00FC7F1E">
        <w:t xml:space="preserve">either </w:t>
      </w:r>
      <w:r w:rsidR="00756666" w:rsidRPr="00FC7F1E">
        <w:t xml:space="preserve">the study having </w:t>
      </w:r>
      <w:r w:rsidRPr="00FC7F1E">
        <w:t>low patient numbers</w:t>
      </w:r>
      <w:r w:rsidR="001A2CA6" w:rsidRPr="00FC7F1E">
        <w:t>, or</w:t>
      </w:r>
      <w:r w:rsidR="00756666" w:rsidRPr="00FC7F1E">
        <w:t xml:space="preserve"> the study</w:t>
      </w:r>
      <w:r w:rsidR="001A2CA6" w:rsidRPr="00FC7F1E">
        <w:t xml:space="preserve"> </w:t>
      </w:r>
      <w:r w:rsidR="00756666" w:rsidRPr="00FC7F1E">
        <w:t xml:space="preserve">having only </w:t>
      </w:r>
      <w:r w:rsidR="001A2CA6" w:rsidRPr="00FC7F1E">
        <w:t>limited baseline and outcome data</w:t>
      </w:r>
      <w:r w:rsidRPr="00FC7F1E">
        <w:t xml:space="preserve">. However, it was not considered reasonable for the </w:t>
      </w:r>
      <w:r w:rsidR="00CA098E" w:rsidRPr="00FC7F1E">
        <w:t>re</w:t>
      </w:r>
      <w:r w:rsidRPr="00FC7F1E">
        <w:t>submission to have excluded these studies</w:t>
      </w:r>
      <w:r w:rsidR="00756666" w:rsidRPr="00FC7F1E">
        <w:t xml:space="preserve"> given the limited amount and quality of the evidence available for nusinersen</w:t>
      </w:r>
      <w:r w:rsidRPr="00FC7F1E">
        <w:t>. Brief outcome data for nusinersen treated patients from these studies (Yeo 2020</w:t>
      </w:r>
      <w:r w:rsidR="00EE65A2">
        <w:rPr>
          <w:rStyle w:val="FootnoteReference"/>
        </w:rPr>
        <w:footnoteReference w:id="3"/>
      </w:r>
      <w:r w:rsidRPr="00FC7F1E">
        <w:t>, Jochmann 2020</w:t>
      </w:r>
      <w:r w:rsidR="00EE65A2">
        <w:rPr>
          <w:rStyle w:val="FootnoteReference"/>
        </w:rPr>
        <w:footnoteReference w:id="4"/>
      </w:r>
      <w:r w:rsidRPr="00FC7F1E">
        <w:t xml:space="preserve"> </w:t>
      </w:r>
      <w:r w:rsidR="001A2CA6" w:rsidRPr="00FC7F1E">
        <w:t>and Veerapandiyan 2019</w:t>
      </w:r>
      <w:r w:rsidR="00EE65A2">
        <w:rPr>
          <w:rStyle w:val="FootnoteReference"/>
        </w:rPr>
        <w:footnoteReference w:id="5"/>
      </w:r>
      <w:r w:rsidRPr="00FC7F1E">
        <w:t>) w</w:t>
      </w:r>
      <w:r w:rsidR="00DB7EFA" w:rsidRPr="00FC7F1E">
        <w:t>ere</w:t>
      </w:r>
      <w:r w:rsidRPr="00FC7F1E">
        <w:t xml:space="preserve"> also summarised </w:t>
      </w:r>
      <w:r w:rsidR="00CA098E" w:rsidRPr="00FC7F1E">
        <w:t>during the evaluation</w:t>
      </w:r>
      <w:r w:rsidRPr="00FC7F1E">
        <w:t xml:space="preserve"> where it was available.</w:t>
      </w:r>
    </w:p>
    <w:p w14:paraId="414AB01B" w14:textId="515A5147" w:rsidR="007F08BF" w:rsidRPr="00FC7F1E" w:rsidRDefault="007F08BF" w:rsidP="00732451">
      <w:pPr>
        <w:pStyle w:val="3-BodyText"/>
      </w:pPr>
      <w:r w:rsidRPr="00FC7F1E">
        <w:t xml:space="preserve">From the search for natural history data, the </w:t>
      </w:r>
      <w:r w:rsidR="00F61FEB" w:rsidRPr="00FC7F1E">
        <w:t>re</w:t>
      </w:r>
      <w:r w:rsidRPr="00FC7F1E">
        <w:t>submission also excluded studies by Mazzone 2013</w:t>
      </w:r>
      <w:r w:rsidR="00EE65A2">
        <w:rPr>
          <w:rStyle w:val="FootnoteReference"/>
        </w:rPr>
        <w:footnoteReference w:id="6"/>
      </w:r>
      <w:r w:rsidRPr="00FC7F1E">
        <w:t xml:space="preserve"> and Bonati 2017</w:t>
      </w:r>
      <w:r w:rsidR="00EE65A2">
        <w:rPr>
          <w:rStyle w:val="FootnoteReference"/>
        </w:rPr>
        <w:footnoteReference w:id="7"/>
      </w:r>
      <w:r w:rsidRPr="00FC7F1E">
        <w:t xml:space="preserve">. </w:t>
      </w:r>
      <w:r w:rsidR="004A1C69" w:rsidRPr="00FC7F1E">
        <w:t>While the resubmission argued that these studies had low patient numbers, b</w:t>
      </w:r>
      <w:r w:rsidRPr="00FC7F1E">
        <w:t xml:space="preserve">oth of these studies were considered relevant and results were also summarised </w:t>
      </w:r>
      <w:r w:rsidR="00CA098E" w:rsidRPr="00FC7F1E">
        <w:t>during the evaluation</w:t>
      </w:r>
      <w:r w:rsidRPr="00FC7F1E">
        <w:t>.</w:t>
      </w:r>
    </w:p>
    <w:p w14:paraId="6952D8CB" w14:textId="77777777" w:rsidR="008A6EA5" w:rsidRPr="00FC7F1E" w:rsidRDefault="0096298B" w:rsidP="00732451">
      <w:pPr>
        <w:pStyle w:val="3-BodyText"/>
      </w:pPr>
      <w:r w:rsidRPr="00FC7F1E">
        <w:rPr>
          <w:snapToGrid/>
        </w:rPr>
        <w:t>O</w:t>
      </w:r>
      <w:r w:rsidR="009569FE" w:rsidRPr="00FC7F1E">
        <w:rPr>
          <w:snapToGrid/>
        </w:rPr>
        <w:t>nly data from the Hagenacker 2020 study w</w:t>
      </w:r>
      <w:r w:rsidR="00DB7EFA" w:rsidRPr="00FC7F1E">
        <w:rPr>
          <w:snapToGrid/>
        </w:rPr>
        <w:t>ere</w:t>
      </w:r>
      <w:r w:rsidR="009569FE" w:rsidRPr="00FC7F1E">
        <w:rPr>
          <w:snapToGrid/>
        </w:rPr>
        <w:t xml:space="preserve"> used in the economic evaluation.</w:t>
      </w:r>
    </w:p>
    <w:p w14:paraId="2A53CD8C" w14:textId="77777777" w:rsidR="007D7EE2" w:rsidRPr="00FC7F1E" w:rsidRDefault="00D80921" w:rsidP="009971C5">
      <w:pPr>
        <w:pStyle w:val="3-BodyText"/>
      </w:pPr>
      <w:r w:rsidRPr="00FC7F1E">
        <w:rPr>
          <w:snapToGrid/>
        </w:rPr>
        <w:t xml:space="preserve">Apart from the small number of patients aged 16 </w:t>
      </w:r>
      <w:r w:rsidR="007F363A" w:rsidRPr="00FC7F1E">
        <w:rPr>
          <w:snapToGrid/>
        </w:rPr>
        <w:t>to 18</w:t>
      </w:r>
      <w:r w:rsidRPr="00FC7F1E">
        <w:rPr>
          <w:snapToGrid/>
        </w:rPr>
        <w:t xml:space="preserve"> years in the Hagenacker 2020 study</w:t>
      </w:r>
      <w:r w:rsidR="004572B2" w:rsidRPr="00FC7F1E">
        <w:rPr>
          <w:snapToGrid/>
        </w:rPr>
        <w:t xml:space="preserve"> (approximately 5 patients at the 14-month assessment point)</w:t>
      </w:r>
      <w:r w:rsidRPr="00FC7F1E">
        <w:rPr>
          <w:snapToGrid/>
        </w:rPr>
        <w:t xml:space="preserve">, </w:t>
      </w:r>
      <w:r w:rsidR="008338AC" w:rsidRPr="00FC7F1E">
        <w:rPr>
          <w:snapToGrid/>
        </w:rPr>
        <w:t xml:space="preserve">and </w:t>
      </w:r>
      <w:r w:rsidR="004572B2" w:rsidRPr="00FC7F1E">
        <w:rPr>
          <w:snapToGrid/>
        </w:rPr>
        <w:t xml:space="preserve">any patients aged </w:t>
      </w:r>
      <w:r w:rsidR="008338AC" w:rsidRPr="00FC7F1E">
        <w:rPr>
          <w:snapToGrid/>
        </w:rPr>
        <w:t>18 years in the Walter 2019 study</w:t>
      </w:r>
      <w:r w:rsidR="00985D90" w:rsidRPr="00FC7F1E">
        <w:rPr>
          <w:snapToGrid/>
        </w:rPr>
        <w:t xml:space="preserve">, </w:t>
      </w:r>
      <w:r w:rsidRPr="00FC7F1E">
        <w:rPr>
          <w:snapToGrid/>
        </w:rPr>
        <w:t xml:space="preserve">the </w:t>
      </w:r>
      <w:r w:rsidR="00CA098E" w:rsidRPr="00FC7F1E">
        <w:rPr>
          <w:snapToGrid/>
        </w:rPr>
        <w:t>re</w:t>
      </w:r>
      <w:r w:rsidRPr="00FC7F1E">
        <w:rPr>
          <w:snapToGrid/>
        </w:rPr>
        <w:t xml:space="preserve">submission provided no clinical evidence </w:t>
      </w:r>
      <w:r w:rsidR="007F363A" w:rsidRPr="00FC7F1E">
        <w:rPr>
          <w:snapToGrid/>
        </w:rPr>
        <w:t xml:space="preserve">of the efficacy or safety of </w:t>
      </w:r>
      <w:r w:rsidR="002A7687" w:rsidRPr="00FC7F1E">
        <w:rPr>
          <w:snapToGrid/>
        </w:rPr>
        <w:t xml:space="preserve">initiating treatment with </w:t>
      </w:r>
      <w:r w:rsidR="007F363A" w:rsidRPr="00FC7F1E">
        <w:rPr>
          <w:snapToGrid/>
        </w:rPr>
        <w:t xml:space="preserve">nusinersen </w:t>
      </w:r>
      <w:r w:rsidRPr="00FC7F1E">
        <w:rPr>
          <w:snapToGrid/>
        </w:rPr>
        <w:t xml:space="preserve">in patients aged 18 years or less. </w:t>
      </w:r>
      <w:r w:rsidR="00DF0DAB" w:rsidRPr="00FC7F1E">
        <w:rPr>
          <w:snapToGrid/>
        </w:rPr>
        <w:t xml:space="preserve">The PSCR argued that, in the absence of data in patients aged 18 years or less with </w:t>
      </w:r>
      <w:r w:rsidR="009971C5" w:rsidRPr="00FC7F1E">
        <w:rPr>
          <w:snapToGrid/>
        </w:rPr>
        <w:t>Type IIIb SMA</w:t>
      </w:r>
      <w:r w:rsidR="00DF0DAB" w:rsidRPr="00FC7F1E">
        <w:rPr>
          <w:snapToGrid/>
        </w:rPr>
        <w:t xml:space="preserve">, </w:t>
      </w:r>
      <w:r w:rsidR="009971C5" w:rsidRPr="00FC7F1E">
        <w:rPr>
          <w:snapToGrid/>
        </w:rPr>
        <w:t>the benefit could be inferred as it would likely be the</w:t>
      </w:r>
      <w:r w:rsidR="00DF0DAB" w:rsidRPr="00FC7F1E">
        <w:rPr>
          <w:snapToGrid/>
        </w:rPr>
        <w:t xml:space="preserve"> same or greater </w:t>
      </w:r>
      <w:r w:rsidR="009971C5" w:rsidRPr="00FC7F1E">
        <w:rPr>
          <w:snapToGrid/>
        </w:rPr>
        <w:t xml:space="preserve">than that observed in adults with Type IIIb SMA as ‘these patients are earlier in the course of the disease and would therefore be able to maintain greater function over their lifetime’. However, the ESC noted that the resubmission proposed </w:t>
      </w:r>
      <w:r w:rsidR="008E2DDA">
        <w:rPr>
          <w:noProof/>
          <w:snapToGrid/>
          <w:color w:val="000000"/>
          <w:highlight w:val="black"/>
        </w:rPr>
        <w:t>''' ''''''''''' ''''''''''</w:t>
      </w:r>
      <w:r w:rsidR="009971C5" w:rsidRPr="00FC7F1E">
        <w:rPr>
          <w:snapToGrid/>
        </w:rPr>
        <w:t xml:space="preserve"> in patients aged 18 years or less with Type IIIb SMA</w:t>
      </w:r>
      <w:r w:rsidR="00FC7F1E">
        <w:t xml:space="preserve">. </w:t>
      </w:r>
    </w:p>
    <w:p w14:paraId="6C01399E" w14:textId="77777777" w:rsidR="00862502" w:rsidRPr="00FC7F1E" w:rsidRDefault="00A73134" w:rsidP="00732451">
      <w:pPr>
        <w:pStyle w:val="3-BodyText"/>
      </w:pPr>
      <w:r w:rsidRPr="00FC7F1E">
        <w:rPr>
          <w:snapToGrid/>
        </w:rPr>
        <w:t>Details of the</w:t>
      </w:r>
      <w:r w:rsidR="0096298B" w:rsidRPr="00FC7F1E">
        <w:rPr>
          <w:snapToGrid/>
        </w:rPr>
        <w:t xml:space="preserve"> studies</w:t>
      </w:r>
      <w:r w:rsidRPr="00FC7F1E">
        <w:rPr>
          <w:snapToGrid/>
        </w:rPr>
        <w:t xml:space="preserve"> presented in the </w:t>
      </w:r>
      <w:r w:rsidR="00F61FEB" w:rsidRPr="00FC7F1E">
        <w:rPr>
          <w:snapToGrid/>
        </w:rPr>
        <w:t>re</w:t>
      </w:r>
      <w:r w:rsidRPr="00FC7F1E">
        <w:rPr>
          <w:snapToGrid/>
        </w:rPr>
        <w:t xml:space="preserve">submission are provided in </w:t>
      </w:r>
      <w:r w:rsidR="00CA098E" w:rsidRPr="00FC7F1E">
        <w:rPr>
          <w:snapToGrid/>
        </w:rPr>
        <w:t xml:space="preserve">Table </w:t>
      </w:r>
      <w:r w:rsidR="00AA3F5F" w:rsidRPr="00FC7F1E">
        <w:rPr>
          <w:snapToGrid/>
        </w:rPr>
        <w:t>4</w:t>
      </w:r>
      <w:r w:rsidRPr="00FC7F1E">
        <w:rPr>
          <w:snapToGrid/>
        </w:rPr>
        <w:t>.</w:t>
      </w:r>
      <w:r w:rsidR="00BC591F" w:rsidRPr="00FC7F1E">
        <w:rPr>
          <w:snapToGrid/>
        </w:rPr>
        <w:t xml:space="preserve"> </w:t>
      </w:r>
    </w:p>
    <w:p w14:paraId="060C405D" w14:textId="77777777" w:rsidR="008E0D3C" w:rsidRPr="00FC7F1E" w:rsidRDefault="00CA098E" w:rsidP="002E4F02">
      <w:pPr>
        <w:pStyle w:val="TableFigureHeading"/>
        <w:rPr>
          <w:rStyle w:val="CommentReference"/>
          <w:b/>
          <w:szCs w:val="24"/>
        </w:rPr>
      </w:pPr>
      <w:bookmarkStart w:id="16" w:name="_Ref49225374"/>
      <w:r w:rsidRPr="00FC7F1E">
        <w:rPr>
          <w:rStyle w:val="CommentReference"/>
          <w:b/>
          <w:szCs w:val="24"/>
        </w:rPr>
        <w:lastRenderedPageBreak/>
        <w:t xml:space="preserve">Table </w:t>
      </w:r>
      <w:r w:rsidR="00AA3F5F" w:rsidRPr="00FC7F1E">
        <w:rPr>
          <w:rStyle w:val="CommentReference"/>
          <w:b/>
          <w:szCs w:val="24"/>
        </w:rPr>
        <w:t>4</w:t>
      </w:r>
      <w:bookmarkEnd w:id="16"/>
      <w:r w:rsidR="008E0D3C" w:rsidRPr="00FC7F1E">
        <w:rPr>
          <w:rStyle w:val="CommentReference"/>
          <w:b/>
          <w:szCs w:val="24"/>
        </w:rPr>
        <w:t>:</w:t>
      </w:r>
      <w:r w:rsidR="00BC591F" w:rsidRPr="00FC7F1E">
        <w:rPr>
          <w:rStyle w:val="CommentReference"/>
          <w:b/>
          <w:szCs w:val="24"/>
        </w:rPr>
        <w:t xml:space="preserve"> </w:t>
      </w:r>
      <w:r w:rsidR="0096298B" w:rsidRPr="00FC7F1E">
        <w:rPr>
          <w:rStyle w:val="CommentReference"/>
          <w:b/>
          <w:szCs w:val="24"/>
        </w:rPr>
        <w:t>Studies</w:t>
      </w:r>
      <w:r w:rsidR="008E0D3C" w:rsidRPr="00FC7F1E">
        <w:rPr>
          <w:rStyle w:val="CommentReference"/>
          <w:b/>
          <w:szCs w:val="24"/>
        </w:rPr>
        <w:t xml:space="preserve"> and associated reports presented in the </w:t>
      </w:r>
      <w:r w:rsidR="00F61FEB" w:rsidRPr="00FC7F1E">
        <w:rPr>
          <w:rStyle w:val="CommentReference"/>
          <w:b/>
          <w:szCs w:val="24"/>
        </w:rPr>
        <w:t>re</w:t>
      </w:r>
      <w:r w:rsidR="008E0D3C" w:rsidRPr="00FC7F1E">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1"/>
        <w:gridCol w:w="5363"/>
        <w:gridCol w:w="1933"/>
      </w:tblGrid>
      <w:tr w:rsidR="003E33BC" w:rsidRPr="00FC7F1E" w14:paraId="4DD4ED46" w14:textId="77777777" w:rsidTr="00F37EFC">
        <w:tc>
          <w:tcPr>
            <w:tcW w:w="954" w:type="pct"/>
          </w:tcPr>
          <w:p w14:paraId="1F0DDADF" w14:textId="77777777" w:rsidR="003E33BC" w:rsidRPr="00FC7F1E" w:rsidRDefault="003E33BC" w:rsidP="00F37EFC">
            <w:pPr>
              <w:pStyle w:val="TableText0"/>
              <w:rPr>
                <w:b/>
              </w:rPr>
            </w:pPr>
            <w:r w:rsidRPr="00FC7F1E">
              <w:rPr>
                <w:b/>
              </w:rPr>
              <w:t>Study ID</w:t>
            </w:r>
          </w:p>
        </w:tc>
        <w:tc>
          <w:tcPr>
            <w:tcW w:w="2974" w:type="pct"/>
          </w:tcPr>
          <w:p w14:paraId="7192617E" w14:textId="77777777" w:rsidR="003E33BC" w:rsidRPr="00FC7F1E" w:rsidRDefault="003E33BC" w:rsidP="00F37EFC">
            <w:pPr>
              <w:pStyle w:val="TableText0"/>
              <w:rPr>
                <w:b/>
              </w:rPr>
            </w:pPr>
            <w:r w:rsidRPr="00FC7F1E">
              <w:rPr>
                <w:b/>
              </w:rPr>
              <w:t>Protocol title/ Publication title</w:t>
            </w:r>
          </w:p>
        </w:tc>
        <w:tc>
          <w:tcPr>
            <w:tcW w:w="1072" w:type="pct"/>
          </w:tcPr>
          <w:p w14:paraId="17B31FBA" w14:textId="77777777" w:rsidR="003E33BC" w:rsidRPr="00FC7F1E" w:rsidRDefault="003E33BC" w:rsidP="00F37EFC">
            <w:pPr>
              <w:pStyle w:val="TableText0"/>
              <w:rPr>
                <w:b/>
              </w:rPr>
            </w:pPr>
            <w:r w:rsidRPr="00FC7F1E">
              <w:rPr>
                <w:b/>
              </w:rPr>
              <w:t>Publication citation</w:t>
            </w:r>
          </w:p>
        </w:tc>
      </w:tr>
      <w:tr w:rsidR="003E33BC" w:rsidRPr="00FC7F1E" w14:paraId="0C2FB268" w14:textId="77777777" w:rsidTr="00F37EFC">
        <w:tc>
          <w:tcPr>
            <w:tcW w:w="5000" w:type="pct"/>
            <w:gridSpan w:val="3"/>
          </w:tcPr>
          <w:p w14:paraId="7C9F73F0" w14:textId="77777777" w:rsidR="003E33BC" w:rsidRPr="00FC7F1E" w:rsidRDefault="003E33BC" w:rsidP="00F37EFC">
            <w:pPr>
              <w:pStyle w:val="TableText0"/>
              <w:rPr>
                <w:b/>
              </w:rPr>
            </w:pPr>
            <w:r w:rsidRPr="00FC7F1E">
              <w:rPr>
                <w:b/>
              </w:rPr>
              <w:t>Non-randomised studies</w:t>
            </w:r>
          </w:p>
        </w:tc>
      </w:tr>
      <w:tr w:rsidR="003E33BC" w:rsidRPr="00FC7F1E" w14:paraId="062EAF81" w14:textId="77777777" w:rsidTr="00F37EFC">
        <w:tc>
          <w:tcPr>
            <w:tcW w:w="954" w:type="pct"/>
          </w:tcPr>
          <w:p w14:paraId="1CDBE8C5" w14:textId="77777777" w:rsidR="003E33BC" w:rsidRPr="00FC7F1E" w:rsidRDefault="003E33BC" w:rsidP="00F37EFC">
            <w:pPr>
              <w:pStyle w:val="TableText0"/>
            </w:pPr>
            <w:r w:rsidRPr="00FC7F1E">
              <w:t>Hag</w:t>
            </w:r>
            <w:r w:rsidR="00CC35E1" w:rsidRPr="00FC7F1E">
              <w:t>e</w:t>
            </w:r>
            <w:r w:rsidRPr="00FC7F1E">
              <w:t xml:space="preserve">nacker </w:t>
            </w:r>
            <w:r w:rsidR="00CA098E" w:rsidRPr="00FC7F1E">
              <w:t>2020</w:t>
            </w:r>
          </w:p>
        </w:tc>
        <w:tc>
          <w:tcPr>
            <w:tcW w:w="2974" w:type="pct"/>
          </w:tcPr>
          <w:p w14:paraId="3B7D8EC1" w14:textId="77777777" w:rsidR="003E33BC" w:rsidRPr="00FC7F1E" w:rsidRDefault="003E33BC" w:rsidP="00F37EFC">
            <w:pPr>
              <w:pStyle w:val="TableText0"/>
            </w:pPr>
            <w:r w:rsidRPr="00FC7F1E">
              <w:t>Nusinersen in adults with 5q spinal muscular atrophy: a non-interventional, multicentre, observational cohort study.</w:t>
            </w:r>
          </w:p>
        </w:tc>
        <w:tc>
          <w:tcPr>
            <w:tcW w:w="1072" w:type="pct"/>
          </w:tcPr>
          <w:p w14:paraId="5ADA5D00" w14:textId="77777777" w:rsidR="003E33BC" w:rsidRPr="00FC7F1E" w:rsidRDefault="003E33BC" w:rsidP="00F37EFC">
            <w:pPr>
              <w:pStyle w:val="TableText0"/>
            </w:pPr>
            <w:r w:rsidRPr="00FC7F1E">
              <w:t>The Lancet Neurology 2020. 19 (4), 317 - 325</w:t>
            </w:r>
          </w:p>
        </w:tc>
      </w:tr>
      <w:tr w:rsidR="003E33BC" w:rsidRPr="00FC7F1E" w14:paraId="3E79EE96" w14:textId="77777777" w:rsidTr="00F37EFC">
        <w:tc>
          <w:tcPr>
            <w:tcW w:w="954" w:type="pct"/>
            <w:tcBorders>
              <w:bottom w:val="nil"/>
            </w:tcBorders>
          </w:tcPr>
          <w:p w14:paraId="480FADEC" w14:textId="77777777" w:rsidR="003E33BC" w:rsidRPr="00FC7F1E" w:rsidRDefault="003E33BC" w:rsidP="00F37EFC">
            <w:pPr>
              <w:pStyle w:val="TableText0"/>
            </w:pPr>
            <w:r w:rsidRPr="00FC7F1E">
              <w:t>Walter</w:t>
            </w:r>
            <w:r w:rsidR="00CA098E" w:rsidRPr="00FC7F1E">
              <w:t xml:space="preserve"> 2019</w:t>
            </w:r>
          </w:p>
        </w:tc>
        <w:tc>
          <w:tcPr>
            <w:tcW w:w="2974" w:type="pct"/>
            <w:tcBorders>
              <w:bottom w:val="nil"/>
            </w:tcBorders>
          </w:tcPr>
          <w:p w14:paraId="1C900A35" w14:textId="77777777" w:rsidR="003E33BC" w:rsidRPr="00FC7F1E" w:rsidRDefault="003E33BC" w:rsidP="00F37EFC">
            <w:pPr>
              <w:pStyle w:val="TableText0"/>
            </w:pPr>
            <w:r w:rsidRPr="00FC7F1E">
              <w:t xml:space="preserve">Safety and Treatment Effects of Nusinersen in Longstanding Adult 5q-SMA Type 3 - A Prospective Observational Study </w:t>
            </w:r>
          </w:p>
        </w:tc>
        <w:tc>
          <w:tcPr>
            <w:tcW w:w="1072" w:type="pct"/>
            <w:tcBorders>
              <w:bottom w:val="nil"/>
            </w:tcBorders>
          </w:tcPr>
          <w:p w14:paraId="5CE45411" w14:textId="77777777" w:rsidR="003E33BC" w:rsidRPr="00FC7F1E" w:rsidRDefault="003E33BC" w:rsidP="00F37EFC">
            <w:pPr>
              <w:pStyle w:val="TableText0"/>
            </w:pPr>
            <w:r w:rsidRPr="00FC7F1E">
              <w:t>Journal of Neuromuscular Diseases 2019: 6: 453-465</w:t>
            </w:r>
          </w:p>
        </w:tc>
      </w:tr>
      <w:tr w:rsidR="003E33BC" w:rsidRPr="00FC7F1E" w14:paraId="65D74978" w14:textId="77777777" w:rsidTr="00F37EFC">
        <w:tc>
          <w:tcPr>
            <w:tcW w:w="954" w:type="pct"/>
            <w:tcBorders>
              <w:top w:val="nil"/>
              <w:bottom w:val="single" w:sz="4" w:space="0" w:color="auto"/>
            </w:tcBorders>
          </w:tcPr>
          <w:p w14:paraId="66C2C53C" w14:textId="77777777" w:rsidR="003E33BC" w:rsidRPr="00FC7F1E" w:rsidRDefault="003E33BC" w:rsidP="00F37EFC">
            <w:pPr>
              <w:pStyle w:val="TableText0"/>
            </w:pPr>
          </w:p>
        </w:tc>
        <w:tc>
          <w:tcPr>
            <w:tcW w:w="2974" w:type="pct"/>
            <w:tcBorders>
              <w:top w:val="nil"/>
              <w:bottom w:val="single" w:sz="4" w:space="0" w:color="auto"/>
            </w:tcBorders>
          </w:tcPr>
          <w:p w14:paraId="59157958" w14:textId="77777777" w:rsidR="003E33BC" w:rsidRPr="00FC7F1E" w:rsidRDefault="003E33BC" w:rsidP="00F37EFC">
            <w:pPr>
              <w:pStyle w:val="TableText0"/>
            </w:pPr>
            <w:r w:rsidRPr="00FC7F1E">
              <w:t>P.354Treatment effects of nusinersen in longstanding adult 5q-SMA type 3 - a prospective observational study over 10 months</w:t>
            </w:r>
          </w:p>
        </w:tc>
        <w:tc>
          <w:tcPr>
            <w:tcW w:w="1072" w:type="pct"/>
            <w:tcBorders>
              <w:top w:val="nil"/>
              <w:bottom w:val="single" w:sz="4" w:space="0" w:color="auto"/>
            </w:tcBorders>
          </w:tcPr>
          <w:p w14:paraId="27DD0A0C" w14:textId="77777777" w:rsidR="003E33BC" w:rsidRPr="00FC7F1E" w:rsidRDefault="003E33BC" w:rsidP="00F37EFC">
            <w:pPr>
              <w:pStyle w:val="TableText0"/>
            </w:pPr>
            <w:r w:rsidRPr="00FC7F1E">
              <w:t>Neuromuscular Disorders 2019. 29: S185</w:t>
            </w:r>
          </w:p>
        </w:tc>
      </w:tr>
      <w:tr w:rsidR="003E33BC" w:rsidRPr="00FC7F1E" w14:paraId="6BE3EC0E" w14:textId="77777777" w:rsidTr="00F37EFC">
        <w:tc>
          <w:tcPr>
            <w:tcW w:w="5000" w:type="pct"/>
            <w:gridSpan w:val="3"/>
            <w:tcBorders>
              <w:top w:val="nil"/>
              <w:bottom w:val="single" w:sz="4" w:space="0" w:color="auto"/>
            </w:tcBorders>
          </w:tcPr>
          <w:p w14:paraId="0F2A7C01" w14:textId="77777777" w:rsidR="003E33BC" w:rsidRPr="00FC7F1E" w:rsidRDefault="003E33BC" w:rsidP="00F37EFC">
            <w:pPr>
              <w:pStyle w:val="TableText0"/>
              <w:rPr>
                <w:b/>
              </w:rPr>
            </w:pPr>
            <w:r w:rsidRPr="00FC7F1E">
              <w:rPr>
                <w:b/>
              </w:rPr>
              <w:t>Data on the natural history of the disease in untreated patients</w:t>
            </w:r>
          </w:p>
        </w:tc>
      </w:tr>
      <w:tr w:rsidR="003E33BC" w:rsidRPr="00FC7F1E" w14:paraId="49A8B1BE" w14:textId="77777777" w:rsidTr="00F37EFC">
        <w:tc>
          <w:tcPr>
            <w:tcW w:w="954" w:type="pct"/>
            <w:tcBorders>
              <w:top w:val="single" w:sz="4" w:space="0" w:color="auto"/>
              <w:bottom w:val="single" w:sz="4" w:space="0" w:color="auto"/>
            </w:tcBorders>
            <w:shd w:val="clear" w:color="auto" w:fill="FFFFFF" w:themeFill="background1"/>
          </w:tcPr>
          <w:p w14:paraId="21E3D00C" w14:textId="77777777" w:rsidR="003E33BC" w:rsidRPr="00FC7F1E" w:rsidRDefault="003E33BC" w:rsidP="00F37EFC">
            <w:pPr>
              <w:pStyle w:val="TableText0"/>
            </w:pPr>
            <w:r w:rsidRPr="00FC7F1E">
              <w:t>Mercuri</w:t>
            </w:r>
            <w:r w:rsidR="00CA098E" w:rsidRPr="00FC7F1E">
              <w:t xml:space="preserve"> 2016</w:t>
            </w:r>
          </w:p>
        </w:tc>
        <w:tc>
          <w:tcPr>
            <w:tcW w:w="2974" w:type="pct"/>
            <w:tcBorders>
              <w:top w:val="single" w:sz="4" w:space="0" w:color="auto"/>
              <w:bottom w:val="single" w:sz="4" w:space="0" w:color="auto"/>
            </w:tcBorders>
            <w:shd w:val="clear" w:color="auto" w:fill="FFFFFF" w:themeFill="background1"/>
          </w:tcPr>
          <w:p w14:paraId="3BB112AF" w14:textId="77777777" w:rsidR="003E33BC" w:rsidRPr="00FC7F1E" w:rsidRDefault="003E33BC" w:rsidP="00F37EFC">
            <w:pPr>
              <w:pStyle w:val="TableText0"/>
            </w:pPr>
            <w:r w:rsidRPr="00FC7F1E">
              <w:t>Patterns of disease progression in type 2 and 3 SMA: Implications for clinical trials</w:t>
            </w:r>
          </w:p>
        </w:tc>
        <w:tc>
          <w:tcPr>
            <w:tcW w:w="1072" w:type="pct"/>
            <w:tcBorders>
              <w:top w:val="single" w:sz="4" w:space="0" w:color="auto"/>
              <w:bottom w:val="single" w:sz="4" w:space="0" w:color="auto"/>
            </w:tcBorders>
            <w:shd w:val="clear" w:color="auto" w:fill="FFFFFF" w:themeFill="background1"/>
          </w:tcPr>
          <w:p w14:paraId="13269181" w14:textId="77777777" w:rsidR="003E33BC" w:rsidRPr="00FC7F1E" w:rsidRDefault="003E33BC" w:rsidP="00F37EFC">
            <w:pPr>
              <w:pStyle w:val="TableText0"/>
            </w:pPr>
            <w:r w:rsidRPr="00FC7F1E">
              <w:t>Neuromuscular Disorders 2016: 26(2): 126-131</w:t>
            </w:r>
          </w:p>
        </w:tc>
      </w:tr>
      <w:tr w:rsidR="003E33BC" w:rsidRPr="00FC7F1E" w14:paraId="643DFA03" w14:textId="77777777" w:rsidTr="00F37EFC">
        <w:tc>
          <w:tcPr>
            <w:tcW w:w="954" w:type="pct"/>
            <w:tcBorders>
              <w:top w:val="single" w:sz="4" w:space="0" w:color="auto"/>
            </w:tcBorders>
            <w:shd w:val="clear" w:color="auto" w:fill="FFFFFF" w:themeFill="background1"/>
          </w:tcPr>
          <w:p w14:paraId="67B7A27C" w14:textId="77777777" w:rsidR="003E33BC" w:rsidRPr="00FC7F1E" w:rsidRDefault="003E33BC" w:rsidP="00F37EFC">
            <w:pPr>
              <w:pStyle w:val="TableText0"/>
            </w:pPr>
            <w:r w:rsidRPr="00FC7F1E">
              <w:t>M</w:t>
            </w:r>
            <w:r w:rsidRPr="00FC7F1E">
              <w:rPr>
                <w:shd w:val="clear" w:color="auto" w:fill="FFFFFF" w:themeFill="background1"/>
              </w:rPr>
              <w:t>ontes</w:t>
            </w:r>
            <w:r w:rsidR="00CA098E" w:rsidRPr="00FC7F1E">
              <w:rPr>
                <w:shd w:val="clear" w:color="auto" w:fill="FFFFFF" w:themeFill="background1"/>
              </w:rPr>
              <w:t xml:space="preserve"> 2018</w:t>
            </w:r>
          </w:p>
        </w:tc>
        <w:tc>
          <w:tcPr>
            <w:tcW w:w="2974" w:type="pct"/>
            <w:tcBorders>
              <w:top w:val="single" w:sz="4" w:space="0" w:color="auto"/>
              <w:left w:val="single" w:sz="4" w:space="0" w:color="auto"/>
              <w:bottom w:val="single" w:sz="4" w:space="0" w:color="auto"/>
              <w:right w:val="single" w:sz="4" w:space="0" w:color="auto"/>
            </w:tcBorders>
          </w:tcPr>
          <w:p w14:paraId="0AE14E6F" w14:textId="77777777" w:rsidR="003E33BC" w:rsidRPr="00FC7F1E" w:rsidRDefault="003E33BC" w:rsidP="00F37EFC">
            <w:pPr>
              <w:pStyle w:val="TableText0"/>
              <w:rPr>
                <w:highlight w:val="yellow"/>
              </w:rPr>
            </w:pPr>
            <w:r w:rsidRPr="00FC7F1E">
              <w:t>Ambulatory function in spinal muscular atrophy: Age-related patterns of progression</w:t>
            </w:r>
          </w:p>
        </w:tc>
        <w:tc>
          <w:tcPr>
            <w:tcW w:w="1072" w:type="pct"/>
            <w:tcBorders>
              <w:top w:val="single" w:sz="4" w:space="0" w:color="auto"/>
            </w:tcBorders>
            <w:shd w:val="clear" w:color="auto" w:fill="FFFFFF" w:themeFill="background1"/>
          </w:tcPr>
          <w:p w14:paraId="008AB492" w14:textId="77777777" w:rsidR="003E33BC" w:rsidRPr="00FC7F1E" w:rsidRDefault="003E33BC" w:rsidP="00F37EFC">
            <w:pPr>
              <w:pStyle w:val="TableText0"/>
              <w:rPr>
                <w:highlight w:val="yellow"/>
              </w:rPr>
            </w:pPr>
            <w:r w:rsidRPr="00FC7F1E">
              <w:t>PLoS ONE 13(6): e0199657</w:t>
            </w:r>
          </w:p>
        </w:tc>
      </w:tr>
      <w:tr w:rsidR="003E33BC" w:rsidRPr="00FC7F1E" w14:paraId="050F6B1E" w14:textId="77777777" w:rsidTr="00F37EFC">
        <w:tc>
          <w:tcPr>
            <w:tcW w:w="954" w:type="pct"/>
            <w:tcBorders>
              <w:top w:val="single" w:sz="4" w:space="0" w:color="auto"/>
            </w:tcBorders>
            <w:shd w:val="clear" w:color="auto" w:fill="FFFFFF" w:themeFill="background1"/>
          </w:tcPr>
          <w:p w14:paraId="38AD2F0A" w14:textId="77777777" w:rsidR="003E33BC" w:rsidRPr="00FC7F1E" w:rsidRDefault="003E33BC" w:rsidP="00F37EFC">
            <w:pPr>
              <w:pStyle w:val="TableText0"/>
            </w:pPr>
            <w:r w:rsidRPr="00FC7F1E">
              <w:t>Pera</w:t>
            </w:r>
            <w:r w:rsidR="00CA098E" w:rsidRPr="00FC7F1E">
              <w:t xml:space="preserve"> 2019</w:t>
            </w:r>
          </w:p>
        </w:tc>
        <w:tc>
          <w:tcPr>
            <w:tcW w:w="2974" w:type="pct"/>
            <w:tcBorders>
              <w:top w:val="single" w:sz="4" w:space="0" w:color="auto"/>
            </w:tcBorders>
            <w:shd w:val="clear" w:color="auto" w:fill="FFFFFF" w:themeFill="background1"/>
          </w:tcPr>
          <w:p w14:paraId="66F271CA" w14:textId="77777777" w:rsidR="003E33BC" w:rsidRPr="00FC7F1E" w:rsidRDefault="003E33BC" w:rsidP="00F37EFC">
            <w:pPr>
              <w:pStyle w:val="TableText0"/>
            </w:pPr>
            <w:r w:rsidRPr="00FC7F1E">
              <w:t>Revised upper limb module for spinal muscular atrophy: 12 month changes</w:t>
            </w:r>
          </w:p>
        </w:tc>
        <w:tc>
          <w:tcPr>
            <w:tcW w:w="1072" w:type="pct"/>
            <w:tcBorders>
              <w:top w:val="single" w:sz="4" w:space="0" w:color="auto"/>
            </w:tcBorders>
            <w:shd w:val="clear" w:color="auto" w:fill="FFFFFF" w:themeFill="background1"/>
          </w:tcPr>
          <w:p w14:paraId="7E044671" w14:textId="77777777" w:rsidR="003E33BC" w:rsidRPr="00FC7F1E" w:rsidRDefault="003E33BC" w:rsidP="00F37EFC">
            <w:pPr>
              <w:pStyle w:val="TableText0"/>
            </w:pPr>
            <w:r w:rsidRPr="00FC7F1E">
              <w:t>Muscle and Nerve 2019: 59(4): 426-430</w:t>
            </w:r>
          </w:p>
        </w:tc>
      </w:tr>
      <w:tr w:rsidR="003E33BC" w:rsidRPr="00FC7F1E" w14:paraId="1B403B08" w14:textId="77777777" w:rsidTr="00F37EFC">
        <w:tc>
          <w:tcPr>
            <w:tcW w:w="954" w:type="pct"/>
            <w:tcBorders>
              <w:top w:val="single" w:sz="4" w:space="0" w:color="auto"/>
            </w:tcBorders>
            <w:shd w:val="clear" w:color="auto" w:fill="FFFFFF" w:themeFill="background1"/>
          </w:tcPr>
          <w:p w14:paraId="3B8D205C" w14:textId="77777777" w:rsidR="003E33BC" w:rsidRPr="00FC7F1E" w:rsidRDefault="003E33BC" w:rsidP="00F37EFC">
            <w:pPr>
              <w:pStyle w:val="TableText0"/>
            </w:pPr>
            <w:r w:rsidRPr="00FC7F1E">
              <w:t>Wadman</w:t>
            </w:r>
            <w:r w:rsidR="00CA098E" w:rsidRPr="00FC7F1E">
              <w:t xml:space="preserve"> 2018</w:t>
            </w:r>
          </w:p>
        </w:tc>
        <w:tc>
          <w:tcPr>
            <w:tcW w:w="2974" w:type="pct"/>
            <w:tcBorders>
              <w:top w:val="single" w:sz="4" w:space="0" w:color="auto"/>
            </w:tcBorders>
            <w:shd w:val="clear" w:color="auto" w:fill="FFFFFF" w:themeFill="background1"/>
          </w:tcPr>
          <w:p w14:paraId="301F47AF" w14:textId="77777777" w:rsidR="003E33BC" w:rsidRPr="00FC7F1E" w:rsidRDefault="003E33BC" w:rsidP="00F37EFC">
            <w:pPr>
              <w:pStyle w:val="TableText0"/>
              <w:rPr>
                <w:highlight w:val="yellow"/>
              </w:rPr>
            </w:pPr>
            <w:r w:rsidRPr="00FC7F1E">
              <w:t>Muscle strength and motor function throughout life in a cross-sectional cohort of 180 patients with spinal muscular atrophy types 1c-4</w:t>
            </w:r>
          </w:p>
        </w:tc>
        <w:tc>
          <w:tcPr>
            <w:tcW w:w="1072" w:type="pct"/>
            <w:tcBorders>
              <w:top w:val="single" w:sz="4" w:space="0" w:color="auto"/>
            </w:tcBorders>
            <w:shd w:val="clear" w:color="auto" w:fill="FFFFFF" w:themeFill="background1"/>
          </w:tcPr>
          <w:p w14:paraId="3B0DCB62" w14:textId="77777777" w:rsidR="003E33BC" w:rsidRPr="00FC7F1E" w:rsidRDefault="003E33BC" w:rsidP="00F37EFC">
            <w:pPr>
              <w:pStyle w:val="TableText0"/>
              <w:rPr>
                <w:highlight w:val="yellow"/>
              </w:rPr>
            </w:pPr>
            <w:r w:rsidRPr="00FC7F1E">
              <w:t>European Journal of Neurology 2018: 25(3): 512-518</w:t>
            </w:r>
          </w:p>
        </w:tc>
      </w:tr>
      <w:tr w:rsidR="003E33BC" w:rsidRPr="00FC7F1E" w14:paraId="56DBD02B" w14:textId="77777777" w:rsidTr="00F37EFC">
        <w:tc>
          <w:tcPr>
            <w:tcW w:w="5000" w:type="pct"/>
            <w:gridSpan w:val="3"/>
            <w:tcBorders>
              <w:top w:val="single" w:sz="4" w:space="0" w:color="auto"/>
            </w:tcBorders>
          </w:tcPr>
          <w:p w14:paraId="0A255FE0" w14:textId="77777777" w:rsidR="003E33BC" w:rsidRPr="00FC7F1E" w:rsidRDefault="003E33BC" w:rsidP="00F37EFC">
            <w:pPr>
              <w:pStyle w:val="TableText0"/>
              <w:rPr>
                <w:b/>
              </w:rPr>
            </w:pPr>
            <w:r w:rsidRPr="00FC7F1E">
              <w:rPr>
                <w:b/>
              </w:rPr>
              <w:t>Study data planned for submission</w:t>
            </w:r>
          </w:p>
        </w:tc>
      </w:tr>
      <w:tr w:rsidR="003E33BC" w:rsidRPr="00FC7F1E" w14:paraId="2F288FB6" w14:textId="77777777" w:rsidTr="00F37EFC">
        <w:tc>
          <w:tcPr>
            <w:tcW w:w="954" w:type="pct"/>
            <w:tcBorders>
              <w:top w:val="single" w:sz="4" w:space="0" w:color="auto"/>
            </w:tcBorders>
          </w:tcPr>
          <w:p w14:paraId="49CDD983" w14:textId="77777777" w:rsidR="003E33BC" w:rsidRPr="00FC7F1E" w:rsidRDefault="003E33BC" w:rsidP="00F37EFC">
            <w:pPr>
              <w:pStyle w:val="TableText0"/>
            </w:pPr>
            <w:r w:rsidRPr="00FC7F1E">
              <w:t>SMA Registry data</w:t>
            </w:r>
          </w:p>
        </w:tc>
        <w:tc>
          <w:tcPr>
            <w:tcW w:w="2974" w:type="pct"/>
            <w:tcBorders>
              <w:top w:val="single" w:sz="4" w:space="0" w:color="auto"/>
            </w:tcBorders>
          </w:tcPr>
          <w:p w14:paraId="791E52E6" w14:textId="77777777" w:rsidR="003E33BC" w:rsidRPr="00FC7F1E" w:rsidRDefault="003E33BC" w:rsidP="00F37EFC">
            <w:pPr>
              <w:pStyle w:val="TableText0"/>
            </w:pPr>
            <w:r w:rsidRPr="00FC7F1E">
              <w:t>Characterization of patients with spinal muscular atrophy based on data of SMA registries</w:t>
            </w:r>
          </w:p>
        </w:tc>
        <w:tc>
          <w:tcPr>
            <w:tcW w:w="1072" w:type="pct"/>
            <w:tcBorders>
              <w:top w:val="single" w:sz="4" w:space="0" w:color="auto"/>
            </w:tcBorders>
          </w:tcPr>
          <w:p w14:paraId="1B5F395E" w14:textId="77777777" w:rsidR="003E33BC" w:rsidRPr="00FC7F1E" w:rsidRDefault="003E33BC" w:rsidP="00F37EFC">
            <w:pPr>
              <w:pStyle w:val="TableText0"/>
            </w:pPr>
            <w:r w:rsidRPr="00FC7F1E">
              <w:t>No data or publication citation was available</w:t>
            </w:r>
          </w:p>
        </w:tc>
      </w:tr>
    </w:tbl>
    <w:p w14:paraId="421DF450" w14:textId="77777777" w:rsidR="008E0D3C" w:rsidRPr="00FC7F1E" w:rsidRDefault="003E33BC" w:rsidP="00EC5836">
      <w:pPr>
        <w:pStyle w:val="TableFigureFooter"/>
        <w:rPr>
          <w:sz w:val="20"/>
        </w:rPr>
      </w:pPr>
      <w:r w:rsidRPr="00FC7F1E">
        <w:t xml:space="preserve">Source: </w:t>
      </w:r>
      <w:r w:rsidR="008E0D3C" w:rsidRPr="00FC7F1E">
        <w:t>Table</w:t>
      </w:r>
      <w:r w:rsidRPr="00FC7F1E">
        <w:t xml:space="preserve"> 2.6, p74 of the </w:t>
      </w:r>
      <w:r w:rsidR="00CA098E" w:rsidRPr="00FC7F1E">
        <w:t>re</w:t>
      </w:r>
      <w:r w:rsidRPr="00FC7F1E">
        <w:t xml:space="preserve">submission and compiled during the evaluation from Section 2.2. of the </w:t>
      </w:r>
      <w:r w:rsidR="00CA098E" w:rsidRPr="00FC7F1E">
        <w:t>re</w:t>
      </w:r>
      <w:r w:rsidR="008E0D3C" w:rsidRPr="00FC7F1E">
        <w:t>submission.</w:t>
      </w:r>
    </w:p>
    <w:p w14:paraId="12326793" w14:textId="77777777" w:rsidR="0096298B" w:rsidRPr="00FC7F1E" w:rsidRDefault="008F120A" w:rsidP="00732451">
      <w:pPr>
        <w:pStyle w:val="3-BodyText"/>
      </w:pPr>
      <w:r w:rsidRPr="00FC7F1E">
        <w:t xml:space="preserve">The key features of the </w:t>
      </w:r>
      <w:r w:rsidR="00287808" w:rsidRPr="00FC7F1E">
        <w:t xml:space="preserve">included evidence </w:t>
      </w:r>
      <w:r w:rsidRPr="00FC7F1E">
        <w:t xml:space="preserve">are summarised in </w:t>
      </w:r>
      <w:r w:rsidR="00CA098E" w:rsidRPr="00FC7F1E">
        <w:t>Table</w:t>
      </w:r>
      <w:r w:rsidR="00AA3F5F" w:rsidRPr="00FC7F1E">
        <w:t xml:space="preserve"> 5</w:t>
      </w:r>
      <w:r w:rsidRPr="00FC7F1E">
        <w:t>.</w:t>
      </w:r>
    </w:p>
    <w:p w14:paraId="32BC22F5" w14:textId="77777777" w:rsidR="007F1017" w:rsidRPr="00FC7F1E" w:rsidRDefault="00CA098E" w:rsidP="00EC5836">
      <w:pPr>
        <w:pStyle w:val="TableFigureHeading"/>
        <w:rPr>
          <w:rStyle w:val="CommentReference"/>
          <w:b/>
          <w:szCs w:val="24"/>
        </w:rPr>
      </w:pPr>
      <w:bookmarkStart w:id="17" w:name="_Ref49225446"/>
      <w:r w:rsidRPr="00FC7F1E">
        <w:rPr>
          <w:rStyle w:val="CommentReference"/>
          <w:b/>
          <w:szCs w:val="24"/>
        </w:rPr>
        <w:t xml:space="preserve">Table </w:t>
      </w:r>
      <w:bookmarkEnd w:id="17"/>
      <w:r w:rsidR="00AA3F5F" w:rsidRPr="00FC7F1E">
        <w:rPr>
          <w:rStyle w:val="CommentReference"/>
          <w:b/>
          <w:szCs w:val="24"/>
        </w:rPr>
        <w:t>5</w:t>
      </w:r>
      <w:r w:rsidR="007F1017" w:rsidRPr="00FC7F1E">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B41614" w:rsidRPr="00FC7F1E" w14:paraId="638B9635" w14:textId="77777777" w:rsidTr="001E34DF">
        <w:trPr>
          <w:cantSplit/>
          <w:tblHeader/>
        </w:trPr>
        <w:tc>
          <w:tcPr>
            <w:tcW w:w="713" w:type="pct"/>
            <w:shd w:val="clear" w:color="auto" w:fill="auto"/>
            <w:vAlign w:val="center"/>
          </w:tcPr>
          <w:p w14:paraId="7695DF73" w14:textId="77777777" w:rsidR="007F1017" w:rsidRPr="00FC7F1E" w:rsidRDefault="00B84D62" w:rsidP="001E34DF">
            <w:pPr>
              <w:pStyle w:val="In-tableHeading"/>
              <w:rPr>
                <w:lang w:val="en-AU"/>
              </w:rPr>
            </w:pPr>
            <w:r w:rsidRPr="00FC7F1E">
              <w:rPr>
                <w:lang w:val="en-AU"/>
              </w:rPr>
              <w:t>Study</w:t>
            </w:r>
          </w:p>
        </w:tc>
        <w:tc>
          <w:tcPr>
            <w:tcW w:w="466" w:type="pct"/>
            <w:shd w:val="clear" w:color="auto" w:fill="auto"/>
            <w:vAlign w:val="center"/>
          </w:tcPr>
          <w:p w14:paraId="6EAA45CC" w14:textId="77777777" w:rsidR="007F1017" w:rsidRPr="00FC7F1E" w:rsidRDefault="007F1017" w:rsidP="00EC5836">
            <w:pPr>
              <w:pStyle w:val="In-tableHeading"/>
              <w:jc w:val="center"/>
              <w:rPr>
                <w:lang w:val="en-AU"/>
              </w:rPr>
            </w:pPr>
            <w:r w:rsidRPr="00FC7F1E">
              <w:rPr>
                <w:lang w:val="en-AU"/>
              </w:rPr>
              <w:t>N</w:t>
            </w:r>
          </w:p>
        </w:tc>
        <w:tc>
          <w:tcPr>
            <w:tcW w:w="782" w:type="pct"/>
            <w:shd w:val="clear" w:color="auto" w:fill="auto"/>
            <w:vAlign w:val="center"/>
          </w:tcPr>
          <w:p w14:paraId="1544893D" w14:textId="77777777" w:rsidR="007F1017" w:rsidRPr="00FC7F1E" w:rsidRDefault="007F1017" w:rsidP="00EC5836">
            <w:pPr>
              <w:pStyle w:val="In-tableHeading"/>
              <w:jc w:val="center"/>
              <w:rPr>
                <w:lang w:val="en-AU"/>
              </w:rPr>
            </w:pPr>
            <w:r w:rsidRPr="00FC7F1E">
              <w:rPr>
                <w:lang w:val="en-AU"/>
              </w:rPr>
              <w:t>Design/ duration</w:t>
            </w:r>
          </w:p>
        </w:tc>
        <w:tc>
          <w:tcPr>
            <w:tcW w:w="621" w:type="pct"/>
            <w:shd w:val="clear" w:color="auto" w:fill="auto"/>
            <w:vAlign w:val="center"/>
          </w:tcPr>
          <w:p w14:paraId="0151B2D2" w14:textId="77777777" w:rsidR="007F1017" w:rsidRPr="00FC7F1E" w:rsidRDefault="007F1017" w:rsidP="00EC5836">
            <w:pPr>
              <w:pStyle w:val="In-tableHeading"/>
              <w:jc w:val="center"/>
              <w:rPr>
                <w:lang w:val="en-AU"/>
              </w:rPr>
            </w:pPr>
            <w:r w:rsidRPr="00FC7F1E">
              <w:rPr>
                <w:lang w:val="en-AU"/>
              </w:rPr>
              <w:t>Risk of bias</w:t>
            </w:r>
          </w:p>
        </w:tc>
        <w:tc>
          <w:tcPr>
            <w:tcW w:w="857" w:type="pct"/>
            <w:shd w:val="clear" w:color="auto" w:fill="auto"/>
            <w:vAlign w:val="center"/>
          </w:tcPr>
          <w:p w14:paraId="3645C49B" w14:textId="77777777" w:rsidR="007F1017" w:rsidRPr="00FC7F1E" w:rsidRDefault="007F1017" w:rsidP="00EC5836">
            <w:pPr>
              <w:pStyle w:val="In-tableHeading"/>
              <w:jc w:val="center"/>
              <w:rPr>
                <w:lang w:val="en-AU"/>
              </w:rPr>
            </w:pPr>
            <w:r w:rsidRPr="00FC7F1E">
              <w:rPr>
                <w:lang w:val="en-AU"/>
              </w:rPr>
              <w:t>Patient population</w:t>
            </w:r>
          </w:p>
        </w:tc>
        <w:tc>
          <w:tcPr>
            <w:tcW w:w="622" w:type="pct"/>
            <w:shd w:val="clear" w:color="auto" w:fill="auto"/>
            <w:vAlign w:val="center"/>
          </w:tcPr>
          <w:p w14:paraId="2D944F7E" w14:textId="77777777" w:rsidR="007F1017" w:rsidRPr="00FC7F1E" w:rsidRDefault="007F1017" w:rsidP="00EC5836">
            <w:pPr>
              <w:pStyle w:val="In-tableHeading"/>
              <w:jc w:val="center"/>
              <w:rPr>
                <w:lang w:val="en-AU"/>
              </w:rPr>
            </w:pPr>
            <w:r w:rsidRPr="00FC7F1E">
              <w:rPr>
                <w:lang w:val="en-AU"/>
              </w:rPr>
              <w:t>Outcome(s)</w:t>
            </w:r>
          </w:p>
        </w:tc>
        <w:tc>
          <w:tcPr>
            <w:tcW w:w="939" w:type="pct"/>
            <w:shd w:val="clear" w:color="auto" w:fill="auto"/>
            <w:vAlign w:val="center"/>
          </w:tcPr>
          <w:p w14:paraId="2DBA6A45" w14:textId="77777777" w:rsidR="007F1017" w:rsidRPr="00FC7F1E" w:rsidRDefault="007F1017" w:rsidP="00EC5836">
            <w:pPr>
              <w:pStyle w:val="In-tableHeading"/>
              <w:jc w:val="center"/>
              <w:rPr>
                <w:lang w:val="en-AU"/>
              </w:rPr>
            </w:pPr>
            <w:r w:rsidRPr="00FC7F1E">
              <w:rPr>
                <w:lang w:val="en-AU"/>
              </w:rPr>
              <w:t>Use in modelled evaluation</w:t>
            </w:r>
          </w:p>
        </w:tc>
      </w:tr>
      <w:tr w:rsidR="007F1017" w:rsidRPr="00FC7F1E" w14:paraId="2958E0E8" w14:textId="77777777" w:rsidTr="00682BA6">
        <w:trPr>
          <w:cantSplit/>
        </w:trPr>
        <w:tc>
          <w:tcPr>
            <w:tcW w:w="5000" w:type="pct"/>
            <w:gridSpan w:val="7"/>
            <w:shd w:val="clear" w:color="auto" w:fill="auto"/>
            <w:vAlign w:val="center"/>
          </w:tcPr>
          <w:p w14:paraId="7D0E517B" w14:textId="77777777" w:rsidR="007F1017" w:rsidRPr="00FC7F1E" w:rsidRDefault="00B84D62" w:rsidP="00B84D62">
            <w:pPr>
              <w:pStyle w:val="In-tableHeading"/>
              <w:rPr>
                <w:lang w:val="en-AU"/>
              </w:rPr>
            </w:pPr>
            <w:r w:rsidRPr="00FC7F1E">
              <w:rPr>
                <w:lang w:val="en-AU"/>
              </w:rPr>
              <w:t>Nusinersen</w:t>
            </w:r>
          </w:p>
        </w:tc>
      </w:tr>
      <w:tr w:rsidR="00B41614" w:rsidRPr="00FC7F1E" w14:paraId="78DE9DBE" w14:textId="77777777" w:rsidTr="00682BA6">
        <w:trPr>
          <w:cantSplit/>
        </w:trPr>
        <w:tc>
          <w:tcPr>
            <w:tcW w:w="713" w:type="pct"/>
            <w:shd w:val="clear" w:color="auto" w:fill="auto"/>
            <w:vAlign w:val="center"/>
          </w:tcPr>
          <w:p w14:paraId="51B8FC9F" w14:textId="77777777" w:rsidR="007F1017" w:rsidRPr="00FC7F1E" w:rsidRDefault="00B84D62" w:rsidP="00EC5836">
            <w:pPr>
              <w:pStyle w:val="TableText0"/>
            </w:pPr>
            <w:r w:rsidRPr="00FC7F1E">
              <w:t>Hagenacker 2020</w:t>
            </w:r>
          </w:p>
        </w:tc>
        <w:tc>
          <w:tcPr>
            <w:tcW w:w="466" w:type="pct"/>
            <w:shd w:val="clear" w:color="auto" w:fill="auto"/>
            <w:vAlign w:val="center"/>
          </w:tcPr>
          <w:p w14:paraId="40C03F85" w14:textId="77777777" w:rsidR="007F1017" w:rsidRPr="00FC7F1E" w:rsidRDefault="007742E2" w:rsidP="00EC5836">
            <w:pPr>
              <w:pStyle w:val="TableText0"/>
              <w:jc w:val="center"/>
            </w:pPr>
            <w:r w:rsidRPr="00FC7F1E">
              <w:t>57</w:t>
            </w:r>
          </w:p>
        </w:tc>
        <w:tc>
          <w:tcPr>
            <w:tcW w:w="782" w:type="pct"/>
            <w:shd w:val="clear" w:color="auto" w:fill="auto"/>
            <w:vAlign w:val="center"/>
          </w:tcPr>
          <w:p w14:paraId="2A51B067" w14:textId="77777777" w:rsidR="007F1017" w:rsidRPr="00FC7F1E" w:rsidRDefault="00730FB5" w:rsidP="00EC5836">
            <w:pPr>
              <w:pStyle w:val="TableText0"/>
              <w:jc w:val="center"/>
            </w:pPr>
            <w:r w:rsidRPr="00FC7F1E">
              <w:t>Prospective, o</w:t>
            </w:r>
            <w:r w:rsidR="007742E2" w:rsidRPr="00FC7F1E">
              <w:t>bservational cohort study, singl</w:t>
            </w:r>
            <w:r w:rsidR="00B84D62" w:rsidRPr="00FC7F1E">
              <w:t>e arm</w:t>
            </w:r>
          </w:p>
          <w:p w14:paraId="1AE92627" w14:textId="77777777" w:rsidR="007F1017" w:rsidRPr="00FC7F1E" w:rsidRDefault="00B84D62" w:rsidP="00B84D62">
            <w:pPr>
              <w:pStyle w:val="TableText0"/>
              <w:jc w:val="center"/>
            </w:pPr>
            <w:r w:rsidRPr="00FC7F1E">
              <w:t>14</w:t>
            </w:r>
            <w:r w:rsidR="007F1017" w:rsidRPr="00FC7F1E">
              <w:t xml:space="preserve"> m</w:t>
            </w:r>
            <w:r w:rsidR="001D7ABE" w:rsidRPr="00FC7F1E">
              <w:t>on</w:t>
            </w:r>
            <w:r w:rsidR="007F1017" w:rsidRPr="00FC7F1E">
              <w:t>ths</w:t>
            </w:r>
          </w:p>
        </w:tc>
        <w:tc>
          <w:tcPr>
            <w:tcW w:w="621" w:type="pct"/>
            <w:shd w:val="clear" w:color="auto" w:fill="auto"/>
            <w:vAlign w:val="center"/>
          </w:tcPr>
          <w:p w14:paraId="7D696BA0" w14:textId="77777777" w:rsidR="007F1017" w:rsidRPr="00FC7F1E" w:rsidRDefault="00B84D62" w:rsidP="00EC5836">
            <w:pPr>
              <w:pStyle w:val="TableText0"/>
              <w:jc w:val="center"/>
            </w:pPr>
            <w:r w:rsidRPr="00FC7F1E">
              <w:t>High</w:t>
            </w:r>
          </w:p>
        </w:tc>
        <w:tc>
          <w:tcPr>
            <w:tcW w:w="857" w:type="pct"/>
            <w:shd w:val="clear" w:color="auto" w:fill="auto"/>
            <w:vAlign w:val="center"/>
          </w:tcPr>
          <w:p w14:paraId="5052C193" w14:textId="77777777" w:rsidR="007F1017" w:rsidRPr="00FC7F1E" w:rsidRDefault="007742E2" w:rsidP="00EC5836">
            <w:pPr>
              <w:pStyle w:val="TableText0"/>
              <w:jc w:val="center"/>
            </w:pPr>
            <w:r w:rsidRPr="00FC7F1E">
              <w:t>Type II and III SMA</w:t>
            </w:r>
          </w:p>
        </w:tc>
        <w:tc>
          <w:tcPr>
            <w:tcW w:w="622" w:type="pct"/>
            <w:shd w:val="clear" w:color="auto" w:fill="auto"/>
            <w:vAlign w:val="center"/>
          </w:tcPr>
          <w:p w14:paraId="11D90656" w14:textId="77777777" w:rsidR="007F1017" w:rsidRPr="00FC7F1E" w:rsidRDefault="00B84D62" w:rsidP="00EC5836">
            <w:pPr>
              <w:pStyle w:val="TableText0"/>
              <w:jc w:val="center"/>
            </w:pPr>
            <w:r w:rsidRPr="00FC7F1E">
              <w:t>HFMSE, RULM, 6MWT</w:t>
            </w:r>
          </w:p>
        </w:tc>
        <w:tc>
          <w:tcPr>
            <w:tcW w:w="939" w:type="pct"/>
            <w:shd w:val="clear" w:color="auto" w:fill="auto"/>
            <w:vAlign w:val="center"/>
          </w:tcPr>
          <w:p w14:paraId="4DD4D43A" w14:textId="77777777" w:rsidR="007F1017" w:rsidRPr="00FC7F1E" w:rsidRDefault="00B84D62" w:rsidP="00EC5836">
            <w:pPr>
              <w:pStyle w:val="TableText0"/>
              <w:jc w:val="center"/>
            </w:pPr>
            <w:r w:rsidRPr="00FC7F1E">
              <w:t>Discontinuation rate used</w:t>
            </w:r>
            <w:r w:rsidR="00D33B49" w:rsidRPr="00FC7F1E">
              <w:t>, pro-rata 6MWT used but used inappropriately</w:t>
            </w:r>
          </w:p>
        </w:tc>
      </w:tr>
      <w:tr w:rsidR="00B41614" w:rsidRPr="00FC7F1E" w14:paraId="7874D8DF" w14:textId="77777777" w:rsidTr="00682BA6">
        <w:trPr>
          <w:cantSplit/>
        </w:trPr>
        <w:tc>
          <w:tcPr>
            <w:tcW w:w="713" w:type="pct"/>
            <w:shd w:val="clear" w:color="auto" w:fill="auto"/>
            <w:vAlign w:val="center"/>
          </w:tcPr>
          <w:p w14:paraId="0F5678B7" w14:textId="77777777" w:rsidR="007F1017" w:rsidRPr="00FC7F1E" w:rsidRDefault="007742E2" w:rsidP="00EC5836">
            <w:pPr>
              <w:pStyle w:val="TableText0"/>
            </w:pPr>
            <w:r w:rsidRPr="00FC7F1E">
              <w:t>Walter 2019</w:t>
            </w:r>
          </w:p>
        </w:tc>
        <w:tc>
          <w:tcPr>
            <w:tcW w:w="466" w:type="pct"/>
            <w:shd w:val="clear" w:color="auto" w:fill="auto"/>
            <w:vAlign w:val="center"/>
          </w:tcPr>
          <w:p w14:paraId="0361AD2C" w14:textId="77777777" w:rsidR="007F1017" w:rsidRPr="00FC7F1E" w:rsidRDefault="007742E2" w:rsidP="00EC5836">
            <w:pPr>
              <w:pStyle w:val="TableText0"/>
              <w:jc w:val="center"/>
            </w:pPr>
            <w:r w:rsidRPr="00FC7F1E">
              <w:t>19</w:t>
            </w:r>
          </w:p>
        </w:tc>
        <w:tc>
          <w:tcPr>
            <w:tcW w:w="782" w:type="pct"/>
            <w:shd w:val="clear" w:color="auto" w:fill="auto"/>
            <w:vAlign w:val="center"/>
          </w:tcPr>
          <w:p w14:paraId="553D164C" w14:textId="77777777" w:rsidR="007F1017" w:rsidRPr="00FC7F1E" w:rsidRDefault="007742E2" w:rsidP="007742E2">
            <w:pPr>
              <w:pStyle w:val="TableText0"/>
              <w:jc w:val="center"/>
            </w:pPr>
            <w:r w:rsidRPr="00FC7F1E">
              <w:t>Prospective, observational, single-arm, 10 m</w:t>
            </w:r>
            <w:r w:rsidR="001D7ABE" w:rsidRPr="00FC7F1E">
              <w:t>on</w:t>
            </w:r>
            <w:r w:rsidRPr="00FC7F1E">
              <w:t>ths</w:t>
            </w:r>
          </w:p>
        </w:tc>
        <w:tc>
          <w:tcPr>
            <w:tcW w:w="621" w:type="pct"/>
            <w:shd w:val="clear" w:color="auto" w:fill="auto"/>
            <w:vAlign w:val="center"/>
          </w:tcPr>
          <w:p w14:paraId="238D4CFC" w14:textId="77777777" w:rsidR="007F1017" w:rsidRPr="00FC7F1E" w:rsidRDefault="007742E2" w:rsidP="00EC5836">
            <w:pPr>
              <w:pStyle w:val="TableText0"/>
              <w:jc w:val="center"/>
            </w:pPr>
            <w:r w:rsidRPr="00FC7F1E">
              <w:t>High</w:t>
            </w:r>
          </w:p>
        </w:tc>
        <w:tc>
          <w:tcPr>
            <w:tcW w:w="857" w:type="pct"/>
            <w:shd w:val="clear" w:color="auto" w:fill="auto"/>
            <w:vAlign w:val="center"/>
          </w:tcPr>
          <w:p w14:paraId="7ECF1E2F" w14:textId="77777777" w:rsidR="007F1017" w:rsidRPr="00FC7F1E" w:rsidRDefault="007742E2" w:rsidP="00EC5836">
            <w:pPr>
              <w:pStyle w:val="TableText0"/>
              <w:jc w:val="center"/>
            </w:pPr>
            <w:r w:rsidRPr="00FC7F1E">
              <w:t>Type III SMA</w:t>
            </w:r>
          </w:p>
        </w:tc>
        <w:tc>
          <w:tcPr>
            <w:tcW w:w="622" w:type="pct"/>
            <w:shd w:val="clear" w:color="auto" w:fill="auto"/>
            <w:vAlign w:val="center"/>
          </w:tcPr>
          <w:p w14:paraId="6AC5EB94" w14:textId="77777777" w:rsidR="007F1017" w:rsidRPr="00FC7F1E" w:rsidRDefault="007742E2" w:rsidP="007742E2">
            <w:pPr>
              <w:pStyle w:val="TableText0"/>
              <w:jc w:val="center"/>
            </w:pPr>
            <w:r w:rsidRPr="00FC7F1E">
              <w:t>HFMSE, RULM</w:t>
            </w:r>
          </w:p>
        </w:tc>
        <w:tc>
          <w:tcPr>
            <w:tcW w:w="939" w:type="pct"/>
            <w:shd w:val="clear" w:color="auto" w:fill="auto"/>
            <w:vAlign w:val="center"/>
          </w:tcPr>
          <w:p w14:paraId="45EB8C5E" w14:textId="77777777" w:rsidR="007F1017" w:rsidRPr="00FC7F1E" w:rsidRDefault="007742E2" w:rsidP="00EC5836">
            <w:pPr>
              <w:pStyle w:val="TableText0"/>
              <w:jc w:val="center"/>
            </w:pPr>
            <w:r w:rsidRPr="00FC7F1E">
              <w:t>Not used</w:t>
            </w:r>
          </w:p>
        </w:tc>
      </w:tr>
      <w:tr w:rsidR="00A6444B" w:rsidRPr="00FC7F1E" w14:paraId="5E34A4DC" w14:textId="77777777" w:rsidTr="00A6444B">
        <w:trPr>
          <w:cantSplit/>
        </w:trPr>
        <w:tc>
          <w:tcPr>
            <w:tcW w:w="5000" w:type="pct"/>
            <w:gridSpan w:val="7"/>
            <w:shd w:val="clear" w:color="auto" w:fill="auto"/>
            <w:vAlign w:val="center"/>
          </w:tcPr>
          <w:p w14:paraId="35B0E457" w14:textId="77777777" w:rsidR="00A6444B" w:rsidRPr="00FC7F1E" w:rsidRDefault="00A6444B" w:rsidP="00A6444B">
            <w:pPr>
              <w:pStyle w:val="TableText0"/>
              <w:rPr>
                <w:b/>
              </w:rPr>
            </w:pPr>
            <w:r w:rsidRPr="00FC7F1E">
              <w:rPr>
                <w:b/>
              </w:rPr>
              <w:t>Natural history data</w:t>
            </w:r>
          </w:p>
        </w:tc>
      </w:tr>
      <w:tr w:rsidR="007E1249" w:rsidRPr="00FC7F1E" w14:paraId="229DB543" w14:textId="77777777" w:rsidTr="007E1249">
        <w:trPr>
          <w:cantSplit/>
        </w:trPr>
        <w:tc>
          <w:tcPr>
            <w:tcW w:w="713" w:type="pct"/>
            <w:shd w:val="clear" w:color="auto" w:fill="auto"/>
            <w:vAlign w:val="center"/>
          </w:tcPr>
          <w:p w14:paraId="24A58229" w14:textId="77777777" w:rsidR="007E1249" w:rsidRPr="00FC7F1E" w:rsidRDefault="007E1249" w:rsidP="00EC5836">
            <w:pPr>
              <w:pStyle w:val="TableText0"/>
            </w:pPr>
            <w:r w:rsidRPr="00FC7F1E">
              <w:t>Mercuri 2016</w:t>
            </w:r>
          </w:p>
        </w:tc>
        <w:tc>
          <w:tcPr>
            <w:tcW w:w="466" w:type="pct"/>
            <w:shd w:val="clear" w:color="auto" w:fill="auto"/>
            <w:vAlign w:val="center"/>
          </w:tcPr>
          <w:p w14:paraId="7C7F2A7E" w14:textId="77777777" w:rsidR="007E1249" w:rsidRPr="00FC7F1E" w:rsidRDefault="007E1249" w:rsidP="00EC5836">
            <w:pPr>
              <w:pStyle w:val="TableText0"/>
              <w:jc w:val="center"/>
            </w:pPr>
            <w:r w:rsidRPr="00FC7F1E">
              <w:t>268</w:t>
            </w:r>
          </w:p>
        </w:tc>
        <w:tc>
          <w:tcPr>
            <w:tcW w:w="782" w:type="pct"/>
            <w:vMerge w:val="restart"/>
            <w:shd w:val="clear" w:color="auto" w:fill="auto"/>
            <w:vAlign w:val="center"/>
          </w:tcPr>
          <w:p w14:paraId="358E2E8B" w14:textId="77777777" w:rsidR="007E1249" w:rsidRPr="00FC7F1E" w:rsidRDefault="007E1249" w:rsidP="00EC5836">
            <w:pPr>
              <w:pStyle w:val="TableText0"/>
              <w:jc w:val="center"/>
            </w:pPr>
            <w:r w:rsidRPr="00FC7F1E">
              <w:t>Natural history data</w:t>
            </w:r>
          </w:p>
        </w:tc>
        <w:tc>
          <w:tcPr>
            <w:tcW w:w="621" w:type="pct"/>
            <w:shd w:val="clear" w:color="auto" w:fill="auto"/>
            <w:vAlign w:val="center"/>
          </w:tcPr>
          <w:p w14:paraId="2A9C4D42" w14:textId="77777777" w:rsidR="007E1249" w:rsidRPr="00FC7F1E" w:rsidRDefault="007E1249" w:rsidP="00EC5836">
            <w:pPr>
              <w:pStyle w:val="TableText0"/>
              <w:jc w:val="center"/>
            </w:pPr>
            <w:r w:rsidRPr="00FC7F1E">
              <w:t>Not assessed</w:t>
            </w:r>
          </w:p>
        </w:tc>
        <w:tc>
          <w:tcPr>
            <w:tcW w:w="857" w:type="pct"/>
            <w:shd w:val="clear" w:color="auto" w:fill="auto"/>
            <w:vAlign w:val="center"/>
          </w:tcPr>
          <w:p w14:paraId="494CB0BF" w14:textId="77777777" w:rsidR="007E1249" w:rsidRPr="00FC7F1E" w:rsidRDefault="007E1249" w:rsidP="00EC5836">
            <w:pPr>
              <w:pStyle w:val="TableText0"/>
              <w:jc w:val="center"/>
            </w:pPr>
            <w:r w:rsidRPr="00FC7F1E">
              <w:t>Type II and III SMA</w:t>
            </w:r>
          </w:p>
        </w:tc>
        <w:tc>
          <w:tcPr>
            <w:tcW w:w="622" w:type="pct"/>
            <w:shd w:val="clear" w:color="auto" w:fill="auto"/>
            <w:vAlign w:val="center"/>
          </w:tcPr>
          <w:p w14:paraId="1E256C13" w14:textId="77777777" w:rsidR="007E1249" w:rsidRPr="00FC7F1E" w:rsidRDefault="007E1249" w:rsidP="007E1249">
            <w:pPr>
              <w:pStyle w:val="TableText0"/>
              <w:jc w:val="center"/>
            </w:pPr>
            <w:r w:rsidRPr="00FC7F1E">
              <w:t>HFMSE</w:t>
            </w:r>
          </w:p>
        </w:tc>
        <w:tc>
          <w:tcPr>
            <w:tcW w:w="939" w:type="pct"/>
            <w:shd w:val="clear" w:color="auto" w:fill="auto"/>
            <w:vAlign w:val="center"/>
          </w:tcPr>
          <w:p w14:paraId="1CAFE2D5" w14:textId="77777777" w:rsidR="007E1249" w:rsidRPr="00FC7F1E" w:rsidRDefault="007E1249" w:rsidP="00EC5836">
            <w:pPr>
              <w:pStyle w:val="TableText0"/>
              <w:jc w:val="center"/>
            </w:pPr>
            <w:r w:rsidRPr="00FC7F1E">
              <w:t>Not used</w:t>
            </w:r>
          </w:p>
        </w:tc>
      </w:tr>
      <w:tr w:rsidR="007E1249" w:rsidRPr="00FC7F1E" w14:paraId="7EECB7DB" w14:textId="77777777" w:rsidTr="00682BA6">
        <w:trPr>
          <w:cantSplit/>
        </w:trPr>
        <w:tc>
          <w:tcPr>
            <w:tcW w:w="713" w:type="pct"/>
            <w:shd w:val="clear" w:color="auto" w:fill="auto"/>
            <w:vAlign w:val="center"/>
          </w:tcPr>
          <w:p w14:paraId="173F8171" w14:textId="77777777" w:rsidR="007E1249" w:rsidRPr="00FC7F1E" w:rsidRDefault="007E1249" w:rsidP="00EC5836">
            <w:pPr>
              <w:pStyle w:val="TableText0"/>
            </w:pPr>
            <w:r w:rsidRPr="00FC7F1E">
              <w:t>Montes 2018</w:t>
            </w:r>
          </w:p>
        </w:tc>
        <w:tc>
          <w:tcPr>
            <w:tcW w:w="466" w:type="pct"/>
            <w:shd w:val="clear" w:color="auto" w:fill="auto"/>
            <w:vAlign w:val="center"/>
          </w:tcPr>
          <w:p w14:paraId="7A558511" w14:textId="77777777" w:rsidR="007E1249" w:rsidRPr="00FC7F1E" w:rsidRDefault="007E1249" w:rsidP="00EC5836">
            <w:pPr>
              <w:pStyle w:val="TableText0"/>
              <w:jc w:val="center"/>
            </w:pPr>
            <w:r w:rsidRPr="00FC7F1E">
              <w:t>73</w:t>
            </w:r>
          </w:p>
        </w:tc>
        <w:tc>
          <w:tcPr>
            <w:tcW w:w="782" w:type="pct"/>
            <w:vMerge/>
            <w:shd w:val="clear" w:color="auto" w:fill="auto"/>
            <w:vAlign w:val="center"/>
          </w:tcPr>
          <w:p w14:paraId="3DDEE625" w14:textId="77777777" w:rsidR="007E1249" w:rsidRPr="00FC7F1E" w:rsidRDefault="007E1249" w:rsidP="00EC5836">
            <w:pPr>
              <w:pStyle w:val="TableText0"/>
              <w:jc w:val="center"/>
            </w:pPr>
          </w:p>
        </w:tc>
        <w:tc>
          <w:tcPr>
            <w:tcW w:w="621" w:type="pct"/>
            <w:shd w:val="clear" w:color="auto" w:fill="auto"/>
            <w:vAlign w:val="center"/>
          </w:tcPr>
          <w:p w14:paraId="2B2FF4C8" w14:textId="77777777" w:rsidR="007E1249" w:rsidRPr="00FC7F1E" w:rsidRDefault="007E1249" w:rsidP="00EC5836">
            <w:pPr>
              <w:pStyle w:val="TableText0"/>
              <w:jc w:val="center"/>
            </w:pPr>
            <w:r w:rsidRPr="00FC7F1E">
              <w:t>Not assessed</w:t>
            </w:r>
          </w:p>
        </w:tc>
        <w:tc>
          <w:tcPr>
            <w:tcW w:w="857" w:type="pct"/>
            <w:shd w:val="clear" w:color="auto" w:fill="auto"/>
            <w:vAlign w:val="center"/>
          </w:tcPr>
          <w:p w14:paraId="69CE603D" w14:textId="77777777" w:rsidR="007E1249" w:rsidRPr="00FC7F1E" w:rsidRDefault="007E1249" w:rsidP="00EC5836">
            <w:pPr>
              <w:pStyle w:val="TableText0"/>
              <w:jc w:val="center"/>
            </w:pPr>
            <w:r w:rsidRPr="00FC7F1E">
              <w:t>Type II sitters to Type IIIb SMA</w:t>
            </w:r>
          </w:p>
        </w:tc>
        <w:tc>
          <w:tcPr>
            <w:tcW w:w="622" w:type="pct"/>
            <w:shd w:val="clear" w:color="auto" w:fill="auto"/>
            <w:vAlign w:val="center"/>
          </w:tcPr>
          <w:p w14:paraId="2D4EFE38" w14:textId="77777777" w:rsidR="007E1249" w:rsidRPr="00FC7F1E" w:rsidRDefault="007E1249" w:rsidP="00EC5836">
            <w:pPr>
              <w:pStyle w:val="TableText0"/>
              <w:jc w:val="center"/>
            </w:pPr>
            <w:r w:rsidRPr="00FC7F1E">
              <w:t>6MWT</w:t>
            </w:r>
          </w:p>
        </w:tc>
        <w:tc>
          <w:tcPr>
            <w:tcW w:w="939" w:type="pct"/>
            <w:shd w:val="clear" w:color="auto" w:fill="auto"/>
            <w:vAlign w:val="center"/>
          </w:tcPr>
          <w:p w14:paraId="4A7B8010" w14:textId="77777777" w:rsidR="007E1249" w:rsidRPr="00FC7F1E" w:rsidRDefault="007E1249" w:rsidP="00EC5836">
            <w:pPr>
              <w:pStyle w:val="TableText0"/>
              <w:jc w:val="center"/>
            </w:pPr>
            <w:r w:rsidRPr="00FC7F1E">
              <w:t>Not used</w:t>
            </w:r>
          </w:p>
        </w:tc>
      </w:tr>
      <w:tr w:rsidR="007E1249" w:rsidRPr="00FC7F1E" w14:paraId="6D1F70C9" w14:textId="77777777" w:rsidTr="00682BA6">
        <w:trPr>
          <w:cantSplit/>
        </w:trPr>
        <w:tc>
          <w:tcPr>
            <w:tcW w:w="713" w:type="pct"/>
            <w:shd w:val="clear" w:color="auto" w:fill="auto"/>
            <w:vAlign w:val="center"/>
          </w:tcPr>
          <w:p w14:paraId="5A5648CA" w14:textId="77777777" w:rsidR="007E1249" w:rsidRPr="00FC7F1E" w:rsidRDefault="007E1249" w:rsidP="00EC5836">
            <w:pPr>
              <w:pStyle w:val="TableText0"/>
            </w:pPr>
            <w:r w:rsidRPr="00FC7F1E">
              <w:t>Pera 2019</w:t>
            </w:r>
          </w:p>
        </w:tc>
        <w:tc>
          <w:tcPr>
            <w:tcW w:w="466" w:type="pct"/>
            <w:shd w:val="clear" w:color="auto" w:fill="auto"/>
            <w:vAlign w:val="center"/>
          </w:tcPr>
          <w:p w14:paraId="3B334D84" w14:textId="77777777" w:rsidR="007E1249" w:rsidRPr="00FC7F1E" w:rsidRDefault="007E1249" w:rsidP="00EC5836">
            <w:pPr>
              <w:pStyle w:val="TableText0"/>
              <w:jc w:val="center"/>
            </w:pPr>
            <w:r w:rsidRPr="00FC7F1E">
              <w:t>108</w:t>
            </w:r>
          </w:p>
        </w:tc>
        <w:tc>
          <w:tcPr>
            <w:tcW w:w="782" w:type="pct"/>
            <w:vMerge/>
            <w:shd w:val="clear" w:color="auto" w:fill="auto"/>
            <w:vAlign w:val="center"/>
          </w:tcPr>
          <w:p w14:paraId="3A319C84" w14:textId="77777777" w:rsidR="007E1249" w:rsidRPr="00FC7F1E" w:rsidRDefault="007E1249" w:rsidP="00EC5836">
            <w:pPr>
              <w:pStyle w:val="TableText0"/>
              <w:jc w:val="center"/>
            </w:pPr>
          </w:p>
        </w:tc>
        <w:tc>
          <w:tcPr>
            <w:tcW w:w="621" w:type="pct"/>
            <w:shd w:val="clear" w:color="auto" w:fill="auto"/>
            <w:vAlign w:val="center"/>
          </w:tcPr>
          <w:p w14:paraId="1C4E4C72" w14:textId="77777777" w:rsidR="007E1249" w:rsidRPr="00FC7F1E" w:rsidRDefault="007E1249" w:rsidP="00EC5836">
            <w:pPr>
              <w:pStyle w:val="TableText0"/>
              <w:jc w:val="center"/>
            </w:pPr>
            <w:r w:rsidRPr="00FC7F1E">
              <w:t>Not assessed</w:t>
            </w:r>
          </w:p>
        </w:tc>
        <w:tc>
          <w:tcPr>
            <w:tcW w:w="857" w:type="pct"/>
            <w:shd w:val="clear" w:color="auto" w:fill="auto"/>
            <w:vAlign w:val="center"/>
          </w:tcPr>
          <w:p w14:paraId="02D778C0" w14:textId="77777777" w:rsidR="007E1249" w:rsidRPr="00FC7F1E" w:rsidRDefault="007E1249" w:rsidP="00EC5836">
            <w:pPr>
              <w:pStyle w:val="TableText0"/>
              <w:jc w:val="center"/>
            </w:pPr>
            <w:r w:rsidRPr="00FC7F1E">
              <w:t>Type II to Type III SMA</w:t>
            </w:r>
          </w:p>
        </w:tc>
        <w:tc>
          <w:tcPr>
            <w:tcW w:w="622" w:type="pct"/>
            <w:shd w:val="clear" w:color="auto" w:fill="auto"/>
            <w:vAlign w:val="center"/>
          </w:tcPr>
          <w:p w14:paraId="1F400E3B" w14:textId="77777777" w:rsidR="007E1249" w:rsidRPr="00FC7F1E" w:rsidRDefault="007E1249" w:rsidP="007E1249">
            <w:pPr>
              <w:pStyle w:val="TableText0"/>
              <w:jc w:val="center"/>
            </w:pPr>
            <w:r w:rsidRPr="00FC7F1E">
              <w:t>RULM</w:t>
            </w:r>
          </w:p>
        </w:tc>
        <w:tc>
          <w:tcPr>
            <w:tcW w:w="939" w:type="pct"/>
            <w:shd w:val="clear" w:color="auto" w:fill="auto"/>
            <w:vAlign w:val="center"/>
          </w:tcPr>
          <w:p w14:paraId="776EB4EA" w14:textId="77777777" w:rsidR="007E1249" w:rsidRPr="00FC7F1E" w:rsidRDefault="007E1249" w:rsidP="00EC5836">
            <w:pPr>
              <w:pStyle w:val="TableText0"/>
              <w:jc w:val="center"/>
            </w:pPr>
            <w:r w:rsidRPr="00FC7F1E">
              <w:t>Not used</w:t>
            </w:r>
          </w:p>
        </w:tc>
      </w:tr>
      <w:tr w:rsidR="007E1249" w:rsidRPr="00FC7F1E" w14:paraId="447725BF" w14:textId="77777777" w:rsidTr="00682BA6">
        <w:trPr>
          <w:cantSplit/>
        </w:trPr>
        <w:tc>
          <w:tcPr>
            <w:tcW w:w="713" w:type="pct"/>
            <w:shd w:val="clear" w:color="auto" w:fill="auto"/>
            <w:vAlign w:val="center"/>
          </w:tcPr>
          <w:p w14:paraId="6A36D1EB" w14:textId="77777777" w:rsidR="007E1249" w:rsidRPr="00FC7F1E" w:rsidRDefault="007E1249" w:rsidP="00EC5836">
            <w:pPr>
              <w:pStyle w:val="TableText0"/>
            </w:pPr>
            <w:r w:rsidRPr="00FC7F1E">
              <w:t>Wadman 2018</w:t>
            </w:r>
          </w:p>
        </w:tc>
        <w:tc>
          <w:tcPr>
            <w:tcW w:w="466" w:type="pct"/>
            <w:shd w:val="clear" w:color="auto" w:fill="auto"/>
            <w:vAlign w:val="center"/>
          </w:tcPr>
          <w:p w14:paraId="54200ACC" w14:textId="77777777" w:rsidR="007E1249" w:rsidRPr="00FC7F1E" w:rsidRDefault="007E1249" w:rsidP="00EC5836">
            <w:pPr>
              <w:pStyle w:val="TableText0"/>
              <w:jc w:val="center"/>
            </w:pPr>
            <w:r w:rsidRPr="00FC7F1E">
              <w:t>180</w:t>
            </w:r>
          </w:p>
        </w:tc>
        <w:tc>
          <w:tcPr>
            <w:tcW w:w="782" w:type="pct"/>
            <w:vMerge/>
            <w:shd w:val="clear" w:color="auto" w:fill="auto"/>
            <w:vAlign w:val="center"/>
          </w:tcPr>
          <w:p w14:paraId="6C4B198F" w14:textId="77777777" w:rsidR="007E1249" w:rsidRPr="00FC7F1E" w:rsidRDefault="007E1249" w:rsidP="00EC5836">
            <w:pPr>
              <w:pStyle w:val="TableText0"/>
              <w:jc w:val="center"/>
            </w:pPr>
          </w:p>
        </w:tc>
        <w:tc>
          <w:tcPr>
            <w:tcW w:w="621" w:type="pct"/>
            <w:shd w:val="clear" w:color="auto" w:fill="auto"/>
            <w:vAlign w:val="center"/>
          </w:tcPr>
          <w:p w14:paraId="182080E8" w14:textId="77777777" w:rsidR="007E1249" w:rsidRPr="00FC7F1E" w:rsidRDefault="007E1249" w:rsidP="00EC5836">
            <w:pPr>
              <w:pStyle w:val="TableText0"/>
              <w:jc w:val="center"/>
            </w:pPr>
            <w:r w:rsidRPr="00FC7F1E">
              <w:t>Not assessed</w:t>
            </w:r>
          </w:p>
        </w:tc>
        <w:tc>
          <w:tcPr>
            <w:tcW w:w="857" w:type="pct"/>
            <w:shd w:val="clear" w:color="auto" w:fill="auto"/>
            <w:vAlign w:val="center"/>
          </w:tcPr>
          <w:p w14:paraId="31FE04CC" w14:textId="77777777" w:rsidR="007E1249" w:rsidRPr="00FC7F1E" w:rsidRDefault="007E1249" w:rsidP="00EC5836">
            <w:pPr>
              <w:pStyle w:val="TableText0"/>
              <w:jc w:val="center"/>
            </w:pPr>
            <w:r w:rsidRPr="00FC7F1E">
              <w:t>Type IIa to to Type IV SMA</w:t>
            </w:r>
          </w:p>
        </w:tc>
        <w:tc>
          <w:tcPr>
            <w:tcW w:w="622" w:type="pct"/>
            <w:shd w:val="clear" w:color="auto" w:fill="auto"/>
            <w:vAlign w:val="center"/>
          </w:tcPr>
          <w:p w14:paraId="790AC8A4" w14:textId="77777777" w:rsidR="007E1249" w:rsidRPr="00FC7F1E" w:rsidRDefault="007E1249" w:rsidP="00EC5836">
            <w:pPr>
              <w:pStyle w:val="TableText0"/>
              <w:jc w:val="center"/>
            </w:pPr>
            <w:r w:rsidRPr="00FC7F1E">
              <w:t>HFMSE</w:t>
            </w:r>
          </w:p>
        </w:tc>
        <w:tc>
          <w:tcPr>
            <w:tcW w:w="939" w:type="pct"/>
            <w:shd w:val="clear" w:color="auto" w:fill="auto"/>
            <w:vAlign w:val="center"/>
          </w:tcPr>
          <w:p w14:paraId="2DC0472C" w14:textId="77777777" w:rsidR="007E1249" w:rsidRPr="00FC7F1E" w:rsidRDefault="007E1249" w:rsidP="00EC5836">
            <w:pPr>
              <w:pStyle w:val="TableText0"/>
              <w:jc w:val="center"/>
            </w:pPr>
            <w:r w:rsidRPr="00FC7F1E">
              <w:t>Not used</w:t>
            </w:r>
          </w:p>
        </w:tc>
      </w:tr>
    </w:tbl>
    <w:p w14:paraId="29EFE429" w14:textId="77777777" w:rsidR="00045017" w:rsidRPr="00FC7F1E" w:rsidRDefault="00045017" w:rsidP="00EC5836">
      <w:pPr>
        <w:pStyle w:val="TableFigureFooter"/>
      </w:pPr>
      <w:r w:rsidRPr="00FC7F1E">
        <w:t xml:space="preserve">Source: </w:t>
      </w:r>
      <w:r w:rsidR="001D7ABE" w:rsidRPr="00FC7F1E">
        <w:t xml:space="preserve">Compiled from Section 2 of the </w:t>
      </w:r>
      <w:r w:rsidR="00CA098E" w:rsidRPr="00FC7F1E">
        <w:t>re</w:t>
      </w:r>
      <w:r w:rsidR="001D7ABE" w:rsidRPr="00FC7F1E">
        <w:t>su</w:t>
      </w:r>
      <w:r w:rsidRPr="00FC7F1E">
        <w:t>bmission.</w:t>
      </w:r>
    </w:p>
    <w:p w14:paraId="7310AF37" w14:textId="77777777" w:rsidR="00045017" w:rsidRPr="00FC7F1E" w:rsidRDefault="00A6444B" w:rsidP="00732451">
      <w:pPr>
        <w:pStyle w:val="3-BodyText"/>
      </w:pPr>
      <w:r w:rsidRPr="00FC7F1E">
        <w:t xml:space="preserve">The studies were considered to have a high risk of bias, given that they were </w:t>
      </w:r>
      <w:r w:rsidR="00330640" w:rsidRPr="00FC7F1E">
        <w:t xml:space="preserve">open label and non-comparative, non-randomised </w:t>
      </w:r>
      <w:r w:rsidR="00730FB5" w:rsidRPr="00FC7F1E">
        <w:t>studies</w:t>
      </w:r>
      <w:r w:rsidRPr="00FC7F1E">
        <w:t xml:space="preserve">. </w:t>
      </w:r>
    </w:p>
    <w:p w14:paraId="621EC544" w14:textId="77777777" w:rsidR="00E33D43" w:rsidRPr="00FC7F1E" w:rsidRDefault="00E33D43" w:rsidP="00E33D43">
      <w:pPr>
        <w:pStyle w:val="3-BodyText"/>
      </w:pPr>
      <w:r w:rsidRPr="00FC7F1E">
        <w:rPr>
          <w:snapToGrid/>
        </w:rPr>
        <w:t>The resubmission stated that it intend</w:t>
      </w:r>
      <w:r w:rsidR="00081352" w:rsidRPr="00FC7F1E">
        <w:rPr>
          <w:snapToGrid/>
        </w:rPr>
        <w:t>ed</w:t>
      </w:r>
      <w:r w:rsidRPr="00FC7F1E">
        <w:rPr>
          <w:snapToGrid/>
        </w:rPr>
        <w:t xml:space="preserve"> to submit data from </w:t>
      </w:r>
      <w:r w:rsidRPr="00FC7F1E">
        <w:rPr>
          <w:szCs w:val="32"/>
        </w:rPr>
        <w:t xml:space="preserve">a planned analysis of three prospective, multi-centre, non-randomised registries that are designed to </w:t>
      </w:r>
      <w:r w:rsidRPr="00FC7F1E">
        <w:rPr>
          <w:szCs w:val="32"/>
        </w:rPr>
        <w:lastRenderedPageBreak/>
        <w:t xml:space="preserve">collect longitudinal data on SMA patients irrespective of the treatment received. These comprise (i) SMArtCARE registry (50 neuromuscular centres across Germany, Austria, Switzerland, and anticipated to enrol 1,000 patients in the first year); (ii) International SMA Consortium Spinal Muscular Atrophy Patient Registry (ISMAR) (16 neuromuscular centres across USA, Italy, Great Britain, and has enrolled 1,041 patients); and (iii) CuidAME registry (6 neuromuscular centres across Spain, and has enrolled 54 patients). </w:t>
      </w:r>
      <w:r w:rsidRPr="00FC7F1E">
        <w:rPr>
          <w:color w:val="000000" w:themeColor="text1"/>
        </w:rPr>
        <w:t>However, this information was not provided during the evaluation</w:t>
      </w:r>
      <w:r w:rsidR="00081352" w:rsidRPr="00FC7F1E">
        <w:rPr>
          <w:color w:val="000000" w:themeColor="text1"/>
        </w:rPr>
        <w:t>,</w:t>
      </w:r>
      <w:r w:rsidR="00C83A1E" w:rsidRPr="00FC7F1E">
        <w:rPr>
          <w:color w:val="000000" w:themeColor="text1"/>
        </w:rPr>
        <w:t xml:space="preserve"> PSCR</w:t>
      </w:r>
      <w:r w:rsidR="00081352" w:rsidRPr="00FC7F1E">
        <w:rPr>
          <w:color w:val="000000" w:themeColor="text1"/>
        </w:rPr>
        <w:t xml:space="preserve"> or pre-PBAC response</w:t>
      </w:r>
      <w:r w:rsidRPr="00FC7F1E">
        <w:rPr>
          <w:color w:val="000000" w:themeColor="text1"/>
        </w:rPr>
        <w:t>.</w:t>
      </w:r>
      <w:r w:rsidRPr="00FC7F1E">
        <w:rPr>
          <w:snapToGrid/>
        </w:rPr>
        <w:t xml:space="preserve"> </w:t>
      </w:r>
    </w:p>
    <w:p w14:paraId="5182BE4F" w14:textId="77777777" w:rsidR="005156F5" w:rsidRPr="00FC7F1E" w:rsidRDefault="005156F5" w:rsidP="005156F5">
      <w:pPr>
        <w:pStyle w:val="3-BodyText"/>
      </w:pPr>
      <w:r w:rsidRPr="00FC7F1E">
        <w:t xml:space="preserve">The </w:t>
      </w:r>
      <w:r w:rsidR="00CA098E" w:rsidRPr="00FC7F1E">
        <w:t>re</w:t>
      </w:r>
      <w:r w:rsidRPr="00FC7F1E">
        <w:t xml:space="preserve">submission compared the results for the Hammersmith Functional Motor Scale-Expanded (HFMSE) from </w:t>
      </w:r>
      <w:r w:rsidR="00564A11" w:rsidRPr="00FC7F1E">
        <w:t>patients treated with nusinersen in the Hagenacker 2020 study t</w:t>
      </w:r>
      <w:r w:rsidRPr="00FC7F1E">
        <w:t>o results from Mercuri 2016</w:t>
      </w:r>
      <w:r w:rsidR="00564A11" w:rsidRPr="00FC7F1E">
        <w:t xml:space="preserve"> for untreated patients</w:t>
      </w:r>
      <w:r w:rsidR="004E40B1" w:rsidRPr="00FC7F1E">
        <w:t>, and to the results from the cross sectional study by Wadman 2018, where correlation of outcomes and age were used as a proxy for longitudinal change.</w:t>
      </w:r>
      <w:r w:rsidRPr="00FC7F1E">
        <w:t xml:space="preserve"> </w:t>
      </w:r>
    </w:p>
    <w:p w14:paraId="1FCBB92A" w14:textId="77777777" w:rsidR="00FC08CC" w:rsidRPr="00FC7F1E" w:rsidRDefault="00FC08CC" w:rsidP="00FC08CC">
      <w:pPr>
        <w:pStyle w:val="3-BodyText"/>
      </w:pPr>
      <w:r w:rsidRPr="00FC7F1E">
        <w:t xml:space="preserve">The HFMSE assesses 33 functional motor tasks such as sitting, rolling, 4-point kneeling, crawling, transitioning from floor to sitting and sitting to standing, standing with support and assistance, walking with support and assistance and stair ascent and descent. Each item HFMSE is allocated a score of 2, 1 or 0 according to pre-determined criteria (for a total score of 66). A score of 0 indicates inability to complete the task, a score of 1 meaning the task can be completed with compensation and a score of 2 meaning the task can be completed normally, without compensation. </w:t>
      </w:r>
    </w:p>
    <w:p w14:paraId="658B3947" w14:textId="77777777" w:rsidR="0051725A" w:rsidRPr="00FC7F1E" w:rsidRDefault="0051725A" w:rsidP="005156F5">
      <w:pPr>
        <w:pStyle w:val="3-BodyText"/>
      </w:pPr>
      <w:r w:rsidRPr="00FC7F1E">
        <w:t xml:space="preserve">The </w:t>
      </w:r>
      <w:r w:rsidR="00F7746A" w:rsidRPr="00FC7F1E">
        <w:t xml:space="preserve">resubmission’s </w:t>
      </w:r>
      <w:r w:rsidRPr="00FC7F1E">
        <w:t xml:space="preserve">comparison of HFMSE </w:t>
      </w:r>
      <w:r w:rsidR="00707FBD" w:rsidRPr="00FC7F1E">
        <w:t xml:space="preserve">outcomes </w:t>
      </w:r>
      <w:r w:rsidRPr="00FC7F1E">
        <w:t>was considered to have been hampered by differences between the study populations that were likely to have caused heterogeneity. This was not adequately addressed by the resubmission. In particular, as the rate of change in HFMSE appeared to be dependent on a number of factors, including</w:t>
      </w:r>
      <w:r w:rsidR="00F4304B" w:rsidRPr="00FC7F1E">
        <w:t xml:space="preserve"> the</w:t>
      </w:r>
      <w:r w:rsidRPr="00FC7F1E">
        <w:t xml:space="preserve"> type of SMA, whether the patient is ambulant/non-ambulant, and age of the patient (noted in Mercuri 2016 for non-ambulant patients), the indirect comparison was considered to be limited by the differences in regard to these variables between the nusinersen and natural history </w:t>
      </w:r>
      <w:r w:rsidR="00B24B6A" w:rsidRPr="00FC7F1E">
        <w:t>studies</w:t>
      </w:r>
      <w:r w:rsidRPr="00FC7F1E">
        <w:t xml:space="preserve">. </w:t>
      </w:r>
      <w:r w:rsidR="00F4304B" w:rsidRPr="00FC7F1E">
        <w:t>F</w:t>
      </w:r>
      <w:r w:rsidR="00076E83" w:rsidRPr="00FC7F1E">
        <w:t>or example</w:t>
      </w:r>
      <w:r w:rsidR="00F4304B" w:rsidRPr="00FC7F1E">
        <w:t>,</w:t>
      </w:r>
      <w:r w:rsidR="00076E83" w:rsidRPr="00FC7F1E">
        <w:t xml:space="preserve"> </w:t>
      </w:r>
      <w:r w:rsidR="00F4304B" w:rsidRPr="00FC7F1E">
        <w:t xml:space="preserve">Mercuri 2016 </w:t>
      </w:r>
      <w:r w:rsidR="00DA47AE" w:rsidRPr="00FC7F1E">
        <w:t>include</w:t>
      </w:r>
      <w:r w:rsidR="00076E83" w:rsidRPr="00FC7F1E">
        <w:t>d 17/30 (57%) patients with Type II SMA compared to 19/57 (33%) at the 14-month assessment point in Hagenacker 2020.</w:t>
      </w:r>
      <w:r w:rsidR="00F7746A" w:rsidRPr="00FC7F1E">
        <w:t xml:space="preserve"> Further, </w:t>
      </w:r>
      <w:r w:rsidR="00F4304B" w:rsidRPr="00FC7F1E">
        <w:t>25.4% of patients in Mercuri 2016 were</w:t>
      </w:r>
      <w:r w:rsidR="00DA47AE" w:rsidRPr="00FC7F1E">
        <w:t xml:space="preserve"> </w:t>
      </w:r>
      <w:r w:rsidR="00F4304B" w:rsidRPr="00FC7F1E">
        <w:t xml:space="preserve">ambulant compared to </w:t>
      </w:r>
      <w:r w:rsidR="00DA47AE" w:rsidRPr="00FC7F1E">
        <w:t>37.7% in Hagenacker 2020 at the 14-month assessment point.</w:t>
      </w:r>
    </w:p>
    <w:p w14:paraId="29213B66" w14:textId="77777777" w:rsidR="004825A0" w:rsidRPr="00FC7F1E" w:rsidRDefault="00707FBD" w:rsidP="005156F5">
      <w:pPr>
        <w:pStyle w:val="3-BodyText"/>
      </w:pPr>
      <w:r w:rsidRPr="00FC7F1E">
        <w:t>I</w:t>
      </w:r>
      <w:r w:rsidR="00E66161" w:rsidRPr="00FC7F1E">
        <w:t>n t</w:t>
      </w:r>
      <w:r w:rsidR="004825A0" w:rsidRPr="00FC7F1E">
        <w:t>he Wadman 2018 natural history study</w:t>
      </w:r>
      <w:r w:rsidR="004E40B1" w:rsidRPr="00FC7F1E">
        <w:t xml:space="preserve">, </w:t>
      </w:r>
      <w:r w:rsidR="004825A0" w:rsidRPr="00FC7F1E">
        <w:t>a ceiling effect</w:t>
      </w:r>
      <w:r w:rsidR="00CA098E" w:rsidRPr="00FC7F1E">
        <w:t xml:space="preserve"> </w:t>
      </w:r>
      <w:r w:rsidR="00E66161" w:rsidRPr="00FC7F1E">
        <w:t xml:space="preserve">was observed </w:t>
      </w:r>
      <w:r w:rsidR="004825A0" w:rsidRPr="00FC7F1E">
        <w:t>for HFMSE in patients with Type III SMA and a floor effect for SMA Types Ic and II, suggesting that the HFMSE is not well able to detect small changes in functional abilities in patients with low or with high HFMSE scores.</w:t>
      </w:r>
    </w:p>
    <w:p w14:paraId="7AF09364" w14:textId="77777777" w:rsidR="005156F5" w:rsidRPr="00FC7F1E" w:rsidRDefault="00BF00C9" w:rsidP="005156F5">
      <w:pPr>
        <w:pStyle w:val="3-BodyText"/>
      </w:pPr>
      <w:r w:rsidRPr="00FC7F1E">
        <w:t>While t</w:t>
      </w:r>
      <w:r w:rsidR="005156F5" w:rsidRPr="00FC7F1E">
        <w:t xml:space="preserve">he </w:t>
      </w:r>
      <w:r w:rsidR="00CA098E" w:rsidRPr="00FC7F1E">
        <w:t>re</w:t>
      </w:r>
      <w:r w:rsidR="005156F5" w:rsidRPr="00FC7F1E">
        <w:t>submission did not specifically define a minimum clinically important difference (MCID)</w:t>
      </w:r>
      <w:r w:rsidRPr="00FC7F1E">
        <w:t xml:space="preserve">, it </w:t>
      </w:r>
      <w:r w:rsidR="005156F5" w:rsidRPr="00FC7F1E">
        <w:t>stated that a meaningful change in the HFMSE was considered to be at least a 3</w:t>
      </w:r>
      <w:r w:rsidR="00CA098E" w:rsidRPr="00FC7F1E">
        <w:t>-</w:t>
      </w:r>
      <w:r w:rsidR="005156F5" w:rsidRPr="00FC7F1E">
        <w:t xml:space="preserve">point change from baseline. In its consideration of nusinersen in March 2018, the PBAC considered “that mean improvement in HFMSE score of 3.9 points in the nusinersen treatment arm of the CHERISH trial compared to a decline of -1.0 </w:t>
      </w:r>
      <w:r w:rsidR="005156F5" w:rsidRPr="00FC7F1E">
        <w:lastRenderedPageBreak/>
        <w:t xml:space="preserve">points in the sham-control arm may be clinically meaningful” (PBAC </w:t>
      </w:r>
      <w:r w:rsidR="0051059A">
        <w:t>Public Summary Document (</w:t>
      </w:r>
      <w:r w:rsidR="005156F5" w:rsidRPr="00FC7F1E">
        <w:t>PSD</w:t>
      </w:r>
      <w:r w:rsidR="0051059A">
        <w:t>)</w:t>
      </w:r>
      <w:r w:rsidR="005156F5" w:rsidRPr="00FC7F1E">
        <w:t>, March 2018, para 5.13), and that a stable HFMSE score may also be meaningful to patients (PBAC PSD, March 2018, para 6.5).</w:t>
      </w:r>
    </w:p>
    <w:p w14:paraId="7A534D46" w14:textId="56035226" w:rsidR="00A345CC" w:rsidRPr="00FC7F1E" w:rsidRDefault="005156F5" w:rsidP="00A345CC">
      <w:pPr>
        <w:pStyle w:val="3-BodyText"/>
      </w:pPr>
      <w:r w:rsidRPr="00FC7F1E">
        <w:t xml:space="preserve">The </w:t>
      </w:r>
      <w:r w:rsidR="00CA098E" w:rsidRPr="00FC7F1E">
        <w:t>re</w:t>
      </w:r>
      <w:r w:rsidRPr="00FC7F1E">
        <w:t xml:space="preserve">submission </w:t>
      </w:r>
      <w:r w:rsidR="00CC35E1" w:rsidRPr="00FC7F1E">
        <w:t xml:space="preserve">also </w:t>
      </w:r>
      <w:r w:rsidRPr="00FC7F1E">
        <w:t xml:space="preserve">compared the results </w:t>
      </w:r>
      <w:r w:rsidR="004A0A73" w:rsidRPr="00FC7F1E">
        <w:t xml:space="preserve">for nusinersen treated patients in </w:t>
      </w:r>
      <w:r w:rsidRPr="00FC7F1E">
        <w:t xml:space="preserve">Hagenacker 2020 to </w:t>
      </w:r>
      <w:r w:rsidR="004A0A73" w:rsidRPr="00FC7F1E">
        <w:t xml:space="preserve">those for untreated patients in </w:t>
      </w:r>
      <w:r w:rsidRPr="00FC7F1E">
        <w:t xml:space="preserve">Pera 2019 in relation to </w:t>
      </w:r>
      <w:r w:rsidR="00A345CC" w:rsidRPr="00FC7F1E">
        <w:t>the Revised Upper Limb Module (</w:t>
      </w:r>
      <w:r w:rsidRPr="00FC7F1E">
        <w:t>RULM</w:t>
      </w:r>
      <w:r w:rsidR="00A345CC" w:rsidRPr="00FC7F1E">
        <w:t>) test</w:t>
      </w:r>
      <w:r w:rsidRPr="00FC7F1E">
        <w:t>. The R</w:t>
      </w:r>
      <w:r w:rsidR="00A345CC" w:rsidRPr="00FC7F1E">
        <w:t xml:space="preserve">ULM test is an outcome measure specifically developed to assess upper limb functional abilities in SMA patients. The test assesses important aspects of upper limb function including the ability to drink from a cup, lift weighted items to and above shoulder level, drawing, opening containers, switching on lights and reaching and manipulation. Items are scored either 0, 1 or 2 as per the HFMSE. The total score ranges from 0 to 37 with higher scores indicating greater functional abilities. While an MCID for the RULM is yet to be determined in SMA, the </w:t>
      </w:r>
      <w:r w:rsidR="00CA098E" w:rsidRPr="00FC7F1E">
        <w:t>re</w:t>
      </w:r>
      <w:r w:rsidR="00A345CC" w:rsidRPr="00FC7F1E">
        <w:t>submission stated that a +/- 2-point change has been previously considered clinically meaningful (Sivo 2015</w:t>
      </w:r>
      <w:r w:rsidR="00422346">
        <w:rPr>
          <w:rStyle w:val="FootnoteReference"/>
        </w:rPr>
        <w:footnoteReference w:id="8"/>
      </w:r>
      <w:r w:rsidR="00A345CC" w:rsidRPr="00FC7F1E">
        <w:t xml:space="preserve">). </w:t>
      </w:r>
    </w:p>
    <w:p w14:paraId="68C870A3" w14:textId="77777777" w:rsidR="005156F5" w:rsidRPr="00FC7F1E" w:rsidRDefault="005156F5" w:rsidP="00732451">
      <w:pPr>
        <w:pStyle w:val="3-BodyText"/>
      </w:pPr>
      <w:r w:rsidRPr="00FC7F1E">
        <w:t xml:space="preserve">The </w:t>
      </w:r>
      <w:r w:rsidR="00CA098E" w:rsidRPr="00FC7F1E">
        <w:t>re</w:t>
      </w:r>
      <w:r w:rsidRPr="00FC7F1E">
        <w:t xml:space="preserve">submission </w:t>
      </w:r>
      <w:r w:rsidR="00716924" w:rsidRPr="00FC7F1E">
        <w:t>additionally</w:t>
      </w:r>
      <w:r w:rsidRPr="00FC7F1E">
        <w:t xml:space="preserve"> compared the results </w:t>
      </w:r>
      <w:r w:rsidR="00587526" w:rsidRPr="00FC7F1E">
        <w:t>for nusinersen treated patients in Hagenacker 2020 to those for untreated patients in</w:t>
      </w:r>
      <w:r w:rsidRPr="00FC7F1E">
        <w:t xml:space="preserve"> </w:t>
      </w:r>
      <w:r w:rsidR="004C4471" w:rsidRPr="00FC7F1E">
        <w:t>Montes 2018</w:t>
      </w:r>
      <w:r w:rsidRPr="00FC7F1E">
        <w:t xml:space="preserve"> in relation to the </w:t>
      </w:r>
      <w:r w:rsidR="00FC08CC" w:rsidRPr="00FC7F1E">
        <w:t>six-minute walk test (</w:t>
      </w:r>
      <w:r w:rsidRPr="00FC7F1E">
        <w:t>6MWT</w:t>
      </w:r>
      <w:r w:rsidR="00FC08CC" w:rsidRPr="00FC7F1E">
        <w:t>)</w:t>
      </w:r>
      <w:r w:rsidRPr="00FC7F1E">
        <w:t xml:space="preserve">. The 6MWT measures </w:t>
      </w:r>
      <w:r w:rsidR="004C4471" w:rsidRPr="00FC7F1E">
        <w:t>the distance in metres that a patient can walk in 6 minutes</w:t>
      </w:r>
      <w:r w:rsidRPr="00FC7F1E">
        <w:t xml:space="preserve">. </w:t>
      </w:r>
      <w:r w:rsidR="00F25B01" w:rsidRPr="00FC7F1E">
        <w:t xml:space="preserve">The </w:t>
      </w:r>
      <w:r w:rsidR="00F61FEB" w:rsidRPr="00FC7F1E">
        <w:t>re</w:t>
      </w:r>
      <w:r w:rsidR="00F25B01" w:rsidRPr="00FC7F1E">
        <w:t>submission stated that a previously established MCID was 30</w:t>
      </w:r>
      <w:r w:rsidR="00FC08CC" w:rsidRPr="00FC7F1E">
        <w:t xml:space="preserve"> </w:t>
      </w:r>
      <w:r w:rsidR="00F25B01" w:rsidRPr="00FC7F1E">
        <w:t>m</w:t>
      </w:r>
      <w:r w:rsidR="00FC08CC" w:rsidRPr="00FC7F1E">
        <w:t>etres</w:t>
      </w:r>
      <w:r w:rsidR="00F25B01" w:rsidRPr="00FC7F1E">
        <w:t xml:space="preserve"> in patients with Duchenne Muscular Dys</w:t>
      </w:r>
      <w:r w:rsidR="005A131C" w:rsidRPr="00FC7F1E">
        <w:t>trophy, based on McDonald 2010.</w:t>
      </w:r>
    </w:p>
    <w:p w14:paraId="6C9600F1" w14:textId="77777777" w:rsidR="00D7191B" w:rsidRPr="00FC7F1E" w:rsidRDefault="007E5794" w:rsidP="00A46885">
      <w:pPr>
        <w:pStyle w:val="3-BodyText"/>
      </w:pPr>
      <w:r w:rsidRPr="00FC7F1E">
        <w:t xml:space="preserve">The ESC considered that the importance of these outcomes </w:t>
      </w:r>
      <w:r w:rsidR="00E12CDC" w:rsidRPr="00FC7F1E">
        <w:t>(</w:t>
      </w:r>
      <w:r w:rsidRPr="00FC7F1E">
        <w:t xml:space="preserve">and </w:t>
      </w:r>
      <w:r w:rsidR="00B60B0E" w:rsidRPr="00FC7F1E">
        <w:t xml:space="preserve">the relevance of </w:t>
      </w:r>
      <w:r w:rsidRPr="00FC7F1E">
        <w:t>changes in these scores</w:t>
      </w:r>
      <w:r w:rsidR="00E12CDC" w:rsidRPr="00FC7F1E">
        <w:t>)</w:t>
      </w:r>
      <w:r w:rsidRPr="00FC7F1E">
        <w:t xml:space="preserve"> in terms of clinically meaningful benefits </w:t>
      </w:r>
      <w:r w:rsidR="004A1C69" w:rsidRPr="00FC7F1E">
        <w:t>for</w:t>
      </w:r>
      <w:r w:rsidRPr="00FC7F1E">
        <w:t xml:space="preserve"> adult patients with SMA was unclear. The ESC </w:t>
      </w:r>
      <w:r w:rsidR="006529E0" w:rsidRPr="00FC7F1E">
        <w:t>considered that it was unclear wh</w:t>
      </w:r>
      <w:r w:rsidR="00B60B0E" w:rsidRPr="00FC7F1E">
        <w:t>ich</w:t>
      </w:r>
      <w:r w:rsidR="006529E0" w:rsidRPr="00FC7F1E">
        <w:t xml:space="preserve"> motor changes impact quality of life in adults and </w:t>
      </w:r>
      <w:r w:rsidRPr="00FC7F1E">
        <w:t xml:space="preserve">noted that consumer preferences tended to be around maintenance of upper limb function </w:t>
      </w:r>
      <w:r w:rsidR="00235F54" w:rsidRPr="00FC7F1E">
        <w:t>(</w:t>
      </w:r>
      <w:r w:rsidRPr="00FC7F1E">
        <w:t>e.g. for basic self-care, using devices, steering a wheel chair</w:t>
      </w:r>
      <w:r w:rsidR="00235F54" w:rsidRPr="00FC7F1E">
        <w:t xml:space="preserve">) and that, for many </w:t>
      </w:r>
      <w:r w:rsidR="007808E8" w:rsidRPr="00FC7F1E">
        <w:t xml:space="preserve">non-ambulant </w:t>
      </w:r>
      <w:r w:rsidR="00235F54" w:rsidRPr="00FC7F1E">
        <w:t xml:space="preserve">patients, </w:t>
      </w:r>
      <w:r w:rsidR="007808E8" w:rsidRPr="00FC7F1E">
        <w:t>mobility in terms of transfer movements in and out of chairs was clinically meaningful</w:t>
      </w:r>
      <w:r w:rsidR="00235F54" w:rsidRPr="00FC7F1E">
        <w:t>.</w:t>
      </w:r>
      <w:r w:rsidR="00354D52" w:rsidRPr="00FC7F1E">
        <w:t xml:space="preserve"> </w:t>
      </w:r>
      <w:r w:rsidR="00A46885" w:rsidRPr="00FC7F1E">
        <w:t xml:space="preserve">The specialist who presented at the hearing stated that critical functions in adult patients include </w:t>
      </w:r>
      <w:r w:rsidR="00B326A5" w:rsidRPr="00FC7F1E">
        <w:t>the ability to t</w:t>
      </w:r>
      <w:r w:rsidR="00B326A5" w:rsidRPr="00FC7F1E">
        <w:rPr>
          <w:bCs/>
        </w:rPr>
        <w:t xml:space="preserve">ransfer, feed, wash, use the restroom and get dressed on their own, </w:t>
      </w:r>
      <w:r w:rsidR="00A46885" w:rsidRPr="00FC7F1E">
        <w:t xml:space="preserve">and </w:t>
      </w:r>
      <w:r w:rsidR="00B326A5" w:rsidRPr="00FC7F1E">
        <w:t xml:space="preserve">indicated that some of the </w:t>
      </w:r>
      <w:r w:rsidR="00A46885" w:rsidRPr="00FC7F1E">
        <w:t>items measured on the HFMSE scale relate to these critical functions. The PBAC considered that s</w:t>
      </w:r>
      <w:r w:rsidR="00354D52" w:rsidRPr="00FC7F1E">
        <w:t>pecialist clinical input may be required to better understand the clinical significance of the outcomes in adults.</w:t>
      </w:r>
    </w:p>
    <w:p w14:paraId="51AF14B0" w14:textId="77777777" w:rsidR="000A7775" w:rsidRPr="00FC7F1E" w:rsidRDefault="000A7775" w:rsidP="000A7775">
      <w:pPr>
        <w:pStyle w:val="3-BodyText"/>
      </w:pPr>
      <w:r w:rsidRPr="00FC7F1E">
        <w:t>The pre-PBAC response stated that the main goal of treatment is stabilisation of disease and maintenance of motor function, and that a stable HFMSE score is also meaningful to patients.</w:t>
      </w:r>
    </w:p>
    <w:p w14:paraId="44B97695" w14:textId="77777777" w:rsidR="00B60939" w:rsidRPr="00FC7F1E" w:rsidRDefault="00B60939" w:rsidP="00EC5836">
      <w:pPr>
        <w:pStyle w:val="4-SubsectionHeading"/>
      </w:pPr>
      <w:bookmarkStart w:id="18" w:name="_Toc22897641"/>
      <w:bookmarkStart w:id="19" w:name="_Toc50701418"/>
      <w:r w:rsidRPr="00FC7F1E">
        <w:lastRenderedPageBreak/>
        <w:t>Comparative effectiveness</w:t>
      </w:r>
      <w:bookmarkEnd w:id="18"/>
      <w:bookmarkEnd w:id="19"/>
    </w:p>
    <w:p w14:paraId="1A071962" w14:textId="77777777" w:rsidR="00F6764B" w:rsidRPr="00FC7F1E" w:rsidRDefault="00761527" w:rsidP="00761527">
      <w:pPr>
        <w:pStyle w:val="3-BodyText"/>
      </w:pPr>
      <w:r w:rsidRPr="00FC7F1E">
        <w:t xml:space="preserve">For the outcome of HFMSE, the </w:t>
      </w:r>
      <w:r w:rsidR="00F6764B" w:rsidRPr="00FC7F1E">
        <w:t xml:space="preserve">results from Hagenacker 2020 are presented in </w:t>
      </w:r>
      <w:r w:rsidR="00CA098E" w:rsidRPr="00FC7F1E">
        <w:t xml:space="preserve">Table </w:t>
      </w:r>
      <w:r w:rsidR="00AA3F5F" w:rsidRPr="00FC7F1E">
        <w:t>6</w:t>
      </w:r>
      <w:r w:rsidR="00F6764B" w:rsidRPr="00FC7F1E">
        <w:t xml:space="preserve">. </w:t>
      </w:r>
    </w:p>
    <w:p w14:paraId="1D65839E" w14:textId="77777777" w:rsidR="00F6764B" w:rsidRPr="00FC7F1E" w:rsidRDefault="00CA098E" w:rsidP="00B60B0E">
      <w:pPr>
        <w:keepNext/>
        <w:keepLines/>
        <w:rPr>
          <w:rFonts w:ascii="Arial Narrow" w:hAnsi="Arial Narrow"/>
          <w:b/>
          <w:sz w:val="20"/>
          <w:szCs w:val="20"/>
        </w:rPr>
      </w:pPr>
      <w:bookmarkStart w:id="20" w:name="_Ref49225617"/>
      <w:r w:rsidRPr="00FC7F1E">
        <w:rPr>
          <w:rFonts w:ascii="Arial Narrow" w:hAnsi="Arial Narrow"/>
          <w:b/>
          <w:sz w:val="20"/>
          <w:szCs w:val="20"/>
        </w:rPr>
        <w:t xml:space="preserve">Table </w:t>
      </w:r>
      <w:bookmarkEnd w:id="20"/>
      <w:r w:rsidR="00AA3F5F" w:rsidRPr="00FC7F1E">
        <w:rPr>
          <w:rFonts w:ascii="Arial Narrow" w:hAnsi="Arial Narrow"/>
          <w:b/>
          <w:sz w:val="20"/>
          <w:szCs w:val="20"/>
        </w:rPr>
        <w:t>6</w:t>
      </w:r>
      <w:r w:rsidR="00F6764B" w:rsidRPr="00FC7F1E">
        <w:rPr>
          <w:rFonts w:ascii="Arial Narrow" w:hAnsi="Arial Narrow"/>
          <w:b/>
          <w:sz w:val="20"/>
          <w:szCs w:val="20"/>
        </w:rPr>
        <w:t>: Change in HFMSE over the study period in Hagenacker 2020</w:t>
      </w:r>
    </w:p>
    <w:tbl>
      <w:tblPr>
        <w:tblStyle w:val="ASDTable5"/>
        <w:tblW w:w="9067" w:type="dxa"/>
        <w:tblLayout w:type="fixed"/>
        <w:tblLook w:val="0620" w:firstRow="1" w:lastRow="0" w:firstColumn="0" w:lastColumn="0" w:noHBand="1" w:noVBand="1"/>
        <w:tblCaption w:val="Table 6: Change in HFMSE over the study period in Hagenacker 2020"/>
      </w:tblPr>
      <w:tblGrid>
        <w:gridCol w:w="2997"/>
        <w:gridCol w:w="2023"/>
        <w:gridCol w:w="2023"/>
        <w:gridCol w:w="2024"/>
      </w:tblGrid>
      <w:tr w:rsidR="00F6764B" w:rsidRPr="00FC7F1E" w14:paraId="57970F1C" w14:textId="77777777" w:rsidTr="00991867">
        <w:trPr>
          <w:tblHeader/>
        </w:trPr>
        <w:tc>
          <w:tcPr>
            <w:tcW w:w="2997" w:type="dxa"/>
            <w:shd w:val="clear" w:color="auto" w:fill="FFFFFF" w:themeFill="background1"/>
          </w:tcPr>
          <w:p w14:paraId="5A771505" w14:textId="77777777" w:rsidR="00F6764B" w:rsidRPr="00FC7F1E" w:rsidRDefault="00F6764B" w:rsidP="00B60B0E">
            <w:pPr>
              <w:keepNext/>
              <w:keepLines/>
              <w:spacing w:before="20" w:after="20"/>
              <w:jc w:val="left"/>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 xml:space="preserve">HFMSE </w:t>
            </w:r>
          </w:p>
        </w:tc>
        <w:tc>
          <w:tcPr>
            <w:tcW w:w="2023" w:type="dxa"/>
            <w:shd w:val="clear" w:color="auto" w:fill="FFFFFF" w:themeFill="background1"/>
          </w:tcPr>
          <w:p w14:paraId="256E4BBE" w14:textId="77777777" w:rsidR="00F6764B" w:rsidRPr="00FC7F1E" w:rsidRDefault="00F6764B" w:rsidP="00B60B0E">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6 months</w:t>
            </w:r>
          </w:p>
        </w:tc>
        <w:tc>
          <w:tcPr>
            <w:tcW w:w="2023" w:type="dxa"/>
            <w:shd w:val="clear" w:color="auto" w:fill="FFFFFF" w:themeFill="background1"/>
          </w:tcPr>
          <w:p w14:paraId="135C7338" w14:textId="77777777" w:rsidR="00F6764B" w:rsidRPr="00FC7F1E" w:rsidRDefault="00F6764B" w:rsidP="00B60B0E">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10 months</w:t>
            </w:r>
          </w:p>
        </w:tc>
        <w:tc>
          <w:tcPr>
            <w:tcW w:w="2024" w:type="dxa"/>
            <w:shd w:val="clear" w:color="auto" w:fill="FFFFFF" w:themeFill="background1"/>
          </w:tcPr>
          <w:p w14:paraId="5CBCF1DA" w14:textId="77777777" w:rsidR="00F6764B" w:rsidRPr="00FC7F1E" w:rsidRDefault="00F6764B" w:rsidP="00B60B0E">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14 months</w:t>
            </w:r>
          </w:p>
        </w:tc>
      </w:tr>
      <w:tr w:rsidR="00F6764B" w:rsidRPr="00FC7F1E" w14:paraId="6902F1DB" w14:textId="77777777" w:rsidTr="00991867">
        <w:tc>
          <w:tcPr>
            <w:tcW w:w="2997" w:type="dxa"/>
            <w:shd w:val="clear" w:color="auto" w:fill="FFFFFF" w:themeFill="background1"/>
          </w:tcPr>
          <w:p w14:paraId="592B99FC" w14:textId="77777777" w:rsidR="00F6764B" w:rsidRPr="00FC7F1E" w:rsidRDefault="00F6764B" w:rsidP="00B60B0E">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N</w:t>
            </w:r>
          </w:p>
        </w:tc>
        <w:tc>
          <w:tcPr>
            <w:tcW w:w="2023" w:type="dxa"/>
            <w:shd w:val="clear" w:color="auto" w:fill="FFFFFF" w:themeFill="background1"/>
          </w:tcPr>
          <w:p w14:paraId="78BF3934"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124</w:t>
            </w:r>
          </w:p>
        </w:tc>
        <w:tc>
          <w:tcPr>
            <w:tcW w:w="2023" w:type="dxa"/>
            <w:shd w:val="clear" w:color="auto" w:fill="FFFFFF" w:themeFill="background1"/>
          </w:tcPr>
          <w:p w14:paraId="5B0265DE"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92</w:t>
            </w:r>
          </w:p>
        </w:tc>
        <w:tc>
          <w:tcPr>
            <w:tcW w:w="2024" w:type="dxa"/>
            <w:shd w:val="clear" w:color="auto" w:fill="FFFFFF" w:themeFill="background1"/>
          </w:tcPr>
          <w:p w14:paraId="060AD7BC"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57</w:t>
            </w:r>
          </w:p>
        </w:tc>
      </w:tr>
      <w:tr w:rsidR="00F6764B" w:rsidRPr="00FC7F1E" w14:paraId="56526C71" w14:textId="77777777" w:rsidTr="00991867">
        <w:tc>
          <w:tcPr>
            <w:tcW w:w="2997" w:type="dxa"/>
            <w:shd w:val="clear" w:color="auto" w:fill="FFFFFF" w:themeFill="background1"/>
          </w:tcPr>
          <w:p w14:paraId="31053EFE" w14:textId="77777777" w:rsidR="00F6764B" w:rsidRPr="00FC7F1E" w:rsidRDefault="00F6764B" w:rsidP="00B60B0E">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Mean score (SD)</w:t>
            </w:r>
          </w:p>
        </w:tc>
        <w:tc>
          <w:tcPr>
            <w:tcW w:w="2023" w:type="dxa"/>
            <w:shd w:val="clear" w:color="auto" w:fill="FFFFFF" w:themeFill="background1"/>
          </w:tcPr>
          <w:p w14:paraId="314E6759"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22.47 (22.41)</w:t>
            </w:r>
          </w:p>
        </w:tc>
        <w:tc>
          <w:tcPr>
            <w:tcW w:w="2023" w:type="dxa"/>
            <w:shd w:val="clear" w:color="auto" w:fill="FFFFFF" w:themeFill="background1"/>
          </w:tcPr>
          <w:p w14:paraId="27DF8957"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25.52 (22.97)</w:t>
            </w:r>
          </w:p>
        </w:tc>
        <w:tc>
          <w:tcPr>
            <w:tcW w:w="2024" w:type="dxa"/>
            <w:shd w:val="clear" w:color="auto" w:fill="FFFFFF" w:themeFill="background1"/>
          </w:tcPr>
          <w:p w14:paraId="45A49770"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27.77 (23.47)</w:t>
            </w:r>
          </w:p>
        </w:tc>
      </w:tr>
      <w:tr w:rsidR="00F6764B" w:rsidRPr="00FC7F1E" w14:paraId="7997B850" w14:textId="77777777" w:rsidTr="00991867">
        <w:tc>
          <w:tcPr>
            <w:tcW w:w="2997" w:type="dxa"/>
            <w:shd w:val="clear" w:color="auto" w:fill="FFFFFF" w:themeFill="background1"/>
          </w:tcPr>
          <w:p w14:paraId="33171334" w14:textId="77777777" w:rsidR="00F6764B" w:rsidRPr="00FC7F1E" w:rsidRDefault="00F6764B" w:rsidP="00B60B0E">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Mean difference vs baseline (95%CI)</w:t>
            </w:r>
          </w:p>
        </w:tc>
        <w:tc>
          <w:tcPr>
            <w:tcW w:w="2023" w:type="dxa"/>
            <w:shd w:val="clear" w:color="auto" w:fill="FFFFFF" w:themeFill="background1"/>
          </w:tcPr>
          <w:p w14:paraId="174877CD"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1.73 (1.05 - 2.41)</w:t>
            </w:r>
          </w:p>
        </w:tc>
        <w:tc>
          <w:tcPr>
            <w:tcW w:w="2023" w:type="dxa"/>
            <w:shd w:val="clear" w:color="auto" w:fill="FFFFFF" w:themeFill="background1"/>
          </w:tcPr>
          <w:p w14:paraId="5228B901"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2.58 (1.76 - 3.39)</w:t>
            </w:r>
          </w:p>
        </w:tc>
        <w:tc>
          <w:tcPr>
            <w:tcW w:w="2024" w:type="dxa"/>
            <w:shd w:val="clear" w:color="auto" w:fill="FFFFFF" w:themeFill="background1"/>
          </w:tcPr>
          <w:p w14:paraId="7F4E4AC7"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3.12 (2.06–4.19)</w:t>
            </w:r>
          </w:p>
        </w:tc>
      </w:tr>
      <w:tr w:rsidR="00F6764B" w:rsidRPr="00FC7F1E" w14:paraId="41A06591" w14:textId="77777777" w:rsidTr="00991867">
        <w:tc>
          <w:tcPr>
            <w:tcW w:w="2997" w:type="dxa"/>
            <w:shd w:val="clear" w:color="auto" w:fill="FFFFFF" w:themeFill="background1"/>
          </w:tcPr>
          <w:p w14:paraId="4C86D75D" w14:textId="77777777" w:rsidR="00F6764B" w:rsidRPr="00FC7F1E" w:rsidRDefault="00F6764B" w:rsidP="00B60B0E">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P-value</w:t>
            </w:r>
          </w:p>
        </w:tc>
        <w:tc>
          <w:tcPr>
            <w:tcW w:w="2023" w:type="dxa"/>
            <w:shd w:val="clear" w:color="auto" w:fill="FFFFFF" w:themeFill="background1"/>
          </w:tcPr>
          <w:p w14:paraId="6C00DFD4"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&lt;0·0001</w:t>
            </w:r>
          </w:p>
        </w:tc>
        <w:tc>
          <w:tcPr>
            <w:tcW w:w="2023" w:type="dxa"/>
            <w:shd w:val="clear" w:color="auto" w:fill="FFFFFF" w:themeFill="background1"/>
          </w:tcPr>
          <w:p w14:paraId="7897A812"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&lt;0·0001</w:t>
            </w:r>
          </w:p>
        </w:tc>
        <w:tc>
          <w:tcPr>
            <w:tcW w:w="2024" w:type="dxa"/>
            <w:shd w:val="clear" w:color="auto" w:fill="FFFFFF" w:themeFill="background1"/>
          </w:tcPr>
          <w:p w14:paraId="6D17B5A5"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&lt;0·0001</w:t>
            </w:r>
          </w:p>
        </w:tc>
      </w:tr>
      <w:tr w:rsidR="00F6764B" w:rsidRPr="00FC7F1E" w14:paraId="2518B493" w14:textId="77777777" w:rsidTr="00991867">
        <w:tc>
          <w:tcPr>
            <w:tcW w:w="2997" w:type="dxa"/>
            <w:shd w:val="clear" w:color="auto" w:fill="FFFFFF" w:themeFill="background1"/>
          </w:tcPr>
          <w:p w14:paraId="4165316F" w14:textId="77777777" w:rsidR="00F6764B" w:rsidRPr="00FC7F1E" w:rsidRDefault="00F6764B" w:rsidP="00B60B0E">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Analysis of change</w:t>
            </w:r>
          </w:p>
        </w:tc>
        <w:tc>
          <w:tcPr>
            <w:tcW w:w="2023" w:type="dxa"/>
            <w:shd w:val="clear" w:color="auto" w:fill="FFFFFF" w:themeFill="background1"/>
          </w:tcPr>
          <w:p w14:paraId="62264D48"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p>
        </w:tc>
        <w:tc>
          <w:tcPr>
            <w:tcW w:w="2023" w:type="dxa"/>
            <w:shd w:val="clear" w:color="auto" w:fill="FFFFFF" w:themeFill="background1"/>
          </w:tcPr>
          <w:p w14:paraId="726FBAD0"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p>
        </w:tc>
        <w:tc>
          <w:tcPr>
            <w:tcW w:w="2024" w:type="dxa"/>
            <w:shd w:val="clear" w:color="auto" w:fill="FFFFFF" w:themeFill="background1"/>
          </w:tcPr>
          <w:p w14:paraId="435EC0D6"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p>
        </w:tc>
      </w:tr>
      <w:tr w:rsidR="00F6764B" w:rsidRPr="00FC7F1E" w14:paraId="376996B8" w14:textId="77777777" w:rsidTr="00991867">
        <w:tc>
          <w:tcPr>
            <w:tcW w:w="2997" w:type="dxa"/>
            <w:shd w:val="clear" w:color="auto" w:fill="FFFFFF" w:themeFill="background1"/>
          </w:tcPr>
          <w:p w14:paraId="3FD43548" w14:textId="77777777" w:rsidR="00F6764B" w:rsidRPr="00FC7F1E" w:rsidRDefault="00F6764B" w:rsidP="00B60B0E">
            <w:pPr>
              <w:keepNext/>
              <w:keepLines/>
              <w:spacing w:before="20" w:after="20"/>
              <w:jc w:val="left"/>
              <w:rPr>
                <w:rFonts w:ascii="Arial Narrow" w:eastAsia="TimesNewRoman" w:hAnsi="Arial Narrow" w:cs="Times New Roman"/>
                <w:color w:val="000000"/>
                <w:sz w:val="20"/>
                <w:szCs w:val="20"/>
              </w:rPr>
            </w:pPr>
            <w:r w:rsidRPr="00FC7F1E">
              <w:rPr>
                <w:rFonts w:ascii="Times New Roman" w:eastAsia="TimesNewRoman" w:hAnsi="Times New Roman" w:cs="Times New Roman"/>
                <w:color w:val="000000"/>
                <w:sz w:val="20"/>
                <w:szCs w:val="20"/>
              </w:rPr>
              <w:t>≥</w:t>
            </w:r>
            <w:r w:rsidRPr="00FC7F1E">
              <w:rPr>
                <w:rFonts w:ascii="Arial Narrow" w:eastAsia="TimesNewRoman" w:hAnsi="Arial Narrow" w:cs="Times New Roman"/>
                <w:color w:val="000000"/>
                <w:sz w:val="20"/>
                <w:szCs w:val="20"/>
              </w:rPr>
              <w:t>3 point increase</w:t>
            </w:r>
          </w:p>
        </w:tc>
        <w:tc>
          <w:tcPr>
            <w:tcW w:w="2023" w:type="dxa"/>
            <w:shd w:val="clear" w:color="auto" w:fill="FFFFFF" w:themeFill="background1"/>
          </w:tcPr>
          <w:p w14:paraId="4B0CE8BE"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35 (28.2%)</w:t>
            </w:r>
          </w:p>
        </w:tc>
        <w:tc>
          <w:tcPr>
            <w:tcW w:w="2023" w:type="dxa"/>
            <w:shd w:val="clear" w:color="auto" w:fill="FFFFFF" w:themeFill="background1"/>
          </w:tcPr>
          <w:p w14:paraId="494995D8"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33 (35.9%)</w:t>
            </w:r>
          </w:p>
        </w:tc>
        <w:tc>
          <w:tcPr>
            <w:tcW w:w="2024" w:type="dxa"/>
            <w:shd w:val="clear" w:color="auto" w:fill="FFFFFF" w:themeFill="background1"/>
          </w:tcPr>
          <w:p w14:paraId="27064AA0"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23 (40.4%)</w:t>
            </w:r>
          </w:p>
        </w:tc>
      </w:tr>
      <w:tr w:rsidR="00F6764B" w:rsidRPr="00FC7F1E" w14:paraId="4229D2B0" w14:textId="77777777" w:rsidTr="00991867">
        <w:tc>
          <w:tcPr>
            <w:tcW w:w="2997" w:type="dxa"/>
            <w:shd w:val="clear" w:color="auto" w:fill="FFFFFF" w:themeFill="background1"/>
          </w:tcPr>
          <w:p w14:paraId="68C7EC54" w14:textId="77777777" w:rsidR="00F6764B" w:rsidRPr="00FC7F1E" w:rsidRDefault="00F6764B" w:rsidP="00B60B0E">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1-2 point change</w:t>
            </w:r>
          </w:p>
        </w:tc>
        <w:tc>
          <w:tcPr>
            <w:tcW w:w="2023" w:type="dxa"/>
            <w:shd w:val="clear" w:color="auto" w:fill="FFFFFF" w:themeFill="background1"/>
          </w:tcPr>
          <w:p w14:paraId="58C24A66"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22 (17.7%)</w:t>
            </w:r>
          </w:p>
        </w:tc>
        <w:tc>
          <w:tcPr>
            <w:tcW w:w="2023" w:type="dxa"/>
            <w:shd w:val="clear" w:color="auto" w:fill="FFFFFF" w:themeFill="background1"/>
          </w:tcPr>
          <w:p w14:paraId="30AD1CDF"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18 (19.6%)</w:t>
            </w:r>
          </w:p>
        </w:tc>
        <w:tc>
          <w:tcPr>
            <w:tcW w:w="2024" w:type="dxa"/>
            <w:shd w:val="clear" w:color="auto" w:fill="FFFFFF" w:themeFill="background1"/>
          </w:tcPr>
          <w:p w14:paraId="7C396D7A"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16 (28.1%)</w:t>
            </w:r>
          </w:p>
        </w:tc>
      </w:tr>
      <w:tr w:rsidR="00F6764B" w:rsidRPr="00FC7F1E" w14:paraId="365D3DF4" w14:textId="77777777" w:rsidTr="00991867">
        <w:tc>
          <w:tcPr>
            <w:tcW w:w="2997" w:type="dxa"/>
          </w:tcPr>
          <w:p w14:paraId="59847D08" w14:textId="77777777" w:rsidR="00F6764B" w:rsidRPr="00FC7F1E" w:rsidRDefault="00F6764B" w:rsidP="00B60B0E">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 point change</w:t>
            </w:r>
          </w:p>
        </w:tc>
        <w:tc>
          <w:tcPr>
            <w:tcW w:w="2023" w:type="dxa"/>
          </w:tcPr>
          <w:p w14:paraId="4ABD869B"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53 (42.7%)</w:t>
            </w:r>
          </w:p>
        </w:tc>
        <w:tc>
          <w:tcPr>
            <w:tcW w:w="2023" w:type="dxa"/>
          </w:tcPr>
          <w:p w14:paraId="63E1B4F5"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35 (38.0%)</w:t>
            </w:r>
          </w:p>
        </w:tc>
        <w:tc>
          <w:tcPr>
            <w:tcW w:w="2024" w:type="dxa"/>
          </w:tcPr>
          <w:p w14:paraId="64E8143C"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16 (28.1%)</w:t>
            </w:r>
          </w:p>
        </w:tc>
      </w:tr>
      <w:tr w:rsidR="00F6764B" w:rsidRPr="00FC7F1E" w14:paraId="4497F222" w14:textId="77777777" w:rsidTr="00991867">
        <w:tc>
          <w:tcPr>
            <w:tcW w:w="2997" w:type="dxa"/>
            <w:tcBorders>
              <w:bottom w:val="single" w:sz="4" w:space="0" w:color="auto"/>
            </w:tcBorders>
          </w:tcPr>
          <w:p w14:paraId="321E92A8" w14:textId="77777777" w:rsidR="00F6764B" w:rsidRPr="00FC7F1E" w:rsidRDefault="00F6764B" w:rsidP="00B60B0E">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Negative change</w:t>
            </w:r>
          </w:p>
        </w:tc>
        <w:tc>
          <w:tcPr>
            <w:tcW w:w="2023" w:type="dxa"/>
            <w:tcBorders>
              <w:bottom w:val="single" w:sz="4" w:space="0" w:color="auto"/>
            </w:tcBorders>
          </w:tcPr>
          <w:p w14:paraId="59ED08C7"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14 (11.3%)</w:t>
            </w:r>
          </w:p>
        </w:tc>
        <w:tc>
          <w:tcPr>
            <w:tcW w:w="2023" w:type="dxa"/>
            <w:tcBorders>
              <w:bottom w:val="single" w:sz="4" w:space="0" w:color="auto"/>
            </w:tcBorders>
          </w:tcPr>
          <w:p w14:paraId="75769AA6"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6 (6.5%)</w:t>
            </w:r>
          </w:p>
        </w:tc>
        <w:tc>
          <w:tcPr>
            <w:tcW w:w="2024" w:type="dxa"/>
            <w:tcBorders>
              <w:bottom w:val="single" w:sz="4" w:space="0" w:color="auto"/>
            </w:tcBorders>
          </w:tcPr>
          <w:p w14:paraId="6217C2C5" w14:textId="77777777" w:rsidR="00F6764B" w:rsidRPr="00FC7F1E" w:rsidRDefault="00F6764B" w:rsidP="00B60B0E">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 (3.5%)</w:t>
            </w:r>
          </w:p>
        </w:tc>
      </w:tr>
    </w:tbl>
    <w:p w14:paraId="1430D1C7" w14:textId="77777777" w:rsidR="00F6764B" w:rsidRPr="00FC7F1E" w:rsidRDefault="00F6764B" w:rsidP="00B60B0E">
      <w:pPr>
        <w:keepNext/>
        <w:keepLines/>
        <w:spacing w:before="60" w:after="240"/>
        <w:contextualSpacing/>
        <w:jc w:val="left"/>
        <w:rPr>
          <w:rFonts w:ascii="Arial Narrow" w:hAnsi="Arial Narrow" w:cs="Times New Roman"/>
          <w:sz w:val="18"/>
          <w:szCs w:val="18"/>
        </w:rPr>
      </w:pPr>
      <w:r w:rsidRPr="00FC7F1E">
        <w:rPr>
          <w:rFonts w:ascii="Arial Narrow" w:hAnsi="Arial Narrow" w:cs="Times New Roman"/>
          <w:sz w:val="18"/>
          <w:szCs w:val="18"/>
        </w:rPr>
        <w:t>CI, confidence interval; HFMSE, Hammersmith Functional motor scale expanded; N, number; SD, standard deviation</w:t>
      </w:r>
    </w:p>
    <w:p w14:paraId="2FEC8773" w14:textId="77777777" w:rsidR="00F6764B" w:rsidRPr="00FC7F1E" w:rsidRDefault="00F6764B" w:rsidP="00FC1118">
      <w:pPr>
        <w:keepNext/>
        <w:keepLines/>
        <w:spacing w:after="240"/>
        <w:rPr>
          <w:rFonts w:ascii="Arial Narrow" w:hAnsi="Arial Narrow"/>
          <w:sz w:val="18"/>
          <w:szCs w:val="18"/>
        </w:rPr>
      </w:pPr>
      <w:r w:rsidRPr="00FC7F1E">
        <w:rPr>
          <w:rFonts w:ascii="Arial Narrow" w:hAnsi="Arial Narrow"/>
          <w:sz w:val="18"/>
          <w:szCs w:val="18"/>
        </w:rPr>
        <w:t xml:space="preserve">Source: Table 2.26, p117 of the </w:t>
      </w:r>
      <w:r w:rsidR="00CA098E" w:rsidRPr="00FC7F1E">
        <w:rPr>
          <w:rFonts w:ascii="Arial Narrow" w:hAnsi="Arial Narrow"/>
          <w:sz w:val="18"/>
          <w:szCs w:val="18"/>
        </w:rPr>
        <w:t>re</w:t>
      </w:r>
      <w:r w:rsidRPr="00FC7F1E">
        <w:rPr>
          <w:rFonts w:ascii="Arial Narrow" w:hAnsi="Arial Narrow"/>
          <w:sz w:val="18"/>
          <w:szCs w:val="18"/>
        </w:rPr>
        <w:t>submission.</w:t>
      </w:r>
    </w:p>
    <w:p w14:paraId="20151D8C" w14:textId="77777777" w:rsidR="00595915" w:rsidRPr="00FC7F1E" w:rsidRDefault="00F6764B" w:rsidP="00505243">
      <w:pPr>
        <w:pStyle w:val="3-BodyText"/>
      </w:pPr>
      <w:r w:rsidRPr="00FC7F1E">
        <w:t xml:space="preserve">The </w:t>
      </w:r>
      <w:r w:rsidR="00CA098E" w:rsidRPr="00FC7F1E">
        <w:t>re</w:t>
      </w:r>
      <w:r w:rsidR="00595915" w:rsidRPr="00FC7F1E">
        <w:t xml:space="preserve">submission stated that </w:t>
      </w:r>
      <w:r w:rsidRPr="00FC7F1E">
        <w:t>40.4% of patients treated with nusine</w:t>
      </w:r>
      <w:r w:rsidR="00053E96" w:rsidRPr="00FC7F1E">
        <w:t>r</w:t>
      </w:r>
      <w:r w:rsidRPr="00FC7F1E">
        <w:t>sen in Hagenacker 2020 demonstrated</w:t>
      </w:r>
      <w:r w:rsidR="00053E96" w:rsidRPr="00FC7F1E">
        <w:t xml:space="preserve"> an</w:t>
      </w:r>
      <w:r w:rsidRPr="00FC7F1E">
        <w:t xml:space="preserve"> improvement of 3 points or greater in the HFMS</w:t>
      </w:r>
      <w:r w:rsidR="00716924" w:rsidRPr="00FC7F1E">
        <w:t>E</w:t>
      </w:r>
      <w:r w:rsidRPr="00FC7F1E">
        <w:t xml:space="preserve"> at 14 months and </w:t>
      </w:r>
      <w:r w:rsidR="00716924" w:rsidRPr="00FC7F1E">
        <w:t xml:space="preserve">the </w:t>
      </w:r>
      <w:r w:rsidR="00CA098E" w:rsidRPr="00FC7F1E">
        <w:t>re</w:t>
      </w:r>
      <w:r w:rsidR="00716924" w:rsidRPr="00FC7F1E">
        <w:t xml:space="preserve">submission contrasted this to untreated patients in Mercuri 2016, where only </w:t>
      </w:r>
      <w:r w:rsidR="00595915" w:rsidRPr="00FC7F1E">
        <w:t xml:space="preserve">6.7% of patients </w:t>
      </w:r>
      <w:r w:rsidRPr="00FC7F1E">
        <w:t xml:space="preserve">achieved this outcome. </w:t>
      </w:r>
      <w:r w:rsidR="00AD2BC8" w:rsidRPr="00FC7F1E">
        <w:t>An improvement of at least 3 points was more likely in patients with Type III SMA compared to those with Type II SMA for nusinersen treated patients (52.6% versus 15.8% respectively)</w:t>
      </w:r>
      <w:r w:rsidR="00716924" w:rsidRPr="00FC7F1E">
        <w:t xml:space="preserve"> in the Hagenacker 2020 study</w:t>
      </w:r>
      <w:r w:rsidR="00AD2BC8" w:rsidRPr="00FC7F1E">
        <w:t>.</w:t>
      </w:r>
    </w:p>
    <w:p w14:paraId="651B445F" w14:textId="77777777" w:rsidR="00886B8B" w:rsidRPr="00FC7F1E" w:rsidRDefault="00886B8B" w:rsidP="00761527">
      <w:pPr>
        <w:pStyle w:val="3-BodyText"/>
      </w:pPr>
      <w:r w:rsidRPr="00FC7F1E">
        <w:t>Overall, the mean change in HFMSE from baseline was 1.73 for patients included in the 6-month analysis, 2.58 for patients included in the 10-month analysis, and 3.12 for patients included in the 14-month analysis. These differences were statistically significant.</w:t>
      </w:r>
    </w:p>
    <w:p w14:paraId="621AD969" w14:textId="77777777" w:rsidR="003468B0" w:rsidRPr="00FC7F1E" w:rsidRDefault="003468B0" w:rsidP="003468B0">
      <w:pPr>
        <w:pStyle w:val="3-BodyText"/>
      </w:pPr>
      <w:r w:rsidRPr="00FC7F1E">
        <w:t xml:space="preserve">The pre-PBAC response stated that additional data were provided by </w:t>
      </w:r>
      <w:r w:rsidR="002B5843" w:rsidRPr="00FC7F1E">
        <w:t xml:space="preserve">the </w:t>
      </w:r>
      <w:r w:rsidRPr="00FC7F1E">
        <w:t xml:space="preserve">principal study investigator (Professor Hagenacker) which “indicated that of the 57 patients who had completed the 14 month follow up in the Hagenacker study, 27 continued to be on nusinersen treatment beyond 24 months of follow-up, with no evidence of demonstrated loss of treatment efficacy. Of these 27 patients, the vast majority (n=24, 89%) had achieved stabilisation or a clinically meaningful improvement in motor function defined as at least a 3 point increase in the HFMSE score. These data have not yet been analysed and therefore were not able to be provided for this response.” </w:t>
      </w:r>
    </w:p>
    <w:p w14:paraId="3B137660" w14:textId="77777777" w:rsidR="00CA3522" w:rsidRPr="00FC7F1E" w:rsidRDefault="008949E7" w:rsidP="00CA3522">
      <w:pPr>
        <w:pStyle w:val="3-BodyText"/>
      </w:pPr>
      <w:r w:rsidRPr="00FC7F1E">
        <w:t xml:space="preserve">Subgroup analyse </w:t>
      </w:r>
      <w:r w:rsidR="009C3383" w:rsidRPr="00FC7F1E">
        <w:t xml:space="preserve">reported in the Hagenacker 2020 study </w:t>
      </w:r>
      <w:r w:rsidR="003F5999" w:rsidRPr="00FC7F1E">
        <w:t xml:space="preserve">at 14 months </w:t>
      </w:r>
      <w:r w:rsidR="00CA3522" w:rsidRPr="00FC7F1E">
        <w:t>showed that efficacy was higher for patients with a baseline HFMSE score of 35 or more (+4.6) compared to those a baseline score of less than 35 (+2.2). Similarly</w:t>
      </w:r>
      <w:r w:rsidR="00FC08CC" w:rsidRPr="00FC7F1E">
        <w:t>,</w:t>
      </w:r>
      <w:r w:rsidR="002D5F58" w:rsidRPr="00FC7F1E">
        <w:t xml:space="preserve"> there was</w:t>
      </w:r>
      <w:r w:rsidR="00CA3522" w:rsidRPr="00FC7F1E">
        <w:t xml:space="preserve"> a greater improvement from baseline to 15 months for patients with Type III SMA (+4.2: SD 4.5) compared to patients with Type II SMA (+1.1: SD 1.4). There w</w:t>
      </w:r>
      <w:r w:rsidR="00CA098E" w:rsidRPr="00FC7F1E">
        <w:t>ere</w:t>
      </w:r>
      <w:r w:rsidR="00CA3522" w:rsidRPr="00FC7F1E">
        <w:t xml:space="preserve"> also significantly larger increases from baseline in the ambulant compared to the non-</w:t>
      </w:r>
      <w:r w:rsidR="00CA3522" w:rsidRPr="00FC7F1E">
        <w:lastRenderedPageBreak/>
        <w:t>ambulant subgroups at all three time points (+2.1 for non-ambulant patients compared to +4.6 for ambulant patients, p=0.0127 at 14 months).</w:t>
      </w:r>
      <w:r w:rsidR="003F5999" w:rsidRPr="00FC7F1E">
        <w:t xml:space="preserve"> </w:t>
      </w:r>
    </w:p>
    <w:p w14:paraId="74B1038F" w14:textId="77777777" w:rsidR="00E540C1" w:rsidRPr="00FC7F1E" w:rsidRDefault="00886B8B" w:rsidP="00E540C1">
      <w:pPr>
        <w:pStyle w:val="3-BodyText"/>
      </w:pPr>
      <w:r w:rsidRPr="00FC7F1E">
        <w:t xml:space="preserve">It was noted </w:t>
      </w:r>
      <w:r w:rsidR="00105692" w:rsidRPr="00FC7F1E">
        <w:t>during the evaluation,</w:t>
      </w:r>
      <w:r w:rsidRPr="00FC7F1E">
        <w:t xml:space="preserve"> that the </w:t>
      </w:r>
      <w:r w:rsidR="00D36663" w:rsidRPr="00FC7F1E">
        <w:t>Hagenacker 2020 publication stated that as there were higher baseline values in patients who had completed the 14-month follow-up visit compared to those who started treatment later (only having their data analysed at 6 or 10 months) that it could not be ruled out that the patients</w:t>
      </w:r>
      <w:r w:rsidR="00105692" w:rsidRPr="00FC7F1E">
        <w:t xml:space="preserve"> who</w:t>
      </w:r>
      <w:r w:rsidR="00D36663" w:rsidRPr="00FC7F1E">
        <w:t xml:space="preserve"> started the earliest on nusinersen in this study were those clinically less severely affected, given that some centres prefe</w:t>
      </w:r>
      <w:r w:rsidR="00105692" w:rsidRPr="00FC7F1E">
        <w:t>rred</w:t>
      </w:r>
      <w:r w:rsidR="00D36663" w:rsidRPr="00FC7F1E">
        <w:t xml:space="preserve"> to start treatment in patients less severely affected first because of technical aspects of the injection procedure. It </w:t>
      </w:r>
      <w:r w:rsidR="00606B4C" w:rsidRPr="00FC7F1E">
        <w:t xml:space="preserve">is therefore possible that the efficacy of nusinersen at the 14-month assessment point will be lower than reported in the publication once all patients treated reach that assessment point. </w:t>
      </w:r>
    </w:p>
    <w:p w14:paraId="45E2781D" w14:textId="77777777" w:rsidR="00D37940" w:rsidRPr="00FC7F1E" w:rsidRDefault="00E540C1" w:rsidP="00E51DC0">
      <w:pPr>
        <w:pStyle w:val="3-BodyText"/>
      </w:pPr>
      <w:r w:rsidRPr="00FC7F1E">
        <w:t xml:space="preserve">The </w:t>
      </w:r>
      <w:r w:rsidR="00CA098E" w:rsidRPr="00FC7F1E">
        <w:t>re</w:t>
      </w:r>
      <w:r w:rsidRPr="00FC7F1E">
        <w:t xml:space="preserve">submission contrasted the results for change in HFMSE in Hagenacker 2020 to </w:t>
      </w:r>
      <w:r w:rsidR="00C56E79" w:rsidRPr="00FC7F1E">
        <w:t>those seen in the CHERISH trial</w:t>
      </w:r>
      <w:r w:rsidR="00B44BBD" w:rsidRPr="00FC7F1E">
        <w:t xml:space="preserve"> (which compared nusinersen to sham-control/placebo in patients with child</w:t>
      </w:r>
      <w:r w:rsidR="006E79B7" w:rsidRPr="00FC7F1E">
        <w:t>hood</w:t>
      </w:r>
      <w:r w:rsidR="00B44BBD" w:rsidRPr="00FC7F1E">
        <w:t>-onset SMA (Type II))</w:t>
      </w:r>
      <w:r w:rsidR="00C56E79" w:rsidRPr="00FC7F1E">
        <w:t>, which was</w:t>
      </w:r>
      <w:r w:rsidRPr="00FC7F1E">
        <w:t xml:space="preserve"> presented in the November 2017 PBAC submission (</w:t>
      </w:r>
      <w:r w:rsidR="00CA098E" w:rsidRPr="00FC7F1E">
        <w:t>Figure 1</w:t>
      </w:r>
      <w:r w:rsidRPr="00FC7F1E">
        <w:t xml:space="preserve">). </w:t>
      </w:r>
    </w:p>
    <w:p w14:paraId="1C26D16C" w14:textId="77777777" w:rsidR="00D37940" w:rsidRPr="00FC7F1E" w:rsidRDefault="00CA098E" w:rsidP="00CA098E">
      <w:pPr>
        <w:keepNext/>
        <w:rPr>
          <w:rFonts w:ascii="Arial Narrow" w:hAnsi="Arial Narrow"/>
          <w:b/>
          <w:sz w:val="20"/>
          <w:szCs w:val="20"/>
        </w:rPr>
      </w:pPr>
      <w:bookmarkStart w:id="21" w:name="_Ref49225772"/>
      <w:r w:rsidRPr="00FC7F1E">
        <w:rPr>
          <w:rFonts w:ascii="Arial Narrow" w:hAnsi="Arial Narrow"/>
          <w:b/>
          <w:sz w:val="20"/>
          <w:szCs w:val="20"/>
        </w:rPr>
        <w:t>Figure 1</w:t>
      </w:r>
      <w:bookmarkEnd w:id="21"/>
      <w:r w:rsidR="00D37940" w:rsidRPr="00FC7F1E">
        <w:rPr>
          <w:rFonts w:ascii="Arial Narrow" w:hAnsi="Arial Narrow"/>
          <w:b/>
          <w:sz w:val="20"/>
          <w:szCs w:val="20"/>
        </w:rPr>
        <w:t xml:space="preserve">: Means with 95% confidence intervals of HFMSE difference </w:t>
      </w:r>
      <w:r w:rsidR="00CF64D4" w:rsidRPr="00FC7F1E">
        <w:rPr>
          <w:rFonts w:ascii="Arial Narrow" w:hAnsi="Arial Narrow"/>
          <w:b/>
          <w:sz w:val="20"/>
          <w:szCs w:val="20"/>
        </w:rPr>
        <w:t xml:space="preserve">in Hagenacker 2020 </w:t>
      </w:r>
      <w:r w:rsidR="00D37940" w:rsidRPr="00FC7F1E">
        <w:rPr>
          <w:rFonts w:ascii="Arial Narrow" w:hAnsi="Arial Narrow"/>
          <w:b/>
          <w:sz w:val="20"/>
          <w:szCs w:val="20"/>
        </w:rPr>
        <w:t>from baseline to 6, 10 and 14 months</w:t>
      </w:r>
      <w:r w:rsidR="00CF64D4" w:rsidRPr="00FC7F1E">
        <w:rPr>
          <w:rFonts w:ascii="Arial Narrow" w:hAnsi="Arial Narrow"/>
          <w:b/>
          <w:sz w:val="20"/>
          <w:szCs w:val="20"/>
        </w:rPr>
        <w:t xml:space="preserve"> (labelled as Adult-Nusinersen1, 2 and 3, respectively)</w:t>
      </w:r>
      <w:r w:rsidR="00D37940" w:rsidRPr="00FC7F1E">
        <w:rPr>
          <w:rFonts w:ascii="Arial Narrow" w:hAnsi="Arial Narrow"/>
          <w:b/>
          <w:sz w:val="20"/>
          <w:szCs w:val="20"/>
        </w:rPr>
        <w:t xml:space="preserve"> by comparison to CHERISH data</w:t>
      </w:r>
      <w:r w:rsidR="00CF64D4" w:rsidRPr="00FC7F1E">
        <w:rPr>
          <w:rFonts w:ascii="Arial Narrow" w:hAnsi="Arial Narrow"/>
          <w:b/>
          <w:sz w:val="20"/>
          <w:szCs w:val="20"/>
        </w:rPr>
        <w:t xml:space="preserve"> (Child – Nusinersen and Placebo)</w:t>
      </w:r>
    </w:p>
    <w:p w14:paraId="183CCA65" w14:textId="77777777" w:rsidR="00D37940" w:rsidRPr="00FC7F1E" w:rsidRDefault="00D37940" w:rsidP="00CA098E">
      <w:pPr>
        <w:jc w:val="center"/>
      </w:pPr>
      <w:r w:rsidRPr="00FC7F1E">
        <w:rPr>
          <w:noProof/>
        </w:rPr>
        <w:drawing>
          <wp:inline distT="0" distB="0" distL="0" distR="0" wp14:anchorId="3E86D501" wp14:editId="4282DD9B">
            <wp:extent cx="3743325" cy="2811330"/>
            <wp:effectExtent l="0" t="0" r="0" b="8255"/>
            <wp:docPr id="13" name="Picture 13" title="Figure 1: Means with 95% confidence intervals of HFMSE difference in Hagenacker 2020 from baseline to 6, 10 and 14 months (labelled as Adult-Nusinersen1, 2 and 3, respectively) by comparison to CHERISH data (Child – Nusinersen and Plac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851" cy="2818484"/>
                    </a:xfrm>
                    <a:prstGeom prst="rect">
                      <a:avLst/>
                    </a:prstGeom>
                    <a:noFill/>
                  </pic:spPr>
                </pic:pic>
              </a:graphicData>
            </a:graphic>
          </wp:inline>
        </w:drawing>
      </w:r>
    </w:p>
    <w:p w14:paraId="6F2D33F8" w14:textId="77777777" w:rsidR="00D37940" w:rsidRPr="00FC7F1E" w:rsidRDefault="00D37940" w:rsidP="00FC1118">
      <w:pPr>
        <w:keepNext/>
        <w:keepLines/>
        <w:spacing w:after="240"/>
        <w:rPr>
          <w:rFonts w:ascii="Arial Narrow" w:hAnsi="Arial Narrow"/>
          <w:sz w:val="18"/>
          <w:szCs w:val="18"/>
        </w:rPr>
      </w:pPr>
      <w:r w:rsidRPr="00FC7F1E">
        <w:rPr>
          <w:rFonts w:ascii="Arial Narrow" w:hAnsi="Arial Narrow"/>
          <w:sz w:val="18"/>
          <w:szCs w:val="18"/>
        </w:rPr>
        <w:t xml:space="preserve">Source: Figure 2.6, p122 of the </w:t>
      </w:r>
      <w:r w:rsidR="00CA098E" w:rsidRPr="00FC7F1E">
        <w:rPr>
          <w:rFonts w:ascii="Arial Narrow" w:hAnsi="Arial Narrow"/>
          <w:sz w:val="18"/>
          <w:szCs w:val="18"/>
        </w:rPr>
        <w:t>re</w:t>
      </w:r>
      <w:r w:rsidRPr="00FC7F1E">
        <w:rPr>
          <w:rFonts w:ascii="Arial Narrow" w:hAnsi="Arial Narrow"/>
          <w:sz w:val="18"/>
          <w:szCs w:val="18"/>
        </w:rPr>
        <w:t>submission.</w:t>
      </w:r>
    </w:p>
    <w:p w14:paraId="342FA289" w14:textId="77777777" w:rsidR="00E540C1" w:rsidRPr="00FC7F1E" w:rsidRDefault="00E540C1" w:rsidP="00E51DC0">
      <w:pPr>
        <w:pStyle w:val="3-BodyText"/>
      </w:pPr>
      <w:r w:rsidRPr="00FC7F1E">
        <w:t xml:space="preserve">While the </w:t>
      </w:r>
      <w:r w:rsidR="00CA098E" w:rsidRPr="00FC7F1E">
        <w:t>re</w:t>
      </w:r>
      <w:r w:rsidRPr="00FC7F1E">
        <w:t xml:space="preserve">submission inferred that the benefit of nusinersen in adult patients was comparable to that seen in children in the CHERISH trial, </w:t>
      </w:r>
      <w:r w:rsidR="008949E7" w:rsidRPr="00FC7F1E">
        <w:t>the evaluation noted that</w:t>
      </w:r>
      <w:r w:rsidRPr="00FC7F1E">
        <w:t xml:space="preserve"> the patients in the CHERISH trial had Type II SMA, and that for the Type II SMA patients in Hagenacker 2020, the mean change in HFMSE from baseline was only 1.1 points</w:t>
      </w:r>
      <w:r w:rsidR="00D37940" w:rsidRPr="00FC7F1E">
        <w:t xml:space="preserve"> at 14 months</w:t>
      </w:r>
      <w:r w:rsidR="003F5999" w:rsidRPr="00FC7F1E">
        <w:t xml:space="preserve"> (even lower at 0.6 points at the 6 month analysis and 0.8 points at the 10 month analysis)</w:t>
      </w:r>
      <w:r w:rsidRPr="00FC7F1E">
        <w:t>, which</w:t>
      </w:r>
      <w:r w:rsidR="0058691B" w:rsidRPr="00FC7F1E">
        <w:t xml:space="preserve"> </w:t>
      </w:r>
      <w:r w:rsidR="003F5999" w:rsidRPr="00FC7F1E">
        <w:t>wa</w:t>
      </w:r>
      <w:r w:rsidRPr="00FC7F1E">
        <w:t xml:space="preserve">s substantially lower than that seen in the CHERISH trial. </w:t>
      </w:r>
      <w:r w:rsidR="00D37940" w:rsidRPr="00FC7F1E">
        <w:t xml:space="preserve">Further, as the greatest benefit of nusinersen may have been apparent in the 14-month analysis (given </w:t>
      </w:r>
      <w:r w:rsidR="0058691B" w:rsidRPr="00FC7F1E">
        <w:t xml:space="preserve">as discussed above, </w:t>
      </w:r>
      <w:r w:rsidR="00D37940" w:rsidRPr="00FC7F1E">
        <w:t xml:space="preserve">the possibility that less severely affected </w:t>
      </w:r>
      <w:r w:rsidR="00D37940" w:rsidRPr="00FC7F1E">
        <w:lastRenderedPageBreak/>
        <w:t>patients were enrolled in the study first), it is likely that the benefit of nusinersen would lie somewhere in</w:t>
      </w:r>
      <w:r w:rsidR="00CA098E" w:rsidRPr="00FC7F1E">
        <w:t xml:space="preserve"> </w:t>
      </w:r>
      <w:r w:rsidR="00D37940" w:rsidRPr="00FC7F1E">
        <w:t>between the benefit observed at the 6-month and 14-month analyses.</w:t>
      </w:r>
    </w:p>
    <w:p w14:paraId="227B3BE9" w14:textId="77777777" w:rsidR="00F2658E" w:rsidRPr="00FC7F1E" w:rsidRDefault="00F2658E" w:rsidP="00E51DC0">
      <w:pPr>
        <w:pStyle w:val="3-BodyText"/>
      </w:pPr>
      <w:r w:rsidRPr="00FC7F1E">
        <w:t xml:space="preserve">The </w:t>
      </w:r>
      <w:r w:rsidR="00F4304B" w:rsidRPr="00FC7F1E">
        <w:t xml:space="preserve">annualised </w:t>
      </w:r>
      <w:r w:rsidRPr="00FC7F1E">
        <w:t>change from baseline in HFMSE across the Hagenacke</w:t>
      </w:r>
      <w:r w:rsidR="00A02EB0" w:rsidRPr="00FC7F1E">
        <w:t xml:space="preserve">r 2020 and Mercuri 2016 studies, by SMA Type, </w:t>
      </w:r>
      <w:r w:rsidRPr="00FC7F1E">
        <w:t>is summarised in</w:t>
      </w:r>
      <w:r w:rsidR="00594434" w:rsidRPr="00FC7F1E">
        <w:t xml:space="preserve"> </w:t>
      </w:r>
      <w:r w:rsidR="00594434" w:rsidRPr="00FC7F1E">
        <w:rPr>
          <w:rFonts w:cstheme="minorHAnsi"/>
        </w:rPr>
        <w:t xml:space="preserve">Table </w:t>
      </w:r>
      <w:r w:rsidR="00AA3F5F" w:rsidRPr="00FC7F1E">
        <w:rPr>
          <w:rFonts w:cstheme="minorHAnsi"/>
        </w:rPr>
        <w:t>7</w:t>
      </w:r>
      <w:r w:rsidRPr="00FC7F1E">
        <w:rPr>
          <w:rFonts w:cstheme="minorHAnsi"/>
        </w:rPr>
        <w:t>.</w:t>
      </w:r>
    </w:p>
    <w:p w14:paraId="6CB620D3" w14:textId="77777777" w:rsidR="00F2658E" w:rsidRPr="00FC7F1E" w:rsidRDefault="00594434" w:rsidP="00F4304B">
      <w:pPr>
        <w:pStyle w:val="Caption"/>
        <w:keepNext/>
        <w:spacing w:after="0"/>
        <w:rPr>
          <w:rFonts w:ascii="Arial Narrow" w:hAnsi="Arial Narrow"/>
          <w:b w:val="0"/>
          <w:color w:val="auto"/>
          <w:sz w:val="20"/>
          <w:szCs w:val="20"/>
        </w:rPr>
      </w:pPr>
      <w:bookmarkStart w:id="22" w:name="_Ref50459835"/>
      <w:r w:rsidRPr="00FC7F1E">
        <w:rPr>
          <w:rFonts w:ascii="Arial Narrow" w:hAnsi="Arial Narrow"/>
          <w:color w:val="auto"/>
          <w:sz w:val="20"/>
          <w:szCs w:val="20"/>
        </w:rPr>
        <w:t xml:space="preserve">Table </w:t>
      </w:r>
      <w:bookmarkEnd w:id="22"/>
      <w:r w:rsidR="00AA3F5F" w:rsidRPr="00FC7F1E">
        <w:rPr>
          <w:rFonts w:ascii="Arial Narrow" w:hAnsi="Arial Narrow"/>
          <w:color w:val="auto"/>
          <w:sz w:val="20"/>
          <w:szCs w:val="20"/>
        </w:rPr>
        <w:t>7</w:t>
      </w:r>
      <w:r w:rsidR="00F2658E" w:rsidRPr="00FC7F1E">
        <w:rPr>
          <w:rFonts w:ascii="Arial Narrow" w:hAnsi="Arial Narrow"/>
          <w:color w:val="auto"/>
          <w:sz w:val="20"/>
          <w:szCs w:val="20"/>
        </w:rPr>
        <w:t>: HFMSE change from baseline across studies</w:t>
      </w:r>
    </w:p>
    <w:tbl>
      <w:tblPr>
        <w:tblStyle w:val="ASDTable12"/>
        <w:tblW w:w="0" w:type="auto"/>
        <w:shd w:val="clear" w:color="auto" w:fill="FFFFFF" w:themeFill="background1"/>
        <w:tblCellMar>
          <w:left w:w="28" w:type="dxa"/>
          <w:right w:w="28" w:type="dxa"/>
        </w:tblCellMar>
        <w:tblLook w:val="0620" w:firstRow="1" w:lastRow="0" w:firstColumn="0" w:lastColumn="0" w:noHBand="1" w:noVBand="1"/>
        <w:tblCaption w:val="Table 7: HFMSE change from baseline across studies"/>
      </w:tblPr>
      <w:tblGrid>
        <w:gridCol w:w="1599"/>
        <w:gridCol w:w="1090"/>
        <w:gridCol w:w="708"/>
        <w:gridCol w:w="1134"/>
        <w:gridCol w:w="1466"/>
        <w:gridCol w:w="2929"/>
      </w:tblGrid>
      <w:tr w:rsidR="00F2658E" w:rsidRPr="00FC7F1E" w14:paraId="5EF27B5F" w14:textId="77777777" w:rsidTr="00991867">
        <w:trPr>
          <w:tblHeader/>
        </w:trPr>
        <w:tc>
          <w:tcPr>
            <w:tcW w:w="1599" w:type="dxa"/>
            <w:shd w:val="clear" w:color="auto" w:fill="FFFFFF" w:themeFill="background1"/>
            <w:vAlign w:val="center"/>
          </w:tcPr>
          <w:p w14:paraId="22162DEC" w14:textId="77777777" w:rsidR="00F2658E" w:rsidRPr="00FC7F1E" w:rsidRDefault="00F2658E" w:rsidP="00FC08CC">
            <w:pPr>
              <w:keepNext/>
              <w:keepLines/>
              <w:spacing w:before="20" w:after="20"/>
              <w:jc w:val="left"/>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Study</w:t>
            </w:r>
          </w:p>
        </w:tc>
        <w:tc>
          <w:tcPr>
            <w:tcW w:w="1090" w:type="dxa"/>
            <w:shd w:val="clear" w:color="auto" w:fill="FFFFFF" w:themeFill="background1"/>
            <w:vAlign w:val="center"/>
          </w:tcPr>
          <w:p w14:paraId="47EC8688" w14:textId="77777777" w:rsidR="00F2658E" w:rsidRPr="00FC7F1E" w:rsidRDefault="00F2658E" w:rsidP="00FC08CC">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Type</w:t>
            </w:r>
          </w:p>
        </w:tc>
        <w:tc>
          <w:tcPr>
            <w:tcW w:w="708" w:type="dxa"/>
            <w:shd w:val="clear" w:color="auto" w:fill="FFFFFF" w:themeFill="background1"/>
            <w:vAlign w:val="center"/>
          </w:tcPr>
          <w:p w14:paraId="57F1FA67" w14:textId="77777777" w:rsidR="00F2658E" w:rsidRPr="00FC7F1E" w:rsidRDefault="00F2658E" w:rsidP="00FC08CC">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N</w:t>
            </w:r>
          </w:p>
        </w:tc>
        <w:tc>
          <w:tcPr>
            <w:tcW w:w="1134" w:type="dxa"/>
            <w:shd w:val="clear" w:color="auto" w:fill="FFFFFF" w:themeFill="background1"/>
            <w:vAlign w:val="center"/>
          </w:tcPr>
          <w:p w14:paraId="792029F1" w14:textId="77777777" w:rsidR="00F2658E" w:rsidRPr="00FC7F1E" w:rsidRDefault="00F2658E" w:rsidP="00FC08CC">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Age (years)</w:t>
            </w:r>
          </w:p>
        </w:tc>
        <w:tc>
          <w:tcPr>
            <w:tcW w:w="1466" w:type="dxa"/>
            <w:shd w:val="clear" w:color="auto" w:fill="FFFFFF" w:themeFill="background1"/>
            <w:vAlign w:val="center"/>
          </w:tcPr>
          <w:p w14:paraId="61F5EB4C" w14:textId="77777777" w:rsidR="00F2658E" w:rsidRPr="00FC7F1E" w:rsidRDefault="00F2658E" w:rsidP="00FC08CC">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Baseline HFMSE</w:t>
            </w:r>
          </w:p>
        </w:tc>
        <w:tc>
          <w:tcPr>
            <w:tcW w:w="2929" w:type="dxa"/>
            <w:shd w:val="clear" w:color="auto" w:fill="FFFFFF" w:themeFill="background1"/>
            <w:vAlign w:val="center"/>
          </w:tcPr>
          <w:p w14:paraId="3250C06A" w14:textId="77777777" w:rsidR="00F2658E" w:rsidRPr="00FC7F1E" w:rsidRDefault="00F2658E" w:rsidP="00FC08CC">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Annualised change from baseline</w:t>
            </w:r>
          </w:p>
        </w:tc>
      </w:tr>
      <w:tr w:rsidR="00F2658E" w:rsidRPr="00FC7F1E" w14:paraId="51D9832C" w14:textId="77777777" w:rsidTr="00991867">
        <w:tc>
          <w:tcPr>
            <w:tcW w:w="8926" w:type="dxa"/>
            <w:gridSpan w:val="6"/>
            <w:shd w:val="clear" w:color="auto" w:fill="FFFFFF" w:themeFill="background1"/>
            <w:vAlign w:val="center"/>
          </w:tcPr>
          <w:p w14:paraId="1773D5B0" w14:textId="77777777" w:rsidR="00F2658E" w:rsidRPr="00FC7F1E" w:rsidRDefault="00F2658E" w:rsidP="00FC08CC">
            <w:pPr>
              <w:keepNext/>
              <w:keepLines/>
              <w:spacing w:before="20" w:after="20"/>
              <w:jc w:val="left"/>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Nusinersen studies</w:t>
            </w:r>
          </w:p>
        </w:tc>
      </w:tr>
      <w:tr w:rsidR="00E8060D" w:rsidRPr="00FC7F1E" w14:paraId="210FD228" w14:textId="77777777" w:rsidTr="00991867">
        <w:tc>
          <w:tcPr>
            <w:tcW w:w="1599" w:type="dxa"/>
            <w:vMerge w:val="restart"/>
            <w:shd w:val="clear" w:color="auto" w:fill="FFFFFF" w:themeFill="background1"/>
            <w:vAlign w:val="center"/>
          </w:tcPr>
          <w:p w14:paraId="208A1EB4" w14:textId="77777777" w:rsidR="00E8060D" w:rsidRPr="00FC7F1E" w:rsidRDefault="00E8060D" w:rsidP="00FC08CC">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Hagenacker 2020</w:t>
            </w:r>
          </w:p>
        </w:tc>
        <w:tc>
          <w:tcPr>
            <w:tcW w:w="1090" w:type="dxa"/>
            <w:shd w:val="clear" w:color="auto" w:fill="FFFFFF" w:themeFill="background1"/>
          </w:tcPr>
          <w:p w14:paraId="6DC8B28F" w14:textId="77777777" w:rsidR="00E8060D" w:rsidRPr="00FC7F1E" w:rsidRDefault="00E8060D" w:rsidP="00FC08CC">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All</w:t>
            </w:r>
          </w:p>
        </w:tc>
        <w:tc>
          <w:tcPr>
            <w:tcW w:w="708" w:type="dxa"/>
            <w:shd w:val="clear" w:color="auto" w:fill="FFFFFF" w:themeFill="background1"/>
            <w:vAlign w:val="center"/>
          </w:tcPr>
          <w:p w14:paraId="4777099E" w14:textId="77777777" w:rsidR="00E8060D" w:rsidRPr="00FC7F1E" w:rsidRDefault="00E8060D"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57</w:t>
            </w:r>
          </w:p>
        </w:tc>
        <w:tc>
          <w:tcPr>
            <w:tcW w:w="1134" w:type="dxa"/>
            <w:shd w:val="clear" w:color="auto" w:fill="FFFFFF" w:themeFill="background1"/>
            <w:vAlign w:val="center"/>
          </w:tcPr>
          <w:p w14:paraId="3CB8BB01" w14:textId="77777777" w:rsidR="00E8060D" w:rsidRPr="00FC7F1E" w:rsidRDefault="00FA3064"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33 at start</w:t>
            </w:r>
          </w:p>
        </w:tc>
        <w:tc>
          <w:tcPr>
            <w:tcW w:w="1466" w:type="dxa"/>
            <w:shd w:val="clear" w:color="auto" w:fill="FFFFFF" w:themeFill="background1"/>
            <w:vAlign w:val="center"/>
          </w:tcPr>
          <w:p w14:paraId="15EAEF94" w14:textId="77777777" w:rsidR="00E8060D" w:rsidRPr="00FC7F1E" w:rsidRDefault="00B502AD"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24.6</w:t>
            </w:r>
            <w:r w:rsidR="00FA3064" w:rsidRPr="00FC7F1E">
              <w:rPr>
                <w:rFonts w:ascii="Arial Narrow" w:eastAsia="TimesNewRoman" w:hAnsi="Arial Narrow" w:cs="Times New Roman"/>
                <w:color w:val="000000"/>
                <w:sz w:val="20"/>
                <w:szCs w:val="20"/>
              </w:rPr>
              <w:t>5</w:t>
            </w:r>
          </w:p>
        </w:tc>
        <w:tc>
          <w:tcPr>
            <w:tcW w:w="2929" w:type="dxa"/>
            <w:shd w:val="clear" w:color="auto" w:fill="FFFFFF" w:themeFill="background1"/>
            <w:vAlign w:val="center"/>
          </w:tcPr>
          <w:p w14:paraId="70F5CEEA" w14:textId="77777777" w:rsidR="00E8060D" w:rsidRPr="00FC7F1E" w:rsidRDefault="00E8060D"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+3.12 (</w:t>
            </w:r>
            <w:r w:rsidR="00B502AD" w:rsidRPr="00FC7F1E">
              <w:rPr>
                <w:rFonts w:ascii="Arial Narrow" w:eastAsia="TimesNewRoman" w:hAnsi="Arial Narrow" w:cs="Times New Roman"/>
                <w:color w:val="000000"/>
                <w:sz w:val="20"/>
                <w:szCs w:val="20"/>
              </w:rPr>
              <w:t>4.02: 2.06 to 4.19</w:t>
            </w:r>
            <w:r w:rsidRPr="00FC7F1E">
              <w:rPr>
                <w:rFonts w:ascii="Arial Narrow" w:eastAsia="TimesNewRoman" w:hAnsi="Arial Narrow" w:cs="Times New Roman"/>
                <w:color w:val="000000"/>
                <w:sz w:val="20"/>
                <w:szCs w:val="20"/>
              </w:rPr>
              <w:t>)</w:t>
            </w:r>
            <w:r w:rsidRPr="00FC7F1E">
              <w:rPr>
                <w:rFonts w:ascii="Arial Narrow" w:eastAsia="TimesNewRoman" w:hAnsi="Arial Narrow" w:cs="Times New Roman"/>
                <w:color w:val="000000"/>
                <w:sz w:val="20"/>
                <w:szCs w:val="20"/>
                <w:vertAlign w:val="superscript"/>
              </w:rPr>
              <w:t xml:space="preserve"> a</w:t>
            </w:r>
          </w:p>
        </w:tc>
      </w:tr>
      <w:tr w:rsidR="00E8060D" w:rsidRPr="00FC7F1E" w14:paraId="58CE2E7D" w14:textId="77777777" w:rsidTr="00991867">
        <w:tc>
          <w:tcPr>
            <w:tcW w:w="1599" w:type="dxa"/>
            <w:vMerge/>
            <w:shd w:val="clear" w:color="auto" w:fill="FFFFFF" w:themeFill="background1"/>
            <w:vAlign w:val="center"/>
          </w:tcPr>
          <w:p w14:paraId="76FE18C7" w14:textId="77777777" w:rsidR="00E8060D" w:rsidRPr="00FC7F1E" w:rsidRDefault="00E8060D" w:rsidP="00FC08CC">
            <w:pPr>
              <w:keepNext/>
              <w:keepLines/>
              <w:spacing w:before="20" w:after="20"/>
              <w:jc w:val="left"/>
              <w:rPr>
                <w:rFonts w:ascii="Arial Narrow" w:eastAsia="TimesNewRoman" w:hAnsi="Arial Narrow" w:cs="Times New Roman"/>
                <w:color w:val="000000"/>
                <w:sz w:val="20"/>
                <w:szCs w:val="20"/>
              </w:rPr>
            </w:pPr>
          </w:p>
        </w:tc>
        <w:tc>
          <w:tcPr>
            <w:tcW w:w="1090" w:type="dxa"/>
            <w:shd w:val="clear" w:color="auto" w:fill="FFFFFF" w:themeFill="background1"/>
          </w:tcPr>
          <w:p w14:paraId="0D0978BE" w14:textId="77777777" w:rsidR="00E8060D" w:rsidRPr="00FC7F1E" w:rsidRDefault="00E8060D" w:rsidP="00FC08CC">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Type II</w:t>
            </w:r>
          </w:p>
        </w:tc>
        <w:tc>
          <w:tcPr>
            <w:tcW w:w="708" w:type="dxa"/>
            <w:shd w:val="clear" w:color="auto" w:fill="FFFFFF" w:themeFill="background1"/>
            <w:vAlign w:val="center"/>
          </w:tcPr>
          <w:p w14:paraId="3F69BA9C" w14:textId="77777777" w:rsidR="00E8060D" w:rsidRPr="00FC7F1E" w:rsidRDefault="00E8060D"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19</w:t>
            </w:r>
          </w:p>
        </w:tc>
        <w:tc>
          <w:tcPr>
            <w:tcW w:w="1134" w:type="dxa"/>
            <w:shd w:val="clear" w:color="auto" w:fill="FFFFFF" w:themeFill="background1"/>
            <w:vAlign w:val="center"/>
          </w:tcPr>
          <w:p w14:paraId="5628C53E" w14:textId="77777777" w:rsidR="00E8060D" w:rsidRPr="00FC7F1E" w:rsidRDefault="00FA3064"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28.9 at start</w:t>
            </w:r>
          </w:p>
        </w:tc>
        <w:tc>
          <w:tcPr>
            <w:tcW w:w="1466" w:type="dxa"/>
            <w:shd w:val="clear" w:color="auto" w:fill="FFFFFF" w:themeFill="background1"/>
            <w:vAlign w:val="center"/>
          </w:tcPr>
          <w:p w14:paraId="7523BBCE" w14:textId="77777777" w:rsidR="00E8060D" w:rsidRPr="00FC7F1E" w:rsidRDefault="00E8060D"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4.8</w:t>
            </w:r>
          </w:p>
        </w:tc>
        <w:tc>
          <w:tcPr>
            <w:tcW w:w="2929" w:type="dxa"/>
            <w:shd w:val="clear" w:color="auto" w:fill="FFFFFF" w:themeFill="background1"/>
            <w:vAlign w:val="center"/>
          </w:tcPr>
          <w:p w14:paraId="76E8B755" w14:textId="77777777" w:rsidR="00E8060D" w:rsidRPr="00FC7F1E" w:rsidRDefault="00E8060D" w:rsidP="00FC08CC">
            <w:pPr>
              <w:keepNext/>
              <w:keepLines/>
              <w:spacing w:before="20" w:after="20"/>
              <w:jc w:val="center"/>
              <w:rPr>
                <w:rFonts w:ascii="Arial Narrow" w:eastAsia="TimesNewRoman" w:hAnsi="Arial Narrow" w:cs="Times New Roman"/>
                <w:color w:val="000000"/>
                <w:sz w:val="20"/>
                <w:szCs w:val="20"/>
                <w:vertAlign w:val="superscript"/>
              </w:rPr>
            </w:pPr>
            <w:r w:rsidRPr="00FC7F1E">
              <w:rPr>
                <w:rFonts w:ascii="Arial Narrow" w:eastAsia="TimesNewRoman" w:hAnsi="Arial Narrow" w:cs="Times New Roman"/>
                <w:color w:val="000000"/>
                <w:sz w:val="20"/>
                <w:szCs w:val="20"/>
              </w:rPr>
              <w:t>+1.1 (1.4; 0.4 to 1.7)</w:t>
            </w:r>
            <w:r w:rsidR="00F4304B" w:rsidRPr="00FC7F1E">
              <w:rPr>
                <w:rFonts w:ascii="Arial Narrow" w:eastAsia="TimesNewRoman" w:hAnsi="Arial Narrow" w:cs="Times New Roman"/>
                <w:color w:val="000000"/>
                <w:sz w:val="20"/>
                <w:szCs w:val="20"/>
              </w:rPr>
              <w:t xml:space="preserve"> </w:t>
            </w:r>
            <w:r w:rsidR="00F4304B" w:rsidRPr="00FC7F1E">
              <w:rPr>
                <w:rFonts w:ascii="Arial Narrow" w:eastAsia="TimesNewRoman" w:hAnsi="Arial Narrow" w:cs="Times New Roman"/>
                <w:color w:val="000000"/>
                <w:sz w:val="20"/>
                <w:szCs w:val="20"/>
                <w:vertAlign w:val="superscript"/>
              </w:rPr>
              <w:t>a</w:t>
            </w:r>
          </w:p>
        </w:tc>
      </w:tr>
      <w:tr w:rsidR="00E8060D" w:rsidRPr="00FC7F1E" w14:paraId="31758B11" w14:textId="77777777" w:rsidTr="00991867">
        <w:tc>
          <w:tcPr>
            <w:tcW w:w="1599" w:type="dxa"/>
            <w:vMerge/>
            <w:shd w:val="clear" w:color="auto" w:fill="FFFFFF" w:themeFill="background1"/>
            <w:vAlign w:val="center"/>
          </w:tcPr>
          <w:p w14:paraId="78DA5FED" w14:textId="77777777" w:rsidR="00E8060D" w:rsidRPr="00FC7F1E" w:rsidRDefault="00E8060D" w:rsidP="00FC08CC">
            <w:pPr>
              <w:keepNext/>
              <w:keepLines/>
              <w:spacing w:before="20" w:after="20"/>
              <w:jc w:val="left"/>
              <w:rPr>
                <w:rFonts w:ascii="Arial Narrow" w:eastAsia="TimesNewRoman" w:hAnsi="Arial Narrow" w:cs="Times New Roman"/>
                <w:color w:val="000000"/>
                <w:sz w:val="20"/>
                <w:szCs w:val="20"/>
              </w:rPr>
            </w:pPr>
          </w:p>
        </w:tc>
        <w:tc>
          <w:tcPr>
            <w:tcW w:w="1090" w:type="dxa"/>
            <w:shd w:val="clear" w:color="auto" w:fill="FFFFFF" w:themeFill="background1"/>
          </w:tcPr>
          <w:p w14:paraId="6C9F043A" w14:textId="77777777" w:rsidR="00E8060D" w:rsidRPr="00FC7F1E" w:rsidRDefault="00E8060D" w:rsidP="00FC08CC">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Type III</w:t>
            </w:r>
          </w:p>
        </w:tc>
        <w:tc>
          <w:tcPr>
            <w:tcW w:w="708" w:type="dxa"/>
            <w:shd w:val="clear" w:color="auto" w:fill="FFFFFF" w:themeFill="background1"/>
            <w:vAlign w:val="center"/>
          </w:tcPr>
          <w:p w14:paraId="2B720C19" w14:textId="77777777" w:rsidR="00E8060D" w:rsidRPr="00FC7F1E" w:rsidRDefault="00E8060D"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38</w:t>
            </w:r>
          </w:p>
        </w:tc>
        <w:tc>
          <w:tcPr>
            <w:tcW w:w="1134" w:type="dxa"/>
            <w:shd w:val="clear" w:color="auto" w:fill="FFFFFF" w:themeFill="background1"/>
            <w:vAlign w:val="center"/>
          </w:tcPr>
          <w:p w14:paraId="5146EBA1" w14:textId="77777777" w:rsidR="00E8060D" w:rsidRPr="00FC7F1E" w:rsidRDefault="00FA3064"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35.7 at start</w:t>
            </w:r>
          </w:p>
        </w:tc>
        <w:tc>
          <w:tcPr>
            <w:tcW w:w="1466" w:type="dxa"/>
            <w:shd w:val="clear" w:color="auto" w:fill="FFFFFF" w:themeFill="background1"/>
            <w:vAlign w:val="center"/>
          </w:tcPr>
          <w:p w14:paraId="28CA6372" w14:textId="77777777" w:rsidR="00E8060D" w:rsidRPr="00FC7F1E" w:rsidRDefault="00FA3064"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34.6</w:t>
            </w:r>
          </w:p>
        </w:tc>
        <w:tc>
          <w:tcPr>
            <w:tcW w:w="2929" w:type="dxa"/>
            <w:shd w:val="clear" w:color="auto" w:fill="FFFFFF" w:themeFill="background1"/>
            <w:vAlign w:val="center"/>
          </w:tcPr>
          <w:p w14:paraId="7755CBBA" w14:textId="77777777" w:rsidR="00E8060D" w:rsidRPr="00FC7F1E" w:rsidRDefault="00E8060D" w:rsidP="00FC08CC">
            <w:pPr>
              <w:keepNext/>
              <w:keepLines/>
              <w:spacing w:before="20" w:after="20"/>
              <w:jc w:val="center"/>
              <w:rPr>
                <w:rFonts w:ascii="Arial Narrow" w:eastAsia="TimesNewRoman" w:hAnsi="Arial Narrow" w:cs="Times New Roman"/>
                <w:color w:val="000000"/>
                <w:sz w:val="20"/>
                <w:szCs w:val="20"/>
                <w:vertAlign w:val="superscript"/>
              </w:rPr>
            </w:pPr>
            <w:r w:rsidRPr="00FC7F1E">
              <w:rPr>
                <w:rFonts w:ascii="Arial Narrow" w:eastAsia="TimesNewRoman" w:hAnsi="Arial Narrow" w:cs="Times New Roman"/>
                <w:color w:val="000000"/>
                <w:sz w:val="20"/>
                <w:szCs w:val="20"/>
              </w:rPr>
              <w:t>+4.2 (4.5; 2.7 to 5.7)</w:t>
            </w:r>
            <w:r w:rsidR="00F4304B" w:rsidRPr="00FC7F1E">
              <w:rPr>
                <w:rFonts w:ascii="Arial Narrow" w:eastAsia="TimesNewRoman" w:hAnsi="Arial Narrow" w:cs="Times New Roman"/>
                <w:color w:val="000000"/>
                <w:sz w:val="20"/>
                <w:szCs w:val="20"/>
              </w:rPr>
              <w:t xml:space="preserve"> </w:t>
            </w:r>
            <w:r w:rsidR="00F4304B" w:rsidRPr="00FC7F1E">
              <w:rPr>
                <w:rFonts w:ascii="Arial Narrow" w:eastAsia="TimesNewRoman" w:hAnsi="Arial Narrow" w:cs="Times New Roman"/>
                <w:color w:val="000000"/>
                <w:sz w:val="20"/>
                <w:szCs w:val="20"/>
                <w:vertAlign w:val="superscript"/>
              </w:rPr>
              <w:t>a</w:t>
            </w:r>
          </w:p>
        </w:tc>
      </w:tr>
      <w:tr w:rsidR="00FA3064" w:rsidRPr="00FC7F1E" w14:paraId="307AA6E0" w14:textId="77777777" w:rsidTr="00991867">
        <w:tc>
          <w:tcPr>
            <w:tcW w:w="1599" w:type="dxa"/>
            <w:shd w:val="clear" w:color="auto" w:fill="FFFFFF" w:themeFill="background1"/>
            <w:vAlign w:val="center"/>
          </w:tcPr>
          <w:p w14:paraId="0564E59E" w14:textId="77777777" w:rsidR="00FA3064" w:rsidRPr="00FC7F1E" w:rsidRDefault="00FA3064" w:rsidP="00FC08CC">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Walter 2019</w:t>
            </w:r>
          </w:p>
        </w:tc>
        <w:tc>
          <w:tcPr>
            <w:tcW w:w="1090" w:type="dxa"/>
            <w:shd w:val="clear" w:color="auto" w:fill="FFFFFF" w:themeFill="background1"/>
            <w:vAlign w:val="center"/>
          </w:tcPr>
          <w:p w14:paraId="0AC99B18" w14:textId="77777777" w:rsidR="00FA3064" w:rsidRPr="00FC7F1E" w:rsidRDefault="00FA3064" w:rsidP="00FC08CC">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Type III (All)</w:t>
            </w:r>
          </w:p>
        </w:tc>
        <w:tc>
          <w:tcPr>
            <w:tcW w:w="708" w:type="dxa"/>
            <w:shd w:val="clear" w:color="auto" w:fill="FFFFFF" w:themeFill="background1"/>
            <w:vAlign w:val="center"/>
          </w:tcPr>
          <w:p w14:paraId="734FA023" w14:textId="77777777" w:rsidR="00FA3064" w:rsidRPr="00FC7F1E" w:rsidRDefault="00FA3064"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19</w:t>
            </w:r>
          </w:p>
        </w:tc>
        <w:tc>
          <w:tcPr>
            <w:tcW w:w="1134" w:type="dxa"/>
            <w:shd w:val="clear" w:color="auto" w:fill="FFFFFF" w:themeFill="background1"/>
            <w:vAlign w:val="center"/>
          </w:tcPr>
          <w:p w14:paraId="50BF564D" w14:textId="77777777" w:rsidR="00FA3064" w:rsidRPr="00FC7F1E" w:rsidRDefault="00FA3064"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25.1 at start</w:t>
            </w:r>
          </w:p>
        </w:tc>
        <w:tc>
          <w:tcPr>
            <w:tcW w:w="1466" w:type="dxa"/>
            <w:shd w:val="clear" w:color="auto" w:fill="FFFFFF" w:themeFill="background1"/>
            <w:vAlign w:val="center"/>
          </w:tcPr>
          <w:p w14:paraId="575E9DEA" w14:textId="77777777" w:rsidR="00FA3064" w:rsidRPr="00FC7F1E" w:rsidRDefault="00FA3064"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35.2</w:t>
            </w:r>
          </w:p>
        </w:tc>
        <w:tc>
          <w:tcPr>
            <w:tcW w:w="2929" w:type="dxa"/>
            <w:shd w:val="clear" w:color="auto" w:fill="FFFFFF" w:themeFill="background1"/>
            <w:vAlign w:val="center"/>
          </w:tcPr>
          <w:p w14:paraId="63DD00F5" w14:textId="77777777" w:rsidR="00FA3064" w:rsidRPr="00FC7F1E" w:rsidRDefault="009E331D"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+4.34</w:t>
            </w:r>
            <w:r w:rsidRPr="00FC7F1E">
              <w:rPr>
                <w:rFonts w:ascii="Arial Narrow" w:eastAsia="TimesNewRoman" w:hAnsi="Arial Narrow" w:cs="Times New Roman"/>
                <w:color w:val="000000"/>
                <w:sz w:val="20"/>
                <w:szCs w:val="20"/>
                <w:vertAlign w:val="superscript"/>
              </w:rPr>
              <w:t>c</w:t>
            </w:r>
          </w:p>
        </w:tc>
      </w:tr>
      <w:tr w:rsidR="00F2658E" w:rsidRPr="00FC7F1E" w14:paraId="51055A52" w14:textId="77777777" w:rsidTr="00991867">
        <w:tc>
          <w:tcPr>
            <w:tcW w:w="8926" w:type="dxa"/>
            <w:gridSpan w:val="6"/>
            <w:shd w:val="clear" w:color="auto" w:fill="FFFFFF" w:themeFill="background1"/>
            <w:vAlign w:val="center"/>
          </w:tcPr>
          <w:p w14:paraId="6C609A1E" w14:textId="77777777" w:rsidR="00F2658E" w:rsidRPr="00FC7F1E" w:rsidRDefault="00F2658E" w:rsidP="00FC08CC">
            <w:pPr>
              <w:keepNext/>
              <w:keepLines/>
              <w:spacing w:before="20" w:after="20"/>
              <w:jc w:val="left"/>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Natural history studies</w:t>
            </w:r>
          </w:p>
        </w:tc>
      </w:tr>
      <w:tr w:rsidR="00F2658E" w:rsidRPr="00FC7F1E" w14:paraId="3CC0E212" w14:textId="77777777" w:rsidTr="00991867">
        <w:tc>
          <w:tcPr>
            <w:tcW w:w="1599" w:type="dxa"/>
            <w:tcBorders>
              <w:bottom w:val="nil"/>
            </w:tcBorders>
            <w:shd w:val="clear" w:color="auto" w:fill="FFFFFF" w:themeFill="background1"/>
            <w:vAlign w:val="center"/>
          </w:tcPr>
          <w:p w14:paraId="5566EB82" w14:textId="77777777" w:rsidR="00F2658E" w:rsidRPr="00FC7F1E" w:rsidRDefault="00F2658E" w:rsidP="00FC08CC">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Mercuri 2016</w:t>
            </w:r>
          </w:p>
        </w:tc>
        <w:tc>
          <w:tcPr>
            <w:tcW w:w="1090" w:type="dxa"/>
            <w:shd w:val="clear" w:color="auto" w:fill="FFFFFF" w:themeFill="background1"/>
          </w:tcPr>
          <w:p w14:paraId="6865AD65" w14:textId="77777777" w:rsidR="00F2658E" w:rsidRPr="00FC7F1E" w:rsidRDefault="00F2658E" w:rsidP="00FC08CC">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Type II</w:t>
            </w:r>
          </w:p>
        </w:tc>
        <w:tc>
          <w:tcPr>
            <w:tcW w:w="708" w:type="dxa"/>
            <w:shd w:val="clear" w:color="auto" w:fill="FFFFFF" w:themeFill="background1"/>
            <w:vAlign w:val="center"/>
          </w:tcPr>
          <w:p w14:paraId="1FB9ED5C" w14:textId="77777777" w:rsidR="00F2658E" w:rsidRPr="00FC7F1E" w:rsidRDefault="00F2658E"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17</w:t>
            </w:r>
          </w:p>
        </w:tc>
        <w:tc>
          <w:tcPr>
            <w:tcW w:w="1134" w:type="dxa"/>
            <w:shd w:val="clear" w:color="auto" w:fill="FFFFFF" w:themeFill="background1"/>
            <w:vAlign w:val="center"/>
          </w:tcPr>
          <w:p w14:paraId="3AD3AAF4" w14:textId="77777777" w:rsidR="00F2658E" w:rsidRPr="00FC7F1E" w:rsidRDefault="00F2658E"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17.97 plus</w:t>
            </w:r>
          </w:p>
        </w:tc>
        <w:tc>
          <w:tcPr>
            <w:tcW w:w="1466" w:type="dxa"/>
            <w:tcBorders>
              <w:bottom w:val="single" w:sz="4" w:space="0" w:color="auto"/>
            </w:tcBorders>
            <w:shd w:val="clear" w:color="auto" w:fill="FFFFFF" w:themeFill="background1"/>
            <w:vAlign w:val="center"/>
          </w:tcPr>
          <w:p w14:paraId="655225E2" w14:textId="77777777" w:rsidR="00F2658E" w:rsidRPr="00FC7F1E" w:rsidRDefault="00F2658E"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4.84</w:t>
            </w:r>
          </w:p>
        </w:tc>
        <w:tc>
          <w:tcPr>
            <w:tcW w:w="2929" w:type="dxa"/>
            <w:shd w:val="clear" w:color="auto" w:fill="FFFFFF" w:themeFill="background1"/>
            <w:vAlign w:val="center"/>
          </w:tcPr>
          <w:p w14:paraId="1B8447BD" w14:textId="77777777" w:rsidR="00F2658E" w:rsidRPr="00FC7F1E" w:rsidRDefault="00F2658E"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-0.059</w:t>
            </w:r>
            <w:r w:rsidRPr="00FC7F1E">
              <w:rPr>
                <w:rFonts w:ascii="Arial Narrow" w:eastAsia="TimesNewRoman" w:hAnsi="Arial Narrow" w:cs="Times New Roman"/>
                <w:color w:val="000000"/>
                <w:sz w:val="20"/>
                <w:szCs w:val="20"/>
                <w:vertAlign w:val="superscript"/>
              </w:rPr>
              <w:t>b</w:t>
            </w:r>
          </w:p>
        </w:tc>
      </w:tr>
      <w:tr w:rsidR="00F2658E" w:rsidRPr="00FC7F1E" w14:paraId="4D3A6B4E" w14:textId="77777777" w:rsidTr="00991867">
        <w:tc>
          <w:tcPr>
            <w:tcW w:w="1599" w:type="dxa"/>
            <w:tcBorders>
              <w:top w:val="nil"/>
              <w:bottom w:val="nil"/>
            </w:tcBorders>
            <w:shd w:val="clear" w:color="auto" w:fill="FFFFFF" w:themeFill="background1"/>
            <w:vAlign w:val="center"/>
          </w:tcPr>
          <w:p w14:paraId="4EADA029" w14:textId="77777777" w:rsidR="00F2658E" w:rsidRPr="00FC7F1E" w:rsidRDefault="00F2658E" w:rsidP="00FC08CC">
            <w:pPr>
              <w:keepNext/>
              <w:keepLines/>
              <w:spacing w:before="20" w:after="20"/>
              <w:jc w:val="left"/>
              <w:rPr>
                <w:rFonts w:ascii="Arial Narrow" w:eastAsia="TimesNewRoman" w:hAnsi="Arial Narrow" w:cs="Times New Roman"/>
                <w:color w:val="000000"/>
                <w:sz w:val="20"/>
                <w:szCs w:val="20"/>
              </w:rPr>
            </w:pPr>
          </w:p>
        </w:tc>
        <w:tc>
          <w:tcPr>
            <w:tcW w:w="1090" w:type="dxa"/>
            <w:shd w:val="clear" w:color="auto" w:fill="FFFFFF" w:themeFill="background1"/>
          </w:tcPr>
          <w:p w14:paraId="75E613A4" w14:textId="77777777" w:rsidR="00F2658E" w:rsidRPr="00FC7F1E" w:rsidRDefault="00F2658E" w:rsidP="00FC08CC">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Type IIIa</w:t>
            </w:r>
          </w:p>
        </w:tc>
        <w:tc>
          <w:tcPr>
            <w:tcW w:w="708" w:type="dxa"/>
            <w:shd w:val="clear" w:color="auto" w:fill="FFFFFF" w:themeFill="background1"/>
            <w:vAlign w:val="center"/>
          </w:tcPr>
          <w:p w14:paraId="168C771D" w14:textId="77777777" w:rsidR="00F2658E" w:rsidRPr="00FC7F1E" w:rsidRDefault="00F2658E"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w:t>
            </w:r>
          </w:p>
        </w:tc>
        <w:tc>
          <w:tcPr>
            <w:tcW w:w="1134" w:type="dxa"/>
            <w:shd w:val="clear" w:color="auto" w:fill="FFFFFF" w:themeFill="background1"/>
            <w:vAlign w:val="center"/>
          </w:tcPr>
          <w:p w14:paraId="25C242D1" w14:textId="77777777" w:rsidR="00F2658E" w:rsidRPr="00FC7F1E" w:rsidRDefault="00F2658E"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18 plus</w:t>
            </w:r>
          </w:p>
        </w:tc>
        <w:tc>
          <w:tcPr>
            <w:tcW w:w="1466" w:type="dxa"/>
            <w:vMerge w:val="restart"/>
            <w:tcBorders>
              <w:bottom w:val="single" w:sz="4" w:space="0" w:color="auto"/>
            </w:tcBorders>
            <w:shd w:val="clear" w:color="auto" w:fill="FFFFFF" w:themeFill="background1"/>
            <w:vAlign w:val="center"/>
          </w:tcPr>
          <w:p w14:paraId="288A1701" w14:textId="77777777" w:rsidR="00F2658E" w:rsidRPr="00FC7F1E" w:rsidRDefault="00F2658E"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55.2</w:t>
            </w:r>
          </w:p>
        </w:tc>
        <w:tc>
          <w:tcPr>
            <w:tcW w:w="2929" w:type="dxa"/>
            <w:shd w:val="clear" w:color="auto" w:fill="FFFFFF" w:themeFill="background1"/>
            <w:vAlign w:val="center"/>
          </w:tcPr>
          <w:p w14:paraId="54A15B5A" w14:textId="77777777" w:rsidR="00F2658E" w:rsidRPr="00FC7F1E" w:rsidRDefault="00F2658E"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-0.66</w:t>
            </w:r>
            <w:r w:rsidRPr="00FC7F1E">
              <w:rPr>
                <w:rFonts w:ascii="Arial Narrow" w:eastAsia="TimesNewRoman" w:hAnsi="Arial Narrow" w:cs="Times New Roman"/>
                <w:color w:val="000000"/>
                <w:sz w:val="20"/>
                <w:szCs w:val="20"/>
                <w:vertAlign w:val="superscript"/>
              </w:rPr>
              <w:t>b</w:t>
            </w:r>
          </w:p>
        </w:tc>
      </w:tr>
      <w:tr w:rsidR="00F2658E" w:rsidRPr="00FC7F1E" w14:paraId="7E49AB97" w14:textId="77777777" w:rsidTr="00991867">
        <w:tc>
          <w:tcPr>
            <w:tcW w:w="1599" w:type="dxa"/>
            <w:tcBorders>
              <w:top w:val="nil"/>
              <w:bottom w:val="single" w:sz="4" w:space="0" w:color="auto"/>
            </w:tcBorders>
            <w:shd w:val="clear" w:color="auto" w:fill="FFFFFF" w:themeFill="background1"/>
            <w:vAlign w:val="center"/>
          </w:tcPr>
          <w:p w14:paraId="5533607B" w14:textId="77777777" w:rsidR="00F2658E" w:rsidRPr="00FC7F1E" w:rsidRDefault="00F2658E" w:rsidP="00FC08CC">
            <w:pPr>
              <w:keepNext/>
              <w:keepLines/>
              <w:spacing w:before="20" w:after="20"/>
              <w:jc w:val="left"/>
              <w:rPr>
                <w:rFonts w:ascii="Arial Narrow" w:eastAsia="TimesNewRoman" w:hAnsi="Arial Narrow" w:cs="Times New Roman"/>
                <w:color w:val="000000"/>
                <w:sz w:val="20"/>
                <w:szCs w:val="20"/>
              </w:rPr>
            </w:pPr>
          </w:p>
        </w:tc>
        <w:tc>
          <w:tcPr>
            <w:tcW w:w="1090" w:type="dxa"/>
            <w:tcBorders>
              <w:bottom w:val="single" w:sz="4" w:space="0" w:color="auto"/>
            </w:tcBorders>
            <w:shd w:val="clear" w:color="auto" w:fill="FFFFFF" w:themeFill="background1"/>
          </w:tcPr>
          <w:p w14:paraId="2F094406" w14:textId="77777777" w:rsidR="00F2658E" w:rsidRPr="00FC7F1E" w:rsidRDefault="00F2658E" w:rsidP="00FC08CC">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Type IIIb</w:t>
            </w:r>
          </w:p>
        </w:tc>
        <w:tc>
          <w:tcPr>
            <w:tcW w:w="708" w:type="dxa"/>
            <w:shd w:val="clear" w:color="auto" w:fill="FFFFFF" w:themeFill="background1"/>
            <w:vAlign w:val="center"/>
          </w:tcPr>
          <w:p w14:paraId="11835EE4" w14:textId="77777777" w:rsidR="00F2658E" w:rsidRPr="00FC7F1E" w:rsidRDefault="00F2658E"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9</w:t>
            </w:r>
          </w:p>
        </w:tc>
        <w:tc>
          <w:tcPr>
            <w:tcW w:w="1134" w:type="dxa"/>
            <w:shd w:val="clear" w:color="auto" w:fill="FFFFFF" w:themeFill="background1"/>
            <w:vAlign w:val="center"/>
          </w:tcPr>
          <w:p w14:paraId="77DC19F4" w14:textId="77777777" w:rsidR="00F2658E" w:rsidRPr="00FC7F1E" w:rsidRDefault="00F2658E"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18 plus</w:t>
            </w:r>
          </w:p>
        </w:tc>
        <w:tc>
          <w:tcPr>
            <w:tcW w:w="1466" w:type="dxa"/>
            <w:vMerge/>
            <w:tcBorders>
              <w:bottom w:val="single" w:sz="4" w:space="0" w:color="auto"/>
            </w:tcBorders>
            <w:shd w:val="clear" w:color="auto" w:fill="FFFFFF" w:themeFill="background1"/>
            <w:vAlign w:val="center"/>
          </w:tcPr>
          <w:p w14:paraId="51DCB0A2" w14:textId="77777777" w:rsidR="00F2658E" w:rsidRPr="00FC7F1E" w:rsidRDefault="00F2658E" w:rsidP="00FC08CC">
            <w:pPr>
              <w:keepNext/>
              <w:keepLines/>
              <w:spacing w:before="20" w:after="20"/>
              <w:jc w:val="center"/>
              <w:rPr>
                <w:rFonts w:ascii="Arial Narrow" w:eastAsia="TimesNewRoman" w:hAnsi="Arial Narrow" w:cs="Times New Roman"/>
                <w:color w:val="000000"/>
                <w:sz w:val="20"/>
                <w:szCs w:val="20"/>
              </w:rPr>
            </w:pPr>
          </w:p>
        </w:tc>
        <w:tc>
          <w:tcPr>
            <w:tcW w:w="2929" w:type="dxa"/>
            <w:shd w:val="clear" w:color="auto" w:fill="FFFFFF" w:themeFill="background1"/>
            <w:vAlign w:val="center"/>
          </w:tcPr>
          <w:p w14:paraId="1A710E98" w14:textId="77777777" w:rsidR="00F2658E" w:rsidRPr="00FC7F1E" w:rsidRDefault="00F2658E" w:rsidP="00FC08CC">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w:t>
            </w:r>
            <w:r w:rsidRPr="00FC7F1E">
              <w:rPr>
                <w:rFonts w:ascii="Arial Narrow" w:eastAsia="TimesNewRoman" w:hAnsi="Arial Narrow" w:cs="Times New Roman"/>
                <w:color w:val="000000"/>
                <w:sz w:val="20"/>
                <w:szCs w:val="20"/>
                <w:vertAlign w:val="superscript"/>
              </w:rPr>
              <w:t>b</w:t>
            </w:r>
          </w:p>
        </w:tc>
      </w:tr>
    </w:tbl>
    <w:p w14:paraId="6B48BFE8" w14:textId="77777777" w:rsidR="00F2658E" w:rsidRPr="00FC7F1E" w:rsidRDefault="00F2658E" w:rsidP="00FC08CC">
      <w:pPr>
        <w:pStyle w:val="TableNotes"/>
        <w:tabs>
          <w:tab w:val="left" w:pos="284"/>
        </w:tabs>
        <w:rPr>
          <w:rFonts w:ascii="Arial Narrow" w:hAnsi="Arial Narrow"/>
          <w:sz w:val="18"/>
          <w:szCs w:val="18"/>
        </w:rPr>
      </w:pPr>
      <w:r w:rsidRPr="00FC7F1E">
        <w:rPr>
          <w:rFonts w:ascii="Arial Narrow" w:hAnsi="Arial Narrow"/>
          <w:sz w:val="18"/>
          <w:szCs w:val="18"/>
          <w:vertAlign w:val="superscript"/>
        </w:rPr>
        <w:t>a</w:t>
      </w:r>
      <w:r w:rsidRPr="00FC7F1E">
        <w:rPr>
          <w:rFonts w:ascii="Arial Narrow" w:hAnsi="Arial Narrow"/>
          <w:sz w:val="18"/>
          <w:szCs w:val="18"/>
          <w:vertAlign w:val="superscript"/>
        </w:rPr>
        <w:tab/>
      </w:r>
      <w:r w:rsidRPr="00FC7F1E">
        <w:rPr>
          <w:rFonts w:ascii="Arial Narrow" w:hAnsi="Arial Narrow"/>
          <w:sz w:val="18"/>
          <w:szCs w:val="18"/>
        </w:rPr>
        <w:t>Data from Hagenacker 2020 represents 14 month assessment expressed as mean difference (SD; 95% CI)</w:t>
      </w:r>
    </w:p>
    <w:p w14:paraId="60F71174" w14:textId="77777777" w:rsidR="00F2658E" w:rsidRPr="00FC7F1E" w:rsidRDefault="00F2658E" w:rsidP="00FC08CC">
      <w:pPr>
        <w:pStyle w:val="TableNotes"/>
        <w:tabs>
          <w:tab w:val="left" w:pos="284"/>
        </w:tabs>
        <w:rPr>
          <w:rFonts w:ascii="Arial Narrow" w:hAnsi="Arial Narrow"/>
          <w:sz w:val="18"/>
          <w:szCs w:val="18"/>
        </w:rPr>
      </w:pPr>
      <w:r w:rsidRPr="00FC7F1E">
        <w:rPr>
          <w:rFonts w:ascii="Arial Narrow" w:hAnsi="Arial Narrow"/>
          <w:sz w:val="18"/>
          <w:szCs w:val="18"/>
          <w:vertAlign w:val="superscript"/>
        </w:rPr>
        <w:t>b</w:t>
      </w:r>
      <w:r w:rsidRPr="00FC7F1E">
        <w:rPr>
          <w:rFonts w:ascii="Arial Narrow" w:hAnsi="Arial Narrow"/>
          <w:sz w:val="18"/>
          <w:szCs w:val="18"/>
          <w:vertAlign w:val="superscript"/>
        </w:rPr>
        <w:tab/>
      </w:r>
      <w:r w:rsidRPr="00FC7F1E">
        <w:rPr>
          <w:rFonts w:ascii="Arial Narrow" w:hAnsi="Arial Narrow"/>
          <w:sz w:val="18"/>
          <w:szCs w:val="18"/>
        </w:rPr>
        <w:t>Recalculated during the evaluation from -0.40 to 0 after excluding one pat</w:t>
      </w:r>
      <w:r w:rsidR="00C9140C" w:rsidRPr="00FC7F1E">
        <w:rPr>
          <w:rFonts w:ascii="Arial Narrow" w:hAnsi="Arial Narrow"/>
          <w:sz w:val="18"/>
          <w:szCs w:val="18"/>
        </w:rPr>
        <w:t>ie</w:t>
      </w:r>
      <w:r w:rsidRPr="00FC7F1E">
        <w:rPr>
          <w:rFonts w:ascii="Arial Narrow" w:hAnsi="Arial Narrow"/>
          <w:sz w:val="18"/>
          <w:szCs w:val="18"/>
        </w:rPr>
        <w:t xml:space="preserve">nts aged 17.64 years. </w:t>
      </w:r>
    </w:p>
    <w:p w14:paraId="016577D2" w14:textId="77777777" w:rsidR="009E331D" w:rsidRPr="00FC7F1E" w:rsidRDefault="009E331D" w:rsidP="00FC08CC">
      <w:pPr>
        <w:pStyle w:val="TableNotes"/>
        <w:tabs>
          <w:tab w:val="left" w:pos="284"/>
        </w:tabs>
        <w:rPr>
          <w:rFonts w:ascii="Arial Narrow" w:hAnsi="Arial Narrow"/>
          <w:sz w:val="18"/>
          <w:szCs w:val="18"/>
        </w:rPr>
      </w:pPr>
      <w:r w:rsidRPr="00FC7F1E">
        <w:rPr>
          <w:rFonts w:ascii="Arial Narrow" w:hAnsi="Arial Narrow"/>
          <w:sz w:val="18"/>
          <w:szCs w:val="18"/>
          <w:vertAlign w:val="superscript"/>
        </w:rPr>
        <w:t>c</w:t>
      </w:r>
      <w:r w:rsidRPr="00FC7F1E">
        <w:rPr>
          <w:rFonts w:ascii="Arial Narrow" w:hAnsi="Arial Narrow"/>
          <w:sz w:val="18"/>
          <w:szCs w:val="18"/>
          <w:vertAlign w:val="superscript"/>
        </w:rPr>
        <w:tab/>
      </w:r>
      <w:r w:rsidRPr="00FC7F1E">
        <w:rPr>
          <w:rFonts w:ascii="Arial Narrow" w:hAnsi="Arial Narrow"/>
          <w:sz w:val="18"/>
          <w:szCs w:val="18"/>
        </w:rPr>
        <w:t>At 10 months</w:t>
      </w:r>
    </w:p>
    <w:p w14:paraId="2CB25D40" w14:textId="77777777" w:rsidR="00F2658E" w:rsidRPr="00FC7F1E" w:rsidRDefault="00F2658E" w:rsidP="00FC08CC">
      <w:pPr>
        <w:pStyle w:val="TableNotes"/>
        <w:tabs>
          <w:tab w:val="left" w:pos="284"/>
        </w:tabs>
        <w:rPr>
          <w:rFonts w:ascii="Arial Narrow" w:hAnsi="Arial Narrow"/>
          <w:sz w:val="18"/>
          <w:szCs w:val="18"/>
        </w:rPr>
      </w:pPr>
      <w:r w:rsidRPr="00FC7F1E">
        <w:rPr>
          <w:rFonts w:ascii="Arial Narrow" w:hAnsi="Arial Narrow"/>
          <w:iCs/>
          <w:sz w:val="18"/>
          <w:szCs w:val="18"/>
        </w:rPr>
        <w:t>Source: Table 2.41, p138 of the resubmission</w:t>
      </w:r>
      <w:r w:rsidR="00BE58F1" w:rsidRPr="00FC7F1E">
        <w:rPr>
          <w:rFonts w:ascii="Arial Narrow" w:hAnsi="Arial Narrow"/>
          <w:iCs/>
          <w:sz w:val="18"/>
          <w:szCs w:val="18"/>
        </w:rPr>
        <w:t>, and Hagenacker 2020</w:t>
      </w:r>
      <w:r w:rsidRPr="00FC7F1E">
        <w:rPr>
          <w:rFonts w:ascii="Arial Narrow" w:hAnsi="Arial Narrow"/>
          <w:sz w:val="18"/>
          <w:szCs w:val="18"/>
        </w:rPr>
        <w:t>.</w:t>
      </w:r>
    </w:p>
    <w:p w14:paraId="51B02F4D" w14:textId="77777777" w:rsidR="00925C4F" w:rsidRPr="00FC7F1E" w:rsidRDefault="00DC6BD2" w:rsidP="00E51DC0">
      <w:pPr>
        <w:pStyle w:val="3-BodyText"/>
      </w:pPr>
      <w:r w:rsidRPr="00FC7F1E">
        <w:t xml:space="preserve">The </w:t>
      </w:r>
      <w:r w:rsidR="00CA098E" w:rsidRPr="00FC7F1E">
        <w:t>re</w:t>
      </w:r>
      <w:r w:rsidRPr="00FC7F1E">
        <w:t>submission chose to exclude the Walter 2019 study from its naïve indirect comparison</w:t>
      </w:r>
      <w:r w:rsidR="00F60A9A" w:rsidRPr="00FC7F1E">
        <w:t xml:space="preserve"> (as outlined in paragraph 6.1)</w:t>
      </w:r>
      <w:r w:rsidRPr="00FC7F1E">
        <w:t xml:space="preserve">. </w:t>
      </w:r>
      <w:r w:rsidR="00F844B9" w:rsidRPr="00FC7F1E">
        <w:t>P</w:t>
      </w:r>
      <w:r w:rsidR="001B23C8" w:rsidRPr="00FC7F1E">
        <w:t xml:space="preserve">atients in </w:t>
      </w:r>
      <w:r w:rsidR="0058691B" w:rsidRPr="00FC7F1E">
        <w:t xml:space="preserve">the </w:t>
      </w:r>
      <w:r w:rsidR="001B23C8" w:rsidRPr="00FC7F1E">
        <w:t xml:space="preserve">Walter 2019 </w:t>
      </w:r>
      <w:r w:rsidR="0058691B" w:rsidRPr="00FC7F1E">
        <w:t xml:space="preserve">study </w:t>
      </w:r>
      <w:r w:rsidR="001B23C8" w:rsidRPr="00FC7F1E">
        <w:t>experienced an increase in HFMSE over the 1</w:t>
      </w:r>
      <w:r w:rsidR="00F844B9" w:rsidRPr="00FC7F1E">
        <w:t xml:space="preserve">0 month duration of the study, however </w:t>
      </w:r>
      <w:r w:rsidR="00925C4F" w:rsidRPr="00FC7F1E">
        <w:t>t</w:t>
      </w:r>
      <w:r w:rsidR="001B23C8" w:rsidRPr="00FC7F1E">
        <w:t xml:space="preserve">he difference </w:t>
      </w:r>
      <w:r w:rsidR="00B90538" w:rsidRPr="00FC7F1E">
        <w:t xml:space="preserve">from baseline of </w:t>
      </w:r>
      <w:r w:rsidR="001B23C8" w:rsidRPr="00FC7F1E">
        <w:t>4.34 points was not statistically significant</w:t>
      </w:r>
      <w:r w:rsidR="00491879" w:rsidRPr="00FC7F1E">
        <w:t xml:space="preserve"> (p=0.201)</w:t>
      </w:r>
      <w:r w:rsidR="001B23C8" w:rsidRPr="00FC7F1E">
        <w:t>.</w:t>
      </w:r>
      <w:r w:rsidR="00F850AF" w:rsidRPr="00FC7F1E">
        <w:t xml:space="preserve"> The study reported that based on data from the last visit</w:t>
      </w:r>
      <w:r w:rsidR="00B56142" w:rsidRPr="00FC7F1E">
        <w:t>,</w:t>
      </w:r>
      <w:r w:rsidR="00F850AF" w:rsidRPr="00FC7F1E">
        <w:t xml:space="preserve"> 41% of patients reported an improvement, 23.5% of patients remained stable and 23.5% of patients reported a decline in HFMSE.</w:t>
      </w:r>
      <w:r w:rsidR="001B23C8" w:rsidRPr="00FC7F1E">
        <w:t xml:space="preserve"> </w:t>
      </w:r>
      <w:r w:rsidR="00F850AF" w:rsidRPr="00FC7F1E">
        <w:t xml:space="preserve">Five </w:t>
      </w:r>
      <w:r w:rsidR="003D2B42" w:rsidRPr="00FC7F1E">
        <w:t xml:space="preserve">of 17 </w:t>
      </w:r>
      <w:r w:rsidR="00F850AF" w:rsidRPr="00FC7F1E">
        <w:t>patients (</w:t>
      </w:r>
      <w:r w:rsidR="003D2B42" w:rsidRPr="00FC7F1E">
        <w:t>29.4</w:t>
      </w:r>
      <w:r w:rsidR="00F850AF" w:rsidRPr="00FC7F1E">
        <w:t xml:space="preserve">%) reported a change in the HFMSE of more than 3 points. </w:t>
      </w:r>
      <w:r w:rsidR="00130FE6" w:rsidRPr="00FC7F1E">
        <w:t>While patient numbers in the Walter 2019 study were lower at only 19 patients</w:t>
      </w:r>
      <w:r w:rsidR="0058691B" w:rsidRPr="00FC7F1E">
        <w:t xml:space="preserve"> compared to Hagenacker (139 enrolled patients and 57 patients who completed the 14-month assessment)</w:t>
      </w:r>
      <w:r w:rsidR="00130FE6" w:rsidRPr="00FC7F1E">
        <w:t xml:space="preserve">, this in and of itself was not considered a reason to exclude the study from </w:t>
      </w:r>
      <w:r w:rsidR="008949E7" w:rsidRPr="00FC7F1E">
        <w:t>the</w:t>
      </w:r>
      <w:r w:rsidR="00130FE6" w:rsidRPr="00FC7F1E">
        <w:t xml:space="preserve"> indirect analysis. I</w:t>
      </w:r>
      <w:r w:rsidR="00925C4F" w:rsidRPr="00FC7F1E">
        <w:t xml:space="preserve">t was not apparent why the study </w:t>
      </w:r>
      <w:r w:rsidR="00CA098E" w:rsidRPr="00FC7F1E">
        <w:t>re</w:t>
      </w:r>
      <w:r w:rsidR="004F086A" w:rsidRPr="00FC7F1E">
        <w:t>submission’s naïve indirect comparison did not include this study</w:t>
      </w:r>
      <w:r w:rsidR="00925C4F" w:rsidRPr="00FC7F1E">
        <w:t>.</w:t>
      </w:r>
      <w:r w:rsidR="00130FE6" w:rsidRPr="00FC7F1E">
        <w:t xml:space="preserve"> </w:t>
      </w:r>
    </w:p>
    <w:p w14:paraId="6F137426" w14:textId="77777777" w:rsidR="0033210F" w:rsidRPr="00FC7F1E" w:rsidRDefault="0095139E" w:rsidP="00E51DC0">
      <w:pPr>
        <w:pStyle w:val="3-BodyText"/>
      </w:pPr>
      <w:r w:rsidRPr="00FC7F1E">
        <w:t xml:space="preserve">Overall, </w:t>
      </w:r>
      <w:r w:rsidR="009F7862" w:rsidRPr="00FC7F1E">
        <w:t xml:space="preserve">the </w:t>
      </w:r>
      <w:r w:rsidRPr="00FC7F1E">
        <w:t xml:space="preserve">data on HFMSE from single arm, non-comparative, non-randomised studies of nusinersen suggested that </w:t>
      </w:r>
      <w:r w:rsidR="001B23C8" w:rsidRPr="00FC7F1E">
        <w:t xml:space="preserve">there may be an </w:t>
      </w:r>
      <w:r w:rsidR="00761527" w:rsidRPr="00FC7F1E">
        <w:t xml:space="preserve">increase </w:t>
      </w:r>
      <w:r w:rsidRPr="00FC7F1E">
        <w:t>of</w:t>
      </w:r>
      <w:r w:rsidR="00761527" w:rsidRPr="00FC7F1E">
        <w:t xml:space="preserve"> 1.1 to 4.2 points over 14 months for adult patients with Type II or III SMA initiated on nusinersen, noting that a small proportion of patients </w:t>
      </w:r>
      <w:r w:rsidR="008949E7" w:rsidRPr="00FC7F1E">
        <w:t xml:space="preserve">may also display motor function decline </w:t>
      </w:r>
      <w:r w:rsidR="0005665E" w:rsidRPr="00FC7F1E">
        <w:t>(</w:t>
      </w:r>
      <w:r w:rsidR="00D31E44" w:rsidRPr="00FC7F1E">
        <w:t xml:space="preserve">e.g. </w:t>
      </w:r>
      <w:r w:rsidR="00D36663" w:rsidRPr="00FC7F1E">
        <w:t xml:space="preserve">11.3%, </w:t>
      </w:r>
      <w:r w:rsidR="0005665E" w:rsidRPr="00FC7F1E">
        <w:t xml:space="preserve">6.5% and 3.5% of patients in Hagenacker 2020 at </w:t>
      </w:r>
      <w:r w:rsidR="00D36663" w:rsidRPr="00FC7F1E">
        <w:t xml:space="preserve">the 6, </w:t>
      </w:r>
      <w:r w:rsidR="0005665E" w:rsidRPr="00FC7F1E">
        <w:t xml:space="preserve">10 and 14 months </w:t>
      </w:r>
      <w:r w:rsidR="00D36663" w:rsidRPr="00FC7F1E">
        <w:t xml:space="preserve">analysis </w:t>
      </w:r>
      <w:r w:rsidR="0005665E" w:rsidRPr="00FC7F1E">
        <w:t>respectively</w:t>
      </w:r>
      <w:r w:rsidR="00D31E44" w:rsidRPr="00FC7F1E">
        <w:t>, and 23.5% of patient</w:t>
      </w:r>
      <w:r w:rsidR="00473A0C" w:rsidRPr="00FC7F1E">
        <w:t>s</w:t>
      </w:r>
      <w:r w:rsidR="00D31E44" w:rsidRPr="00FC7F1E">
        <w:t xml:space="preserve"> in Walter 2019 at 10 months</w:t>
      </w:r>
      <w:r w:rsidR="0005665E" w:rsidRPr="00FC7F1E">
        <w:t>)</w:t>
      </w:r>
      <w:r w:rsidR="009F7862" w:rsidRPr="00FC7F1E">
        <w:t>.</w:t>
      </w:r>
    </w:p>
    <w:p w14:paraId="585BCFC9" w14:textId="77777777" w:rsidR="00E51DC0" w:rsidRPr="00FC7F1E" w:rsidRDefault="00751E32" w:rsidP="00E51DC0">
      <w:pPr>
        <w:pStyle w:val="3-BodyText"/>
      </w:pPr>
      <w:r w:rsidRPr="00FC7F1E">
        <w:t>Untreated adult patients in Mercuri 2016 in contrast, displayed a change in HFMSE over 12 months of 0 in patients with Type IIIb SMA, -0.66 for Type IIIa and -0.059 for Type II SMA.</w:t>
      </w:r>
      <w:r w:rsidR="00E51DC0" w:rsidRPr="00FC7F1E">
        <w:t xml:space="preserve"> While the </w:t>
      </w:r>
      <w:r w:rsidR="00CA098E" w:rsidRPr="00FC7F1E">
        <w:t>re</w:t>
      </w:r>
      <w:r w:rsidR="00E51DC0" w:rsidRPr="00FC7F1E">
        <w:t xml:space="preserve">submission also contrasted the results to those from Wadman 2018, where there was stated to be a decline in motor function per year of </w:t>
      </w:r>
      <w:r w:rsidR="00E51DC0" w:rsidRPr="00FC7F1E">
        <w:lastRenderedPageBreak/>
        <w:t xml:space="preserve">between 0.03 to 1.64 points, these values could </w:t>
      </w:r>
      <w:r w:rsidR="00FA4C2E" w:rsidRPr="00FC7F1E">
        <w:t xml:space="preserve">not </w:t>
      </w:r>
      <w:r w:rsidR="00E51DC0" w:rsidRPr="00FC7F1E">
        <w:t xml:space="preserve">be </w:t>
      </w:r>
      <w:r w:rsidR="008949E7" w:rsidRPr="00FC7F1E">
        <w:t xml:space="preserve">accurately </w:t>
      </w:r>
      <w:r w:rsidR="00E51DC0" w:rsidRPr="00FC7F1E">
        <w:t>calculated from data in the publication given the way age cohorts were used in the study and how the data w</w:t>
      </w:r>
      <w:r w:rsidR="008A4DEA" w:rsidRPr="00FC7F1E">
        <w:t>ere</w:t>
      </w:r>
      <w:r w:rsidR="00E51DC0" w:rsidRPr="00FC7F1E">
        <w:t xml:space="preserve"> reported. </w:t>
      </w:r>
      <w:r w:rsidR="002F5A31" w:rsidRPr="00FC7F1E">
        <w:t>The Wadman 2018 study was further limited in that it simply reported average HFMSE for patients in various age cohorts at a set point in time, and not changes in the same patients over time.</w:t>
      </w:r>
    </w:p>
    <w:p w14:paraId="553F4722" w14:textId="77777777" w:rsidR="001F479D" w:rsidRPr="00FC7F1E" w:rsidRDefault="00F62510" w:rsidP="00B60B0E">
      <w:pPr>
        <w:pStyle w:val="3-BodyText"/>
      </w:pPr>
      <w:r w:rsidRPr="00FC7F1E">
        <w:t>For the outcome of RULM,</w:t>
      </w:r>
      <w:r w:rsidR="001F479D" w:rsidRPr="00FC7F1E">
        <w:t xml:space="preserve"> the change from baseline is shown in </w:t>
      </w:r>
      <w:r w:rsidR="00594434" w:rsidRPr="00FC7F1E">
        <w:t xml:space="preserve">Table </w:t>
      </w:r>
      <w:r w:rsidR="00AA3F5F" w:rsidRPr="00FC7F1E">
        <w:t>8</w:t>
      </w:r>
      <w:r w:rsidR="001F479D" w:rsidRPr="00FC7F1E">
        <w:t xml:space="preserve">. </w:t>
      </w:r>
    </w:p>
    <w:p w14:paraId="7798B984" w14:textId="77777777" w:rsidR="001F479D" w:rsidRPr="00FC7F1E" w:rsidRDefault="00CA098E" w:rsidP="001F479D">
      <w:pPr>
        <w:rPr>
          <w:rFonts w:ascii="Arial Narrow" w:hAnsi="Arial Narrow"/>
          <w:b/>
          <w:sz w:val="20"/>
          <w:szCs w:val="20"/>
        </w:rPr>
      </w:pPr>
      <w:bookmarkStart w:id="23" w:name="_Ref49225970"/>
      <w:r w:rsidRPr="00FC7F1E">
        <w:rPr>
          <w:rFonts w:ascii="Arial Narrow" w:hAnsi="Arial Narrow"/>
          <w:b/>
          <w:sz w:val="20"/>
          <w:szCs w:val="20"/>
        </w:rPr>
        <w:t xml:space="preserve">Table </w:t>
      </w:r>
      <w:bookmarkEnd w:id="23"/>
      <w:r w:rsidR="00AA3F5F" w:rsidRPr="00FC7F1E">
        <w:rPr>
          <w:rFonts w:ascii="Arial Narrow" w:hAnsi="Arial Narrow"/>
          <w:b/>
          <w:sz w:val="20"/>
          <w:szCs w:val="20"/>
        </w:rPr>
        <w:t>8</w:t>
      </w:r>
      <w:r w:rsidR="001F479D" w:rsidRPr="00FC7F1E">
        <w:rPr>
          <w:rFonts w:ascii="Arial Narrow" w:hAnsi="Arial Narrow"/>
          <w:b/>
          <w:sz w:val="20"/>
          <w:szCs w:val="20"/>
        </w:rPr>
        <w:t>: RULM change from baseline across studies</w:t>
      </w:r>
    </w:p>
    <w:tbl>
      <w:tblPr>
        <w:tblStyle w:val="ASDTable9"/>
        <w:tblW w:w="0" w:type="auto"/>
        <w:shd w:val="clear" w:color="auto" w:fill="FFFFFF" w:themeFill="background1"/>
        <w:tblLook w:val="0620" w:firstRow="1" w:lastRow="0" w:firstColumn="0" w:lastColumn="0" w:noHBand="1" w:noVBand="1"/>
        <w:tblCaption w:val="Table 8: RULM change from baseline across studies"/>
      </w:tblPr>
      <w:tblGrid>
        <w:gridCol w:w="2078"/>
        <w:gridCol w:w="1903"/>
        <w:gridCol w:w="547"/>
        <w:gridCol w:w="1526"/>
        <w:gridCol w:w="2872"/>
      </w:tblGrid>
      <w:tr w:rsidR="001F479D" w:rsidRPr="00FC7F1E" w14:paraId="434B9DF1" w14:textId="77777777" w:rsidTr="00991867">
        <w:trPr>
          <w:tblHeader/>
        </w:trPr>
        <w:tc>
          <w:tcPr>
            <w:tcW w:w="2078" w:type="dxa"/>
            <w:shd w:val="clear" w:color="auto" w:fill="FFFFFF" w:themeFill="background1"/>
          </w:tcPr>
          <w:p w14:paraId="3911F8CF" w14:textId="77777777" w:rsidR="001F479D" w:rsidRPr="00FC7F1E" w:rsidRDefault="001F479D" w:rsidP="00880268">
            <w:pPr>
              <w:keepNext/>
              <w:keepLines/>
              <w:spacing w:before="20" w:after="20"/>
              <w:jc w:val="left"/>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Study</w:t>
            </w:r>
          </w:p>
        </w:tc>
        <w:tc>
          <w:tcPr>
            <w:tcW w:w="1903" w:type="dxa"/>
            <w:shd w:val="clear" w:color="auto" w:fill="FFFFFF" w:themeFill="background1"/>
          </w:tcPr>
          <w:p w14:paraId="018300C8" w14:textId="77777777" w:rsidR="001F479D" w:rsidRPr="00FC7F1E" w:rsidRDefault="001F479D" w:rsidP="00880268">
            <w:pPr>
              <w:keepNext/>
              <w:keepLines/>
              <w:spacing w:before="20" w:after="20"/>
              <w:jc w:val="left"/>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Type</w:t>
            </w:r>
          </w:p>
        </w:tc>
        <w:tc>
          <w:tcPr>
            <w:tcW w:w="547" w:type="dxa"/>
            <w:shd w:val="clear" w:color="auto" w:fill="FFFFFF" w:themeFill="background1"/>
          </w:tcPr>
          <w:p w14:paraId="19C1BB7F" w14:textId="77777777" w:rsidR="001F479D" w:rsidRPr="00FC7F1E" w:rsidRDefault="001F479D" w:rsidP="00880268">
            <w:pPr>
              <w:keepNext/>
              <w:keepLines/>
              <w:spacing w:before="20" w:after="20"/>
              <w:jc w:val="left"/>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N</w:t>
            </w:r>
          </w:p>
        </w:tc>
        <w:tc>
          <w:tcPr>
            <w:tcW w:w="1526" w:type="dxa"/>
            <w:shd w:val="clear" w:color="auto" w:fill="FFFFFF" w:themeFill="background1"/>
          </w:tcPr>
          <w:p w14:paraId="3842AB83" w14:textId="77777777" w:rsidR="001F479D" w:rsidRPr="00FC7F1E" w:rsidRDefault="001F479D" w:rsidP="00880268">
            <w:pPr>
              <w:keepNext/>
              <w:keepLines/>
              <w:spacing w:before="20" w:after="20"/>
              <w:jc w:val="left"/>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Baseline RULM</w:t>
            </w:r>
          </w:p>
        </w:tc>
        <w:tc>
          <w:tcPr>
            <w:tcW w:w="2872" w:type="dxa"/>
            <w:shd w:val="clear" w:color="auto" w:fill="FFFFFF" w:themeFill="background1"/>
            <w:vAlign w:val="center"/>
          </w:tcPr>
          <w:p w14:paraId="70BAA4A7" w14:textId="77777777" w:rsidR="001F479D" w:rsidRPr="00FC7F1E" w:rsidRDefault="001F479D" w:rsidP="008730D7">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Change from baseline</w:t>
            </w:r>
          </w:p>
        </w:tc>
      </w:tr>
      <w:tr w:rsidR="00C9070A" w:rsidRPr="00FC7F1E" w14:paraId="0E2FBE7C" w14:textId="77777777" w:rsidTr="00991867">
        <w:tc>
          <w:tcPr>
            <w:tcW w:w="8926" w:type="dxa"/>
            <w:gridSpan w:val="5"/>
            <w:shd w:val="clear" w:color="auto" w:fill="FFFFFF" w:themeFill="background1"/>
          </w:tcPr>
          <w:p w14:paraId="46F70962" w14:textId="77777777" w:rsidR="00C9070A" w:rsidRPr="00FC7F1E" w:rsidRDefault="00C9070A"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Nusinersen studies</w:t>
            </w:r>
          </w:p>
        </w:tc>
      </w:tr>
      <w:tr w:rsidR="00076E83" w:rsidRPr="00FC7F1E" w14:paraId="4AAB2062" w14:textId="77777777" w:rsidTr="00991867">
        <w:tc>
          <w:tcPr>
            <w:tcW w:w="2078" w:type="dxa"/>
            <w:vMerge w:val="restart"/>
            <w:shd w:val="clear" w:color="auto" w:fill="FFFFFF" w:themeFill="background1"/>
          </w:tcPr>
          <w:p w14:paraId="58AB5245" w14:textId="77777777" w:rsidR="00076E83" w:rsidRPr="00FC7F1E" w:rsidRDefault="00076E83"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Hagenacker 2020</w:t>
            </w:r>
          </w:p>
        </w:tc>
        <w:tc>
          <w:tcPr>
            <w:tcW w:w="1903" w:type="dxa"/>
            <w:shd w:val="clear" w:color="auto" w:fill="FFFFFF" w:themeFill="background1"/>
          </w:tcPr>
          <w:p w14:paraId="3F7FF5E3" w14:textId="77777777" w:rsidR="00076E83" w:rsidRPr="00FC7F1E" w:rsidRDefault="00076E83"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All</w:t>
            </w:r>
          </w:p>
        </w:tc>
        <w:tc>
          <w:tcPr>
            <w:tcW w:w="547" w:type="dxa"/>
            <w:shd w:val="clear" w:color="auto" w:fill="FFFFFF" w:themeFill="background1"/>
          </w:tcPr>
          <w:p w14:paraId="2B08D09F" w14:textId="77777777" w:rsidR="00076E83" w:rsidRPr="00FC7F1E" w:rsidRDefault="00076E83"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57</w:t>
            </w:r>
          </w:p>
        </w:tc>
        <w:tc>
          <w:tcPr>
            <w:tcW w:w="1526" w:type="dxa"/>
            <w:shd w:val="clear" w:color="auto" w:fill="FFFFFF" w:themeFill="background1"/>
          </w:tcPr>
          <w:p w14:paraId="0C381E5C" w14:textId="77777777" w:rsidR="00076E83" w:rsidRPr="00FC7F1E" w:rsidRDefault="00EB505C"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23.8 (12.2)</w:t>
            </w:r>
          </w:p>
        </w:tc>
        <w:tc>
          <w:tcPr>
            <w:tcW w:w="2872" w:type="dxa"/>
            <w:shd w:val="clear" w:color="auto" w:fill="FFFFFF" w:themeFill="background1"/>
            <w:vAlign w:val="center"/>
          </w:tcPr>
          <w:p w14:paraId="5FF1648B" w14:textId="77777777" w:rsidR="00076E83" w:rsidRPr="00FC7F1E" w:rsidRDefault="00EB505C" w:rsidP="008730D7">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+1.09 (1.</w:t>
            </w:r>
            <w:r w:rsidR="00E07E95" w:rsidRPr="00FC7F1E">
              <w:rPr>
                <w:rFonts w:ascii="Arial Narrow" w:eastAsia="TimesNewRoman" w:hAnsi="Arial Narrow" w:cs="Times New Roman"/>
                <w:b/>
                <w:color w:val="000000"/>
                <w:sz w:val="20"/>
                <w:szCs w:val="20"/>
              </w:rPr>
              <w:t>75</w:t>
            </w:r>
            <w:r w:rsidRPr="00FC7F1E">
              <w:rPr>
                <w:rFonts w:ascii="Arial Narrow" w:eastAsia="TimesNewRoman" w:hAnsi="Arial Narrow" w:cs="Times New Roman"/>
                <w:b/>
                <w:color w:val="000000"/>
                <w:sz w:val="20"/>
                <w:szCs w:val="20"/>
              </w:rPr>
              <w:t>)</w:t>
            </w:r>
            <w:r w:rsidRPr="00FC7F1E">
              <w:rPr>
                <w:rFonts w:ascii="Arial Narrow" w:eastAsia="TimesNewRoman" w:hAnsi="Arial Narrow" w:cs="Times New Roman"/>
                <w:b/>
                <w:color w:val="000000"/>
                <w:sz w:val="20"/>
                <w:szCs w:val="20"/>
                <w:vertAlign w:val="superscript"/>
              </w:rPr>
              <w:t xml:space="preserve"> a</w:t>
            </w:r>
          </w:p>
        </w:tc>
      </w:tr>
      <w:tr w:rsidR="00076E83" w:rsidRPr="00FC7F1E" w14:paraId="729B2094" w14:textId="77777777" w:rsidTr="00991867">
        <w:tc>
          <w:tcPr>
            <w:tcW w:w="2078" w:type="dxa"/>
            <w:vMerge/>
            <w:tcBorders>
              <w:bottom w:val="nil"/>
            </w:tcBorders>
            <w:shd w:val="clear" w:color="auto" w:fill="FFFFFF" w:themeFill="background1"/>
          </w:tcPr>
          <w:p w14:paraId="22061B0E" w14:textId="77777777" w:rsidR="00076E83" w:rsidRPr="00FC7F1E" w:rsidRDefault="00076E83" w:rsidP="00880268">
            <w:pPr>
              <w:keepNext/>
              <w:keepLines/>
              <w:spacing w:before="20" w:after="20"/>
              <w:jc w:val="left"/>
              <w:rPr>
                <w:rFonts w:ascii="Arial Narrow" w:eastAsia="TimesNewRoman" w:hAnsi="Arial Narrow" w:cs="Times New Roman"/>
                <w:color w:val="000000"/>
                <w:sz w:val="20"/>
                <w:szCs w:val="20"/>
              </w:rPr>
            </w:pPr>
          </w:p>
        </w:tc>
        <w:tc>
          <w:tcPr>
            <w:tcW w:w="1903" w:type="dxa"/>
            <w:shd w:val="clear" w:color="auto" w:fill="FFFFFF" w:themeFill="background1"/>
          </w:tcPr>
          <w:p w14:paraId="5F48BE8D" w14:textId="77777777" w:rsidR="00076E83" w:rsidRPr="00FC7F1E" w:rsidRDefault="00076E83"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Type II</w:t>
            </w:r>
          </w:p>
        </w:tc>
        <w:tc>
          <w:tcPr>
            <w:tcW w:w="547" w:type="dxa"/>
            <w:shd w:val="clear" w:color="auto" w:fill="FFFFFF" w:themeFill="background1"/>
          </w:tcPr>
          <w:p w14:paraId="04C31898" w14:textId="77777777" w:rsidR="00076E83" w:rsidRPr="00FC7F1E" w:rsidRDefault="00076E83"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19</w:t>
            </w:r>
          </w:p>
        </w:tc>
        <w:tc>
          <w:tcPr>
            <w:tcW w:w="1526" w:type="dxa"/>
            <w:shd w:val="clear" w:color="auto" w:fill="FFFFFF" w:themeFill="background1"/>
          </w:tcPr>
          <w:p w14:paraId="4B932BE0" w14:textId="77777777" w:rsidR="00076E83" w:rsidRPr="00FC7F1E" w:rsidRDefault="00076E83"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12.3 (9.0)</w:t>
            </w:r>
          </w:p>
        </w:tc>
        <w:tc>
          <w:tcPr>
            <w:tcW w:w="2872" w:type="dxa"/>
            <w:shd w:val="clear" w:color="auto" w:fill="FFFFFF" w:themeFill="background1"/>
            <w:vAlign w:val="center"/>
          </w:tcPr>
          <w:p w14:paraId="6807141A" w14:textId="77777777" w:rsidR="00076E83" w:rsidRPr="00FC7F1E" w:rsidRDefault="00076E83" w:rsidP="008730D7">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+1.6 (2.0; 0.7 to 2.5)</w:t>
            </w:r>
            <w:r w:rsidRPr="00FC7F1E">
              <w:rPr>
                <w:rFonts w:ascii="Arial Narrow" w:eastAsia="TimesNewRoman" w:hAnsi="Arial Narrow" w:cs="Times New Roman"/>
                <w:b/>
                <w:color w:val="000000"/>
                <w:sz w:val="20"/>
                <w:szCs w:val="20"/>
                <w:vertAlign w:val="superscript"/>
              </w:rPr>
              <w:t xml:space="preserve"> </w:t>
            </w:r>
            <w:r w:rsidRPr="00FC7F1E">
              <w:rPr>
                <w:rFonts w:ascii="Arial Narrow" w:eastAsia="TimesNewRoman" w:hAnsi="Arial Narrow" w:cs="Times New Roman"/>
                <w:b/>
                <w:color w:val="000000"/>
                <w:sz w:val="20"/>
                <w:szCs w:val="20"/>
              </w:rPr>
              <w:t>(p=0.0049)</w:t>
            </w:r>
          </w:p>
        </w:tc>
      </w:tr>
      <w:tr w:rsidR="001F479D" w:rsidRPr="00FC7F1E" w14:paraId="33E0FE24" w14:textId="77777777" w:rsidTr="00991867">
        <w:tc>
          <w:tcPr>
            <w:tcW w:w="2078" w:type="dxa"/>
            <w:tcBorders>
              <w:top w:val="nil"/>
            </w:tcBorders>
            <w:shd w:val="clear" w:color="auto" w:fill="FFFFFF" w:themeFill="background1"/>
          </w:tcPr>
          <w:p w14:paraId="443DC6A0"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p>
        </w:tc>
        <w:tc>
          <w:tcPr>
            <w:tcW w:w="1903" w:type="dxa"/>
            <w:shd w:val="clear" w:color="auto" w:fill="FFFFFF" w:themeFill="background1"/>
          </w:tcPr>
          <w:p w14:paraId="10F9C185"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Type III</w:t>
            </w:r>
          </w:p>
        </w:tc>
        <w:tc>
          <w:tcPr>
            <w:tcW w:w="547" w:type="dxa"/>
            <w:shd w:val="clear" w:color="auto" w:fill="FFFFFF" w:themeFill="background1"/>
          </w:tcPr>
          <w:p w14:paraId="5881B32D"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38</w:t>
            </w:r>
          </w:p>
        </w:tc>
        <w:tc>
          <w:tcPr>
            <w:tcW w:w="1526" w:type="dxa"/>
            <w:shd w:val="clear" w:color="auto" w:fill="FFFFFF" w:themeFill="background1"/>
          </w:tcPr>
          <w:p w14:paraId="02C3B778"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29.5 (9.1)</w:t>
            </w:r>
          </w:p>
        </w:tc>
        <w:tc>
          <w:tcPr>
            <w:tcW w:w="2872" w:type="dxa"/>
            <w:shd w:val="clear" w:color="auto" w:fill="FFFFFF" w:themeFill="background1"/>
            <w:vAlign w:val="center"/>
          </w:tcPr>
          <w:p w14:paraId="29621C36" w14:textId="77777777" w:rsidR="001F479D" w:rsidRPr="00FC7F1E" w:rsidRDefault="001F479D" w:rsidP="008730D7">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+0.7 (1.7; 0.2 to 1.3) (p=0.0100)</w:t>
            </w:r>
          </w:p>
        </w:tc>
      </w:tr>
      <w:tr w:rsidR="00FD38B4" w:rsidRPr="00FC7F1E" w14:paraId="778DDE46" w14:textId="77777777" w:rsidTr="00991867">
        <w:tc>
          <w:tcPr>
            <w:tcW w:w="2078" w:type="dxa"/>
            <w:shd w:val="clear" w:color="auto" w:fill="FFFFFF" w:themeFill="background1"/>
          </w:tcPr>
          <w:p w14:paraId="5982703C" w14:textId="77777777" w:rsidR="00FD38B4" w:rsidRPr="00FC7F1E" w:rsidRDefault="00FD38B4"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Walter 2019</w:t>
            </w:r>
          </w:p>
        </w:tc>
        <w:tc>
          <w:tcPr>
            <w:tcW w:w="1903" w:type="dxa"/>
            <w:shd w:val="clear" w:color="auto" w:fill="FFFFFF" w:themeFill="background1"/>
          </w:tcPr>
          <w:p w14:paraId="7C18A0BC" w14:textId="77777777" w:rsidR="00FD38B4" w:rsidRPr="00FC7F1E" w:rsidRDefault="00FD38B4"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Type III (all)</w:t>
            </w:r>
          </w:p>
        </w:tc>
        <w:tc>
          <w:tcPr>
            <w:tcW w:w="547" w:type="dxa"/>
            <w:shd w:val="clear" w:color="auto" w:fill="FFFFFF" w:themeFill="background1"/>
          </w:tcPr>
          <w:p w14:paraId="57DB3E90" w14:textId="77777777" w:rsidR="00FD38B4" w:rsidRPr="00FC7F1E" w:rsidRDefault="00FD38B4"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19</w:t>
            </w:r>
          </w:p>
        </w:tc>
        <w:tc>
          <w:tcPr>
            <w:tcW w:w="1526" w:type="dxa"/>
            <w:shd w:val="clear" w:color="auto" w:fill="FFFFFF" w:themeFill="background1"/>
          </w:tcPr>
          <w:p w14:paraId="10FBF44E" w14:textId="77777777" w:rsidR="00FD38B4" w:rsidRPr="00FC7F1E" w:rsidRDefault="00FD38B4"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32.32 (7.3(9)</w:t>
            </w:r>
          </w:p>
        </w:tc>
        <w:tc>
          <w:tcPr>
            <w:tcW w:w="2872" w:type="dxa"/>
            <w:shd w:val="clear" w:color="auto" w:fill="FFFFFF" w:themeFill="background1"/>
            <w:vAlign w:val="center"/>
          </w:tcPr>
          <w:p w14:paraId="2CD80D95" w14:textId="77777777" w:rsidR="00FD38B4" w:rsidRPr="00FC7F1E" w:rsidRDefault="00FD38B4" w:rsidP="008730D7">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+0.74 (p-0.048)</w:t>
            </w:r>
            <w:r w:rsidRPr="00FC7F1E">
              <w:rPr>
                <w:rFonts w:ascii="Arial Narrow" w:eastAsia="TimesNewRoman" w:hAnsi="Arial Narrow" w:cs="Times New Roman"/>
                <w:b/>
                <w:color w:val="000000"/>
                <w:sz w:val="20"/>
                <w:szCs w:val="20"/>
                <w:vertAlign w:val="superscript"/>
              </w:rPr>
              <w:t>c</w:t>
            </w:r>
          </w:p>
        </w:tc>
      </w:tr>
      <w:tr w:rsidR="00C9070A" w:rsidRPr="00FC7F1E" w14:paraId="2AE4026D" w14:textId="77777777" w:rsidTr="00991867">
        <w:tc>
          <w:tcPr>
            <w:tcW w:w="8926" w:type="dxa"/>
            <w:gridSpan w:val="5"/>
            <w:shd w:val="clear" w:color="auto" w:fill="FFFFFF" w:themeFill="background1"/>
          </w:tcPr>
          <w:p w14:paraId="189518C5" w14:textId="77777777" w:rsidR="00C9070A" w:rsidRPr="00FC7F1E" w:rsidRDefault="00C9070A"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Natural history studies</w:t>
            </w:r>
          </w:p>
        </w:tc>
      </w:tr>
      <w:tr w:rsidR="001F479D" w:rsidRPr="00FC7F1E" w14:paraId="7300785B" w14:textId="77777777" w:rsidTr="00991867">
        <w:tc>
          <w:tcPr>
            <w:tcW w:w="2078" w:type="dxa"/>
            <w:vMerge w:val="restart"/>
            <w:shd w:val="clear" w:color="auto" w:fill="FFFFFF" w:themeFill="background1"/>
          </w:tcPr>
          <w:p w14:paraId="083DE6AB"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Pera 2019</w:t>
            </w:r>
          </w:p>
          <w:p w14:paraId="49C6E425"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Patients ≥18 years</w:t>
            </w:r>
            <w:r w:rsidRPr="00FC7F1E">
              <w:rPr>
                <w:rFonts w:ascii="Arial Narrow" w:eastAsia="TimesNewRoman" w:hAnsi="Arial Narrow" w:cs="Times New Roman"/>
                <w:color w:val="000000"/>
                <w:sz w:val="20"/>
                <w:szCs w:val="20"/>
                <w:vertAlign w:val="superscript"/>
              </w:rPr>
              <w:t>b</w:t>
            </w:r>
          </w:p>
        </w:tc>
        <w:tc>
          <w:tcPr>
            <w:tcW w:w="1903" w:type="dxa"/>
            <w:shd w:val="clear" w:color="auto" w:fill="FFFFFF" w:themeFill="background1"/>
          </w:tcPr>
          <w:p w14:paraId="6E2B37DB"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All</w:t>
            </w:r>
          </w:p>
        </w:tc>
        <w:tc>
          <w:tcPr>
            <w:tcW w:w="547" w:type="dxa"/>
            <w:shd w:val="clear" w:color="auto" w:fill="FFFFFF" w:themeFill="background1"/>
          </w:tcPr>
          <w:p w14:paraId="0B0AB34A"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24</w:t>
            </w:r>
          </w:p>
        </w:tc>
        <w:tc>
          <w:tcPr>
            <w:tcW w:w="1526" w:type="dxa"/>
            <w:shd w:val="clear" w:color="auto" w:fill="FFFFFF" w:themeFill="background1"/>
          </w:tcPr>
          <w:p w14:paraId="348CD28F"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22.0 (11.76)</w:t>
            </w:r>
          </w:p>
        </w:tc>
        <w:tc>
          <w:tcPr>
            <w:tcW w:w="2872" w:type="dxa"/>
            <w:shd w:val="clear" w:color="auto" w:fill="FFFFFF" w:themeFill="background1"/>
            <w:vAlign w:val="center"/>
          </w:tcPr>
          <w:p w14:paraId="19768607" w14:textId="77777777" w:rsidR="001F479D" w:rsidRPr="00FC7F1E" w:rsidRDefault="001F479D" w:rsidP="008730D7">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-0.7 (2.5)</w:t>
            </w:r>
          </w:p>
        </w:tc>
      </w:tr>
      <w:tr w:rsidR="001F479D" w:rsidRPr="00FC7F1E" w14:paraId="4156BC54" w14:textId="77777777" w:rsidTr="00991867">
        <w:tc>
          <w:tcPr>
            <w:tcW w:w="2078" w:type="dxa"/>
            <w:vMerge/>
            <w:tcBorders>
              <w:bottom w:val="nil"/>
            </w:tcBorders>
            <w:shd w:val="clear" w:color="auto" w:fill="FFFFFF" w:themeFill="background1"/>
          </w:tcPr>
          <w:p w14:paraId="741635A3"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p>
        </w:tc>
        <w:tc>
          <w:tcPr>
            <w:tcW w:w="1903" w:type="dxa"/>
            <w:shd w:val="clear" w:color="auto" w:fill="FFFFFF" w:themeFill="background1"/>
          </w:tcPr>
          <w:p w14:paraId="1314B4B7"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Type II</w:t>
            </w:r>
          </w:p>
        </w:tc>
        <w:tc>
          <w:tcPr>
            <w:tcW w:w="547" w:type="dxa"/>
            <w:shd w:val="clear" w:color="auto" w:fill="FFFFFF" w:themeFill="background1"/>
          </w:tcPr>
          <w:p w14:paraId="1C6585C2"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11</w:t>
            </w:r>
          </w:p>
        </w:tc>
        <w:tc>
          <w:tcPr>
            <w:tcW w:w="1526" w:type="dxa"/>
            <w:shd w:val="clear" w:color="auto" w:fill="FFFFFF" w:themeFill="background1"/>
          </w:tcPr>
          <w:p w14:paraId="7DC91C92"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11.8 (5.87)</w:t>
            </w:r>
          </w:p>
        </w:tc>
        <w:tc>
          <w:tcPr>
            <w:tcW w:w="2872" w:type="dxa"/>
            <w:shd w:val="clear" w:color="auto" w:fill="FFFFFF" w:themeFill="background1"/>
            <w:vAlign w:val="center"/>
          </w:tcPr>
          <w:p w14:paraId="2759F69D" w14:textId="77777777" w:rsidR="001F479D" w:rsidRPr="00FC7F1E" w:rsidRDefault="001F479D" w:rsidP="008730D7">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+0.6 (1.9)</w:t>
            </w:r>
          </w:p>
        </w:tc>
      </w:tr>
      <w:tr w:rsidR="001F479D" w:rsidRPr="00FC7F1E" w14:paraId="5A0026DE" w14:textId="77777777" w:rsidTr="00991867">
        <w:tc>
          <w:tcPr>
            <w:tcW w:w="2078" w:type="dxa"/>
            <w:tcBorders>
              <w:top w:val="nil"/>
              <w:bottom w:val="nil"/>
            </w:tcBorders>
            <w:shd w:val="clear" w:color="auto" w:fill="FFFFFF" w:themeFill="background1"/>
          </w:tcPr>
          <w:p w14:paraId="3783AD72"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p>
        </w:tc>
        <w:tc>
          <w:tcPr>
            <w:tcW w:w="1903" w:type="dxa"/>
            <w:shd w:val="clear" w:color="auto" w:fill="FFFFFF" w:themeFill="background1"/>
          </w:tcPr>
          <w:p w14:paraId="51A1BA77"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Type III non-ambulant</w:t>
            </w:r>
          </w:p>
        </w:tc>
        <w:tc>
          <w:tcPr>
            <w:tcW w:w="547" w:type="dxa"/>
            <w:shd w:val="clear" w:color="auto" w:fill="FFFFFF" w:themeFill="background1"/>
          </w:tcPr>
          <w:p w14:paraId="447B4F15"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6</w:t>
            </w:r>
          </w:p>
        </w:tc>
        <w:tc>
          <w:tcPr>
            <w:tcW w:w="1526" w:type="dxa"/>
            <w:shd w:val="clear" w:color="auto" w:fill="FFFFFF" w:themeFill="background1"/>
          </w:tcPr>
          <w:p w14:paraId="4995A907"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22.7 (7.69)</w:t>
            </w:r>
          </w:p>
        </w:tc>
        <w:tc>
          <w:tcPr>
            <w:tcW w:w="2872" w:type="dxa"/>
            <w:shd w:val="clear" w:color="auto" w:fill="FFFFFF" w:themeFill="background1"/>
            <w:vAlign w:val="center"/>
          </w:tcPr>
          <w:p w14:paraId="0D824790" w14:textId="77777777" w:rsidR="001F479D" w:rsidRPr="00FC7F1E" w:rsidRDefault="001F479D" w:rsidP="008730D7">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-1.7 (2.4)</w:t>
            </w:r>
          </w:p>
        </w:tc>
      </w:tr>
      <w:tr w:rsidR="001F479D" w:rsidRPr="00FC7F1E" w14:paraId="19C4275F" w14:textId="77777777" w:rsidTr="00991867">
        <w:tc>
          <w:tcPr>
            <w:tcW w:w="2078" w:type="dxa"/>
            <w:tcBorders>
              <w:top w:val="nil"/>
              <w:bottom w:val="single" w:sz="4" w:space="0" w:color="auto"/>
            </w:tcBorders>
            <w:shd w:val="clear" w:color="auto" w:fill="FFFFFF" w:themeFill="background1"/>
          </w:tcPr>
          <w:p w14:paraId="52DFFE65"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p>
        </w:tc>
        <w:tc>
          <w:tcPr>
            <w:tcW w:w="1903" w:type="dxa"/>
            <w:shd w:val="clear" w:color="auto" w:fill="FFFFFF" w:themeFill="background1"/>
          </w:tcPr>
          <w:p w14:paraId="762F4A2C"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Type III ambulant</w:t>
            </w:r>
          </w:p>
        </w:tc>
        <w:tc>
          <w:tcPr>
            <w:tcW w:w="547" w:type="dxa"/>
            <w:shd w:val="clear" w:color="auto" w:fill="FFFFFF" w:themeFill="background1"/>
          </w:tcPr>
          <w:p w14:paraId="0F3D5FE4"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7</w:t>
            </w:r>
          </w:p>
        </w:tc>
        <w:tc>
          <w:tcPr>
            <w:tcW w:w="1526" w:type="dxa"/>
            <w:shd w:val="clear" w:color="auto" w:fill="FFFFFF" w:themeFill="background1"/>
          </w:tcPr>
          <w:p w14:paraId="40946281" w14:textId="77777777" w:rsidR="001F479D" w:rsidRPr="00FC7F1E" w:rsidRDefault="001F479D" w:rsidP="00880268">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36.0 (1.91)</w:t>
            </w:r>
          </w:p>
        </w:tc>
        <w:tc>
          <w:tcPr>
            <w:tcW w:w="2872" w:type="dxa"/>
            <w:shd w:val="clear" w:color="auto" w:fill="FFFFFF" w:themeFill="background1"/>
            <w:vAlign w:val="center"/>
          </w:tcPr>
          <w:p w14:paraId="1793BCF1" w14:textId="77777777" w:rsidR="001F479D" w:rsidRPr="00FC7F1E" w:rsidRDefault="001F479D" w:rsidP="008730D7">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-1.4 (2.7)</w:t>
            </w:r>
          </w:p>
        </w:tc>
      </w:tr>
    </w:tbl>
    <w:p w14:paraId="1527155F" w14:textId="77777777" w:rsidR="001F479D" w:rsidRPr="00FC7F1E" w:rsidRDefault="005A3674" w:rsidP="001F479D">
      <w:pPr>
        <w:keepNext/>
        <w:keepLines/>
        <w:spacing w:before="60" w:after="240"/>
        <w:contextualSpacing/>
        <w:jc w:val="left"/>
        <w:rPr>
          <w:rFonts w:ascii="Arial Narrow" w:hAnsi="Arial Narrow" w:cs="Times New Roman"/>
          <w:sz w:val="18"/>
          <w:szCs w:val="18"/>
        </w:rPr>
      </w:pPr>
      <w:r w:rsidRPr="00FC7F1E">
        <w:rPr>
          <w:rFonts w:ascii="Arial Narrow" w:hAnsi="Arial Narrow" w:cs="Times New Roman"/>
          <w:sz w:val="18"/>
          <w:szCs w:val="18"/>
          <w:vertAlign w:val="superscript"/>
        </w:rPr>
        <w:t>a</w:t>
      </w:r>
      <w:r w:rsidRPr="00FC7F1E">
        <w:rPr>
          <w:rFonts w:ascii="Arial Narrow" w:hAnsi="Arial Narrow" w:cs="Times New Roman"/>
          <w:sz w:val="18"/>
          <w:szCs w:val="18"/>
        </w:rPr>
        <w:t xml:space="preserve"> </w:t>
      </w:r>
      <w:r w:rsidR="001F479D" w:rsidRPr="00FC7F1E">
        <w:rPr>
          <w:rFonts w:ascii="Arial Narrow" w:hAnsi="Arial Narrow" w:cs="Times New Roman"/>
          <w:sz w:val="18"/>
          <w:szCs w:val="18"/>
        </w:rPr>
        <w:t>Data presented from Hagenacker 2020 are based on the 14-month assessment and presented as mean difference (SD; 95% CI); data presented from Pera 2019 are 12-month changes, expressed as mean (SD).</w:t>
      </w:r>
    </w:p>
    <w:p w14:paraId="176B9749" w14:textId="77777777" w:rsidR="001F479D" w:rsidRPr="00FC7F1E" w:rsidRDefault="001F479D" w:rsidP="00CA098E">
      <w:pPr>
        <w:keepNext/>
        <w:keepLines/>
        <w:tabs>
          <w:tab w:val="left" w:pos="284"/>
        </w:tabs>
        <w:spacing w:before="60" w:after="240"/>
        <w:ind w:left="284" w:hanging="284"/>
        <w:contextualSpacing/>
        <w:jc w:val="left"/>
        <w:rPr>
          <w:rFonts w:ascii="Arial Narrow" w:hAnsi="Arial Narrow" w:cs="Times New Roman"/>
          <w:sz w:val="18"/>
          <w:szCs w:val="18"/>
        </w:rPr>
      </w:pPr>
      <w:r w:rsidRPr="00FC7F1E">
        <w:rPr>
          <w:rFonts w:ascii="Arial Narrow" w:hAnsi="Arial Narrow" w:cs="Times New Roman"/>
          <w:sz w:val="18"/>
          <w:szCs w:val="18"/>
          <w:vertAlign w:val="superscript"/>
        </w:rPr>
        <w:t>b</w:t>
      </w:r>
      <w:r w:rsidR="00CA098E" w:rsidRPr="00FC7F1E">
        <w:rPr>
          <w:rFonts w:ascii="Arial Narrow" w:hAnsi="Arial Narrow" w:cs="Times New Roman"/>
          <w:sz w:val="18"/>
          <w:szCs w:val="18"/>
          <w:vertAlign w:val="superscript"/>
        </w:rPr>
        <w:tab/>
      </w:r>
      <w:r w:rsidRPr="00FC7F1E">
        <w:rPr>
          <w:rFonts w:ascii="Arial Narrow" w:hAnsi="Arial Narrow" w:cs="Times New Roman"/>
          <w:sz w:val="18"/>
          <w:szCs w:val="18"/>
        </w:rPr>
        <w:t>Data extracted using DigitizeIT Software. Data and subsequent calculations are presented in ‘Natural history_data extraction.xls’ (Attachment 2)</w:t>
      </w:r>
    </w:p>
    <w:p w14:paraId="159780B9" w14:textId="77777777" w:rsidR="00FD38B4" w:rsidRPr="00FC7F1E" w:rsidRDefault="00FD38B4" w:rsidP="00CA098E">
      <w:pPr>
        <w:keepNext/>
        <w:keepLines/>
        <w:tabs>
          <w:tab w:val="left" w:pos="284"/>
        </w:tabs>
        <w:spacing w:before="60" w:after="240"/>
        <w:ind w:left="284" w:hanging="284"/>
        <w:contextualSpacing/>
        <w:jc w:val="left"/>
        <w:rPr>
          <w:rFonts w:ascii="Arial Narrow" w:hAnsi="Arial Narrow" w:cs="Times New Roman"/>
          <w:sz w:val="18"/>
          <w:szCs w:val="18"/>
        </w:rPr>
      </w:pPr>
      <w:r w:rsidRPr="00FC7F1E">
        <w:rPr>
          <w:rFonts w:ascii="Arial Narrow" w:hAnsi="Arial Narrow" w:cs="Times New Roman"/>
          <w:sz w:val="18"/>
          <w:szCs w:val="18"/>
          <w:vertAlign w:val="superscript"/>
        </w:rPr>
        <w:t>c</w:t>
      </w:r>
      <w:r w:rsidRPr="00FC7F1E">
        <w:rPr>
          <w:rFonts w:ascii="Arial Narrow" w:hAnsi="Arial Narrow" w:cs="Times New Roman"/>
          <w:sz w:val="18"/>
          <w:szCs w:val="18"/>
          <w:vertAlign w:val="superscript"/>
        </w:rPr>
        <w:tab/>
      </w:r>
      <w:r w:rsidRPr="00FC7F1E">
        <w:rPr>
          <w:rFonts w:ascii="Arial Narrow" w:hAnsi="Arial Narrow" w:cs="Times New Roman"/>
          <w:sz w:val="18"/>
          <w:szCs w:val="18"/>
        </w:rPr>
        <w:t>Values at 10 months</w:t>
      </w:r>
    </w:p>
    <w:p w14:paraId="7031EB55" w14:textId="77777777" w:rsidR="001F479D" w:rsidRPr="00FC7F1E" w:rsidRDefault="001F479D" w:rsidP="001F479D">
      <w:pPr>
        <w:keepNext/>
        <w:keepLines/>
        <w:spacing w:before="60" w:after="240"/>
        <w:contextualSpacing/>
        <w:jc w:val="left"/>
        <w:rPr>
          <w:rFonts w:ascii="Arial Narrow" w:hAnsi="Arial Narrow" w:cs="Times New Roman"/>
          <w:sz w:val="18"/>
          <w:szCs w:val="18"/>
        </w:rPr>
      </w:pPr>
      <w:r w:rsidRPr="00FC7F1E">
        <w:rPr>
          <w:rFonts w:ascii="Arial Narrow" w:hAnsi="Arial Narrow" w:cs="Times New Roman"/>
          <w:sz w:val="18"/>
          <w:szCs w:val="18"/>
        </w:rPr>
        <w:t>Bold values are statistically significant</w:t>
      </w:r>
    </w:p>
    <w:p w14:paraId="461E0993" w14:textId="77777777" w:rsidR="001F479D" w:rsidRPr="00FC7F1E" w:rsidRDefault="001F479D" w:rsidP="009167A6">
      <w:pPr>
        <w:spacing w:after="240"/>
        <w:contextualSpacing/>
        <w:rPr>
          <w:rFonts w:ascii="Arial Narrow" w:hAnsi="Arial Narrow"/>
          <w:sz w:val="18"/>
          <w:szCs w:val="18"/>
        </w:rPr>
      </w:pPr>
      <w:r w:rsidRPr="00FC7F1E">
        <w:rPr>
          <w:rFonts w:ascii="Arial Narrow" w:hAnsi="Arial Narrow"/>
          <w:sz w:val="18"/>
          <w:szCs w:val="18"/>
        </w:rPr>
        <w:t xml:space="preserve">Source: Table 2.42, p141 of the </w:t>
      </w:r>
      <w:r w:rsidR="00CA098E" w:rsidRPr="00FC7F1E">
        <w:rPr>
          <w:rFonts w:ascii="Arial Narrow" w:hAnsi="Arial Narrow"/>
          <w:sz w:val="18"/>
          <w:szCs w:val="18"/>
        </w:rPr>
        <w:t>re</w:t>
      </w:r>
      <w:r w:rsidRPr="00FC7F1E">
        <w:rPr>
          <w:rFonts w:ascii="Arial Narrow" w:hAnsi="Arial Narrow"/>
          <w:sz w:val="18"/>
          <w:szCs w:val="18"/>
        </w:rPr>
        <w:t>submission</w:t>
      </w:r>
      <w:r w:rsidR="00BE58F1" w:rsidRPr="00FC7F1E">
        <w:rPr>
          <w:rFonts w:ascii="Arial Narrow" w:hAnsi="Arial Narrow"/>
          <w:sz w:val="18"/>
          <w:szCs w:val="18"/>
        </w:rPr>
        <w:t xml:space="preserve"> and Hagenacker 2020</w:t>
      </w:r>
      <w:r w:rsidRPr="00FC7F1E">
        <w:rPr>
          <w:rFonts w:ascii="Arial Narrow" w:hAnsi="Arial Narrow"/>
          <w:sz w:val="18"/>
          <w:szCs w:val="18"/>
        </w:rPr>
        <w:t>.</w:t>
      </w:r>
    </w:p>
    <w:p w14:paraId="0962233F" w14:textId="77777777" w:rsidR="00002086" w:rsidRPr="00FC7F1E" w:rsidRDefault="00002086" w:rsidP="001F479D">
      <w:pPr>
        <w:rPr>
          <w:rFonts w:ascii="Arial Narrow" w:hAnsi="Arial Narrow"/>
          <w:sz w:val="18"/>
          <w:szCs w:val="18"/>
        </w:rPr>
      </w:pPr>
    </w:p>
    <w:p w14:paraId="14EEEF5F" w14:textId="77777777" w:rsidR="00FB6269" w:rsidRPr="00FC7F1E" w:rsidRDefault="00BA6860" w:rsidP="00732451">
      <w:pPr>
        <w:pStyle w:val="3-BodyText"/>
      </w:pPr>
      <w:r w:rsidRPr="00FC7F1E">
        <w:t>Across Types II and III SMA, t</w:t>
      </w:r>
      <w:r w:rsidR="00FB6269" w:rsidRPr="00FC7F1E">
        <w:t xml:space="preserve">here was a mean change of 0.59 at 10 months and 1.09 at 14 months in the RULM in Hagenacker 2020. The </w:t>
      </w:r>
      <w:r w:rsidR="00CA098E" w:rsidRPr="00FC7F1E">
        <w:t>re</w:t>
      </w:r>
      <w:r w:rsidR="00FB6269" w:rsidRPr="00FC7F1E">
        <w:t>submission noted that there was a ceiling effect, with 28 (23%) patients having a maximum RULM score at baseline. Of these patients, all maintained full functionality after 6 months of treatment and showed no evidence of decline.</w:t>
      </w:r>
      <w:r w:rsidR="004253A3" w:rsidRPr="00FC7F1E">
        <w:t xml:space="preserve"> </w:t>
      </w:r>
    </w:p>
    <w:p w14:paraId="2D61CDEE" w14:textId="77777777" w:rsidR="00F62510" w:rsidRPr="00FC7F1E" w:rsidRDefault="00FB6269" w:rsidP="00732451">
      <w:pPr>
        <w:pStyle w:val="3-BodyText"/>
      </w:pPr>
      <w:r w:rsidRPr="00FC7F1E">
        <w:t>In relation to the MCID, the</w:t>
      </w:r>
      <w:r w:rsidR="00F62510" w:rsidRPr="00FC7F1E">
        <w:t xml:space="preserve"> </w:t>
      </w:r>
      <w:r w:rsidR="00CA098E" w:rsidRPr="00FC7F1E">
        <w:t>re</w:t>
      </w:r>
      <w:r w:rsidR="00F62510" w:rsidRPr="00FC7F1E">
        <w:t xml:space="preserve">submission </w:t>
      </w:r>
      <w:r w:rsidR="001F479D" w:rsidRPr="00FC7F1E">
        <w:t>stated that the proportion of patients aged 18 years or more with a clinically meaningful decline in the RULM (a 2 or more point change) was greater in the Pera 2019 study compared with nusinersen treated SMA patients (27.3% vs 3.4%) aged 16 years or more in Hagenacker 2020, while the proportion of patients demonstrating a clinically meaningful improvement in upper limb function was substantially higher in the nusinersen study compared with untreated adult patients in Pera 2019 (36.2% vs 9.1%).</w:t>
      </w:r>
      <w:r w:rsidR="00F62510" w:rsidRPr="00FC7F1E">
        <w:t xml:space="preserve"> </w:t>
      </w:r>
    </w:p>
    <w:p w14:paraId="1C25E2B4" w14:textId="77777777" w:rsidR="004253A3" w:rsidRPr="00FC7F1E" w:rsidRDefault="004253A3" w:rsidP="00732451">
      <w:pPr>
        <w:pStyle w:val="3-BodyText"/>
      </w:pPr>
      <w:r w:rsidRPr="00FC7F1E">
        <w:t xml:space="preserve">The </w:t>
      </w:r>
      <w:r w:rsidR="00CA098E" w:rsidRPr="00FC7F1E">
        <w:t>re</w:t>
      </w:r>
      <w:r w:rsidRPr="00FC7F1E">
        <w:t>submission chose to exclude the results for RULM reported in the Walter 2019 study from its naïve indirect comparison</w:t>
      </w:r>
      <w:r w:rsidR="00F60A9A" w:rsidRPr="00FC7F1E">
        <w:t xml:space="preserve"> (as outlined in Paragraph 6.1)</w:t>
      </w:r>
      <w:r w:rsidRPr="00FC7F1E">
        <w:t>. It was noted that the Walter 2019 study reported a small increase in RULM from baseline to 10 months of 0.74 (32.32 to 33.06 (p=0.048)) for nusinersen treated patients, which was similar to the change at 10 months in Hagenacker 2020.</w:t>
      </w:r>
      <w:r w:rsidR="00117F5A" w:rsidRPr="00FC7F1E">
        <w:t xml:space="preserve"> There were 2/17 (11.8%) of patients included in the Walter 2019 study who showed a decline in relation to RULM. Both patients were non-ambulant at entry to the study. </w:t>
      </w:r>
    </w:p>
    <w:p w14:paraId="7476D28D" w14:textId="77777777" w:rsidR="005A131C" w:rsidRPr="00FC7F1E" w:rsidRDefault="00F15241" w:rsidP="00732451">
      <w:pPr>
        <w:pStyle w:val="3-BodyText"/>
      </w:pPr>
      <w:r w:rsidRPr="00FC7F1E">
        <w:lastRenderedPageBreak/>
        <w:t xml:space="preserve">In relation to 6MWT, the </w:t>
      </w:r>
      <w:r w:rsidR="00CA098E" w:rsidRPr="00FC7F1E">
        <w:t>re</w:t>
      </w:r>
      <w:r w:rsidRPr="00FC7F1E">
        <w:t>submission stated that there was a change of 46</w:t>
      </w:r>
      <w:r w:rsidR="008730D7" w:rsidRPr="00FC7F1E">
        <w:t xml:space="preserve"> </w:t>
      </w:r>
      <w:r w:rsidRPr="00FC7F1E">
        <w:t>m</w:t>
      </w:r>
      <w:r w:rsidR="008730D7" w:rsidRPr="00FC7F1E">
        <w:t>etres</w:t>
      </w:r>
      <w:r w:rsidRPr="00FC7F1E">
        <w:t xml:space="preserve"> for ambulant patients in Hagenacker 2020 at 14 months, and this was compared to a decline of 9.7</w:t>
      </w:r>
      <w:r w:rsidR="008730D7" w:rsidRPr="00FC7F1E">
        <w:t xml:space="preserve"> </w:t>
      </w:r>
      <w:r w:rsidRPr="00FC7F1E">
        <w:t>m</w:t>
      </w:r>
      <w:r w:rsidR="008730D7" w:rsidRPr="00FC7F1E">
        <w:t>etres</w:t>
      </w:r>
      <w:r w:rsidRPr="00FC7F1E">
        <w:t xml:space="preserve"> in natural history patients as reported by Montes 2018 at 12 months. </w:t>
      </w:r>
      <w:r w:rsidR="009C56FA" w:rsidRPr="00FC7F1E">
        <w:t>Similar to results for HFMSE and RULM, some nusinersen treated patients reported a decline in the 6MWT in Hagenacker 2020</w:t>
      </w:r>
      <w:r w:rsidR="007C182D" w:rsidRPr="00FC7F1E">
        <w:t>, with 3 of 25 patients (12%) reporting a negative change at 14 months.</w:t>
      </w:r>
      <w:r w:rsidR="009C56FA" w:rsidRPr="00FC7F1E">
        <w:t xml:space="preserve"> </w:t>
      </w:r>
      <w:r w:rsidR="005A131C" w:rsidRPr="00FC7F1E">
        <w:t>Based on this comparison, and the previously established MCID of 30</w:t>
      </w:r>
      <w:r w:rsidR="008730D7" w:rsidRPr="00FC7F1E">
        <w:t xml:space="preserve"> </w:t>
      </w:r>
      <w:r w:rsidR="005A131C" w:rsidRPr="00FC7F1E">
        <w:t>m</w:t>
      </w:r>
      <w:r w:rsidR="008730D7" w:rsidRPr="00FC7F1E">
        <w:t>etres</w:t>
      </w:r>
      <w:r w:rsidR="005A131C" w:rsidRPr="00FC7F1E">
        <w:t xml:space="preserve"> in patients with Duchenne Muscular Dystrophy, the </w:t>
      </w:r>
      <w:r w:rsidR="00CA098E" w:rsidRPr="00FC7F1E">
        <w:t>re</w:t>
      </w:r>
      <w:r w:rsidR="005A131C" w:rsidRPr="00FC7F1E">
        <w:t>submission asserted that 60% of ambulant patients achieved this outcome in Hagenacker 2020.</w:t>
      </w:r>
      <w:r w:rsidR="007D5B69" w:rsidRPr="00FC7F1E">
        <w:t xml:space="preserve"> </w:t>
      </w:r>
    </w:p>
    <w:p w14:paraId="0D787026" w14:textId="77777777" w:rsidR="005A131C" w:rsidRPr="00FC7F1E" w:rsidRDefault="00EF1E7E" w:rsidP="00732451">
      <w:pPr>
        <w:pStyle w:val="3-BodyText"/>
      </w:pPr>
      <w:r w:rsidRPr="00FC7F1E">
        <w:t>T</w:t>
      </w:r>
      <w:r w:rsidR="00F15241" w:rsidRPr="00FC7F1E">
        <w:t xml:space="preserve">he </w:t>
      </w:r>
      <w:r w:rsidR="00CA098E" w:rsidRPr="00FC7F1E">
        <w:t>re</w:t>
      </w:r>
      <w:r w:rsidR="005A131C" w:rsidRPr="00FC7F1E">
        <w:t xml:space="preserve">submission chose to exclude the results from the </w:t>
      </w:r>
      <w:r w:rsidR="00F15241" w:rsidRPr="00FC7F1E">
        <w:t xml:space="preserve">Walter 2019 study </w:t>
      </w:r>
      <w:r w:rsidR="005A131C" w:rsidRPr="00FC7F1E">
        <w:t xml:space="preserve">in relation to 6MWT in its naïve indirect comparison. Walter 2019 </w:t>
      </w:r>
      <w:r w:rsidR="00F15241" w:rsidRPr="00FC7F1E">
        <w:t>reported an increase in distance walked at 10 months of 8.25</w:t>
      </w:r>
      <w:r w:rsidR="008730D7" w:rsidRPr="00FC7F1E">
        <w:t xml:space="preserve"> </w:t>
      </w:r>
      <w:r w:rsidR="00F15241" w:rsidRPr="00FC7F1E">
        <w:t>m</w:t>
      </w:r>
      <w:r w:rsidR="008730D7" w:rsidRPr="00FC7F1E">
        <w:t>etres</w:t>
      </w:r>
      <w:r w:rsidR="00F15241" w:rsidRPr="00FC7F1E">
        <w:t xml:space="preserve"> for </w:t>
      </w:r>
      <w:r w:rsidR="003A4E69" w:rsidRPr="00FC7F1E">
        <w:t xml:space="preserve">ambulant </w:t>
      </w:r>
      <w:r w:rsidR="00F15241" w:rsidRPr="00FC7F1E">
        <w:t>nusinersen treated patients</w:t>
      </w:r>
      <w:r w:rsidRPr="00FC7F1E">
        <w:t xml:space="preserve">. </w:t>
      </w:r>
      <w:r w:rsidR="00491178" w:rsidRPr="00FC7F1E">
        <w:t>Two of 25 patients reported a decline in 6MWT of 7</w:t>
      </w:r>
      <w:r w:rsidR="008730D7" w:rsidRPr="00FC7F1E">
        <w:t xml:space="preserve"> </w:t>
      </w:r>
      <w:r w:rsidR="00491178" w:rsidRPr="00FC7F1E">
        <w:t>m</w:t>
      </w:r>
      <w:r w:rsidR="008730D7" w:rsidRPr="00FC7F1E">
        <w:t>etres</w:t>
      </w:r>
      <w:r w:rsidR="00491178" w:rsidRPr="00FC7F1E">
        <w:t xml:space="preserve"> and 14</w:t>
      </w:r>
      <w:r w:rsidR="008730D7" w:rsidRPr="00FC7F1E">
        <w:t xml:space="preserve"> </w:t>
      </w:r>
      <w:r w:rsidR="00491178" w:rsidRPr="00FC7F1E">
        <w:t>m</w:t>
      </w:r>
      <w:r w:rsidR="008730D7" w:rsidRPr="00FC7F1E">
        <w:t>etres</w:t>
      </w:r>
      <w:r w:rsidR="00491178" w:rsidRPr="00FC7F1E">
        <w:t>.</w:t>
      </w:r>
      <w:r w:rsidR="005A131C" w:rsidRPr="00FC7F1E">
        <w:t xml:space="preserve"> </w:t>
      </w:r>
      <w:r w:rsidR="00E17E5A" w:rsidRPr="00FC7F1E">
        <w:t xml:space="preserve">It was not apparent why these results were excluded from the </w:t>
      </w:r>
      <w:r w:rsidR="00F61FEB" w:rsidRPr="00FC7F1E">
        <w:t>re</w:t>
      </w:r>
      <w:r w:rsidR="00E17E5A" w:rsidRPr="00FC7F1E">
        <w:t>submission’s naïve indirect comparison.</w:t>
      </w:r>
    </w:p>
    <w:p w14:paraId="60731E45" w14:textId="77777777" w:rsidR="005A131C" w:rsidRPr="00FC7F1E" w:rsidRDefault="00EF1E7E" w:rsidP="00CA098E">
      <w:pPr>
        <w:pStyle w:val="3-BodyText"/>
        <w:spacing w:after="0"/>
      </w:pPr>
      <w:r w:rsidRPr="00FC7F1E">
        <w:t xml:space="preserve">Other natural history studies </w:t>
      </w:r>
      <w:r w:rsidR="00CA098E" w:rsidRPr="00FC7F1E">
        <w:t>identified</w:t>
      </w:r>
      <w:r w:rsidRPr="00FC7F1E">
        <w:t xml:space="preserve"> during the evaluation reported </w:t>
      </w:r>
      <w:r w:rsidR="005A131C" w:rsidRPr="00FC7F1E">
        <w:t xml:space="preserve">conflicting results </w:t>
      </w:r>
      <w:r w:rsidR="007D5B69" w:rsidRPr="00FC7F1E">
        <w:t xml:space="preserve">for the 6MWT </w:t>
      </w:r>
      <w:r w:rsidR="005A131C" w:rsidRPr="00FC7F1E">
        <w:t xml:space="preserve">for untreated patients with SMA compared to the results used in the </w:t>
      </w:r>
      <w:r w:rsidR="00CA098E" w:rsidRPr="00FC7F1E">
        <w:t>re</w:t>
      </w:r>
      <w:r w:rsidR="005A131C" w:rsidRPr="00FC7F1E">
        <w:t xml:space="preserve">submission’s naïve indirect comparison from Montes 2018. </w:t>
      </w:r>
      <w:r w:rsidR="00E17E5A" w:rsidRPr="00FC7F1E">
        <w:t>These results were:</w:t>
      </w:r>
    </w:p>
    <w:p w14:paraId="3B5D2D4F" w14:textId="77777777" w:rsidR="005A131C" w:rsidRPr="00FC7F1E" w:rsidRDefault="00E17E5A" w:rsidP="000A1EFA">
      <w:pPr>
        <w:pStyle w:val="3-BodyText"/>
        <w:numPr>
          <w:ilvl w:val="0"/>
          <w:numId w:val="5"/>
        </w:numPr>
        <w:spacing w:after="0"/>
        <w:ind w:left="993" w:hanging="284"/>
      </w:pPr>
      <w:r w:rsidRPr="00FC7F1E">
        <w:t>A</w:t>
      </w:r>
      <w:r w:rsidR="00EF1E7E" w:rsidRPr="00FC7F1E">
        <w:t>n increase of 17.86</w:t>
      </w:r>
      <w:r w:rsidR="008730D7" w:rsidRPr="00FC7F1E">
        <w:t xml:space="preserve"> </w:t>
      </w:r>
      <w:r w:rsidR="00EF1E7E" w:rsidRPr="00FC7F1E">
        <w:t>m</w:t>
      </w:r>
      <w:r w:rsidR="008730D7" w:rsidRPr="00FC7F1E">
        <w:t>etres</w:t>
      </w:r>
      <w:r w:rsidR="00EF1E7E" w:rsidRPr="00FC7F1E">
        <w:t xml:space="preserve"> after 12 months </w:t>
      </w:r>
      <w:r w:rsidRPr="00FC7F1E">
        <w:t xml:space="preserve">was reported by Mazzone 2013 </w:t>
      </w:r>
      <w:r w:rsidR="00EF1E7E" w:rsidRPr="00FC7F1E">
        <w:t>for Type IIIb SMA patients and a decrease of 5.97</w:t>
      </w:r>
      <w:r w:rsidR="008730D7" w:rsidRPr="00FC7F1E">
        <w:t xml:space="preserve"> </w:t>
      </w:r>
      <w:r w:rsidR="00EF1E7E" w:rsidRPr="00FC7F1E">
        <w:t>m</w:t>
      </w:r>
      <w:r w:rsidR="008730D7" w:rsidRPr="00FC7F1E">
        <w:t>etres</w:t>
      </w:r>
      <w:r w:rsidR="00EF1E7E" w:rsidRPr="00FC7F1E">
        <w:t xml:space="preserve"> for T</w:t>
      </w:r>
      <w:r w:rsidR="00CA7530" w:rsidRPr="00FC7F1E">
        <w:t xml:space="preserve">ype IIIa </w:t>
      </w:r>
      <w:r w:rsidR="00EF1E7E" w:rsidRPr="00FC7F1E">
        <w:t>SMA patients</w:t>
      </w:r>
      <w:r w:rsidR="005A131C" w:rsidRPr="00FC7F1E">
        <w:t>, and while these results also included non-adult patients, i</w:t>
      </w:r>
      <w:r w:rsidR="00EF1E7E" w:rsidRPr="00FC7F1E">
        <w:t xml:space="preserve">t was not apparent from the study that adult patients overall experienced a decline in HFMSE. </w:t>
      </w:r>
    </w:p>
    <w:p w14:paraId="00A00D4A" w14:textId="77777777" w:rsidR="000F75D7" w:rsidRPr="00FC7F1E" w:rsidRDefault="00E17E5A" w:rsidP="000A1EFA">
      <w:pPr>
        <w:pStyle w:val="3-BodyText"/>
        <w:numPr>
          <w:ilvl w:val="0"/>
          <w:numId w:val="5"/>
        </w:numPr>
        <w:ind w:left="993" w:hanging="284"/>
      </w:pPr>
      <w:r w:rsidRPr="00FC7F1E">
        <w:t>An a</w:t>
      </w:r>
      <w:r w:rsidR="00EF1E7E" w:rsidRPr="00FC7F1E">
        <w:t xml:space="preserve">verage increase in distance walked in the 6MWT of </w:t>
      </w:r>
      <w:r w:rsidR="005A131C" w:rsidRPr="00FC7F1E">
        <w:t>38.9</w:t>
      </w:r>
      <w:r w:rsidR="008730D7" w:rsidRPr="00FC7F1E">
        <w:t xml:space="preserve"> </w:t>
      </w:r>
      <w:r w:rsidR="005A131C" w:rsidRPr="00FC7F1E">
        <w:t>m</w:t>
      </w:r>
      <w:r w:rsidR="008730D7" w:rsidRPr="00FC7F1E">
        <w:t>etres</w:t>
      </w:r>
      <w:r w:rsidR="005A131C" w:rsidRPr="00FC7F1E">
        <w:t xml:space="preserve"> after 12 months</w:t>
      </w:r>
      <w:r w:rsidRPr="00FC7F1E">
        <w:t xml:space="preserve"> in a study by Bonati 2017 in 18 ambulant patients with an average age of 32 years</w:t>
      </w:r>
      <w:r w:rsidR="00F10893" w:rsidRPr="00FC7F1E">
        <w:t xml:space="preserve">. </w:t>
      </w:r>
    </w:p>
    <w:p w14:paraId="172A7E57" w14:textId="77777777" w:rsidR="005A131C" w:rsidRPr="00FC7F1E" w:rsidRDefault="005A131C" w:rsidP="00732451">
      <w:pPr>
        <w:pStyle w:val="3-BodyText"/>
      </w:pPr>
      <w:r w:rsidRPr="00FC7F1E">
        <w:t xml:space="preserve">Despite these varying results, the </w:t>
      </w:r>
      <w:r w:rsidR="00CA098E" w:rsidRPr="00FC7F1E">
        <w:t>re</w:t>
      </w:r>
      <w:r w:rsidRPr="00FC7F1E">
        <w:t>submission chose to use the value of a 46</w:t>
      </w:r>
      <w:r w:rsidR="008730D7" w:rsidRPr="00FC7F1E">
        <w:t xml:space="preserve"> </w:t>
      </w:r>
      <w:r w:rsidRPr="00FC7F1E">
        <w:t>m</w:t>
      </w:r>
      <w:r w:rsidR="008730D7" w:rsidRPr="00FC7F1E">
        <w:t>etre</w:t>
      </w:r>
      <w:r w:rsidRPr="00FC7F1E">
        <w:t xml:space="preserve"> increase from Hagenacker 2020 in the economic evaluation, inappropriately attributing this increase to all patients (not just ambulant patients). The previous November 2017 submission suggested </w:t>
      </w:r>
      <w:r w:rsidR="007D5B69" w:rsidRPr="00FC7F1E">
        <w:t xml:space="preserve">that there would be </w:t>
      </w:r>
      <w:r w:rsidRPr="00FC7F1E">
        <w:t>an annual decline of 1.46</w:t>
      </w:r>
      <w:r w:rsidR="008730D7" w:rsidRPr="00FC7F1E">
        <w:t xml:space="preserve"> </w:t>
      </w:r>
      <w:r w:rsidRPr="00FC7F1E">
        <w:t>m</w:t>
      </w:r>
      <w:r w:rsidR="008730D7" w:rsidRPr="00FC7F1E">
        <w:t>etres</w:t>
      </w:r>
      <w:r w:rsidRPr="00FC7F1E">
        <w:t xml:space="preserve"> for Type III </w:t>
      </w:r>
      <w:r w:rsidR="007D5B69" w:rsidRPr="00FC7F1E">
        <w:t xml:space="preserve">SMA </w:t>
      </w:r>
      <w:r w:rsidRPr="00FC7F1E">
        <w:t>ambulant untreated patients compared to an increase of 21</w:t>
      </w:r>
      <w:r w:rsidR="008730D7" w:rsidRPr="00FC7F1E">
        <w:t xml:space="preserve"> </w:t>
      </w:r>
      <w:r w:rsidRPr="00FC7F1E">
        <w:t>m</w:t>
      </w:r>
      <w:r w:rsidR="008730D7" w:rsidRPr="00FC7F1E">
        <w:t>etres</w:t>
      </w:r>
      <w:r w:rsidRPr="00FC7F1E">
        <w:t xml:space="preserve"> at year 1 relative to baseline for patients treated </w:t>
      </w:r>
      <w:r w:rsidR="007D5B69" w:rsidRPr="00FC7F1E">
        <w:t xml:space="preserve">with nusinersen </w:t>
      </w:r>
      <w:r w:rsidRPr="00FC7F1E">
        <w:t>in the CS12 study.</w:t>
      </w:r>
    </w:p>
    <w:p w14:paraId="543D9AC2" w14:textId="77777777" w:rsidR="00CE627B" w:rsidRPr="00FC7F1E" w:rsidRDefault="007A38F2" w:rsidP="002B5843">
      <w:pPr>
        <w:pStyle w:val="3-BodyText"/>
      </w:pPr>
      <w:r w:rsidRPr="00FC7F1E">
        <w:t>The PSCR provided additional data from Maggi 2020, which was a recent</w:t>
      </w:r>
      <w:r w:rsidR="0034559E" w:rsidRPr="00FC7F1E">
        <w:t>l</w:t>
      </w:r>
      <w:r w:rsidRPr="00FC7F1E">
        <w:t xml:space="preserve">y published retrospective cohort study of 116 Italian patients </w:t>
      </w:r>
      <w:r w:rsidR="00C5388F" w:rsidRPr="00FC7F1E">
        <w:t xml:space="preserve">with SMA Type II or III </w:t>
      </w:r>
      <w:r w:rsidR="00D848D0" w:rsidRPr="00FC7F1E">
        <w:t xml:space="preserve">who initiated nusinersen in adulthood (&gt;18 years of age). The median age at first administration was 34 years (range 18–72). Maggi 2020 found </w:t>
      </w:r>
      <w:r w:rsidRPr="00FC7F1E">
        <w:t xml:space="preserve">a mean </w:t>
      </w:r>
      <w:r w:rsidR="00C5388F" w:rsidRPr="00FC7F1E">
        <w:t xml:space="preserve">(SD) </w:t>
      </w:r>
      <w:r w:rsidRPr="00FC7F1E">
        <w:t xml:space="preserve">increase of 1.2 </w:t>
      </w:r>
      <w:r w:rsidR="00C5388F" w:rsidRPr="00FC7F1E">
        <w:t xml:space="preserve">(±2.68) </w:t>
      </w:r>
      <w:r w:rsidRPr="00FC7F1E">
        <w:t xml:space="preserve">and 2.85 </w:t>
      </w:r>
      <w:r w:rsidR="00C5388F" w:rsidRPr="00FC7F1E">
        <w:t xml:space="preserve">(±2.93) </w:t>
      </w:r>
      <w:r w:rsidRPr="00FC7F1E">
        <w:t xml:space="preserve">points in HFMSE among </w:t>
      </w:r>
      <w:r w:rsidR="00F8421F" w:rsidRPr="00FC7F1E">
        <w:t xml:space="preserve">patients with </w:t>
      </w:r>
      <w:r w:rsidRPr="00FC7F1E">
        <w:t>SMA II (n=5</w:t>
      </w:r>
      <w:r w:rsidR="00C5388F" w:rsidRPr="00FC7F1E">
        <w:t>, p = not significant</w:t>
      </w:r>
      <w:r w:rsidRPr="00FC7F1E">
        <w:t>) and SMA III (n=46; p&lt;0.0001) patients, respectively at 14 months post</w:t>
      </w:r>
      <w:r w:rsidR="00C5388F" w:rsidRPr="00FC7F1E">
        <w:t>-</w:t>
      </w:r>
      <w:r w:rsidRPr="00FC7F1E">
        <w:t xml:space="preserve">baseline. Ambulant patients demonstrated a significant mean (SD) improvement in the 6MWT of 23.11 (51.2; p=0.016) metres </w:t>
      </w:r>
      <w:r w:rsidR="00C5388F" w:rsidRPr="00FC7F1E">
        <w:t>at 14 months post-baseline.</w:t>
      </w:r>
      <w:r w:rsidRPr="00FC7F1E">
        <w:t xml:space="preserve"> </w:t>
      </w:r>
      <w:r w:rsidR="00C82DE6" w:rsidRPr="00FC7F1E">
        <w:t>T</w:t>
      </w:r>
      <w:r w:rsidR="00B30534" w:rsidRPr="00FC7F1E">
        <w:t xml:space="preserve">he magnitude of clinical </w:t>
      </w:r>
      <w:r w:rsidR="00B30534" w:rsidRPr="00FC7F1E">
        <w:lastRenderedPageBreak/>
        <w:t xml:space="preserve">improvement in patients with Type III SMA was lower than that reported in </w:t>
      </w:r>
      <w:r w:rsidR="002B5843" w:rsidRPr="00FC7F1E">
        <w:rPr>
          <w:snapToGrid/>
        </w:rPr>
        <w:t xml:space="preserve">Hagenacker 2020 </w:t>
      </w:r>
      <w:r w:rsidR="00B30534" w:rsidRPr="00FC7F1E">
        <w:t>(</w:t>
      </w:r>
      <w:r w:rsidR="001F2FA1" w:rsidRPr="00FC7F1E">
        <w:t xml:space="preserve">HFMSE: </w:t>
      </w:r>
      <w:r w:rsidR="00B30534" w:rsidRPr="00FC7F1E">
        <w:t xml:space="preserve">mean increase of 2.85 versus 4.2 reported in Maggi </w:t>
      </w:r>
      <w:r w:rsidR="002B5843" w:rsidRPr="00FC7F1E">
        <w:t xml:space="preserve">2020 </w:t>
      </w:r>
      <w:r w:rsidR="00B30534" w:rsidRPr="00FC7F1E">
        <w:t>and Hagenacker</w:t>
      </w:r>
      <w:r w:rsidR="002B5843" w:rsidRPr="00FC7F1E">
        <w:t xml:space="preserve"> 2020</w:t>
      </w:r>
      <w:r w:rsidR="00682736" w:rsidRPr="00FC7F1E">
        <w:t>, respectively</w:t>
      </w:r>
      <w:r w:rsidR="006529E0" w:rsidRPr="00FC7F1E">
        <w:t>; 6MWT: mean increase of 23.11m versus 46m</w:t>
      </w:r>
      <w:r w:rsidR="00682736" w:rsidRPr="00FC7F1E">
        <w:t>)</w:t>
      </w:r>
      <w:r w:rsidR="00C82DE6" w:rsidRPr="00FC7F1E">
        <w:t>.</w:t>
      </w:r>
      <w:r w:rsidR="00682736" w:rsidRPr="00FC7F1E">
        <w:t xml:space="preserve"> </w:t>
      </w:r>
      <w:r w:rsidR="00C82DE6" w:rsidRPr="00FC7F1E">
        <w:t xml:space="preserve">The authors </w:t>
      </w:r>
      <w:r w:rsidR="00682736" w:rsidRPr="00FC7F1E">
        <w:t xml:space="preserve">stated </w:t>
      </w:r>
      <w:r w:rsidR="00C82DE6" w:rsidRPr="00FC7F1E">
        <w:t>this may have been due to</w:t>
      </w:r>
      <w:r w:rsidR="00F8421F" w:rsidRPr="00FC7F1E">
        <w:t xml:space="preserve"> the</w:t>
      </w:r>
      <w:r w:rsidR="00C82DE6" w:rsidRPr="00FC7F1E">
        <w:t xml:space="preserve"> Maggi </w:t>
      </w:r>
      <w:r w:rsidR="00F8421F" w:rsidRPr="00FC7F1E">
        <w:t xml:space="preserve">2020 study </w:t>
      </w:r>
      <w:r w:rsidR="00C82DE6" w:rsidRPr="00FC7F1E">
        <w:t>recruiting patients with worse motor performa</w:t>
      </w:r>
      <w:r w:rsidR="001F2FA1" w:rsidRPr="00FC7F1E">
        <w:t>nce</w:t>
      </w:r>
      <w:r w:rsidR="00C82DE6" w:rsidRPr="00FC7F1E">
        <w:t xml:space="preserve"> at baseline (</w:t>
      </w:r>
      <w:r w:rsidR="0034559E" w:rsidRPr="00FC7F1E">
        <w:t xml:space="preserve">baseline </w:t>
      </w:r>
      <w:r w:rsidR="00C82DE6" w:rsidRPr="00FC7F1E">
        <w:t>6MWT 308.5m v</w:t>
      </w:r>
      <w:r w:rsidR="001F2FA1" w:rsidRPr="00FC7F1E">
        <w:t>ersu</w:t>
      </w:r>
      <w:r w:rsidR="00C82DE6" w:rsidRPr="00FC7F1E">
        <w:t>s 321.8m)</w:t>
      </w:r>
      <w:r w:rsidR="001F2FA1" w:rsidRPr="00FC7F1E">
        <w:t>.</w:t>
      </w:r>
      <w:r w:rsidR="00682736" w:rsidRPr="00FC7F1E" w:rsidDel="00682736">
        <w:t xml:space="preserve"> </w:t>
      </w:r>
      <w:r w:rsidR="002B5843" w:rsidRPr="00FC7F1E">
        <w:t xml:space="preserve">The pre-PBAC response </w:t>
      </w:r>
      <w:r w:rsidR="0034559E" w:rsidRPr="00FC7F1E">
        <w:t>not</w:t>
      </w:r>
      <w:r w:rsidR="002B5843" w:rsidRPr="00FC7F1E">
        <w:t>ed that the proportion of patients who achieved a clinically meaningful improvement of ≥3 points HFMSE was 40% in Hagenacker 2020 and 49% in Maggi 2020</w:t>
      </w:r>
      <w:r w:rsidR="0034559E" w:rsidRPr="00FC7F1E">
        <w:t xml:space="preserve"> at 14 months</w:t>
      </w:r>
      <w:r w:rsidR="002B5843" w:rsidRPr="00FC7F1E">
        <w:t>.</w:t>
      </w:r>
    </w:p>
    <w:p w14:paraId="5A66F0EF" w14:textId="77777777" w:rsidR="00B204AD" w:rsidRPr="00FC7F1E" w:rsidRDefault="00282D00" w:rsidP="00732451">
      <w:pPr>
        <w:pStyle w:val="3-BodyText"/>
      </w:pPr>
      <w:r w:rsidRPr="00FC7F1E">
        <w:t xml:space="preserve">The </w:t>
      </w:r>
      <w:r w:rsidR="00CA098E" w:rsidRPr="00FC7F1E">
        <w:t>re</w:t>
      </w:r>
      <w:r w:rsidRPr="00FC7F1E">
        <w:t>submission did not consider comparative efficacy in patients aged 18 years or less who developed symptoms of SMA at 3 years or age or later (with Type IIIb SMA), and as such it was not possible to conclude anything about the comparative efficacy (or safety) of nusinersen in this patient population.</w:t>
      </w:r>
    </w:p>
    <w:p w14:paraId="3A35EAEC" w14:textId="77777777" w:rsidR="00B60939" w:rsidRPr="00FC7F1E" w:rsidRDefault="00B60939" w:rsidP="00D86231">
      <w:pPr>
        <w:pStyle w:val="4-SubsectionHeading"/>
      </w:pPr>
      <w:bookmarkStart w:id="24" w:name="_Toc22897642"/>
      <w:bookmarkStart w:id="25" w:name="_Toc50701419"/>
      <w:r w:rsidRPr="00FC7F1E">
        <w:t>Comparative harms</w:t>
      </w:r>
      <w:bookmarkEnd w:id="24"/>
      <w:bookmarkEnd w:id="25"/>
    </w:p>
    <w:p w14:paraId="4182415E" w14:textId="77777777" w:rsidR="006F758B" w:rsidRPr="00FC7F1E" w:rsidRDefault="006F758B" w:rsidP="00732451">
      <w:pPr>
        <w:pStyle w:val="3-BodyText"/>
      </w:pPr>
      <w:r w:rsidRPr="00FC7F1E">
        <w:t>As there were no comparative studies identified, no</w:t>
      </w:r>
      <w:r w:rsidR="00D84BBD" w:rsidRPr="00FC7F1E">
        <w:t xml:space="preserve"> comparative harms were noted. </w:t>
      </w:r>
      <w:r w:rsidRPr="00FC7F1E">
        <w:t>The PBAC (paragraph 11.4, nusinersen, Addendum to the July 2019 PSD, November 2019) considered that there may be long term implications from repeated lumbar puncture administrations, particularly in patients who may not have had nusinersen otherwise (i.e. Type IIIb and Type IV patients)</w:t>
      </w:r>
      <w:r w:rsidR="00FC7F1E">
        <w:t xml:space="preserve">. </w:t>
      </w:r>
    </w:p>
    <w:p w14:paraId="3D1280A0" w14:textId="77777777" w:rsidR="00684C83" w:rsidRPr="00FC7F1E" w:rsidRDefault="00684C83" w:rsidP="00732451">
      <w:pPr>
        <w:pStyle w:val="3-BodyText"/>
        <w:rPr>
          <w:color w:val="000000" w:themeColor="text1"/>
        </w:rPr>
      </w:pPr>
      <w:r w:rsidRPr="00FC7F1E">
        <w:rPr>
          <w:color w:val="000000" w:themeColor="text1"/>
        </w:rPr>
        <w:t>Adverse events occurred in 82 patients (47%) throughout the 14</w:t>
      </w:r>
      <w:r w:rsidR="00D84BBD" w:rsidRPr="00FC7F1E">
        <w:rPr>
          <w:color w:val="000000" w:themeColor="text1"/>
        </w:rPr>
        <w:t>-</w:t>
      </w:r>
      <w:r w:rsidRPr="00FC7F1E">
        <w:rPr>
          <w:color w:val="000000" w:themeColor="text1"/>
        </w:rPr>
        <w:t>month follow-up period in Hagenacker 2020. The most commonly reported adverse reactions comprised headache (20%), back</w:t>
      </w:r>
      <w:r w:rsidR="002E55D6" w:rsidRPr="00FC7F1E">
        <w:rPr>
          <w:color w:val="000000" w:themeColor="text1"/>
        </w:rPr>
        <w:t xml:space="preserve"> </w:t>
      </w:r>
      <w:r w:rsidRPr="00FC7F1E">
        <w:rPr>
          <w:color w:val="000000" w:themeColor="text1"/>
        </w:rPr>
        <w:t xml:space="preserve">pain (9%) and nausea (7%), all considered to be related to the lumbar puncture procedure. Two patients withdrew from the treatment because of adverse drug reactions and no deaths occurred during the study period. </w:t>
      </w:r>
    </w:p>
    <w:p w14:paraId="09DD4CED" w14:textId="77777777" w:rsidR="00197183" w:rsidRPr="00FC7F1E" w:rsidRDefault="00684C83" w:rsidP="00732451">
      <w:pPr>
        <w:pStyle w:val="3-BodyText"/>
        <w:rPr>
          <w:color w:val="000000" w:themeColor="text1"/>
        </w:rPr>
      </w:pPr>
      <w:r w:rsidRPr="00FC7F1E">
        <w:rPr>
          <w:color w:val="000000" w:themeColor="text1"/>
        </w:rPr>
        <w:t>In the Walter 2019 study, post-lumbar puncture headache was reported in 4/19 (21%) of patients in a total of 11 of 108 lumbar punctures (10%). No patients discontinued treatment as a result of procedure or treatment related adverse events.</w:t>
      </w:r>
      <w:bookmarkStart w:id="26" w:name="_Toc22897643"/>
    </w:p>
    <w:p w14:paraId="09DCC890" w14:textId="77777777" w:rsidR="00197183" w:rsidRPr="00FC7F1E" w:rsidRDefault="00197183" w:rsidP="00732451">
      <w:pPr>
        <w:pStyle w:val="3-BodyText"/>
        <w:rPr>
          <w:color w:val="000000" w:themeColor="text1"/>
        </w:rPr>
      </w:pPr>
      <w:r w:rsidRPr="00FC7F1E">
        <w:rPr>
          <w:color w:val="000000" w:themeColor="text1"/>
        </w:rPr>
        <w:t>A periodic safety report covering 31 May 2019 to 30 Nov 2019 was presented in the resubmission. No new, ongoing or closed signals were reported in the periodic safety report</w:t>
      </w:r>
      <w:r w:rsidR="00FC7F1E">
        <w:rPr>
          <w:color w:val="000000" w:themeColor="text1"/>
        </w:rPr>
        <w:t xml:space="preserve">. </w:t>
      </w:r>
    </w:p>
    <w:p w14:paraId="7606F315" w14:textId="77777777" w:rsidR="0034559E" w:rsidRPr="00FC7F1E" w:rsidRDefault="0034559E" w:rsidP="0034559E">
      <w:pPr>
        <w:pStyle w:val="3-BodyText"/>
      </w:pPr>
      <w:r w:rsidRPr="00FC7F1E">
        <w:t xml:space="preserve">The Maggi 2020 study, provided in the PSCR, found that post-procedure headache was observed at least once in 43/116 (37.1%) patients. Headaches were orthostatic, mild to moderate in intensity and spontaneously resolved in a few days, except for five patients who required hospitalisation. </w:t>
      </w:r>
      <w:r w:rsidRPr="00FC7F1E">
        <w:rPr>
          <w:color w:val="000000" w:themeColor="text1"/>
        </w:rPr>
        <w:t>Lumbar pain was reported in 10/116 (8.6%) patients.</w:t>
      </w:r>
    </w:p>
    <w:p w14:paraId="03A8645E" w14:textId="77777777" w:rsidR="007F1017" w:rsidRPr="00FC7F1E" w:rsidRDefault="007F1017" w:rsidP="00D86231">
      <w:pPr>
        <w:pStyle w:val="4-SubsectionHeading"/>
      </w:pPr>
      <w:bookmarkStart w:id="27" w:name="_Toc50701420"/>
      <w:r w:rsidRPr="00FC7F1E">
        <w:t>Benefits/harms</w:t>
      </w:r>
      <w:bookmarkEnd w:id="26"/>
      <w:bookmarkEnd w:id="27"/>
    </w:p>
    <w:p w14:paraId="6E1F27D0" w14:textId="77777777" w:rsidR="00FD1136" w:rsidRPr="00FC7F1E" w:rsidRDefault="00FD1136" w:rsidP="00732451">
      <w:pPr>
        <w:pStyle w:val="3-BodyText"/>
      </w:pPr>
      <w:r w:rsidRPr="00FC7F1E">
        <w:rPr>
          <w:snapToGrid/>
        </w:rPr>
        <w:t xml:space="preserve">The naïve indirect comparison presented in the resubmission did not allow for a quantitative comparison of the benefits and harms of treatment with nusinersen and </w:t>
      </w:r>
      <w:r w:rsidR="002757B2" w:rsidRPr="00FC7F1E">
        <w:rPr>
          <w:snapToGrid/>
        </w:rPr>
        <w:t>standard of care</w:t>
      </w:r>
      <w:r w:rsidRPr="00FC7F1E">
        <w:rPr>
          <w:snapToGrid/>
        </w:rPr>
        <w:t xml:space="preserve"> in the requested patient populations. Accordingly, a benefits/harms table </w:t>
      </w:r>
      <w:r w:rsidR="00E24E56" w:rsidRPr="00FC7F1E">
        <w:rPr>
          <w:snapToGrid/>
        </w:rPr>
        <w:t>w</w:t>
      </w:r>
      <w:r w:rsidRPr="00FC7F1E">
        <w:rPr>
          <w:snapToGrid/>
        </w:rPr>
        <w:t>as not presented.</w:t>
      </w:r>
    </w:p>
    <w:p w14:paraId="3C474336" w14:textId="77777777" w:rsidR="00B60939" w:rsidRPr="00FC7F1E" w:rsidRDefault="00B60939" w:rsidP="00E9094A">
      <w:pPr>
        <w:pStyle w:val="4-SubsectionHeading"/>
      </w:pPr>
      <w:bookmarkStart w:id="28" w:name="_Toc22897644"/>
      <w:bookmarkStart w:id="29" w:name="_Toc50701421"/>
      <w:r w:rsidRPr="00FC7F1E">
        <w:lastRenderedPageBreak/>
        <w:t>Clinical claim</w:t>
      </w:r>
      <w:bookmarkEnd w:id="28"/>
      <w:bookmarkEnd w:id="29"/>
    </w:p>
    <w:p w14:paraId="14EA30C8" w14:textId="77777777" w:rsidR="00193CFD" w:rsidRPr="00FC7F1E" w:rsidRDefault="005F7588" w:rsidP="00732451">
      <w:pPr>
        <w:pStyle w:val="3-BodyText"/>
        <w:rPr>
          <w:rFonts w:eastAsia="Calibri"/>
        </w:rPr>
      </w:pPr>
      <w:r w:rsidRPr="00FC7F1E">
        <w:rPr>
          <w:rFonts w:eastAsia="Calibri"/>
        </w:rPr>
        <w:t xml:space="preserve">The </w:t>
      </w:r>
      <w:r w:rsidR="00CA098E" w:rsidRPr="00FC7F1E">
        <w:rPr>
          <w:rFonts w:eastAsia="Calibri"/>
        </w:rPr>
        <w:t>re</w:t>
      </w:r>
      <w:r w:rsidR="003748CD" w:rsidRPr="00FC7F1E">
        <w:t>submission described nusinersen</w:t>
      </w:r>
      <w:r w:rsidR="00A02EB0" w:rsidRPr="00FC7F1E">
        <w:t>,</w:t>
      </w:r>
      <w:r w:rsidR="003748CD" w:rsidRPr="00FC7F1E">
        <w:t xml:space="preserve"> for the treatment of adult patients with SMA, as superior in terms of effectiveness compared with standard of care and non-inferior in terms of safety. A claim was not made for non-adult patients with SMA who had the first onset of symptoms from 3 years of age or more. </w:t>
      </w:r>
    </w:p>
    <w:p w14:paraId="775E2B0A" w14:textId="77777777" w:rsidR="00F84699" w:rsidRPr="00FC7F1E" w:rsidRDefault="003748CD" w:rsidP="00732451">
      <w:pPr>
        <w:pStyle w:val="3-BodyText"/>
        <w:rPr>
          <w:rFonts w:eastAsia="Calibri"/>
        </w:rPr>
      </w:pPr>
      <w:r w:rsidRPr="00FC7F1E">
        <w:t xml:space="preserve">The </w:t>
      </w:r>
      <w:r w:rsidR="00F84699" w:rsidRPr="00FC7F1E">
        <w:t xml:space="preserve">evaluation and the ESC considered that the </w:t>
      </w:r>
      <w:r w:rsidR="009471D9" w:rsidRPr="009471D9">
        <w:t xml:space="preserve">magnitude and durability of benefit claimed in the submission </w:t>
      </w:r>
      <w:r w:rsidR="009471D9">
        <w:t>were</w:t>
      </w:r>
      <w:r w:rsidRPr="00FC7F1E">
        <w:t xml:space="preserve"> not adequately supported by the evidence presented </w:t>
      </w:r>
      <w:r w:rsidR="00F84699" w:rsidRPr="00FC7F1E">
        <w:t>due to:</w:t>
      </w:r>
      <w:r w:rsidRPr="00FC7F1E">
        <w:t xml:space="preserve"> </w:t>
      </w:r>
    </w:p>
    <w:p w14:paraId="72A61C49" w14:textId="77777777" w:rsidR="00C16487" w:rsidRPr="00FC7F1E" w:rsidRDefault="001F0106" w:rsidP="00F84699">
      <w:pPr>
        <w:pStyle w:val="3-BodyText"/>
        <w:numPr>
          <w:ilvl w:val="0"/>
          <w:numId w:val="5"/>
        </w:numPr>
        <w:spacing w:after="0"/>
        <w:ind w:left="993" w:hanging="284"/>
        <w:rPr>
          <w:rFonts w:eastAsia="Calibri"/>
        </w:rPr>
      </w:pPr>
      <w:r w:rsidRPr="00FC7F1E">
        <w:t>T</w:t>
      </w:r>
      <w:r w:rsidR="00F84699" w:rsidRPr="00FC7F1E">
        <w:t>he</w:t>
      </w:r>
      <w:r w:rsidR="003748CD" w:rsidRPr="00FC7F1E">
        <w:t xml:space="preserve"> lack of long-term data, with outcomes reported for the nusinersen treated patients only being up to 14 months.</w:t>
      </w:r>
      <w:r w:rsidR="00C16487" w:rsidRPr="00FC7F1E">
        <w:t xml:space="preserve"> As such, t</w:t>
      </w:r>
      <w:r w:rsidR="00C16487" w:rsidRPr="00FC7F1E">
        <w:rPr>
          <w:rFonts w:eastAsia="Calibri"/>
        </w:rPr>
        <w:t>he ESC considered that the durability of response with nusinersen in adults with SMA was uncertain</w:t>
      </w:r>
      <w:r w:rsidRPr="00FC7F1E">
        <w:rPr>
          <w:rFonts w:eastAsia="Calibri"/>
        </w:rPr>
        <w:t>.</w:t>
      </w:r>
    </w:p>
    <w:p w14:paraId="69980DE2" w14:textId="77777777" w:rsidR="00F84699" w:rsidRPr="00FC7F1E" w:rsidRDefault="00F84699" w:rsidP="00F84699">
      <w:pPr>
        <w:pStyle w:val="3-BodyText"/>
        <w:numPr>
          <w:ilvl w:val="0"/>
          <w:numId w:val="5"/>
        </w:numPr>
        <w:spacing w:after="0"/>
        <w:ind w:left="993" w:hanging="284"/>
      </w:pPr>
      <w:r w:rsidRPr="00FC7F1E">
        <w:t>The possibility of a placebo effect could not be ruled out for any of the efficacy outcomes.</w:t>
      </w:r>
    </w:p>
    <w:p w14:paraId="09599090" w14:textId="77777777" w:rsidR="009471D9" w:rsidRPr="00FC7F1E" w:rsidRDefault="009471D9" w:rsidP="009471D9">
      <w:pPr>
        <w:pStyle w:val="3-BodyText"/>
        <w:numPr>
          <w:ilvl w:val="0"/>
          <w:numId w:val="5"/>
        </w:numPr>
        <w:spacing w:after="0"/>
        <w:ind w:left="993" w:hanging="284"/>
        <w:rPr>
          <w:rFonts w:eastAsia="Calibri"/>
        </w:rPr>
      </w:pPr>
      <w:r w:rsidRPr="00FC7F1E">
        <w:t>The lack of randomised comparative data or statistical analyses for the indirect naïve comparisons presented</w:t>
      </w:r>
      <w:r>
        <w:t xml:space="preserve">. </w:t>
      </w:r>
    </w:p>
    <w:p w14:paraId="4C0BA8A6" w14:textId="77777777" w:rsidR="00F84699" w:rsidRPr="00FC7F1E" w:rsidRDefault="00F84699" w:rsidP="00F84699">
      <w:pPr>
        <w:pStyle w:val="3-BodyText"/>
        <w:numPr>
          <w:ilvl w:val="0"/>
          <w:numId w:val="5"/>
        </w:numPr>
        <w:spacing w:after="0"/>
        <w:ind w:left="993" w:hanging="284"/>
      </w:pPr>
      <w:r w:rsidRPr="00FC7F1E">
        <w:t xml:space="preserve">The resubmission was selective in its choice of data for the comparisons with other studies reporting varying results. </w:t>
      </w:r>
    </w:p>
    <w:p w14:paraId="7651B4F4" w14:textId="77777777" w:rsidR="00F84699" w:rsidRPr="00FC7F1E" w:rsidRDefault="00F84699" w:rsidP="001F0106">
      <w:pPr>
        <w:pStyle w:val="3-BodyText"/>
        <w:numPr>
          <w:ilvl w:val="0"/>
          <w:numId w:val="5"/>
        </w:numPr>
        <w:ind w:left="993" w:hanging="284"/>
        <w:rPr>
          <w:rFonts w:eastAsia="Calibri"/>
        </w:rPr>
      </w:pPr>
      <w:r w:rsidRPr="00FC7F1E">
        <w:t>The comparison for HFMSE in particular, was considered to have been limited by differences between the studies with respect to the type of SMA, the proportion of ambulant patients, and the age of the patients. The comparison may also have been limited by the different time periods for assessment of the outcome in terms of months of treatment/follow-up, which differed between the studies.</w:t>
      </w:r>
    </w:p>
    <w:p w14:paraId="3797EDE0" w14:textId="77777777" w:rsidR="00C16487" w:rsidRPr="00FC7F1E" w:rsidRDefault="00C16487" w:rsidP="00A65204">
      <w:pPr>
        <w:pStyle w:val="3-BodyText"/>
        <w:rPr>
          <w:rFonts w:eastAsia="Calibri"/>
        </w:rPr>
      </w:pPr>
      <w:r w:rsidRPr="00FC7F1E">
        <w:rPr>
          <w:rFonts w:eastAsia="Calibri"/>
        </w:rPr>
        <w:t xml:space="preserve">Further, the ESC considered that the incremental benefit of nusinersen in the requested population was unclear given the unknown impact of variables such as ambulant / non ambulant status, age of patient and rate of decline across types of SMA. The ESC reiterated the PBAC’s previous concerns that </w:t>
      </w:r>
      <w:r w:rsidR="00F8421F" w:rsidRPr="00FC7F1E">
        <w:rPr>
          <w:rFonts w:eastAsia="Calibri"/>
        </w:rPr>
        <w:t xml:space="preserve">overall it was </w:t>
      </w:r>
      <w:r w:rsidRPr="00FC7F1E">
        <w:rPr>
          <w:rFonts w:eastAsia="Calibri"/>
        </w:rPr>
        <w:t>‘uncertain of the extent and durability of benefit of treatment with nusinersen in the overall SMA population based on the evidence presented in the submission’ (Nusinersen PSD, PBAC meeting November 2017, para 7.16).</w:t>
      </w:r>
    </w:p>
    <w:p w14:paraId="5A8D8051" w14:textId="77777777" w:rsidR="00E80897" w:rsidRPr="00FC7F1E" w:rsidRDefault="003748CD" w:rsidP="00732451">
      <w:pPr>
        <w:pStyle w:val="3-BodyText"/>
        <w:rPr>
          <w:rFonts w:eastAsia="Calibri"/>
        </w:rPr>
      </w:pPr>
      <w:r w:rsidRPr="00FC7F1E">
        <w:t>In relation to safety, t</w:t>
      </w:r>
      <w:r w:rsidR="00E80897" w:rsidRPr="00FC7F1E">
        <w:t>he PBAC previously considered (paragraph 11.4, nusinersen, Addendum to the July 2019 PSD November 2019) that there may be long term implications from repeated lumbar puncture administrations, particularly in patients who may not have had nusinersen otherwise (i.e. Type IIIb patients)</w:t>
      </w:r>
      <w:r w:rsidRPr="00FC7F1E">
        <w:t>.</w:t>
      </w:r>
      <w:r w:rsidR="00E80897" w:rsidRPr="00FC7F1E">
        <w:t xml:space="preserve"> </w:t>
      </w:r>
      <w:r w:rsidRPr="00FC7F1E">
        <w:t xml:space="preserve">Adverse events associated with lumbar puncture administrations were also apparent in the clinical evidence presented in the </w:t>
      </w:r>
      <w:r w:rsidR="00CA098E" w:rsidRPr="00FC7F1E">
        <w:t>re</w:t>
      </w:r>
      <w:r w:rsidRPr="00FC7F1E">
        <w:t xml:space="preserve">submission and the </w:t>
      </w:r>
      <w:r w:rsidR="00CA098E" w:rsidRPr="00FC7F1E">
        <w:t>re</w:t>
      </w:r>
      <w:r w:rsidRPr="00FC7F1E">
        <w:t>submission made no attempt to demonstrate non-inferiority. Overall</w:t>
      </w:r>
      <w:r w:rsidR="00E80897" w:rsidRPr="00FC7F1E">
        <w:t xml:space="preserve">, the </w:t>
      </w:r>
      <w:r w:rsidR="001F0106" w:rsidRPr="00FC7F1E">
        <w:t xml:space="preserve">evaluation and the ESC considered that the </w:t>
      </w:r>
      <w:r w:rsidR="00E80897" w:rsidRPr="00FC7F1E">
        <w:t xml:space="preserve">claim of non-inferior safety compared to </w:t>
      </w:r>
      <w:r w:rsidRPr="00FC7F1E">
        <w:t xml:space="preserve">standard of care was not </w:t>
      </w:r>
      <w:r w:rsidR="00E80897" w:rsidRPr="00FC7F1E">
        <w:t>supported</w:t>
      </w:r>
      <w:r w:rsidR="00FC7F1E">
        <w:t xml:space="preserve">. </w:t>
      </w:r>
      <w:r w:rsidR="00E80897" w:rsidRPr="00FC7F1E">
        <w:t xml:space="preserve"> </w:t>
      </w:r>
    </w:p>
    <w:p w14:paraId="01808A62" w14:textId="77777777" w:rsidR="00987B69" w:rsidRPr="00FC7F1E" w:rsidRDefault="00987B69" w:rsidP="00987B69">
      <w:pPr>
        <w:pStyle w:val="3-BodyText"/>
        <w:rPr>
          <w:rFonts w:eastAsia="Calibri"/>
        </w:rPr>
      </w:pPr>
      <w:r w:rsidRPr="00FC7F1E">
        <w:rPr>
          <w:rFonts w:eastAsia="Calibri"/>
        </w:rPr>
        <w:t>The PBAC considered that</w:t>
      </w:r>
      <w:r w:rsidR="001F0106" w:rsidRPr="00FC7F1E">
        <w:rPr>
          <w:rFonts w:eastAsia="Calibri"/>
        </w:rPr>
        <w:t xml:space="preserve">, while </w:t>
      </w:r>
      <w:r w:rsidRPr="00FC7F1E">
        <w:rPr>
          <w:rFonts w:eastAsia="Calibri"/>
        </w:rPr>
        <w:t>the claim of superior comparative effectiveness was reasonable</w:t>
      </w:r>
      <w:r w:rsidR="001F0106" w:rsidRPr="00FC7F1E">
        <w:rPr>
          <w:rFonts w:eastAsia="Calibri"/>
        </w:rPr>
        <w:t xml:space="preserve">, the magnitude </w:t>
      </w:r>
      <w:r w:rsidR="00D11873" w:rsidRPr="00FC7F1E">
        <w:rPr>
          <w:rFonts w:eastAsia="Calibri"/>
        </w:rPr>
        <w:t>and</w:t>
      </w:r>
      <w:r w:rsidR="001F0106" w:rsidRPr="00FC7F1E">
        <w:rPr>
          <w:rFonts w:eastAsia="Calibri"/>
        </w:rPr>
        <w:t xml:space="preserve"> durability of benefit was not able to be quantified based on the data presented. </w:t>
      </w:r>
    </w:p>
    <w:p w14:paraId="3B4974BE" w14:textId="77777777" w:rsidR="00987B69" w:rsidRPr="00FC7F1E" w:rsidRDefault="00987B69" w:rsidP="00987B69">
      <w:pPr>
        <w:pStyle w:val="3-BodyText"/>
        <w:rPr>
          <w:rFonts w:eastAsia="Calibri"/>
        </w:rPr>
      </w:pPr>
      <w:r w:rsidRPr="00FC7F1E">
        <w:rPr>
          <w:rFonts w:eastAsia="Calibri"/>
        </w:rPr>
        <w:lastRenderedPageBreak/>
        <w:t>The PBAC considered that the claim of non-inferior comparative safety was not adequately supported by the data.</w:t>
      </w:r>
    </w:p>
    <w:p w14:paraId="0C107E23" w14:textId="77777777" w:rsidR="00B60939" w:rsidRPr="00FC7F1E" w:rsidRDefault="00B60939" w:rsidP="00E9094A">
      <w:pPr>
        <w:pStyle w:val="4-SubsectionHeading"/>
      </w:pPr>
      <w:bookmarkStart w:id="30" w:name="_Toc22897645"/>
      <w:bookmarkStart w:id="31" w:name="_Toc50701422"/>
      <w:r w:rsidRPr="00FC7F1E">
        <w:t>Economic analysis</w:t>
      </w:r>
      <w:bookmarkEnd w:id="30"/>
      <w:bookmarkEnd w:id="31"/>
      <w:r w:rsidR="00491B3A" w:rsidRPr="00FC7F1E">
        <w:t xml:space="preserve"> </w:t>
      </w:r>
    </w:p>
    <w:p w14:paraId="6FC3ACE0" w14:textId="77777777" w:rsidR="00B70667" w:rsidRPr="00FC7F1E" w:rsidRDefault="001C7637" w:rsidP="00732451">
      <w:pPr>
        <w:pStyle w:val="3-BodyText"/>
        <w:rPr>
          <w:color w:val="000000" w:themeColor="text1"/>
        </w:rPr>
      </w:pPr>
      <w:r w:rsidRPr="00FC7F1E">
        <w:rPr>
          <w:color w:val="000000" w:themeColor="text1"/>
        </w:rPr>
        <w:t xml:space="preserve">The </w:t>
      </w:r>
      <w:r w:rsidR="00CA098E" w:rsidRPr="00FC7F1E">
        <w:rPr>
          <w:color w:val="000000" w:themeColor="text1"/>
        </w:rPr>
        <w:t>re</w:t>
      </w:r>
      <w:r w:rsidRPr="00FC7F1E">
        <w:rPr>
          <w:color w:val="000000" w:themeColor="text1"/>
        </w:rPr>
        <w:t xml:space="preserve">submission presented a cost-utility analysis. A </w:t>
      </w:r>
      <w:r w:rsidR="00F44543" w:rsidRPr="00FC7F1E">
        <w:rPr>
          <w:color w:val="000000" w:themeColor="text1"/>
        </w:rPr>
        <w:t>cost-utility analysis</w:t>
      </w:r>
      <w:r w:rsidRPr="00FC7F1E">
        <w:rPr>
          <w:color w:val="000000" w:themeColor="text1"/>
        </w:rPr>
        <w:t xml:space="preserve"> was not presented in the previous submission considered by the PBAC in November 2017</w:t>
      </w:r>
      <w:r w:rsidR="002B68FF" w:rsidRPr="00FC7F1E">
        <w:rPr>
          <w:color w:val="000000" w:themeColor="text1"/>
        </w:rPr>
        <w:t xml:space="preserve"> for the requested patient populations</w:t>
      </w:r>
      <w:r w:rsidR="002A321F" w:rsidRPr="00FC7F1E">
        <w:rPr>
          <w:color w:val="000000" w:themeColor="text1"/>
        </w:rPr>
        <w:t>: rather,</w:t>
      </w:r>
      <w:r w:rsidR="006A7FD9" w:rsidRPr="00FC7F1E">
        <w:rPr>
          <w:color w:val="000000" w:themeColor="text1"/>
        </w:rPr>
        <w:t xml:space="preserve"> a cost per responder analysis based on a 15 month duration for Type II SMA patients and approximately 2 years for Type III SMA patients, with an assumption of </w:t>
      </w:r>
      <w:r w:rsidR="002A321F" w:rsidRPr="00FC7F1E">
        <w:rPr>
          <w:color w:val="000000" w:themeColor="text1"/>
        </w:rPr>
        <w:t xml:space="preserve">continued </w:t>
      </w:r>
      <w:r w:rsidR="006A7FD9" w:rsidRPr="00FC7F1E">
        <w:rPr>
          <w:color w:val="000000" w:themeColor="text1"/>
        </w:rPr>
        <w:t>duration of response for nusinersen</w:t>
      </w:r>
      <w:r w:rsidR="006E3CF5" w:rsidRPr="00FC7F1E">
        <w:rPr>
          <w:color w:val="000000" w:themeColor="text1"/>
        </w:rPr>
        <w:t>, was presented</w:t>
      </w:r>
      <w:r w:rsidR="006A7FD9" w:rsidRPr="00FC7F1E">
        <w:rPr>
          <w:color w:val="000000" w:themeColor="text1"/>
        </w:rPr>
        <w:t xml:space="preserve">. </w:t>
      </w:r>
      <w:r w:rsidR="00082C7F" w:rsidRPr="00FC7F1E">
        <w:rPr>
          <w:rStyle w:val="CommentReference"/>
          <w:rFonts w:asciiTheme="minorHAnsi" w:hAnsiTheme="minorHAnsi" w:cstheme="minorHAnsi"/>
          <w:b w:val="0"/>
          <w:color w:val="000000" w:themeColor="text1"/>
          <w:sz w:val="24"/>
          <w:szCs w:val="24"/>
        </w:rPr>
        <w:t xml:space="preserve">Table </w:t>
      </w:r>
      <w:r w:rsidR="00AA3F5F" w:rsidRPr="00FC7F1E">
        <w:rPr>
          <w:rFonts w:cstheme="minorHAnsi"/>
          <w:color w:val="000000" w:themeColor="text1"/>
        </w:rPr>
        <w:t>9</w:t>
      </w:r>
      <w:r w:rsidR="00CA098E" w:rsidRPr="00FC7F1E">
        <w:rPr>
          <w:color w:val="000000" w:themeColor="text1"/>
        </w:rPr>
        <w:t xml:space="preserve"> provides a summary of the model structure, key inputs and rationale.</w:t>
      </w:r>
    </w:p>
    <w:p w14:paraId="40CBF500" w14:textId="77777777" w:rsidR="008C5739" w:rsidRPr="00FC7F1E" w:rsidRDefault="001C7637" w:rsidP="00732451">
      <w:pPr>
        <w:pStyle w:val="3-BodyText"/>
        <w:rPr>
          <w:color w:val="000000" w:themeColor="text1"/>
        </w:rPr>
      </w:pPr>
      <w:r w:rsidRPr="00FC7F1E">
        <w:rPr>
          <w:color w:val="000000" w:themeColor="text1"/>
        </w:rPr>
        <w:t xml:space="preserve">As for the previous submission, no data from any of the studies </w:t>
      </w:r>
      <w:r w:rsidR="0098142E" w:rsidRPr="00FC7F1E">
        <w:rPr>
          <w:color w:val="000000" w:themeColor="text1"/>
        </w:rPr>
        <w:t xml:space="preserve">presented in </w:t>
      </w:r>
      <w:r w:rsidR="002A25DC" w:rsidRPr="00FC7F1E">
        <w:rPr>
          <w:color w:val="000000" w:themeColor="text1"/>
        </w:rPr>
        <w:t>the comparative effectiveness section were</w:t>
      </w:r>
      <w:r w:rsidRPr="00FC7F1E">
        <w:rPr>
          <w:color w:val="000000" w:themeColor="text1"/>
        </w:rPr>
        <w:t xml:space="preserve"> used in the economic evaluation. </w:t>
      </w:r>
    </w:p>
    <w:p w14:paraId="6B82E2EE" w14:textId="77777777" w:rsidR="00275C5A" w:rsidRPr="00FC7F1E" w:rsidRDefault="00CA098E" w:rsidP="00A02EB0">
      <w:pPr>
        <w:pStyle w:val="TableFigureHeading"/>
        <w:keepLines/>
        <w:widowControl w:val="0"/>
        <w:rPr>
          <w:rStyle w:val="CommentReference"/>
          <w:b/>
          <w:color w:val="000000" w:themeColor="text1"/>
          <w:szCs w:val="24"/>
        </w:rPr>
      </w:pPr>
      <w:bookmarkStart w:id="32" w:name="_Ref49226487"/>
      <w:r w:rsidRPr="00FC7F1E">
        <w:rPr>
          <w:rStyle w:val="CommentReference"/>
          <w:b/>
          <w:color w:val="000000" w:themeColor="text1"/>
          <w:szCs w:val="24"/>
        </w:rPr>
        <w:t xml:space="preserve">Table </w:t>
      </w:r>
      <w:bookmarkEnd w:id="32"/>
      <w:r w:rsidR="00AA3F5F" w:rsidRPr="00FC7F1E">
        <w:rPr>
          <w:rStyle w:val="CommentReference"/>
          <w:b/>
          <w:color w:val="000000" w:themeColor="text1"/>
          <w:szCs w:val="24"/>
        </w:rPr>
        <w:t>9</w:t>
      </w:r>
      <w:r w:rsidR="00275C5A" w:rsidRPr="00FC7F1E">
        <w:rPr>
          <w:rStyle w:val="CommentReference"/>
          <w:b/>
          <w:color w:val="000000" w:themeColor="text1"/>
          <w:szCs w:val="24"/>
        </w:rPr>
        <w:t>: Summary of model structure</w:t>
      </w:r>
      <w:r w:rsidR="00184B0E" w:rsidRPr="00FC7F1E">
        <w:rPr>
          <w:rStyle w:val="CommentReference"/>
          <w:b/>
          <w:color w:val="000000" w:themeColor="text1"/>
          <w:szCs w:val="24"/>
        </w:rPr>
        <w:t>, key inputs</w:t>
      </w:r>
      <w:r w:rsidR="00275C5A" w:rsidRPr="00FC7F1E">
        <w:rPr>
          <w:rStyle w:val="CommentReference"/>
          <w:b/>
          <w:color w:val="000000" w:themeColor="text1"/>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7603"/>
      </w:tblGrid>
      <w:tr w:rsidR="006A7FD9" w:rsidRPr="00FC7F1E" w14:paraId="02200F72" w14:textId="77777777" w:rsidTr="00A02EB0">
        <w:trPr>
          <w:cantSplit/>
          <w:tblHeader/>
        </w:trPr>
        <w:tc>
          <w:tcPr>
            <w:tcW w:w="784" w:type="pct"/>
            <w:shd w:val="clear" w:color="auto" w:fill="auto"/>
            <w:vAlign w:val="center"/>
          </w:tcPr>
          <w:p w14:paraId="1748ADD0" w14:textId="77777777" w:rsidR="00275C5A" w:rsidRPr="00FC7F1E" w:rsidRDefault="00275C5A" w:rsidP="00A02EB0">
            <w:pPr>
              <w:pStyle w:val="In-tableHeading"/>
              <w:keepLines/>
              <w:widowControl w:val="0"/>
              <w:rPr>
                <w:color w:val="000000" w:themeColor="text1"/>
                <w:lang w:val="en-AU"/>
              </w:rPr>
            </w:pPr>
            <w:r w:rsidRPr="00FC7F1E">
              <w:rPr>
                <w:color w:val="000000" w:themeColor="text1"/>
                <w:lang w:val="en-AU"/>
              </w:rPr>
              <w:t>Component</w:t>
            </w:r>
          </w:p>
        </w:tc>
        <w:tc>
          <w:tcPr>
            <w:tcW w:w="4216" w:type="pct"/>
            <w:shd w:val="clear" w:color="auto" w:fill="auto"/>
            <w:vAlign w:val="center"/>
          </w:tcPr>
          <w:p w14:paraId="5A40C706" w14:textId="77777777" w:rsidR="00275C5A" w:rsidRPr="00FC7F1E" w:rsidRDefault="00275C5A" w:rsidP="00A02EB0">
            <w:pPr>
              <w:pStyle w:val="In-tableHeading"/>
              <w:keepLines/>
              <w:widowControl w:val="0"/>
              <w:jc w:val="center"/>
              <w:rPr>
                <w:color w:val="000000" w:themeColor="text1"/>
                <w:lang w:val="en-AU"/>
              </w:rPr>
            </w:pPr>
            <w:r w:rsidRPr="00FC7F1E">
              <w:rPr>
                <w:color w:val="000000" w:themeColor="text1"/>
                <w:lang w:val="en-AU"/>
              </w:rPr>
              <w:t>Summary</w:t>
            </w:r>
          </w:p>
        </w:tc>
      </w:tr>
      <w:tr w:rsidR="006A7FD9" w:rsidRPr="00FC7F1E" w14:paraId="7D1EEDA9" w14:textId="77777777" w:rsidTr="00A02EB0">
        <w:trPr>
          <w:cantSplit/>
        </w:trPr>
        <w:tc>
          <w:tcPr>
            <w:tcW w:w="784" w:type="pct"/>
            <w:shd w:val="clear" w:color="auto" w:fill="auto"/>
            <w:vAlign w:val="center"/>
          </w:tcPr>
          <w:p w14:paraId="22FD28DC" w14:textId="77777777" w:rsidR="000A6039" w:rsidRPr="00FC7F1E" w:rsidRDefault="000A6039" w:rsidP="00A02EB0">
            <w:pPr>
              <w:pStyle w:val="TableText0"/>
              <w:keepLines/>
              <w:widowControl w:val="0"/>
              <w:rPr>
                <w:color w:val="000000" w:themeColor="text1"/>
              </w:rPr>
            </w:pPr>
            <w:r w:rsidRPr="00FC7F1E">
              <w:rPr>
                <w:color w:val="000000" w:themeColor="text1"/>
              </w:rPr>
              <w:t>Treatments</w:t>
            </w:r>
          </w:p>
        </w:tc>
        <w:tc>
          <w:tcPr>
            <w:tcW w:w="4216" w:type="pct"/>
            <w:shd w:val="clear" w:color="auto" w:fill="auto"/>
            <w:vAlign w:val="center"/>
          </w:tcPr>
          <w:p w14:paraId="65154C59" w14:textId="77777777" w:rsidR="000A6039" w:rsidRPr="00FC7F1E" w:rsidRDefault="00AA3C67" w:rsidP="00A02EB0">
            <w:pPr>
              <w:pStyle w:val="TableText0"/>
              <w:keepLines/>
              <w:widowControl w:val="0"/>
              <w:rPr>
                <w:color w:val="000000" w:themeColor="text1"/>
              </w:rPr>
            </w:pPr>
            <w:r w:rsidRPr="00FC7F1E">
              <w:rPr>
                <w:color w:val="000000" w:themeColor="text1"/>
              </w:rPr>
              <w:t>Nusiners</w:t>
            </w:r>
            <w:r w:rsidR="00CA098E" w:rsidRPr="00FC7F1E">
              <w:rPr>
                <w:color w:val="000000" w:themeColor="text1"/>
              </w:rPr>
              <w:t>e</w:t>
            </w:r>
            <w:r w:rsidRPr="00FC7F1E">
              <w:rPr>
                <w:color w:val="000000" w:themeColor="text1"/>
              </w:rPr>
              <w:t>n and continuation of standard of care</w:t>
            </w:r>
            <w:r w:rsidR="000A6039" w:rsidRPr="00FC7F1E">
              <w:rPr>
                <w:color w:val="000000" w:themeColor="text1"/>
              </w:rPr>
              <w:t xml:space="preserve"> v</w:t>
            </w:r>
            <w:r w:rsidR="00643E3A" w:rsidRPr="00FC7F1E">
              <w:rPr>
                <w:color w:val="000000" w:themeColor="text1"/>
              </w:rPr>
              <w:t xml:space="preserve">ersus </w:t>
            </w:r>
            <w:r w:rsidR="000A6039" w:rsidRPr="00FC7F1E">
              <w:rPr>
                <w:color w:val="000000" w:themeColor="text1"/>
              </w:rPr>
              <w:t>s</w:t>
            </w:r>
            <w:r w:rsidRPr="00FC7F1E">
              <w:rPr>
                <w:color w:val="000000" w:themeColor="text1"/>
              </w:rPr>
              <w:t>tandard of care alone</w:t>
            </w:r>
          </w:p>
        </w:tc>
      </w:tr>
      <w:tr w:rsidR="006A7FD9" w:rsidRPr="00FC7F1E" w14:paraId="71D082F7" w14:textId="77777777" w:rsidTr="00A02EB0">
        <w:trPr>
          <w:cantSplit/>
        </w:trPr>
        <w:tc>
          <w:tcPr>
            <w:tcW w:w="784" w:type="pct"/>
            <w:shd w:val="clear" w:color="auto" w:fill="auto"/>
            <w:vAlign w:val="center"/>
          </w:tcPr>
          <w:p w14:paraId="26906BD9" w14:textId="77777777" w:rsidR="00275C5A" w:rsidRPr="00FC7F1E" w:rsidRDefault="00275C5A" w:rsidP="00A02EB0">
            <w:pPr>
              <w:pStyle w:val="TableText0"/>
              <w:keepLines/>
              <w:widowControl w:val="0"/>
              <w:rPr>
                <w:color w:val="000000" w:themeColor="text1"/>
              </w:rPr>
            </w:pPr>
            <w:r w:rsidRPr="00FC7F1E">
              <w:rPr>
                <w:color w:val="000000" w:themeColor="text1"/>
              </w:rPr>
              <w:t>Time horizon</w:t>
            </w:r>
          </w:p>
        </w:tc>
        <w:tc>
          <w:tcPr>
            <w:tcW w:w="4216" w:type="pct"/>
            <w:shd w:val="clear" w:color="auto" w:fill="auto"/>
            <w:vAlign w:val="center"/>
          </w:tcPr>
          <w:p w14:paraId="0D863CA0" w14:textId="77777777" w:rsidR="00275C5A" w:rsidRPr="00FC7F1E" w:rsidRDefault="00AA3C67" w:rsidP="00A02EB0">
            <w:pPr>
              <w:pStyle w:val="TableText0"/>
              <w:keepLines/>
              <w:widowControl w:val="0"/>
              <w:rPr>
                <w:color w:val="000000" w:themeColor="text1"/>
              </w:rPr>
            </w:pPr>
            <w:r w:rsidRPr="00FC7F1E">
              <w:rPr>
                <w:color w:val="000000" w:themeColor="text1"/>
              </w:rPr>
              <w:t>A lifetime horizon</w:t>
            </w:r>
            <w:r w:rsidR="00275C5A" w:rsidRPr="00FC7F1E">
              <w:rPr>
                <w:color w:val="000000" w:themeColor="text1"/>
              </w:rPr>
              <w:t xml:space="preserve"> in the model base case versus </w:t>
            </w:r>
            <w:r w:rsidRPr="00FC7F1E">
              <w:rPr>
                <w:color w:val="000000" w:themeColor="text1"/>
              </w:rPr>
              <w:t>14 months</w:t>
            </w:r>
            <w:r w:rsidR="00275C5A" w:rsidRPr="00FC7F1E">
              <w:rPr>
                <w:color w:val="000000" w:themeColor="text1"/>
              </w:rPr>
              <w:t xml:space="preserve"> in t</w:t>
            </w:r>
            <w:r w:rsidRPr="00FC7F1E">
              <w:rPr>
                <w:color w:val="000000" w:themeColor="text1"/>
              </w:rPr>
              <w:t>he Hagenacker 2020 study</w:t>
            </w:r>
            <w:r w:rsidR="006519A6" w:rsidRPr="00FC7F1E">
              <w:rPr>
                <w:color w:val="000000" w:themeColor="text1"/>
              </w:rPr>
              <w:t xml:space="preserve">. </w:t>
            </w:r>
            <w:r w:rsidR="0091453B" w:rsidRPr="00FC7F1E">
              <w:t>The lifetime time horizon increased the uncertainty given the limited duration of available clinical data and the issues with the extrapolation outlined below.</w:t>
            </w:r>
          </w:p>
        </w:tc>
      </w:tr>
      <w:tr w:rsidR="006A7FD9" w:rsidRPr="00FC7F1E" w14:paraId="7C73F4D2" w14:textId="77777777" w:rsidTr="00A02EB0">
        <w:trPr>
          <w:cantSplit/>
        </w:trPr>
        <w:tc>
          <w:tcPr>
            <w:tcW w:w="784" w:type="pct"/>
            <w:shd w:val="clear" w:color="auto" w:fill="auto"/>
            <w:vAlign w:val="center"/>
          </w:tcPr>
          <w:p w14:paraId="673D2A73" w14:textId="77777777" w:rsidR="00275C5A" w:rsidRPr="00FC7F1E" w:rsidRDefault="00275C5A" w:rsidP="00A02EB0">
            <w:pPr>
              <w:pStyle w:val="TableText0"/>
              <w:keepLines/>
              <w:widowControl w:val="0"/>
              <w:rPr>
                <w:color w:val="000000" w:themeColor="text1"/>
              </w:rPr>
            </w:pPr>
            <w:r w:rsidRPr="00FC7F1E">
              <w:rPr>
                <w:color w:val="000000" w:themeColor="text1"/>
              </w:rPr>
              <w:t>Outcomes</w:t>
            </w:r>
          </w:p>
        </w:tc>
        <w:tc>
          <w:tcPr>
            <w:tcW w:w="4216" w:type="pct"/>
            <w:shd w:val="clear" w:color="auto" w:fill="auto"/>
            <w:vAlign w:val="center"/>
          </w:tcPr>
          <w:p w14:paraId="30926D32" w14:textId="77777777" w:rsidR="00275C5A" w:rsidRPr="00FC7F1E" w:rsidRDefault="00F175B2" w:rsidP="00A02EB0">
            <w:pPr>
              <w:pStyle w:val="TableText0"/>
              <w:keepLines/>
              <w:widowControl w:val="0"/>
              <w:rPr>
                <w:color w:val="000000" w:themeColor="text1"/>
              </w:rPr>
            </w:pPr>
            <w:r w:rsidRPr="00FC7F1E">
              <w:rPr>
                <w:color w:val="000000" w:themeColor="text1"/>
              </w:rPr>
              <w:t>QALYs</w:t>
            </w:r>
          </w:p>
        </w:tc>
      </w:tr>
      <w:tr w:rsidR="006A7FD9" w:rsidRPr="00FC7F1E" w14:paraId="30C392D5" w14:textId="77777777" w:rsidTr="00A02EB0">
        <w:trPr>
          <w:cantSplit/>
        </w:trPr>
        <w:tc>
          <w:tcPr>
            <w:tcW w:w="784" w:type="pct"/>
            <w:shd w:val="clear" w:color="auto" w:fill="auto"/>
            <w:vAlign w:val="center"/>
          </w:tcPr>
          <w:p w14:paraId="07841E71" w14:textId="77777777" w:rsidR="007B5308" w:rsidRPr="00FC7F1E" w:rsidRDefault="004D59AE" w:rsidP="00537BC6">
            <w:pPr>
              <w:pStyle w:val="TableText0"/>
              <w:keepNext w:val="0"/>
              <w:widowControl w:val="0"/>
              <w:rPr>
                <w:color w:val="000000" w:themeColor="text1"/>
              </w:rPr>
            </w:pPr>
            <w:r w:rsidRPr="00FC7F1E">
              <w:rPr>
                <w:color w:val="000000" w:themeColor="text1"/>
              </w:rPr>
              <w:t>M</w:t>
            </w:r>
            <w:r w:rsidR="007B5308" w:rsidRPr="00FC7F1E">
              <w:rPr>
                <w:color w:val="000000" w:themeColor="text1"/>
              </w:rPr>
              <w:t xml:space="preserve">ethods to generate results </w:t>
            </w:r>
          </w:p>
        </w:tc>
        <w:tc>
          <w:tcPr>
            <w:tcW w:w="4216" w:type="pct"/>
            <w:shd w:val="clear" w:color="auto" w:fill="auto"/>
            <w:vAlign w:val="center"/>
          </w:tcPr>
          <w:p w14:paraId="72909C28" w14:textId="77777777" w:rsidR="007B5308" w:rsidRPr="00FC7F1E" w:rsidRDefault="007B5308" w:rsidP="00537BC6">
            <w:pPr>
              <w:pStyle w:val="TableText0"/>
              <w:keepNext w:val="0"/>
              <w:widowControl w:val="0"/>
              <w:rPr>
                <w:color w:val="000000" w:themeColor="text1"/>
              </w:rPr>
            </w:pPr>
            <w:r w:rsidRPr="00FC7F1E">
              <w:rPr>
                <w:color w:val="000000" w:themeColor="text1"/>
              </w:rPr>
              <w:t>Markov model</w:t>
            </w:r>
          </w:p>
        </w:tc>
      </w:tr>
      <w:tr w:rsidR="006A7FD9" w:rsidRPr="00FC7F1E" w14:paraId="74C16B26" w14:textId="77777777" w:rsidTr="00A02EB0">
        <w:trPr>
          <w:cantSplit/>
        </w:trPr>
        <w:tc>
          <w:tcPr>
            <w:tcW w:w="784" w:type="pct"/>
            <w:shd w:val="clear" w:color="auto" w:fill="auto"/>
            <w:vAlign w:val="center"/>
          </w:tcPr>
          <w:p w14:paraId="59E4C939" w14:textId="77777777" w:rsidR="007B5308" w:rsidRPr="00FC7F1E" w:rsidRDefault="007B5308" w:rsidP="00537BC6">
            <w:pPr>
              <w:pStyle w:val="TableText0"/>
              <w:keepNext w:val="0"/>
              <w:widowControl w:val="0"/>
              <w:rPr>
                <w:color w:val="000000" w:themeColor="text1"/>
              </w:rPr>
            </w:pPr>
            <w:r w:rsidRPr="00FC7F1E">
              <w:rPr>
                <w:color w:val="000000" w:themeColor="text1"/>
              </w:rPr>
              <w:t>Health states</w:t>
            </w:r>
          </w:p>
        </w:tc>
        <w:tc>
          <w:tcPr>
            <w:tcW w:w="4216" w:type="pct"/>
            <w:shd w:val="clear" w:color="auto" w:fill="auto"/>
            <w:vAlign w:val="center"/>
          </w:tcPr>
          <w:p w14:paraId="3908735D" w14:textId="77777777" w:rsidR="00F84A7E" w:rsidRPr="00FC7F1E" w:rsidRDefault="00F84A7E" w:rsidP="00537BC6">
            <w:pPr>
              <w:pStyle w:val="TableText0"/>
              <w:keepNext w:val="0"/>
              <w:widowControl w:val="0"/>
              <w:rPr>
                <w:color w:val="000000" w:themeColor="text1"/>
              </w:rPr>
            </w:pPr>
            <w:r w:rsidRPr="00FC7F1E">
              <w:rPr>
                <w:color w:val="000000" w:themeColor="text1"/>
              </w:rPr>
              <w:t>Walking/standing:</w:t>
            </w:r>
            <w:r w:rsidR="00CA098E" w:rsidRPr="00FC7F1E">
              <w:rPr>
                <w:color w:val="000000" w:themeColor="text1"/>
              </w:rPr>
              <w:t xml:space="preserve"> </w:t>
            </w:r>
            <w:r w:rsidRPr="00FC7F1E">
              <w:rPr>
                <w:color w:val="000000" w:themeColor="text1"/>
              </w:rPr>
              <w:t>unaided</w:t>
            </w:r>
            <w:r w:rsidR="00CA2BD3" w:rsidRPr="00FC7F1E">
              <w:rPr>
                <w:color w:val="000000" w:themeColor="text1"/>
              </w:rPr>
              <w:t xml:space="preserve"> –starting state assumed 18.5% of patients in this health state</w:t>
            </w:r>
          </w:p>
          <w:p w14:paraId="143E8098" w14:textId="77777777" w:rsidR="00F84A7E" w:rsidRPr="00FC7F1E" w:rsidRDefault="00F84A7E" w:rsidP="00537BC6">
            <w:pPr>
              <w:pStyle w:val="TableText0"/>
              <w:keepNext w:val="0"/>
              <w:widowControl w:val="0"/>
              <w:rPr>
                <w:color w:val="000000" w:themeColor="text1"/>
              </w:rPr>
            </w:pPr>
            <w:r w:rsidRPr="00FC7F1E">
              <w:rPr>
                <w:color w:val="000000" w:themeColor="text1"/>
              </w:rPr>
              <w:t>Walking/standing: aided</w:t>
            </w:r>
            <w:r w:rsidR="00CA2BD3" w:rsidRPr="00FC7F1E">
              <w:rPr>
                <w:color w:val="000000" w:themeColor="text1"/>
              </w:rPr>
              <w:t xml:space="preserve"> – starting state assumed 18.5% of patients in this health state</w:t>
            </w:r>
          </w:p>
          <w:p w14:paraId="3CD7F779" w14:textId="77777777" w:rsidR="00F84A7E" w:rsidRPr="00FC7F1E" w:rsidRDefault="00F84A7E" w:rsidP="00537BC6">
            <w:pPr>
              <w:pStyle w:val="TableText0"/>
              <w:keepNext w:val="0"/>
              <w:widowControl w:val="0"/>
              <w:rPr>
                <w:color w:val="000000" w:themeColor="text1"/>
              </w:rPr>
            </w:pPr>
            <w:r w:rsidRPr="00FC7F1E">
              <w:rPr>
                <w:color w:val="000000" w:themeColor="text1"/>
              </w:rPr>
              <w:t>Non-ambulatory: able to sit</w:t>
            </w:r>
            <w:r w:rsidR="00CA2BD3" w:rsidRPr="00FC7F1E">
              <w:rPr>
                <w:color w:val="000000" w:themeColor="text1"/>
              </w:rPr>
              <w:t xml:space="preserve"> – starting state assumed 63% of patients in this health state</w:t>
            </w:r>
          </w:p>
          <w:p w14:paraId="443DB5E6" w14:textId="77777777" w:rsidR="00F84A7E" w:rsidRPr="00FC7F1E" w:rsidRDefault="00F84A7E" w:rsidP="00537BC6">
            <w:pPr>
              <w:pStyle w:val="TableText0"/>
              <w:keepNext w:val="0"/>
              <w:widowControl w:val="0"/>
              <w:rPr>
                <w:color w:val="000000" w:themeColor="text1"/>
              </w:rPr>
            </w:pPr>
            <w:r w:rsidRPr="00FC7F1E">
              <w:rPr>
                <w:color w:val="000000" w:themeColor="text1"/>
              </w:rPr>
              <w:t>Non-ambulatory: unable to sit</w:t>
            </w:r>
            <w:r w:rsidR="00CA2BD3" w:rsidRPr="00FC7F1E">
              <w:rPr>
                <w:color w:val="000000" w:themeColor="text1"/>
              </w:rPr>
              <w:t xml:space="preserve"> – starting state assumed 0% of patients in this health state</w:t>
            </w:r>
          </w:p>
          <w:p w14:paraId="0E780356" w14:textId="77777777" w:rsidR="00AE1FF5" w:rsidRPr="00FC7F1E" w:rsidRDefault="00AE1FF5" w:rsidP="00537BC6">
            <w:pPr>
              <w:pStyle w:val="TableText0"/>
              <w:keepNext w:val="0"/>
              <w:widowControl w:val="0"/>
              <w:rPr>
                <w:color w:val="000000" w:themeColor="text1"/>
              </w:rPr>
            </w:pPr>
            <w:r w:rsidRPr="00FC7F1E">
              <w:rPr>
                <w:color w:val="000000" w:themeColor="text1"/>
              </w:rPr>
              <w:t xml:space="preserve">Separate health states were used for </w:t>
            </w:r>
            <w:r w:rsidR="00EC6C2A" w:rsidRPr="00FC7F1E">
              <w:rPr>
                <w:color w:val="000000" w:themeColor="text1"/>
              </w:rPr>
              <w:t>on treatment and off treatment</w:t>
            </w:r>
          </w:p>
          <w:p w14:paraId="2D24B85C" w14:textId="77777777" w:rsidR="007B5308" w:rsidRPr="00FC7F1E" w:rsidRDefault="00F84A7E" w:rsidP="00537BC6">
            <w:pPr>
              <w:pStyle w:val="TableText0"/>
              <w:keepNext w:val="0"/>
              <w:widowControl w:val="0"/>
              <w:rPr>
                <w:color w:val="000000" w:themeColor="text1"/>
              </w:rPr>
            </w:pPr>
            <w:r w:rsidRPr="00FC7F1E">
              <w:rPr>
                <w:color w:val="000000" w:themeColor="text1"/>
              </w:rPr>
              <w:t>Dead</w:t>
            </w:r>
            <w:r w:rsidR="00CA2BD3" w:rsidRPr="00FC7F1E">
              <w:rPr>
                <w:color w:val="000000" w:themeColor="text1"/>
              </w:rPr>
              <w:t xml:space="preserve"> – starting state assumed 0% of patients in this health state</w:t>
            </w:r>
          </w:p>
        </w:tc>
      </w:tr>
      <w:tr w:rsidR="006A7FD9" w:rsidRPr="00FC7F1E" w14:paraId="3D65802F" w14:textId="77777777" w:rsidTr="00A02EB0">
        <w:trPr>
          <w:cantSplit/>
        </w:trPr>
        <w:tc>
          <w:tcPr>
            <w:tcW w:w="784" w:type="pct"/>
            <w:shd w:val="clear" w:color="auto" w:fill="auto"/>
            <w:vAlign w:val="center"/>
          </w:tcPr>
          <w:p w14:paraId="3B3886D1" w14:textId="77777777" w:rsidR="007B5308" w:rsidRPr="00FC7F1E" w:rsidRDefault="007B5308" w:rsidP="00537BC6">
            <w:pPr>
              <w:pStyle w:val="TableText0"/>
              <w:keepNext w:val="0"/>
              <w:widowControl w:val="0"/>
              <w:rPr>
                <w:color w:val="000000" w:themeColor="text1"/>
              </w:rPr>
            </w:pPr>
            <w:r w:rsidRPr="00FC7F1E">
              <w:rPr>
                <w:color w:val="000000" w:themeColor="text1"/>
              </w:rPr>
              <w:t>Cycle length</w:t>
            </w:r>
          </w:p>
        </w:tc>
        <w:tc>
          <w:tcPr>
            <w:tcW w:w="4216" w:type="pct"/>
            <w:shd w:val="clear" w:color="auto" w:fill="auto"/>
            <w:vAlign w:val="center"/>
          </w:tcPr>
          <w:p w14:paraId="0298DD11" w14:textId="77777777" w:rsidR="007B5308" w:rsidRPr="00FC7F1E" w:rsidRDefault="00F84A7E" w:rsidP="00537BC6">
            <w:pPr>
              <w:pStyle w:val="TableText0"/>
              <w:keepNext w:val="0"/>
              <w:widowControl w:val="0"/>
              <w:rPr>
                <w:color w:val="000000" w:themeColor="text1"/>
              </w:rPr>
            </w:pPr>
            <w:r w:rsidRPr="00FC7F1E">
              <w:rPr>
                <w:color w:val="000000" w:themeColor="text1"/>
              </w:rPr>
              <w:t>4 months</w:t>
            </w:r>
          </w:p>
        </w:tc>
      </w:tr>
      <w:tr w:rsidR="006A7FD9" w:rsidRPr="00FC7F1E" w14:paraId="7ADF2B52" w14:textId="77777777" w:rsidTr="00A02EB0">
        <w:trPr>
          <w:cantSplit/>
        </w:trPr>
        <w:tc>
          <w:tcPr>
            <w:tcW w:w="784" w:type="pct"/>
            <w:shd w:val="clear" w:color="auto" w:fill="auto"/>
            <w:vAlign w:val="center"/>
          </w:tcPr>
          <w:p w14:paraId="79F36EF4" w14:textId="77777777" w:rsidR="007B5308" w:rsidRPr="00FC7F1E" w:rsidRDefault="007B5308" w:rsidP="00537BC6">
            <w:pPr>
              <w:pStyle w:val="TableText0"/>
              <w:keepNext w:val="0"/>
              <w:widowControl w:val="0"/>
              <w:rPr>
                <w:color w:val="000000" w:themeColor="text1"/>
              </w:rPr>
            </w:pPr>
            <w:r w:rsidRPr="00FC7F1E">
              <w:rPr>
                <w:color w:val="000000" w:themeColor="text1"/>
              </w:rPr>
              <w:t xml:space="preserve">Transition probabilities </w:t>
            </w:r>
          </w:p>
        </w:tc>
        <w:tc>
          <w:tcPr>
            <w:tcW w:w="4216" w:type="pct"/>
            <w:shd w:val="clear" w:color="auto" w:fill="auto"/>
            <w:vAlign w:val="center"/>
          </w:tcPr>
          <w:p w14:paraId="0AF47C5B" w14:textId="712CF1A3" w:rsidR="009D4820" w:rsidRPr="00FC7F1E" w:rsidRDefault="009D4820" w:rsidP="00537BC6">
            <w:pPr>
              <w:pStyle w:val="TableText0"/>
              <w:keepNext w:val="0"/>
              <w:widowControl w:val="0"/>
              <w:rPr>
                <w:color w:val="000000" w:themeColor="text1"/>
              </w:rPr>
            </w:pPr>
            <w:r w:rsidRPr="00FC7F1E">
              <w:rPr>
                <w:color w:val="000000" w:themeColor="text1"/>
              </w:rPr>
              <w:t>For untreated patients, a</w:t>
            </w:r>
            <w:r w:rsidR="00C84D68" w:rsidRPr="00FC7F1E">
              <w:t xml:space="preserve"> rate </w:t>
            </w:r>
            <w:r w:rsidR="004B6C3C" w:rsidRPr="00FC7F1E">
              <w:t xml:space="preserve">of progression </w:t>
            </w:r>
            <w:r w:rsidR="00C84D68" w:rsidRPr="00FC7F1E">
              <w:t>between health states of 2.3% per annum</w:t>
            </w:r>
            <w:r w:rsidRPr="00FC7F1E">
              <w:rPr>
                <w:color w:val="000000" w:themeColor="text1"/>
              </w:rPr>
              <w:t xml:space="preserve"> was assumed</w:t>
            </w:r>
            <w:r w:rsidR="00C84D68" w:rsidRPr="00FC7F1E">
              <w:t>, d</w:t>
            </w:r>
            <w:r w:rsidR="00F84A7E" w:rsidRPr="00FC7F1E">
              <w:rPr>
                <w:color w:val="000000" w:themeColor="text1"/>
              </w:rPr>
              <w:t>erived from Zerres 1997</w:t>
            </w:r>
            <w:r w:rsidR="00422346">
              <w:rPr>
                <w:rStyle w:val="FootnoteReference"/>
                <w:color w:val="000000" w:themeColor="text1"/>
              </w:rPr>
              <w:footnoteReference w:id="9"/>
            </w:r>
            <w:r w:rsidR="00C5598D" w:rsidRPr="00FC7F1E">
              <w:rPr>
                <w:color w:val="000000" w:themeColor="text1"/>
              </w:rPr>
              <w:t>. H</w:t>
            </w:r>
            <w:r w:rsidR="00F84A7E" w:rsidRPr="00FC7F1E">
              <w:rPr>
                <w:color w:val="000000" w:themeColor="text1"/>
              </w:rPr>
              <w:t xml:space="preserve">owever the </w:t>
            </w:r>
            <w:r w:rsidR="000B71DC" w:rsidRPr="00FC7F1E">
              <w:rPr>
                <w:color w:val="000000" w:themeColor="text1"/>
              </w:rPr>
              <w:t xml:space="preserve">evaluation and ESC considered that the </w:t>
            </w:r>
            <w:r w:rsidR="00CA098E" w:rsidRPr="00FC7F1E">
              <w:rPr>
                <w:color w:val="000000" w:themeColor="text1"/>
              </w:rPr>
              <w:t>re</w:t>
            </w:r>
            <w:r w:rsidR="00F84A7E" w:rsidRPr="00FC7F1E">
              <w:rPr>
                <w:color w:val="000000" w:themeColor="text1"/>
              </w:rPr>
              <w:t>submission’s approach was flawed</w:t>
            </w:r>
            <w:r w:rsidR="00C5598D" w:rsidRPr="00FC7F1E">
              <w:rPr>
                <w:color w:val="000000" w:themeColor="text1"/>
              </w:rPr>
              <w:t xml:space="preserve"> as the</w:t>
            </w:r>
            <w:r w:rsidR="00C5598D" w:rsidRPr="00FC7F1E">
              <w:t xml:space="preserve"> calculations assumed </w:t>
            </w:r>
            <w:r w:rsidR="00C5598D" w:rsidRPr="00FC7F1E">
              <w:rPr>
                <w:color w:val="000000" w:themeColor="text1"/>
              </w:rPr>
              <w:t xml:space="preserve">the patient’s age was reported on the horizontal axis of the Kaplan-Meier data, while the data actually reported the duration of disease since onset of symptoms. </w:t>
            </w:r>
            <w:r w:rsidR="0092330D" w:rsidRPr="00FC7F1E">
              <w:rPr>
                <w:color w:val="000000" w:themeColor="text1"/>
              </w:rPr>
              <w:t>Adjusting for this</w:t>
            </w:r>
            <w:r w:rsidR="00C5598D" w:rsidRPr="00FC7F1E">
              <w:rPr>
                <w:color w:val="000000" w:themeColor="text1"/>
              </w:rPr>
              <w:t xml:space="preserve">, the </w:t>
            </w:r>
            <w:r w:rsidR="000B71DC" w:rsidRPr="00FC7F1E">
              <w:rPr>
                <w:color w:val="000000" w:themeColor="text1"/>
              </w:rPr>
              <w:t xml:space="preserve">evaluation calculated the </w:t>
            </w:r>
            <w:r w:rsidR="00C5598D" w:rsidRPr="00FC7F1E">
              <w:rPr>
                <w:color w:val="000000" w:themeColor="text1"/>
              </w:rPr>
              <w:t>loss of ambulation to be: 1.46% per year for Type IIIb SMA adult patients; 0.41% for patients aged 10-15 years at symptom onset; 1.1% for patients aged 6-10 years at symptom onset</w:t>
            </w:r>
            <w:r w:rsidR="00A84062" w:rsidRPr="00FC7F1E">
              <w:rPr>
                <w:color w:val="000000" w:themeColor="text1"/>
              </w:rPr>
              <w:t>; and 1.43% for patients aged 3-6 years at symptom onset</w:t>
            </w:r>
            <w:r w:rsidR="00C5598D" w:rsidRPr="00FC7F1E">
              <w:rPr>
                <w:color w:val="000000" w:themeColor="text1"/>
              </w:rPr>
              <w:t xml:space="preserve"> (rather than the 2.3% used in the resubmission).</w:t>
            </w:r>
            <w:r w:rsidR="00F84A7E" w:rsidRPr="00FC7F1E">
              <w:rPr>
                <w:color w:val="000000" w:themeColor="text1"/>
              </w:rPr>
              <w:t xml:space="preserve"> </w:t>
            </w:r>
            <w:r w:rsidR="000B71DC" w:rsidRPr="00FC7F1E">
              <w:rPr>
                <w:color w:val="000000" w:themeColor="text1"/>
              </w:rPr>
              <w:t>During evaluation, a</w:t>
            </w:r>
            <w:r w:rsidR="00E82C3A" w:rsidRPr="00FC7F1E">
              <w:rPr>
                <w:color w:val="000000" w:themeColor="text1"/>
              </w:rPr>
              <w:t xml:space="preserve">n </w:t>
            </w:r>
            <w:r w:rsidR="00F84A7E" w:rsidRPr="00FC7F1E">
              <w:rPr>
                <w:color w:val="000000" w:themeColor="text1"/>
              </w:rPr>
              <w:t>al</w:t>
            </w:r>
            <w:r w:rsidR="00E82C3A" w:rsidRPr="00FC7F1E">
              <w:rPr>
                <w:color w:val="000000" w:themeColor="text1"/>
              </w:rPr>
              <w:t xml:space="preserve">ternative transition probability of 1% was </w:t>
            </w:r>
            <w:r w:rsidR="00F84A7E" w:rsidRPr="00FC7F1E">
              <w:rPr>
                <w:color w:val="000000" w:themeColor="text1"/>
              </w:rPr>
              <w:t>tested in the sensitivity analysis</w:t>
            </w:r>
            <w:r w:rsidR="00B70667" w:rsidRPr="00FC7F1E">
              <w:rPr>
                <w:color w:val="000000" w:themeColor="text1"/>
              </w:rPr>
              <w:t xml:space="preserve"> for movement in the alive health states. </w:t>
            </w:r>
            <w:r w:rsidR="00A84062" w:rsidRPr="00FC7F1E">
              <w:rPr>
                <w:color w:val="000000" w:themeColor="text1"/>
              </w:rPr>
              <w:t>Th</w:t>
            </w:r>
            <w:r w:rsidR="000B71DC" w:rsidRPr="00FC7F1E">
              <w:rPr>
                <w:color w:val="000000" w:themeColor="text1"/>
              </w:rPr>
              <w:t>e evaluation con</w:t>
            </w:r>
            <w:r w:rsidR="00A84062" w:rsidRPr="00FC7F1E">
              <w:rPr>
                <w:color w:val="000000" w:themeColor="text1"/>
              </w:rPr>
              <w:t xml:space="preserve">sidered </w:t>
            </w:r>
            <w:r w:rsidR="000B71DC" w:rsidRPr="00FC7F1E">
              <w:rPr>
                <w:color w:val="000000" w:themeColor="text1"/>
              </w:rPr>
              <w:t xml:space="preserve">this was </w:t>
            </w:r>
            <w:r w:rsidR="00A84062" w:rsidRPr="00FC7F1E">
              <w:rPr>
                <w:color w:val="000000" w:themeColor="text1"/>
              </w:rPr>
              <w:t xml:space="preserve">a reasonable proxy for a lower rate given that the </w:t>
            </w:r>
            <w:r w:rsidR="009C5FF9" w:rsidRPr="00FC7F1E">
              <w:rPr>
                <w:color w:val="000000" w:themeColor="text1"/>
              </w:rPr>
              <w:t>aforementioned rates of loss of ambulance.</w:t>
            </w:r>
          </w:p>
          <w:p w14:paraId="60537052" w14:textId="77777777" w:rsidR="000E0BFA" w:rsidRPr="00FC7F1E" w:rsidRDefault="00B70667" w:rsidP="00537BC6">
            <w:pPr>
              <w:pStyle w:val="TableText0"/>
              <w:keepNext w:val="0"/>
              <w:widowControl w:val="0"/>
              <w:rPr>
                <w:color w:val="000000" w:themeColor="text1"/>
              </w:rPr>
            </w:pPr>
            <w:r w:rsidRPr="00FC7F1E">
              <w:rPr>
                <w:color w:val="000000" w:themeColor="text1"/>
              </w:rPr>
              <w:t>Mortality was assumed to be the same for nusine</w:t>
            </w:r>
            <w:r w:rsidR="00CA098E" w:rsidRPr="00FC7F1E">
              <w:rPr>
                <w:color w:val="000000" w:themeColor="text1"/>
              </w:rPr>
              <w:t>r</w:t>
            </w:r>
            <w:r w:rsidRPr="00FC7F1E">
              <w:rPr>
                <w:color w:val="000000" w:themeColor="text1"/>
              </w:rPr>
              <w:t>sen and standard of care patients and this was considered to be reasonable</w:t>
            </w:r>
            <w:r w:rsidR="00723AAC" w:rsidRPr="00FC7F1E">
              <w:rPr>
                <w:color w:val="000000" w:themeColor="text1"/>
              </w:rPr>
              <w:t xml:space="preserve">. </w:t>
            </w:r>
          </w:p>
          <w:p w14:paraId="7C08DBA4" w14:textId="77777777" w:rsidR="007B5308" w:rsidRPr="00FC7F1E" w:rsidRDefault="00723AAC" w:rsidP="000B71DC">
            <w:pPr>
              <w:pStyle w:val="TableText0"/>
              <w:keepNext w:val="0"/>
              <w:widowControl w:val="0"/>
              <w:rPr>
                <w:color w:val="000000" w:themeColor="text1"/>
              </w:rPr>
            </w:pPr>
            <w:r w:rsidRPr="00FC7F1E">
              <w:rPr>
                <w:color w:val="000000" w:themeColor="text1"/>
              </w:rPr>
              <w:t xml:space="preserve">The </w:t>
            </w:r>
            <w:r w:rsidR="00CA098E" w:rsidRPr="00FC7F1E">
              <w:rPr>
                <w:color w:val="000000" w:themeColor="text1"/>
              </w:rPr>
              <w:t>re</w:t>
            </w:r>
            <w:r w:rsidRPr="00FC7F1E">
              <w:rPr>
                <w:color w:val="000000" w:themeColor="text1"/>
              </w:rPr>
              <w:t xml:space="preserve">submission assumed that patients treated with nusinersen would not decline into a </w:t>
            </w:r>
            <w:r w:rsidR="00FB0ECB" w:rsidRPr="00FC7F1E">
              <w:rPr>
                <w:color w:val="000000" w:themeColor="text1"/>
              </w:rPr>
              <w:t xml:space="preserve">less functional </w:t>
            </w:r>
            <w:r w:rsidRPr="00FC7F1E">
              <w:rPr>
                <w:color w:val="000000" w:themeColor="text1"/>
              </w:rPr>
              <w:t xml:space="preserve">alive health state, </w:t>
            </w:r>
            <w:r w:rsidR="000B71DC" w:rsidRPr="00FC7F1E">
              <w:rPr>
                <w:color w:val="000000" w:themeColor="text1"/>
              </w:rPr>
              <w:t xml:space="preserve">which the evaluation and ESC </w:t>
            </w:r>
            <w:r w:rsidRPr="00FC7F1E">
              <w:rPr>
                <w:color w:val="000000" w:themeColor="text1"/>
              </w:rPr>
              <w:t>considered</w:t>
            </w:r>
            <w:r w:rsidR="000B71DC" w:rsidRPr="00FC7F1E">
              <w:rPr>
                <w:color w:val="000000" w:themeColor="text1"/>
              </w:rPr>
              <w:t xml:space="preserve"> was </w:t>
            </w:r>
            <w:r w:rsidRPr="00FC7F1E">
              <w:rPr>
                <w:color w:val="000000" w:themeColor="text1"/>
              </w:rPr>
              <w:t>unreasonable since data presented from Hagenacker 2020 and Walter 2019 indicated that some nusinersen treated patients experience a decline in motor function</w:t>
            </w:r>
            <w:r w:rsidR="002A25DC" w:rsidRPr="00FC7F1E">
              <w:rPr>
                <w:color w:val="000000" w:themeColor="text1"/>
              </w:rPr>
              <w:t>.</w:t>
            </w:r>
          </w:p>
        </w:tc>
      </w:tr>
      <w:tr w:rsidR="006A7FD9" w:rsidRPr="00FC7F1E" w14:paraId="19B0CE25" w14:textId="77777777" w:rsidTr="00A02EB0">
        <w:trPr>
          <w:cantSplit/>
        </w:trPr>
        <w:tc>
          <w:tcPr>
            <w:tcW w:w="784" w:type="pct"/>
            <w:shd w:val="clear" w:color="auto" w:fill="auto"/>
            <w:vAlign w:val="center"/>
          </w:tcPr>
          <w:p w14:paraId="5E8DD5A9" w14:textId="77777777" w:rsidR="007B5308" w:rsidRPr="00FC7F1E" w:rsidRDefault="007B5308" w:rsidP="00537BC6">
            <w:pPr>
              <w:pStyle w:val="TableText0"/>
              <w:keepNext w:val="0"/>
              <w:widowControl w:val="0"/>
              <w:rPr>
                <w:color w:val="000000" w:themeColor="text1"/>
              </w:rPr>
            </w:pPr>
            <w:r w:rsidRPr="00FC7F1E">
              <w:rPr>
                <w:color w:val="000000" w:themeColor="text1"/>
              </w:rPr>
              <w:lastRenderedPageBreak/>
              <w:t>Extrapolation method</w:t>
            </w:r>
          </w:p>
        </w:tc>
        <w:tc>
          <w:tcPr>
            <w:tcW w:w="4216" w:type="pct"/>
            <w:shd w:val="clear" w:color="auto" w:fill="auto"/>
            <w:vAlign w:val="center"/>
          </w:tcPr>
          <w:p w14:paraId="024A8B64" w14:textId="77777777" w:rsidR="00BD10F4" w:rsidRPr="00FC7F1E" w:rsidRDefault="007B5308" w:rsidP="00537BC6">
            <w:pPr>
              <w:pStyle w:val="TableText0"/>
              <w:keepNext w:val="0"/>
              <w:widowControl w:val="0"/>
              <w:rPr>
                <w:color w:val="000000" w:themeColor="text1"/>
              </w:rPr>
            </w:pPr>
            <w:r w:rsidRPr="00FC7F1E">
              <w:rPr>
                <w:color w:val="000000" w:themeColor="text1"/>
              </w:rPr>
              <w:t xml:space="preserve">No extrapolation method was provided. The </w:t>
            </w:r>
            <w:r w:rsidR="00CA098E" w:rsidRPr="00FC7F1E">
              <w:rPr>
                <w:color w:val="000000" w:themeColor="text1"/>
              </w:rPr>
              <w:t>re</w:t>
            </w:r>
            <w:r w:rsidRPr="00FC7F1E">
              <w:rPr>
                <w:color w:val="000000" w:themeColor="text1"/>
              </w:rPr>
              <w:t>submission assumed the benefit of nusinersen would continue for patients remaining on treatment, indefinitely</w:t>
            </w:r>
            <w:r w:rsidR="004B6C3C" w:rsidRPr="00FC7F1E">
              <w:rPr>
                <w:color w:val="000000" w:themeColor="text1"/>
              </w:rPr>
              <w:t xml:space="preserve"> (i.e. patients on nusinersen were assumed to remain in the same health state unless they discontinued treatment or died)</w:t>
            </w:r>
            <w:r w:rsidRPr="00FC7F1E">
              <w:rPr>
                <w:color w:val="000000" w:themeColor="text1"/>
              </w:rPr>
              <w:t>. This assumption was</w:t>
            </w:r>
            <w:r w:rsidR="00CA098E" w:rsidRPr="00FC7F1E">
              <w:rPr>
                <w:color w:val="000000" w:themeColor="text1"/>
              </w:rPr>
              <w:t xml:space="preserve"> </w:t>
            </w:r>
            <w:r w:rsidRPr="00FC7F1E">
              <w:rPr>
                <w:color w:val="000000" w:themeColor="text1"/>
              </w:rPr>
              <w:t>n</w:t>
            </w:r>
            <w:r w:rsidR="00CA098E" w:rsidRPr="00FC7F1E">
              <w:rPr>
                <w:color w:val="000000" w:themeColor="text1"/>
              </w:rPr>
              <w:t>o</w:t>
            </w:r>
            <w:r w:rsidRPr="00FC7F1E">
              <w:rPr>
                <w:color w:val="000000" w:themeColor="text1"/>
              </w:rPr>
              <w:t>t justified</w:t>
            </w:r>
            <w:r w:rsidR="00F84A7E" w:rsidRPr="00FC7F1E">
              <w:rPr>
                <w:color w:val="000000" w:themeColor="text1"/>
              </w:rPr>
              <w:t xml:space="preserve">. </w:t>
            </w:r>
          </w:p>
          <w:p w14:paraId="00D22A63" w14:textId="77777777" w:rsidR="007B5308" w:rsidRPr="00FC7F1E" w:rsidRDefault="00F84A7E" w:rsidP="003E7FC1">
            <w:pPr>
              <w:pStyle w:val="TableText0"/>
              <w:keepNext w:val="0"/>
              <w:widowControl w:val="0"/>
              <w:rPr>
                <w:color w:val="000000" w:themeColor="text1"/>
              </w:rPr>
            </w:pPr>
            <w:r w:rsidRPr="00FC7F1E">
              <w:rPr>
                <w:color w:val="000000" w:themeColor="text1"/>
              </w:rPr>
              <w:t>For standard of care treated patients, the movement between health states was defined by the transition probabilities (see above), with a constant rate of decline predicted over time</w:t>
            </w:r>
            <w:r w:rsidR="007B5308" w:rsidRPr="00FC7F1E">
              <w:rPr>
                <w:color w:val="000000" w:themeColor="text1"/>
              </w:rPr>
              <w:t>.</w:t>
            </w:r>
            <w:r w:rsidR="004B7405" w:rsidRPr="00FC7F1E">
              <w:rPr>
                <w:color w:val="000000" w:themeColor="text1"/>
              </w:rPr>
              <w:t xml:space="preserve"> The transition probabilities were based on the proportion of patients from Zerres 1997 who moved from the ‘walking/standing’ health states (aided and unaided combined) to the ’non-ambulatory: able to sit of unable to sit’ health states. However, the resubmission applied these rates to movement between all health states, </w:t>
            </w:r>
            <w:r w:rsidR="003E7FC1" w:rsidRPr="00FC7F1E">
              <w:rPr>
                <w:color w:val="000000" w:themeColor="text1"/>
              </w:rPr>
              <w:t>which was</w:t>
            </w:r>
            <w:r w:rsidR="004B7405" w:rsidRPr="00FC7F1E">
              <w:rPr>
                <w:color w:val="000000" w:themeColor="text1"/>
              </w:rPr>
              <w:t xml:space="preserve"> unjustified given that data in the Wadman 2017 supplementary appendix showed that different rates of progression apply for loss of ability to stand and to sit compared to loss of ability walk</w:t>
            </w:r>
            <w:r w:rsidR="009C5FF9" w:rsidRPr="00FC7F1E">
              <w:rPr>
                <w:color w:val="000000" w:themeColor="text1"/>
              </w:rPr>
              <w:t>.</w:t>
            </w:r>
            <w:r w:rsidR="004B7405" w:rsidRPr="00FC7F1E">
              <w:rPr>
                <w:color w:val="000000" w:themeColor="text1"/>
              </w:rPr>
              <w:t xml:space="preserve"> Further, </w:t>
            </w:r>
            <w:r w:rsidRPr="00FC7F1E">
              <w:rPr>
                <w:color w:val="000000" w:themeColor="text1"/>
              </w:rPr>
              <w:t xml:space="preserve">data presented in the Wadman 2017 supplementary appendix </w:t>
            </w:r>
            <w:r w:rsidR="004B7405" w:rsidRPr="00FC7F1E">
              <w:rPr>
                <w:color w:val="000000" w:themeColor="text1"/>
              </w:rPr>
              <w:t xml:space="preserve">also </w:t>
            </w:r>
            <w:r w:rsidRPr="00FC7F1E">
              <w:rPr>
                <w:color w:val="000000" w:themeColor="text1"/>
              </w:rPr>
              <w:t>suggested that loss of motor function is not constant over time</w:t>
            </w:r>
            <w:r w:rsidR="004B7405" w:rsidRPr="00FC7F1E">
              <w:rPr>
                <w:color w:val="000000" w:themeColor="text1"/>
              </w:rPr>
              <w:t xml:space="preserve">. Overall, </w:t>
            </w:r>
            <w:r w:rsidRPr="00FC7F1E">
              <w:rPr>
                <w:color w:val="000000" w:themeColor="text1"/>
              </w:rPr>
              <w:t>th</w:t>
            </w:r>
            <w:r w:rsidR="004B7405" w:rsidRPr="00FC7F1E">
              <w:rPr>
                <w:color w:val="000000" w:themeColor="text1"/>
              </w:rPr>
              <w:t>e resubmission’s</w:t>
            </w:r>
            <w:r w:rsidRPr="00FC7F1E">
              <w:rPr>
                <w:color w:val="000000" w:themeColor="text1"/>
              </w:rPr>
              <w:t xml:space="preserve"> assumption</w:t>
            </w:r>
            <w:r w:rsidR="004B7405" w:rsidRPr="00FC7F1E">
              <w:rPr>
                <w:color w:val="000000" w:themeColor="text1"/>
              </w:rPr>
              <w:t>s</w:t>
            </w:r>
            <w:r w:rsidRPr="00FC7F1E">
              <w:rPr>
                <w:color w:val="000000" w:themeColor="text1"/>
              </w:rPr>
              <w:t xml:space="preserve"> w</w:t>
            </w:r>
            <w:r w:rsidR="004B7405" w:rsidRPr="00FC7F1E">
              <w:rPr>
                <w:color w:val="000000" w:themeColor="text1"/>
              </w:rPr>
              <w:t>ere</w:t>
            </w:r>
            <w:r w:rsidRPr="00FC7F1E">
              <w:rPr>
                <w:color w:val="000000" w:themeColor="text1"/>
              </w:rPr>
              <w:t xml:space="preserve"> not </w:t>
            </w:r>
            <w:r w:rsidR="003E7FC1" w:rsidRPr="00FC7F1E">
              <w:rPr>
                <w:color w:val="000000" w:themeColor="text1"/>
              </w:rPr>
              <w:t>adequately</w:t>
            </w:r>
            <w:r w:rsidRPr="00FC7F1E">
              <w:rPr>
                <w:color w:val="000000" w:themeColor="text1"/>
              </w:rPr>
              <w:t xml:space="preserve"> </w:t>
            </w:r>
            <w:r w:rsidR="00380350" w:rsidRPr="00FC7F1E">
              <w:rPr>
                <w:color w:val="000000" w:themeColor="text1"/>
              </w:rPr>
              <w:t>j</w:t>
            </w:r>
            <w:r w:rsidRPr="00FC7F1E">
              <w:rPr>
                <w:color w:val="000000" w:themeColor="text1"/>
              </w:rPr>
              <w:t>ustified.</w:t>
            </w:r>
          </w:p>
        </w:tc>
      </w:tr>
      <w:tr w:rsidR="007B5308" w:rsidRPr="00FC7F1E" w14:paraId="0C3068D4" w14:textId="77777777" w:rsidTr="00A02EB0">
        <w:trPr>
          <w:cantSplit/>
        </w:trPr>
        <w:tc>
          <w:tcPr>
            <w:tcW w:w="784" w:type="pct"/>
            <w:shd w:val="clear" w:color="auto" w:fill="auto"/>
            <w:vAlign w:val="center"/>
          </w:tcPr>
          <w:p w14:paraId="2EE11211" w14:textId="77777777" w:rsidR="007B5308" w:rsidRPr="00FC7F1E" w:rsidRDefault="007B5308" w:rsidP="00537BC6">
            <w:pPr>
              <w:pStyle w:val="TableText0"/>
              <w:keepNext w:val="0"/>
              <w:widowControl w:val="0"/>
            </w:pPr>
            <w:r w:rsidRPr="00FC7F1E">
              <w:t>Health related quality of life</w:t>
            </w:r>
          </w:p>
        </w:tc>
        <w:tc>
          <w:tcPr>
            <w:tcW w:w="4216" w:type="pct"/>
            <w:shd w:val="clear" w:color="auto" w:fill="auto"/>
            <w:vAlign w:val="center"/>
          </w:tcPr>
          <w:p w14:paraId="0B7ED879" w14:textId="77777777" w:rsidR="007B5308" w:rsidRPr="00FC7F1E" w:rsidRDefault="00F84A7E" w:rsidP="00537BC6">
            <w:pPr>
              <w:pStyle w:val="TableText0"/>
              <w:keepNext w:val="0"/>
              <w:widowControl w:val="0"/>
            </w:pPr>
            <w:r w:rsidRPr="00FC7F1E">
              <w:t>Literature based – based on publication funded by sponsor of Lloyd 2</w:t>
            </w:r>
            <w:r w:rsidR="00380350" w:rsidRPr="00FC7F1E">
              <w:t>0</w:t>
            </w:r>
            <w:r w:rsidRPr="00FC7F1E">
              <w:t>1</w:t>
            </w:r>
            <w:r w:rsidR="007A737D" w:rsidRPr="00FC7F1E">
              <w:t>9</w:t>
            </w:r>
            <w:r w:rsidR="007B5308" w:rsidRPr="00FC7F1E">
              <w:t>.</w:t>
            </w:r>
          </w:p>
          <w:p w14:paraId="1C434BC9" w14:textId="77777777" w:rsidR="00F84A7E" w:rsidRPr="00FC7F1E" w:rsidRDefault="00F84A7E" w:rsidP="00537BC6">
            <w:pPr>
              <w:pStyle w:val="TableText0"/>
              <w:keepNext w:val="0"/>
              <w:widowControl w:val="0"/>
            </w:pPr>
            <w:r w:rsidRPr="00FC7F1E">
              <w:t>Walking/standing:</w:t>
            </w:r>
            <w:r w:rsidR="00CA098E" w:rsidRPr="00FC7F1E">
              <w:t xml:space="preserve"> </w:t>
            </w:r>
            <w:r w:rsidRPr="00FC7F1E">
              <w:t>unaided: 0.72</w:t>
            </w:r>
          </w:p>
          <w:p w14:paraId="5CBF2FD7" w14:textId="77777777" w:rsidR="00F84A7E" w:rsidRPr="00FC7F1E" w:rsidRDefault="00F84A7E" w:rsidP="00537BC6">
            <w:pPr>
              <w:pStyle w:val="TableText0"/>
              <w:keepNext w:val="0"/>
              <w:widowControl w:val="0"/>
            </w:pPr>
            <w:r w:rsidRPr="00FC7F1E">
              <w:t>Walking/standing: aided: 0.</w:t>
            </w:r>
            <w:r w:rsidR="00380350" w:rsidRPr="00FC7F1E">
              <w:t>39</w:t>
            </w:r>
          </w:p>
          <w:p w14:paraId="2D9B326F" w14:textId="77777777" w:rsidR="00F84A7E" w:rsidRPr="00FC7F1E" w:rsidRDefault="00F84A7E" w:rsidP="00537BC6">
            <w:pPr>
              <w:pStyle w:val="TableText0"/>
              <w:keepNext w:val="0"/>
              <w:widowControl w:val="0"/>
            </w:pPr>
            <w:r w:rsidRPr="00FC7F1E">
              <w:t>Non-ambulatory:</w:t>
            </w:r>
            <w:r w:rsidR="00CA098E" w:rsidRPr="00FC7F1E">
              <w:t xml:space="preserve"> </w:t>
            </w:r>
            <w:r w:rsidRPr="00FC7F1E">
              <w:t>able to sit:-0.04</w:t>
            </w:r>
          </w:p>
          <w:p w14:paraId="35EA924F" w14:textId="77777777" w:rsidR="007B5308" w:rsidRPr="00FC7F1E" w:rsidRDefault="00F84A7E" w:rsidP="00537BC6">
            <w:pPr>
              <w:pStyle w:val="TableText0"/>
              <w:keepNext w:val="0"/>
              <w:widowControl w:val="0"/>
            </w:pPr>
            <w:r w:rsidRPr="00FC7F1E">
              <w:t>Non-ambulatory:</w:t>
            </w:r>
            <w:r w:rsidR="00CA098E" w:rsidRPr="00FC7F1E">
              <w:t xml:space="preserve"> </w:t>
            </w:r>
            <w:r w:rsidRPr="00FC7F1E">
              <w:t>unable to sit: -0.12</w:t>
            </w:r>
          </w:p>
          <w:p w14:paraId="02FBAD34" w14:textId="6E7A918B" w:rsidR="005B301D" w:rsidRPr="00FC7F1E" w:rsidRDefault="005B301D" w:rsidP="00422346">
            <w:pPr>
              <w:pStyle w:val="TableText0"/>
              <w:keepNext w:val="0"/>
              <w:widowControl w:val="0"/>
            </w:pPr>
            <w:r w:rsidRPr="00FC7F1E">
              <w:t>The</w:t>
            </w:r>
            <w:r w:rsidR="003E7FC1" w:rsidRPr="00FC7F1E">
              <w:t xml:space="preserve"> evaluation and ESC considered that these</w:t>
            </w:r>
            <w:r w:rsidRPr="00FC7F1E">
              <w:t xml:space="preserve"> values were highly uncertain</w:t>
            </w:r>
            <w:r w:rsidR="00E45469" w:rsidRPr="00FC7F1E">
              <w:t xml:space="preserve"> for a number of reasons (e.g. use of vignettes rather than observed data, small survey of proxy clinician completers, use of adult scoring algorithm for child-specific health states)</w:t>
            </w:r>
            <w:r w:rsidR="00A65204" w:rsidRPr="00FC7F1E">
              <w:t>. A</w:t>
            </w:r>
            <w:r w:rsidRPr="00FC7F1E">
              <w:t>lternate values were tested in sensitivity analys</w:t>
            </w:r>
            <w:r w:rsidR="0092330D" w:rsidRPr="00FC7F1E">
              <w:t>es,</w:t>
            </w:r>
            <w:r w:rsidR="006E31B3" w:rsidRPr="00FC7F1E">
              <w:t xml:space="preserve"> based on values estimated by clinical experts as part of the NICE consideration for nusinersen</w:t>
            </w:r>
            <w:r w:rsidR="00422346">
              <w:rPr>
                <w:rStyle w:val="FootnoteReference"/>
              </w:rPr>
              <w:footnoteReference w:id="10"/>
            </w:r>
            <w:r w:rsidR="006E31B3" w:rsidRPr="00FC7F1E">
              <w:t xml:space="preserve"> </w:t>
            </w:r>
          </w:p>
        </w:tc>
      </w:tr>
      <w:tr w:rsidR="0059306B" w:rsidRPr="00FC7F1E" w14:paraId="45C17BF7" w14:textId="77777777" w:rsidTr="00A02EB0">
        <w:trPr>
          <w:cantSplit/>
        </w:trPr>
        <w:tc>
          <w:tcPr>
            <w:tcW w:w="784" w:type="pct"/>
            <w:shd w:val="clear" w:color="auto" w:fill="auto"/>
            <w:vAlign w:val="center"/>
          </w:tcPr>
          <w:p w14:paraId="383244B1" w14:textId="77777777" w:rsidR="0059306B" w:rsidRPr="00FC7F1E" w:rsidRDefault="0059306B" w:rsidP="00537BC6">
            <w:pPr>
              <w:pStyle w:val="TableText0"/>
              <w:keepNext w:val="0"/>
              <w:widowControl w:val="0"/>
            </w:pPr>
            <w:r w:rsidRPr="00FC7F1E">
              <w:t>Patients</w:t>
            </w:r>
          </w:p>
        </w:tc>
        <w:tc>
          <w:tcPr>
            <w:tcW w:w="4216" w:type="pct"/>
            <w:shd w:val="clear" w:color="auto" w:fill="auto"/>
            <w:vAlign w:val="center"/>
          </w:tcPr>
          <w:p w14:paraId="7B820331" w14:textId="77777777" w:rsidR="0059306B" w:rsidRPr="00FC7F1E" w:rsidRDefault="0059306B" w:rsidP="00537BC6">
            <w:pPr>
              <w:pStyle w:val="TableText0"/>
              <w:keepNext w:val="0"/>
              <w:widowControl w:val="0"/>
            </w:pPr>
            <w:r w:rsidRPr="00FC7F1E">
              <w:t>SMA Type II or III with patients aged over 18 years at treatment initiation</w:t>
            </w:r>
          </w:p>
        </w:tc>
      </w:tr>
      <w:tr w:rsidR="00F63C32" w:rsidRPr="00FC7F1E" w14:paraId="161261B3" w14:textId="77777777" w:rsidTr="00A02EB0">
        <w:trPr>
          <w:cantSplit/>
        </w:trPr>
        <w:tc>
          <w:tcPr>
            <w:tcW w:w="784" w:type="pct"/>
            <w:shd w:val="clear" w:color="auto" w:fill="auto"/>
            <w:vAlign w:val="center"/>
          </w:tcPr>
          <w:p w14:paraId="2ABD94AA" w14:textId="77777777" w:rsidR="00F63C32" w:rsidRPr="00FC7F1E" w:rsidRDefault="00F63C32" w:rsidP="00537BC6">
            <w:pPr>
              <w:pStyle w:val="TableText0"/>
              <w:keepNext w:val="0"/>
              <w:widowControl w:val="0"/>
            </w:pPr>
            <w:r w:rsidRPr="00FC7F1E">
              <w:t>Other nusinersen related costs</w:t>
            </w:r>
          </w:p>
        </w:tc>
        <w:tc>
          <w:tcPr>
            <w:tcW w:w="4216" w:type="pct"/>
            <w:shd w:val="clear" w:color="auto" w:fill="auto"/>
            <w:vAlign w:val="center"/>
          </w:tcPr>
          <w:p w14:paraId="45FD00BE" w14:textId="77777777" w:rsidR="00F63C32" w:rsidRPr="00FC7F1E" w:rsidRDefault="00F63C32" w:rsidP="003E7FC1">
            <w:pPr>
              <w:pStyle w:val="TableText0"/>
              <w:keepNext w:val="0"/>
              <w:widowControl w:val="0"/>
            </w:pPr>
            <w:r w:rsidRPr="00FC7F1E">
              <w:t xml:space="preserve">Costs for administration and adverse events were appropriately applied, however there was no allowance made for monitoring for renal toxicity or thrombocytopenia and there was no allowance made for the cost of an </w:t>
            </w:r>
            <w:r w:rsidR="00905013" w:rsidRPr="00FC7F1E">
              <w:rPr>
                <w:iCs/>
              </w:rPr>
              <w:t>SMN1</w:t>
            </w:r>
            <w:r w:rsidRPr="00FC7F1E">
              <w:t xml:space="preserve"> gene test. </w:t>
            </w:r>
            <w:r w:rsidR="003E7FC1" w:rsidRPr="00FC7F1E">
              <w:t xml:space="preserve">The pre-PBAC response stated that </w:t>
            </w:r>
            <w:r w:rsidR="008E2DDA">
              <w:rPr>
                <w:noProof/>
                <w:color w:val="000000"/>
                <w:highlight w:val="black"/>
              </w:rPr>
              <w:t>'''''''' '''''''''''''''''' '''''''''''' ''''''''''''''''''' '''''''''''''''''' '''''''''''''''' ''''' ''''''''''''''''' '''''' ''''''''''''' '''''''''' '''''''''''' ''''''''' ''''''''''''''' '''''''''''''''''''''''''''' '''''''''''''''''' '''''''''''''''' ''''' '''''' '''''''''''''''</w:t>
            </w:r>
            <w:r w:rsidR="003E7FC1" w:rsidRPr="00FC7F1E">
              <w:t>.</w:t>
            </w:r>
          </w:p>
        </w:tc>
      </w:tr>
      <w:tr w:rsidR="007B5308" w:rsidRPr="00FC7F1E" w14:paraId="4A728A10" w14:textId="77777777" w:rsidTr="00A02EB0">
        <w:trPr>
          <w:cantSplit/>
        </w:trPr>
        <w:tc>
          <w:tcPr>
            <w:tcW w:w="784" w:type="pct"/>
            <w:shd w:val="clear" w:color="auto" w:fill="auto"/>
            <w:vAlign w:val="center"/>
          </w:tcPr>
          <w:p w14:paraId="5A3AE059" w14:textId="77777777" w:rsidR="007B5308" w:rsidRPr="00FC7F1E" w:rsidRDefault="00F175B2" w:rsidP="00537BC6">
            <w:pPr>
              <w:pStyle w:val="TableText0"/>
              <w:keepNext w:val="0"/>
              <w:widowControl w:val="0"/>
            </w:pPr>
            <w:r w:rsidRPr="00FC7F1E">
              <w:t>Disease state costs</w:t>
            </w:r>
            <w:r w:rsidR="007B5308" w:rsidRPr="00FC7F1E">
              <w:t xml:space="preserve"> </w:t>
            </w:r>
          </w:p>
        </w:tc>
        <w:tc>
          <w:tcPr>
            <w:tcW w:w="4216" w:type="pct"/>
            <w:shd w:val="clear" w:color="auto" w:fill="auto"/>
            <w:vAlign w:val="center"/>
          </w:tcPr>
          <w:p w14:paraId="1FBDABBF" w14:textId="77777777" w:rsidR="007B5308" w:rsidRPr="00FC7F1E" w:rsidRDefault="00F175B2" w:rsidP="00537BC6">
            <w:pPr>
              <w:pStyle w:val="TableText0"/>
              <w:keepNext w:val="0"/>
              <w:widowControl w:val="0"/>
            </w:pPr>
            <w:r w:rsidRPr="00FC7F1E">
              <w:t xml:space="preserve">It was not apparent that the </w:t>
            </w:r>
            <w:r w:rsidR="00CA098E" w:rsidRPr="00FC7F1E">
              <w:t>re</w:t>
            </w:r>
            <w:r w:rsidRPr="00FC7F1E">
              <w:t>submission’s application of disease state costs from Klug 2016 would be applicable to the nominated health states, particularly for the assumption that non-ambulatory:</w:t>
            </w:r>
            <w:r w:rsidR="00CA098E" w:rsidRPr="00FC7F1E">
              <w:t xml:space="preserve"> </w:t>
            </w:r>
            <w:r w:rsidRPr="00FC7F1E">
              <w:t>unable to sit patients would have the same health state costs as Type I SMA patients in Klug 2016</w:t>
            </w:r>
          </w:p>
        </w:tc>
      </w:tr>
    </w:tbl>
    <w:p w14:paraId="27277330" w14:textId="77777777" w:rsidR="003270E4" w:rsidRPr="00FC7F1E" w:rsidRDefault="003270E4" w:rsidP="009167A6">
      <w:pPr>
        <w:pStyle w:val="TableFigureFooter"/>
        <w:spacing w:after="240"/>
      </w:pPr>
      <w:r w:rsidRPr="00FC7F1E">
        <w:t xml:space="preserve">Source: </w:t>
      </w:r>
      <w:r w:rsidR="006D61C1" w:rsidRPr="00FC7F1E">
        <w:t xml:space="preserve">Compiled during the evaluation from Section 3 of the </w:t>
      </w:r>
      <w:r w:rsidR="00C21E01" w:rsidRPr="00FC7F1E">
        <w:t>re</w:t>
      </w:r>
      <w:r w:rsidRPr="00FC7F1E">
        <w:t>submission.</w:t>
      </w:r>
    </w:p>
    <w:p w14:paraId="2F7AB714" w14:textId="77777777" w:rsidR="0005656E" w:rsidRPr="00FC7F1E" w:rsidRDefault="0005656E" w:rsidP="00732451">
      <w:pPr>
        <w:pStyle w:val="3-BodyText"/>
      </w:pPr>
      <w:r w:rsidRPr="00FC7F1E">
        <w:t xml:space="preserve">The model did not consider costs or outcomes for non-adult patients </w:t>
      </w:r>
      <w:r w:rsidR="00425DDE" w:rsidRPr="00FC7F1E">
        <w:t xml:space="preserve">(18 years or less) </w:t>
      </w:r>
      <w:r w:rsidRPr="00FC7F1E">
        <w:t xml:space="preserve">who had symptoms develop at 3 years of age or more. The cost-effectiveness in this patient population was not presented and remains </w:t>
      </w:r>
      <w:r w:rsidR="00CA098E" w:rsidRPr="00FC7F1E">
        <w:t>unknown</w:t>
      </w:r>
      <w:r w:rsidRPr="00FC7F1E">
        <w:t>.</w:t>
      </w:r>
    </w:p>
    <w:p w14:paraId="11CE4E6A" w14:textId="77777777" w:rsidR="00FC7FFA" w:rsidRPr="00FC7F1E" w:rsidRDefault="00FC7FFA" w:rsidP="00732451">
      <w:pPr>
        <w:pStyle w:val="3-BodyText"/>
      </w:pPr>
      <w:r w:rsidRPr="00FC7F1E">
        <w:t xml:space="preserve">The model traces over time for the health states as provided by the </w:t>
      </w:r>
      <w:r w:rsidR="00CA098E" w:rsidRPr="00FC7F1E">
        <w:t>re</w:t>
      </w:r>
      <w:r w:rsidRPr="00FC7F1E">
        <w:t xml:space="preserve">submission are presented in </w:t>
      </w:r>
      <w:r w:rsidR="00CA098E" w:rsidRPr="00FC7F1E">
        <w:t>Figure 2</w:t>
      </w:r>
      <w:r w:rsidRPr="00FC7F1E">
        <w:t xml:space="preserve"> and </w:t>
      </w:r>
      <w:r w:rsidR="00CA098E" w:rsidRPr="00FC7F1E">
        <w:t>Figure 3</w:t>
      </w:r>
      <w:r w:rsidRPr="00FC7F1E">
        <w:t>.</w:t>
      </w:r>
    </w:p>
    <w:p w14:paraId="32A2EB4F" w14:textId="77777777" w:rsidR="00E94875" w:rsidRPr="00FC7F1E" w:rsidRDefault="00CA098E" w:rsidP="00A65204">
      <w:pPr>
        <w:keepNext/>
        <w:keepLines/>
        <w:rPr>
          <w:rFonts w:ascii="Arial Narrow" w:hAnsi="Arial Narrow"/>
          <w:b/>
          <w:sz w:val="20"/>
          <w:szCs w:val="20"/>
        </w:rPr>
      </w:pPr>
      <w:bookmarkStart w:id="33" w:name="_Ref49226847"/>
      <w:r w:rsidRPr="00FC7F1E">
        <w:rPr>
          <w:rFonts w:ascii="Arial Narrow" w:hAnsi="Arial Narrow"/>
          <w:b/>
          <w:sz w:val="20"/>
          <w:szCs w:val="20"/>
        </w:rPr>
        <w:lastRenderedPageBreak/>
        <w:t>Figure 2</w:t>
      </w:r>
      <w:bookmarkEnd w:id="33"/>
      <w:r w:rsidR="00E94875" w:rsidRPr="00FC7F1E">
        <w:rPr>
          <w:rFonts w:ascii="Arial Narrow" w:hAnsi="Arial Narrow"/>
          <w:b/>
          <w:sz w:val="20"/>
          <w:szCs w:val="20"/>
        </w:rPr>
        <w:t>: Health state changes over time: Nusinersen</w:t>
      </w:r>
    </w:p>
    <w:p w14:paraId="2F2A1562" w14:textId="77777777" w:rsidR="00E94875" w:rsidRPr="00FC7F1E" w:rsidRDefault="00E94875" w:rsidP="00A65204">
      <w:pPr>
        <w:keepNext/>
        <w:keepLines/>
        <w:jc w:val="center"/>
        <w:rPr>
          <w:rFonts w:ascii="Arial Narrow" w:hAnsi="Arial Narrow"/>
          <w:sz w:val="20"/>
          <w:szCs w:val="20"/>
        </w:rPr>
      </w:pPr>
      <w:r w:rsidRPr="00FC7F1E">
        <w:rPr>
          <w:rFonts w:ascii="Arial Narrow" w:hAnsi="Arial Narrow"/>
          <w:noProof/>
          <w:sz w:val="20"/>
          <w:szCs w:val="20"/>
        </w:rPr>
        <w:drawing>
          <wp:inline distT="0" distB="0" distL="0" distR="0" wp14:anchorId="6A2B423A" wp14:editId="5E9EDA11">
            <wp:extent cx="4050943" cy="2238375"/>
            <wp:effectExtent l="0" t="0" r="6985" b="0"/>
            <wp:docPr id="14" name="Picture 14" title="Figure 2: Health state changes over time: Nusiner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8939" cy="2242793"/>
                    </a:xfrm>
                    <a:prstGeom prst="rect">
                      <a:avLst/>
                    </a:prstGeom>
                    <a:noFill/>
                  </pic:spPr>
                </pic:pic>
              </a:graphicData>
            </a:graphic>
          </wp:inline>
        </w:drawing>
      </w:r>
    </w:p>
    <w:p w14:paraId="7C8328B7" w14:textId="77777777" w:rsidR="00E94875" w:rsidRPr="00FC7F1E" w:rsidRDefault="00E94875" w:rsidP="00A65204">
      <w:pPr>
        <w:keepNext/>
        <w:keepLines/>
        <w:spacing w:after="240"/>
        <w:rPr>
          <w:rFonts w:ascii="Arial Narrow" w:hAnsi="Arial Narrow"/>
          <w:sz w:val="18"/>
          <w:szCs w:val="18"/>
        </w:rPr>
      </w:pPr>
      <w:r w:rsidRPr="00FC7F1E">
        <w:rPr>
          <w:rFonts w:ascii="Arial Narrow" w:hAnsi="Arial Narrow"/>
          <w:sz w:val="18"/>
          <w:szCs w:val="18"/>
        </w:rPr>
        <w:t xml:space="preserve">Source: Figure 3.17, p203 of the </w:t>
      </w:r>
      <w:r w:rsidR="00C21E01" w:rsidRPr="00FC7F1E">
        <w:rPr>
          <w:rFonts w:ascii="Arial Narrow" w:hAnsi="Arial Narrow"/>
          <w:sz w:val="18"/>
          <w:szCs w:val="18"/>
        </w:rPr>
        <w:t>re</w:t>
      </w:r>
      <w:r w:rsidRPr="00FC7F1E">
        <w:rPr>
          <w:rFonts w:ascii="Arial Narrow" w:hAnsi="Arial Narrow"/>
          <w:sz w:val="18"/>
          <w:szCs w:val="18"/>
        </w:rPr>
        <w:t>submission.</w:t>
      </w:r>
    </w:p>
    <w:p w14:paraId="4EBDE5B2" w14:textId="77777777" w:rsidR="00E94875" w:rsidRPr="00FC7F1E" w:rsidRDefault="00CA098E" w:rsidP="00A02EB0">
      <w:pPr>
        <w:keepNext/>
        <w:keepLines/>
        <w:rPr>
          <w:rFonts w:ascii="Arial Narrow" w:hAnsi="Arial Narrow"/>
          <w:b/>
          <w:sz w:val="20"/>
          <w:szCs w:val="20"/>
        </w:rPr>
      </w:pPr>
      <w:bookmarkStart w:id="34" w:name="_Ref49226876"/>
      <w:r w:rsidRPr="00FC7F1E">
        <w:rPr>
          <w:rFonts w:ascii="Arial Narrow" w:hAnsi="Arial Narrow"/>
          <w:b/>
          <w:sz w:val="20"/>
          <w:szCs w:val="20"/>
        </w:rPr>
        <w:t>Figure 3</w:t>
      </w:r>
      <w:bookmarkEnd w:id="34"/>
      <w:r w:rsidR="00E94875" w:rsidRPr="00FC7F1E">
        <w:rPr>
          <w:rFonts w:ascii="Arial Narrow" w:hAnsi="Arial Narrow"/>
          <w:b/>
          <w:sz w:val="20"/>
          <w:szCs w:val="20"/>
        </w:rPr>
        <w:t>: Health state changes over time: Standard of care</w:t>
      </w:r>
    </w:p>
    <w:p w14:paraId="6621C92F" w14:textId="77777777" w:rsidR="00E94875" w:rsidRPr="00FC7F1E" w:rsidRDefault="00E94875" w:rsidP="00A02EB0">
      <w:pPr>
        <w:keepNext/>
        <w:keepLines/>
        <w:jc w:val="center"/>
        <w:rPr>
          <w:rFonts w:ascii="Arial Narrow" w:hAnsi="Arial Narrow"/>
          <w:sz w:val="20"/>
          <w:szCs w:val="20"/>
        </w:rPr>
      </w:pPr>
      <w:r w:rsidRPr="00FC7F1E">
        <w:rPr>
          <w:rFonts w:ascii="Arial Narrow" w:hAnsi="Arial Narrow"/>
          <w:noProof/>
          <w:sz w:val="20"/>
          <w:szCs w:val="20"/>
        </w:rPr>
        <w:drawing>
          <wp:inline distT="0" distB="0" distL="0" distR="0" wp14:anchorId="2F40C408" wp14:editId="057DAAA6">
            <wp:extent cx="4143375" cy="2171207"/>
            <wp:effectExtent l="0" t="0" r="0" b="635"/>
            <wp:docPr id="15" name="Picture 15" title="Figure 3: Health state changes over time: Standard of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2679" cy="2176082"/>
                    </a:xfrm>
                    <a:prstGeom prst="rect">
                      <a:avLst/>
                    </a:prstGeom>
                    <a:noFill/>
                  </pic:spPr>
                </pic:pic>
              </a:graphicData>
            </a:graphic>
          </wp:inline>
        </w:drawing>
      </w:r>
    </w:p>
    <w:p w14:paraId="39300304" w14:textId="77777777" w:rsidR="00E94875" w:rsidRPr="00FC7F1E" w:rsidRDefault="00E94875" w:rsidP="00A65204">
      <w:pPr>
        <w:keepNext/>
        <w:keepLines/>
        <w:spacing w:after="240"/>
        <w:rPr>
          <w:rFonts w:ascii="Arial Narrow" w:hAnsi="Arial Narrow"/>
          <w:sz w:val="18"/>
          <w:szCs w:val="18"/>
        </w:rPr>
      </w:pPr>
      <w:r w:rsidRPr="00FC7F1E">
        <w:rPr>
          <w:rFonts w:ascii="Arial Narrow" w:hAnsi="Arial Narrow"/>
          <w:sz w:val="18"/>
          <w:szCs w:val="18"/>
        </w:rPr>
        <w:t xml:space="preserve">Source: Figure 3.18, p203 of the </w:t>
      </w:r>
      <w:r w:rsidR="00C21E01" w:rsidRPr="00FC7F1E">
        <w:rPr>
          <w:rFonts w:ascii="Arial Narrow" w:hAnsi="Arial Narrow"/>
          <w:sz w:val="18"/>
          <w:szCs w:val="18"/>
        </w:rPr>
        <w:t>re</w:t>
      </w:r>
      <w:r w:rsidRPr="00FC7F1E">
        <w:rPr>
          <w:rFonts w:ascii="Arial Narrow" w:hAnsi="Arial Narrow"/>
          <w:sz w:val="18"/>
          <w:szCs w:val="18"/>
        </w:rPr>
        <w:t>submission.</w:t>
      </w:r>
    </w:p>
    <w:p w14:paraId="01F07C5C" w14:textId="77777777" w:rsidR="00E94875" w:rsidRPr="00FC7F1E" w:rsidRDefault="00E94875" w:rsidP="00E94875">
      <w:pPr>
        <w:pStyle w:val="3-BodyText"/>
      </w:pPr>
      <w:r w:rsidRPr="00FC7F1E">
        <w:t>The majority of the change in health states with the standard of care arm occu</w:t>
      </w:r>
      <w:r w:rsidR="00FD6A22" w:rsidRPr="00FC7F1E">
        <w:t>rred</w:t>
      </w:r>
      <w:r w:rsidRPr="00FC7F1E">
        <w:t xml:space="preserve"> due to movement of patients into the </w:t>
      </w:r>
      <w:r w:rsidR="00F146A0" w:rsidRPr="00FC7F1E">
        <w:t>‘</w:t>
      </w:r>
      <w:r w:rsidRPr="00FC7F1E">
        <w:t>unable to sit</w:t>
      </w:r>
      <w:r w:rsidR="00F146A0" w:rsidRPr="00FC7F1E">
        <w:t>’</w:t>
      </w:r>
      <w:r w:rsidRPr="00FC7F1E">
        <w:t xml:space="preserve"> health state. This</w:t>
      </w:r>
      <w:r w:rsidR="00FD6A22" w:rsidRPr="00FC7F1E">
        <w:t xml:space="preserve"> wa</w:t>
      </w:r>
      <w:r w:rsidRPr="00FC7F1E">
        <w:t xml:space="preserve">s because the model assumed that </w:t>
      </w:r>
      <w:r w:rsidR="00C1138C" w:rsidRPr="00FC7F1E">
        <w:t>most (</w:t>
      </w:r>
      <w:r w:rsidRPr="00FC7F1E">
        <w:t>63%</w:t>
      </w:r>
      <w:r w:rsidR="00C1138C" w:rsidRPr="00FC7F1E">
        <w:t>)</w:t>
      </w:r>
      <w:r w:rsidRPr="00FC7F1E">
        <w:t xml:space="preserve"> patients would begin in </w:t>
      </w:r>
      <w:r w:rsidR="00C1138C" w:rsidRPr="00FC7F1E">
        <w:t xml:space="preserve">the </w:t>
      </w:r>
      <w:r w:rsidR="00F146A0" w:rsidRPr="00FC7F1E">
        <w:t>‘</w:t>
      </w:r>
      <w:r w:rsidR="00C1138C" w:rsidRPr="00FC7F1E">
        <w:t>non-ambulatory: able to sit</w:t>
      </w:r>
      <w:r w:rsidR="00F146A0" w:rsidRPr="00FC7F1E">
        <w:t>’</w:t>
      </w:r>
      <w:r w:rsidRPr="00FC7F1E">
        <w:t xml:space="preserve"> health state. For nusinersen, the movement between health states </w:t>
      </w:r>
      <w:r w:rsidR="00C1138C" w:rsidRPr="00FC7F1E">
        <w:t>wa</w:t>
      </w:r>
      <w:r w:rsidRPr="00FC7F1E">
        <w:t>s due to the assumed rate of discontinuation of 3.</w:t>
      </w:r>
      <w:r w:rsidR="00FD6A22" w:rsidRPr="00FC7F1E">
        <w:t>7</w:t>
      </w:r>
      <w:r w:rsidRPr="00FC7F1E">
        <w:t xml:space="preserve">% per year. The ICER generated by the model </w:t>
      </w:r>
      <w:r w:rsidR="00E03464" w:rsidRPr="00FC7F1E">
        <w:t>wa</w:t>
      </w:r>
      <w:r w:rsidRPr="00FC7F1E">
        <w:t>s highly dependent on the rate of movement between health states</w:t>
      </w:r>
      <w:r w:rsidR="00D849D7" w:rsidRPr="00FC7F1E">
        <w:t xml:space="preserve"> for standard of care patients and the assumed non-movement into lower health states for nusinersen treated patients who continue on treatment. </w:t>
      </w:r>
      <w:r w:rsidR="00E03464" w:rsidRPr="00FC7F1E">
        <w:t xml:space="preserve">Variations to these parameters resulted in substantial changes to the </w:t>
      </w:r>
      <w:r w:rsidR="00C21E01" w:rsidRPr="00FC7F1E">
        <w:t>re</w:t>
      </w:r>
      <w:r w:rsidR="00E03464" w:rsidRPr="00FC7F1E">
        <w:t xml:space="preserve">submission’s estimated ICER (see </w:t>
      </w:r>
      <w:r w:rsidR="00C21E01" w:rsidRPr="00FC7F1E">
        <w:t>Table 1</w:t>
      </w:r>
      <w:r w:rsidR="00AA3F5F" w:rsidRPr="00FC7F1E">
        <w:t>1</w:t>
      </w:r>
      <w:r w:rsidR="00E03464" w:rsidRPr="00FC7F1E">
        <w:t>).</w:t>
      </w:r>
    </w:p>
    <w:p w14:paraId="01DF88FA" w14:textId="77777777" w:rsidR="0070582E" w:rsidRPr="00FC7F1E" w:rsidRDefault="0070582E" w:rsidP="0070582E">
      <w:pPr>
        <w:pStyle w:val="3-BodyText"/>
      </w:pPr>
      <w:r w:rsidRPr="00FC7F1E">
        <w:t>The model was dependent on a wide range of assumptions that could</w:t>
      </w:r>
      <w:r w:rsidR="00F146A0" w:rsidRPr="00FC7F1E">
        <w:t xml:space="preserve"> </w:t>
      </w:r>
      <w:r w:rsidRPr="00FC7F1E">
        <w:t>n</w:t>
      </w:r>
      <w:r w:rsidR="00F146A0" w:rsidRPr="00FC7F1E">
        <w:t>o</w:t>
      </w:r>
      <w:r w:rsidRPr="00FC7F1E">
        <w:t xml:space="preserve">t be adequately validated during the evaluation. For example, none of the clinical evidence presented in </w:t>
      </w:r>
      <w:r w:rsidR="00AF7D90" w:rsidRPr="00FC7F1E">
        <w:t>the ‘comparative effectiveness’ section</w:t>
      </w:r>
      <w:r w:rsidRPr="00FC7F1E">
        <w:t xml:space="preserve"> contained information on the proportion of patients treated with nusinersen who would move into a lower health </w:t>
      </w:r>
      <w:r w:rsidRPr="00FC7F1E">
        <w:lastRenderedPageBreak/>
        <w:t>state over time, or patient derived utility values based on treatment with nusinersen, or actual costs for comparable patients treated with nusinersen versus standard of care. Further</w:t>
      </w:r>
      <w:r w:rsidR="00F146A0" w:rsidRPr="00FC7F1E">
        <w:t>,</w:t>
      </w:r>
      <w:r w:rsidRPr="00FC7F1E">
        <w:t xml:space="preserve"> the </w:t>
      </w:r>
      <w:r w:rsidR="004B5A8A" w:rsidRPr="00FC7F1E">
        <w:t xml:space="preserve">evaluation and the ESC considered that the </w:t>
      </w:r>
      <w:r w:rsidRPr="00FC7F1E">
        <w:t>model structure was limited in that it focused on changes based on gross motor function and it did</w:t>
      </w:r>
      <w:r w:rsidR="00F146A0" w:rsidRPr="00FC7F1E">
        <w:t xml:space="preserve"> not </w:t>
      </w:r>
      <w:r w:rsidRPr="00FC7F1E">
        <w:t>capture changes in fine motor function, which can be important to patients with SMA.</w:t>
      </w:r>
    </w:p>
    <w:p w14:paraId="77969119" w14:textId="77777777" w:rsidR="00275C5A" w:rsidRPr="00FC7F1E" w:rsidRDefault="00B20351" w:rsidP="00732451">
      <w:pPr>
        <w:pStyle w:val="3-BodyText"/>
      </w:pPr>
      <w:r w:rsidRPr="00FC7F1E">
        <w:t xml:space="preserve">Key drivers of the model are presented in </w:t>
      </w:r>
      <w:r w:rsidR="00082C7F" w:rsidRPr="00FC7F1E">
        <w:t xml:space="preserve">Table </w:t>
      </w:r>
      <w:r w:rsidR="00AA3F5F" w:rsidRPr="00FC7F1E">
        <w:t>10</w:t>
      </w:r>
      <w:r w:rsidRPr="00FC7F1E">
        <w:t xml:space="preserve">. </w:t>
      </w:r>
    </w:p>
    <w:p w14:paraId="66495859" w14:textId="77777777" w:rsidR="00D110BD" w:rsidRPr="00FC7F1E" w:rsidRDefault="00CA098E" w:rsidP="00BB00B3">
      <w:pPr>
        <w:pStyle w:val="TableFigureHeading"/>
        <w:rPr>
          <w:rStyle w:val="CommentReference"/>
          <w:b/>
          <w:szCs w:val="24"/>
        </w:rPr>
      </w:pPr>
      <w:bookmarkStart w:id="35" w:name="_Ref49227009"/>
      <w:bookmarkStart w:id="36" w:name="_Ref50458899"/>
      <w:r w:rsidRPr="00FC7F1E">
        <w:rPr>
          <w:rStyle w:val="CommentReference"/>
          <w:b/>
          <w:szCs w:val="24"/>
        </w:rPr>
        <w:t xml:space="preserve">Table </w:t>
      </w:r>
      <w:r w:rsidR="00AA3F5F" w:rsidRPr="00FC7F1E">
        <w:rPr>
          <w:rStyle w:val="CommentReference"/>
          <w:b/>
          <w:szCs w:val="24"/>
        </w:rPr>
        <w:t>10</w:t>
      </w:r>
      <w:bookmarkEnd w:id="35"/>
      <w:r w:rsidR="00D110BD" w:rsidRPr="00FC7F1E">
        <w:rPr>
          <w:rStyle w:val="CommentReference"/>
          <w:b/>
          <w:szCs w:val="24"/>
        </w:rPr>
        <w:t>: Key drivers of the model</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537182" w:rsidRPr="00FC7F1E" w14:paraId="04167627" w14:textId="77777777" w:rsidTr="00CA098E">
        <w:trPr>
          <w:tblHeader/>
        </w:trPr>
        <w:tc>
          <w:tcPr>
            <w:tcW w:w="626" w:type="pct"/>
            <w:shd w:val="clear" w:color="auto" w:fill="auto"/>
            <w:vAlign w:val="center"/>
          </w:tcPr>
          <w:p w14:paraId="26CF32AA" w14:textId="77777777" w:rsidR="00D110BD" w:rsidRPr="00FC7F1E" w:rsidRDefault="00D110BD" w:rsidP="00CA098E">
            <w:pPr>
              <w:pStyle w:val="In-tableHeading"/>
              <w:rPr>
                <w:lang w:val="en-AU"/>
              </w:rPr>
            </w:pPr>
            <w:r w:rsidRPr="00FC7F1E">
              <w:rPr>
                <w:lang w:val="en-AU"/>
              </w:rPr>
              <w:t>Description</w:t>
            </w:r>
          </w:p>
        </w:tc>
        <w:tc>
          <w:tcPr>
            <w:tcW w:w="2830" w:type="pct"/>
            <w:shd w:val="clear" w:color="auto" w:fill="auto"/>
            <w:vAlign w:val="center"/>
          </w:tcPr>
          <w:p w14:paraId="75D75F8C" w14:textId="77777777" w:rsidR="00D110BD" w:rsidRPr="00FC7F1E" w:rsidRDefault="00D110BD" w:rsidP="000A7453">
            <w:pPr>
              <w:pStyle w:val="In-tableHeading"/>
              <w:jc w:val="center"/>
              <w:rPr>
                <w:lang w:val="en-AU"/>
              </w:rPr>
            </w:pPr>
            <w:r w:rsidRPr="00FC7F1E">
              <w:rPr>
                <w:lang w:val="en-AU"/>
              </w:rPr>
              <w:t>Method/Value</w:t>
            </w:r>
          </w:p>
        </w:tc>
        <w:tc>
          <w:tcPr>
            <w:tcW w:w="1544" w:type="pct"/>
            <w:shd w:val="clear" w:color="auto" w:fill="auto"/>
            <w:vAlign w:val="center"/>
          </w:tcPr>
          <w:p w14:paraId="62797C1D" w14:textId="77777777" w:rsidR="00D110BD" w:rsidRPr="00FC7F1E" w:rsidRDefault="00D110BD" w:rsidP="000A7453">
            <w:pPr>
              <w:pStyle w:val="In-tableHeading"/>
              <w:jc w:val="center"/>
              <w:rPr>
                <w:lang w:val="en-AU"/>
              </w:rPr>
            </w:pPr>
            <w:r w:rsidRPr="00FC7F1E">
              <w:rPr>
                <w:lang w:val="en-AU"/>
              </w:rPr>
              <w:t>Impact</w:t>
            </w:r>
          </w:p>
          <w:p w14:paraId="699B40EB" w14:textId="77777777" w:rsidR="00490B17" w:rsidRPr="00FC7F1E" w:rsidRDefault="007F02E7" w:rsidP="00F90DF7">
            <w:pPr>
              <w:pStyle w:val="In-tableHeading"/>
              <w:jc w:val="center"/>
              <w:rPr>
                <w:lang w:val="en-AU"/>
              </w:rPr>
            </w:pPr>
            <w:r w:rsidRPr="00FC7F1E">
              <w:rPr>
                <w:rFonts w:cs="Arial"/>
                <w:szCs w:val="20"/>
                <w:lang w:val="en-AU"/>
              </w:rPr>
              <w:t>Base case: $</w:t>
            </w:r>
            <w:r w:rsidR="008E2DDA">
              <w:rPr>
                <w:rFonts w:cs="Arial"/>
                <w:noProof/>
                <w:color w:val="000000"/>
                <w:szCs w:val="20"/>
                <w:highlight w:val="black"/>
                <w:lang w:val="en-AU"/>
              </w:rPr>
              <w:t>''''''''''''''''''''</w:t>
            </w:r>
            <w:r w:rsidR="00DB2933" w:rsidRPr="00DB2933">
              <w:rPr>
                <w:rFonts w:cs="Arial"/>
                <w:szCs w:val="20"/>
                <w:vertAlign w:val="superscript"/>
                <w:lang w:val="en-AU"/>
              </w:rPr>
              <w:t>1</w:t>
            </w:r>
            <w:r w:rsidR="00490B17" w:rsidRPr="00FC7F1E">
              <w:rPr>
                <w:rFonts w:cs="Arial"/>
                <w:szCs w:val="20"/>
                <w:lang w:val="en-AU"/>
              </w:rPr>
              <w:t>/QALY gained</w:t>
            </w:r>
          </w:p>
        </w:tc>
      </w:tr>
      <w:tr w:rsidR="00AC298D" w:rsidRPr="00FC7F1E" w14:paraId="3BD878A7" w14:textId="77777777" w:rsidTr="00CA098E">
        <w:trPr>
          <w:tblHeader/>
        </w:trPr>
        <w:tc>
          <w:tcPr>
            <w:tcW w:w="626" w:type="pct"/>
            <w:shd w:val="clear" w:color="auto" w:fill="auto"/>
            <w:vAlign w:val="center"/>
          </w:tcPr>
          <w:p w14:paraId="6CBF7687" w14:textId="77777777" w:rsidR="00AC298D" w:rsidRPr="00FC7F1E" w:rsidRDefault="00AC298D" w:rsidP="00CA098E">
            <w:pPr>
              <w:pStyle w:val="In-tableHeading"/>
              <w:rPr>
                <w:b w:val="0"/>
                <w:lang w:val="en-AU"/>
              </w:rPr>
            </w:pPr>
            <w:r w:rsidRPr="00FC7F1E">
              <w:rPr>
                <w:b w:val="0"/>
                <w:lang w:val="en-AU"/>
              </w:rPr>
              <w:t>Time horizon</w:t>
            </w:r>
          </w:p>
        </w:tc>
        <w:tc>
          <w:tcPr>
            <w:tcW w:w="2830" w:type="pct"/>
            <w:shd w:val="clear" w:color="auto" w:fill="auto"/>
            <w:vAlign w:val="center"/>
          </w:tcPr>
          <w:p w14:paraId="08331A5F" w14:textId="77777777" w:rsidR="00AC298D" w:rsidRPr="00FC7F1E" w:rsidRDefault="00AC298D" w:rsidP="005B0575">
            <w:pPr>
              <w:pStyle w:val="In-tableHeading"/>
              <w:rPr>
                <w:b w:val="0"/>
                <w:lang w:val="en-AU"/>
              </w:rPr>
            </w:pPr>
            <w:r w:rsidRPr="00FC7F1E">
              <w:rPr>
                <w:b w:val="0"/>
                <w:lang w:val="en-AU"/>
              </w:rPr>
              <w:t xml:space="preserve">A lifetime model was used in the base case, however use of shorter time </w:t>
            </w:r>
            <w:r w:rsidR="005B0575" w:rsidRPr="00FC7F1E">
              <w:rPr>
                <w:b w:val="0"/>
                <w:lang w:val="en-AU"/>
              </w:rPr>
              <w:t xml:space="preserve">horizons </w:t>
            </w:r>
            <w:r w:rsidRPr="00FC7F1E">
              <w:rPr>
                <w:b w:val="0"/>
                <w:lang w:val="en-AU"/>
              </w:rPr>
              <w:t xml:space="preserve">significantly increased the ICER, suggesting that any incremental benefit of nusinersen is dependent on continued use and </w:t>
            </w:r>
            <w:r w:rsidR="005C6CA2" w:rsidRPr="00FC7F1E">
              <w:rPr>
                <w:b w:val="0"/>
                <w:lang w:val="en-AU"/>
              </w:rPr>
              <w:t xml:space="preserve">the assumption of </w:t>
            </w:r>
            <w:r w:rsidRPr="00FC7F1E">
              <w:rPr>
                <w:b w:val="0"/>
                <w:lang w:val="en-AU"/>
              </w:rPr>
              <w:t>continu</w:t>
            </w:r>
            <w:r w:rsidR="005C6CA2" w:rsidRPr="00FC7F1E">
              <w:rPr>
                <w:b w:val="0"/>
                <w:lang w:val="en-AU"/>
              </w:rPr>
              <w:t>ed</w:t>
            </w:r>
            <w:r w:rsidRPr="00FC7F1E">
              <w:rPr>
                <w:b w:val="0"/>
                <w:lang w:val="en-AU"/>
              </w:rPr>
              <w:t xml:space="preserve"> efficacy </w:t>
            </w:r>
            <w:r w:rsidR="002B2ADB" w:rsidRPr="00FC7F1E">
              <w:rPr>
                <w:b w:val="0"/>
                <w:lang w:val="en-AU"/>
              </w:rPr>
              <w:t xml:space="preserve">for patients remaining on treatment </w:t>
            </w:r>
            <w:r w:rsidRPr="00FC7F1E">
              <w:rPr>
                <w:b w:val="0"/>
                <w:lang w:val="en-AU"/>
              </w:rPr>
              <w:t>over the patient’s lifetime</w:t>
            </w:r>
            <w:r w:rsidR="002E274B" w:rsidRPr="00FC7F1E">
              <w:rPr>
                <w:b w:val="0"/>
                <w:lang w:val="en-AU"/>
              </w:rPr>
              <w:t xml:space="preserve">, as well as the resubmission’s assumed rate of progression for standard of care patients (see </w:t>
            </w:r>
            <w:r w:rsidR="00600082" w:rsidRPr="00FC7F1E">
              <w:rPr>
                <w:b w:val="0"/>
                <w:lang w:val="en-AU"/>
              </w:rPr>
              <w:t xml:space="preserve">rate of progression for standard care </w:t>
            </w:r>
            <w:r w:rsidR="002E274B" w:rsidRPr="00FC7F1E">
              <w:rPr>
                <w:b w:val="0"/>
                <w:lang w:val="en-AU"/>
              </w:rPr>
              <w:t>below)</w:t>
            </w:r>
            <w:r w:rsidR="005B0575" w:rsidRPr="00FC7F1E">
              <w:rPr>
                <w:b w:val="0"/>
                <w:lang w:val="en-AU"/>
              </w:rPr>
              <w:t>.</w:t>
            </w:r>
          </w:p>
        </w:tc>
        <w:tc>
          <w:tcPr>
            <w:tcW w:w="1544" w:type="pct"/>
            <w:shd w:val="clear" w:color="auto" w:fill="auto"/>
            <w:vAlign w:val="center"/>
          </w:tcPr>
          <w:p w14:paraId="2B8775C5" w14:textId="77777777" w:rsidR="00AC298D" w:rsidRPr="00FC7F1E" w:rsidRDefault="00AC298D" w:rsidP="00610DCB">
            <w:pPr>
              <w:pStyle w:val="TableText0"/>
              <w:jc w:val="center"/>
            </w:pPr>
            <w:r w:rsidRPr="00FC7F1E">
              <w:t>High, favours nusinersen</w:t>
            </w:r>
          </w:p>
          <w:p w14:paraId="06BDD672" w14:textId="77777777" w:rsidR="00AC298D" w:rsidRPr="00FC7F1E" w:rsidRDefault="00AC298D" w:rsidP="00610DCB">
            <w:pPr>
              <w:pStyle w:val="In-tableHeading"/>
              <w:jc w:val="center"/>
              <w:rPr>
                <w:b w:val="0"/>
                <w:lang w:val="en-AU"/>
              </w:rPr>
            </w:pPr>
            <w:r w:rsidRPr="00FC7F1E">
              <w:rPr>
                <w:b w:val="0"/>
                <w:lang w:val="en-AU"/>
              </w:rPr>
              <w:t xml:space="preserve">Use of </w:t>
            </w:r>
            <w:r w:rsidR="00F90DF7" w:rsidRPr="00FC7F1E">
              <w:rPr>
                <w:b w:val="0"/>
                <w:lang w:val="en-AU"/>
              </w:rPr>
              <w:t>a 5-year time horizon</w:t>
            </w:r>
            <w:r w:rsidRPr="00FC7F1E">
              <w:rPr>
                <w:b w:val="0"/>
                <w:lang w:val="en-AU"/>
              </w:rPr>
              <w:t xml:space="preserve"> increased the ICER to </w:t>
            </w:r>
            <w:r w:rsidR="00F90DF7" w:rsidRPr="00FC7F1E">
              <w:rPr>
                <w:b w:val="0"/>
                <w:lang w:val="en-AU"/>
              </w:rPr>
              <w:t>$</w:t>
            </w:r>
            <w:r w:rsidR="008E2DDA">
              <w:rPr>
                <w:b w:val="0"/>
                <w:noProof/>
                <w:color w:val="000000"/>
                <w:highlight w:val="black"/>
                <w:lang w:val="en-AU"/>
              </w:rPr>
              <w:t>'''''''''''''''''''''</w:t>
            </w:r>
            <w:r w:rsidR="00DB2933" w:rsidRPr="00DB2933">
              <w:rPr>
                <w:b w:val="0"/>
                <w:vertAlign w:val="superscript"/>
                <w:lang w:val="en-AU"/>
              </w:rPr>
              <w:t>1</w:t>
            </w:r>
            <w:r w:rsidR="00F90DF7" w:rsidRPr="00FC7F1E">
              <w:rPr>
                <w:b w:val="0"/>
                <w:lang w:val="en-AU"/>
              </w:rPr>
              <w:t>/</w:t>
            </w:r>
            <w:r w:rsidRPr="00FC7F1E">
              <w:rPr>
                <w:b w:val="0"/>
                <w:lang w:val="en-AU"/>
              </w:rPr>
              <w:t>QALY gained.</w:t>
            </w:r>
          </w:p>
        </w:tc>
      </w:tr>
      <w:tr w:rsidR="007F02E7" w:rsidRPr="00FC7F1E" w14:paraId="0D3BE7A0" w14:textId="77777777" w:rsidTr="00CA098E">
        <w:tc>
          <w:tcPr>
            <w:tcW w:w="626" w:type="pct"/>
            <w:shd w:val="clear" w:color="auto" w:fill="auto"/>
            <w:vAlign w:val="center"/>
          </w:tcPr>
          <w:p w14:paraId="7A998312" w14:textId="77777777" w:rsidR="007F02E7" w:rsidRPr="00FC7F1E" w:rsidRDefault="007F02E7" w:rsidP="00CA098E">
            <w:pPr>
              <w:pStyle w:val="TableText0"/>
            </w:pPr>
            <w:r w:rsidRPr="00FC7F1E">
              <w:t>Rate of progression for standard care</w:t>
            </w:r>
          </w:p>
        </w:tc>
        <w:tc>
          <w:tcPr>
            <w:tcW w:w="2830" w:type="pct"/>
            <w:shd w:val="clear" w:color="auto" w:fill="auto"/>
            <w:vAlign w:val="center"/>
          </w:tcPr>
          <w:p w14:paraId="6E4632A9" w14:textId="77777777" w:rsidR="007F02E7" w:rsidRPr="00FC7F1E" w:rsidRDefault="007F02E7" w:rsidP="004B5A8A">
            <w:pPr>
              <w:pStyle w:val="TableText0"/>
            </w:pPr>
            <w:r w:rsidRPr="00FC7F1E">
              <w:t xml:space="preserve">A progression rate of 2.3% per annum based on </w:t>
            </w:r>
            <w:r w:rsidR="00510A1F" w:rsidRPr="00FC7F1E">
              <w:t xml:space="preserve">the </w:t>
            </w:r>
            <w:r w:rsidR="00F61FEB" w:rsidRPr="00FC7F1E">
              <w:t>re</w:t>
            </w:r>
            <w:r w:rsidR="00510A1F" w:rsidRPr="00FC7F1E">
              <w:t>submission’s calculation of weighted loss of ambulation in Zerres 1997. T</w:t>
            </w:r>
            <w:r w:rsidR="004B5A8A" w:rsidRPr="00FC7F1E">
              <w:t>he evaluation, ESC and PBAC considered t</w:t>
            </w:r>
            <w:r w:rsidR="00510A1F" w:rsidRPr="00FC7F1E">
              <w:t>his rate was substantially overestimated.</w:t>
            </w:r>
          </w:p>
        </w:tc>
        <w:tc>
          <w:tcPr>
            <w:tcW w:w="1544" w:type="pct"/>
            <w:shd w:val="clear" w:color="auto" w:fill="auto"/>
            <w:vAlign w:val="center"/>
          </w:tcPr>
          <w:p w14:paraId="1612779B" w14:textId="77777777" w:rsidR="007F02E7" w:rsidRPr="00FC7F1E" w:rsidRDefault="007F02E7" w:rsidP="00610DCB">
            <w:pPr>
              <w:pStyle w:val="TableText0"/>
              <w:jc w:val="center"/>
            </w:pPr>
            <w:r w:rsidRPr="00FC7F1E">
              <w:t>High, favours nusinersen</w:t>
            </w:r>
          </w:p>
          <w:p w14:paraId="5D8332AC" w14:textId="77777777" w:rsidR="007F02E7" w:rsidRPr="00FC7F1E" w:rsidRDefault="007F02E7" w:rsidP="00610DCB">
            <w:pPr>
              <w:pStyle w:val="TableText0"/>
              <w:jc w:val="center"/>
            </w:pPr>
            <w:r w:rsidRPr="00FC7F1E">
              <w:t>Use of a 1% rate of progression per annum increased the ICER to $</w:t>
            </w:r>
            <w:r w:rsidR="008E2DDA">
              <w:rPr>
                <w:noProof/>
                <w:color w:val="000000"/>
                <w:highlight w:val="black"/>
              </w:rPr>
              <w:t>''''''''''''''''''''''''''</w:t>
            </w:r>
            <w:r w:rsidR="00DB2933" w:rsidRPr="00DB2933">
              <w:rPr>
                <w:vertAlign w:val="superscript"/>
              </w:rPr>
              <w:t>1</w:t>
            </w:r>
          </w:p>
        </w:tc>
      </w:tr>
      <w:tr w:rsidR="00DA7667" w:rsidRPr="00FC7F1E" w14:paraId="31E5686A" w14:textId="77777777" w:rsidTr="000E4D38">
        <w:tc>
          <w:tcPr>
            <w:tcW w:w="626" w:type="pct"/>
            <w:shd w:val="clear" w:color="auto" w:fill="auto"/>
            <w:vAlign w:val="center"/>
          </w:tcPr>
          <w:p w14:paraId="4E319142" w14:textId="77777777" w:rsidR="00DA7667" w:rsidRPr="00FC7F1E" w:rsidRDefault="00DA7667" w:rsidP="000E4D38">
            <w:pPr>
              <w:pStyle w:val="TableText0"/>
            </w:pPr>
            <w:r w:rsidRPr="00FC7F1E">
              <w:t>Extrapolation</w:t>
            </w:r>
          </w:p>
        </w:tc>
        <w:tc>
          <w:tcPr>
            <w:tcW w:w="2830" w:type="pct"/>
            <w:shd w:val="clear" w:color="auto" w:fill="auto"/>
            <w:vAlign w:val="center"/>
          </w:tcPr>
          <w:p w14:paraId="5E9E6A4A" w14:textId="77777777" w:rsidR="00DA7667" w:rsidRPr="00FC7F1E" w:rsidRDefault="00DA7667" w:rsidP="000E4D38">
            <w:pPr>
              <w:pStyle w:val="TableText0"/>
            </w:pPr>
            <w:r w:rsidRPr="00FC7F1E">
              <w:t>The resubmission assumed that the treatment effect of nusinersen would not dissipate over time, and therefore that patients would only decline into a lower health state over time if they discontinued treatment. This assumption was not justified.</w:t>
            </w:r>
          </w:p>
        </w:tc>
        <w:tc>
          <w:tcPr>
            <w:tcW w:w="1544" w:type="pct"/>
            <w:shd w:val="clear" w:color="auto" w:fill="auto"/>
            <w:vAlign w:val="center"/>
          </w:tcPr>
          <w:p w14:paraId="7E608680" w14:textId="77777777" w:rsidR="00DA7667" w:rsidRPr="00FC7F1E" w:rsidRDefault="00DA7667" w:rsidP="000E4D38">
            <w:pPr>
              <w:pStyle w:val="TableText0"/>
              <w:jc w:val="center"/>
            </w:pPr>
            <w:r w:rsidRPr="00FC7F1E">
              <w:t>High, favours nusinersen</w:t>
            </w:r>
          </w:p>
          <w:p w14:paraId="5814D2BC" w14:textId="77777777" w:rsidR="00DA7667" w:rsidRPr="00FC7F1E" w:rsidRDefault="00DA7667" w:rsidP="00733229">
            <w:pPr>
              <w:pStyle w:val="TableText0"/>
              <w:jc w:val="center"/>
            </w:pPr>
            <w:r w:rsidRPr="00FC7F1E">
              <w:t>This was difficult to test in a sensitivity analysis, however assuming a progression odds ratio of 0.25 (that patients on nusinersen progress at a quarter of the rate of standard of care patients), and assuming that only 50% of patients discontinue treatment after progression on nusinersen</w:t>
            </w:r>
            <w:r w:rsidR="00733229" w:rsidRPr="00FC7F1E">
              <w:t xml:space="preserve">, </w:t>
            </w:r>
            <w:r w:rsidRPr="00FC7F1E">
              <w:t xml:space="preserve">the ICER </w:t>
            </w:r>
            <w:r w:rsidR="00733229" w:rsidRPr="00FC7F1E">
              <w:t xml:space="preserve">increased </w:t>
            </w:r>
            <w:r w:rsidRPr="00FC7F1E">
              <w:t>to $</w:t>
            </w:r>
            <w:r w:rsidR="008E2DDA">
              <w:rPr>
                <w:noProof/>
                <w:color w:val="000000"/>
                <w:highlight w:val="black"/>
              </w:rPr>
              <w:t>'''''''''''''''''''''''''</w:t>
            </w:r>
            <w:r w:rsidR="00DB2933" w:rsidRPr="00DB2933">
              <w:rPr>
                <w:vertAlign w:val="superscript"/>
              </w:rPr>
              <w:t>1</w:t>
            </w:r>
            <w:r w:rsidRPr="00DB2933">
              <w:rPr>
                <w:vertAlign w:val="superscript"/>
              </w:rPr>
              <w:t xml:space="preserve"> </w:t>
            </w:r>
            <w:r w:rsidRPr="00FC7F1E">
              <w:t>per QALY</w:t>
            </w:r>
          </w:p>
        </w:tc>
      </w:tr>
      <w:tr w:rsidR="00B81B23" w:rsidRPr="00FC7F1E" w14:paraId="71B78717" w14:textId="77777777" w:rsidTr="00CA098E">
        <w:tc>
          <w:tcPr>
            <w:tcW w:w="626" w:type="pct"/>
            <w:shd w:val="clear" w:color="auto" w:fill="auto"/>
            <w:vAlign w:val="center"/>
          </w:tcPr>
          <w:p w14:paraId="48E3767C" w14:textId="77777777" w:rsidR="00B81B23" w:rsidRPr="00FC7F1E" w:rsidRDefault="00B81B23" w:rsidP="00CA098E">
            <w:pPr>
              <w:pStyle w:val="TableText0"/>
            </w:pPr>
            <w:r w:rsidRPr="00FC7F1E">
              <w:t xml:space="preserve">Utility benefit for increase in 6MWT </w:t>
            </w:r>
          </w:p>
        </w:tc>
        <w:tc>
          <w:tcPr>
            <w:tcW w:w="2830" w:type="pct"/>
            <w:shd w:val="clear" w:color="auto" w:fill="auto"/>
            <w:vAlign w:val="center"/>
          </w:tcPr>
          <w:p w14:paraId="594553EE" w14:textId="77777777" w:rsidR="00B81B23" w:rsidRPr="00FC7F1E" w:rsidRDefault="00B81B23" w:rsidP="00510A1F">
            <w:pPr>
              <w:pStyle w:val="TableText0"/>
            </w:pPr>
            <w:r w:rsidRPr="00FC7F1E">
              <w:t xml:space="preserve">The resubmission inappropriately applied a utility benefit for increased distance walked in the 6MWT to all patients, rather than to just patients who were already ambulant when they started nusinersen. </w:t>
            </w:r>
          </w:p>
        </w:tc>
        <w:tc>
          <w:tcPr>
            <w:tcW w:w="1544" w:type="pct"/>
            <w:shd w:val="clear" w:color="auto" w:fill="auto"/>
            <w:vAlign w:val="center"/>
          </w:tcPr>
          <w:p w14:paraId="53B1A5FB" w14:textId="77777777" w:rsidR="00B81B23" w:rsidRPr="00FC7F1E" w:rsidRDefault="00B81B23" w:rsidP="00610DCB">
            <w:pPr>
              <w:pStyle w:val="TableText0"/>
              <w:jc w:val="center"/>
            </w:pPr>
            <w:r w:rsidRPr="00FC7F1E">
              <w:t>High, favours nusinersen</w:t>
            </w:r>
          </w:p>
          <w:p w14:paraId="613963D3" w14:textId="77777777" w:rsidR="00B81B23" w:rsidRPr="00FC7F1E" w:rsidRDefault="00B81B23" w:rsidP="000A2EFE">
            <w:pPr>
              <w:pStyle w:val="TableText0"/>
              <w:jc w:val="center"/>
            </w:pPr>
            <w:r w:rsidRPr="00FC7F1E">
              <w:t>Correction of this error increased the ICER to $</w:t>
            </w:r>
            <w:r w:rsidR="008E2DDA">
              <w:rPr>
                <w:noProof/>
                <w:color w:val="000000"/>
                <w:highlight w:val="black"/>
              </w:rPr>
              <w:t>''''''''''''''''''''''''</w:t>
            </w:r>
            <w:r w:rsidR="00DB2933" w:rsidRPr="00DB2933">
              <w:rPr>
                <w:vertAlign w:val="superscript"/>
              </w:rPr>
              <w:t>1</w:t>
            </w:r>
            <w:r w:rsidRPr="00FC7F1E">
              <w:t xml:space="preserve"> per QALY</w:t>
            </w:r>
            <w:r w:rsidR="00403FAB" w:rsidRPr="00FC7F1E">
              <w:t>. T</w:t>
            </w:r>
            <w:r w:rsidR="00536046" w:rsidRPr="00FC7F1E">
              <w:t xml:space="preserve">he ESC </w:t>
            </w:r>
            <w:r w:rsidR="00403FAB" w:rsidRPr="00FC7F1E">
              <w:t xml:space="preserve">considered </w:t>
            </w:r>
            <w:r w:rsidR="000A2EFE" w:rsidRPr="00FC7F1E">
              <w:t>this would be a more appropriate</w:t>
            </w:r>
            <w:r w:rsidR="00403FAB" w:rsidRPr="00FC7F1E">
              <w:t xml:space="preserve"> base case.</w:t>
            </w:r>
          </w:p>
        </w:tc>
      </w:tr>
      <w:tr w:rsidR="00537182" w:rsidRPr="00FC7F1E" w14:paraId="38D35863" w14:textId="77777777" w:rsidTr="00CA098E">
        <w:tc>
          <w:tcPr>
            <w:tcW w:w="626" w:type="pct"/>
            <w:shd w:val="clear" w:color="auto" w:fill="auto"/>
            <w:vAlign w:val="center"/>
          </w:tcPr>
          <w:p w14:paraId="28C67DB6" w14:textId="77777777" w:rsidR="00D110BD" w:rsidRPr="00FC7F1E" w:rsidRDefault="00106B80" w:rsidP="00CA098E">
            <w:pPr>
              <w:pStyle w:val="TableText0"/>
            </w:pPr>
            <w:r w:rsidRPr="00FC7F1E">
              <w:t>Utilities</w:t>
            </w:r>
            <w:r w:rsidR="00B81B23" w:rsidRPr="00FC7F1E">
              <w:t xml:space="preserve"> for health states</w:t>
            </w:r>
          </w:p>
        </w:tc>
        <w:tc>
          <w:tcPr>
            <w:tcW w:w="2830" w:type="pct"/>
            <w:shd w:val="clear" w:color="auto" w:fill="auto"/>
            <w:vAlign w:val="center"/>
          </w:tcPr>
          <w:p w14:paraId="61D16870" w14:textId="77777777" w:rsidR="00D110BD" w:rsidRPr="00FC7F1E" w:rsidRDefault="00510A1F" w:rsidP="004B5A8A">
            <w:pPr>
              <w:pStyle w:val="TableText0"/>
            </w:pPr>
            <w:r w:rsidRPr="00FC7F1E">
              <w:t xml:space="preserve">The </w:t>
            </w:r>
            <w:r w:rsidR="004B5A8A" w:rsidRPr="00FC7F1E">
              <w:t xml:space="preserve">evaluation, ESC and PBAC considered that the </w:t>
            </w:r>
            <w:r w:rsidRPr="00FC7F1E">
              <w:t xml:space="preserve">utility values </w:t>
            </w:r>
            <w:r w:rsidR="00106B80" w:rsidRPr="00FC7F1E">
              <w:t xml:space="preserve">for </w:t>
            </w:r>
            <w:r w:rsidRPr="00FC7F1E">
              <w:t xml:space="preserve">the </w:t>
            </w:r>
            <w:r w:rsidR="00106B80" w:rsidRPr="00FC7F1E">
              <w:t xml:space="preserve">model health states taken from </w:t>
            </w:r>
            <w:r w:rsidRPr="00FC7F1E">
              <w:t xml:space="preserve">Lloyd 2019 </w:t>
            </w:r>
            <w:r w:rsidR="004B5A8A" w:rsidRPr="00FC7F1E">
              <w:t>were</w:t>
            </w:r>
            <w:r w:rsidRPr="00FC7F1E">
              <w:t xml:space="preserve"> highly uncertain</w:t>
            </w:r>
            <w:r w:rsidR="005B0575" w:rsidRPr="00FC7F1E">
              <w:t>.</w:t>
            </w:r>
          </w:p>
        </w:tc>
        <w:tc>
          <w:tcPr>
            <w:tcW w:w="1544" w:type="pct"/>
            <w:shd w:val="clear" w:color="auto" w:fill="auto"/>
            <w:vAlign w:val="center"/>
          </w:tcPr>
          <w:p w14:paraId="39A068CE" w14:textId="77777777" w:rsidR="00D91577" w:rsidRPr="00FC7F1E" w:rsidRDefault="00537182" w:rsidP="00610DCB">
            <w:pPr>
              <w:pStyle w:val="TableText0"/>
              <w:jc w:val="center"/>
            </w:pPr>
            <w:r w:rsidRPr="00FC7F1E">
              <w:t>High</w:t>
            </w:r>
            <w:r w:rsidR="006E2172" w:rsidRPr="00FC7F1E">
              <w:t>, unclear direction of bias</w:t>
            </w:r>
          </w:p>
          <w:p w14:paraId="59E171B0" w14:textId="77777777" w:rsidR="00D110BD" w:rsidRPr="00FC7F1E" w:rsidRDefault="00490B17" w:rsidP="003943C7">
            <w:pPr>
              <w:pStyle w:val="TableText0"/>
              <w:jc w:val="center"/>
            </w:pPr>
            <w:r w:rsidRPr="00FC7F1E">
              <w:t xml:space="preserve">Use of </w:t>
            </w:r>
            <w:r w:rsidR="007F02E7" w:rsidRPr="00FC7F1E">
              <w:t xml:space="preserve">alternative </w:t>
            </w:r>
            <w:r w:rsidRPr="00FC7F1E">
              <w:t>utilities</w:t>
            </w:r>
            <w:r w:rsidR="007F02E7" w:rsidRPr="00FC7F1E">
              <w:t xml:space="preserve"> estimated by NICE clinical experts reduced th</w:t>
            </w:r>
            <w:r w:rsidR="002B2ADB" w:rsidRPr="00FC7F1E">
              <w:t>e</w:t>
            </w:r>
            <w:r w:rsidRPr="00FC7F1E">
              <w:t xml:space="preserve"> ICER to $</w:t>
            </w:r>
            <w:r w:rsidR="008E2DDA">
              <w:rPr>
                <w:noProof/>
                <w:color w:val="000000"/>
                <w:highlight w:val="black"/>
              </w:rPr>
              <w:t>''''''''''''''''''''''''</w:t>
            </w:r>
            <w:r w:rsidR="00DB2933" w:rsidRPr="00DB2933">
              <w:rPr>
                <w:vertAlign w:val="superscript"/>
              </w:rPr>
              <w:t>1</w:t>
            </w:r>
            <w:r w:rsidRPr="00FC7F1E">
              <w:t>/QALY gained.</w:t>
            </w:r>
          </w:p>
        </w:tc>
      </w:tr>
    </w:tbl>
    <w:p w14:paraId="1EF29393" w14:textId="77777777" w:rsidR="00D110BD" w:rsidRDefault="009D792E" w:rsidP="009167A6">
      <w:pPr>
        <w:pStyle w:val="TableFigureFooter"/>
        <w:spacing w:after="240"/>
      </w:pPr>
      <w:r w:rsidRPr="00FC7F1E">
        <w:t xml:space="preserve">Source: </w:t>
      </w:r>
      <w:r w:rsidR="008331A2" w:rsidRPr="00FC7F1E">
        <w:t xml:space="preserve">Compiled during the evaluation from Section 3 </w:t>
      </w:r>
      <w:r w:rsidRPr="00FC7F1E">
        <w:t xml:space="preserve">of the </w:t>
      </w:r>
      <w:r w:rsidR="00C21E01" w:rsidRPr="00FC7F1E">
        <w:t>re</w:t>
      </w:r>
      <w:r w:rsidRPr="00FC7F1E">
        <w:t>submission</w:t>
      </w:r>
      <w:r w:rsidR="008331A2" w:rsidRPr="00FC7F1E">
        <w:t xml:space="preserve"> and calculations undertaken during the evaluation</w:t>
      </w:r>
      <w:r w:rsidRPr="00FC7F1E">
        <w:t>.</w:t>
      </w:r>
    </w:p>
    <w:p w14:paraId="5B143E6D" w14:textId="77777777" w:rsidR="00DB2933" w:rsidRPr="00DB2933" w:rsidRDefault="00DB2933" w:rsidP="009167A6">
      <w:pPr>
        <w:pStyle w:val="TableFigureFooter"/>
        <w:spacing w:after="240"/>
        <w:rPr>
          <w:i/>
        </w:rPr>
      </w:pPr>
      <w:r w:rsidRPr="00DB2933">
        <w:rPr>
          <w:i/>
        </w:rPr>
        <w:t>The redacted values correspond to the following ranges:</w:t>
      </w:r>
    </w:p>
    <w:p w14:paraId="32ABB523" w14:textId="77777777" w:rsidR="00DB2933" w:rsidRPr="00DB2933" w:rsidRDefault="00DB2933" w:rsidP="009167A6">
      <w:pPr>
        <w:pStyle w:val="TableFigureFooter"/>
        <w:spacing w:after="240"/>
        <w:rPr>
          <w:i/>
        </w:rPr>
      </w:pPr>
      <w:r w:rsidRPr="00DB2933">
        <w:rPr>
          <w:i/>
          <w:vertAlign w:val="superscript"/>
        </w:rPr>
        <w:t>1</w:t>
      </w:r>
      <w:r w:rsidRPr="00DB2933">
        <w:rPr>
          <w:i/>
        </w:rPr>
        <w:t>&gt;$1,055,000/QALY gained</w:t>
      </w:r>
    </w:p>
    <w:p w14:paraId="0050DBE1" w14:textId="77777777" w:rsidR="00DB2933" w:rsidRPr="00FC7F1E" w:rsidRDefault="00DB2933" w:rsidP="009167A6">
      <w:pPr>
        <w:pStyle w:val="TableFigureFooter"/>
        <w:spacing w:after="240"/>
      </w:pPr>
    </w:p>
    <w:p w14:paraId="39100A40" w14:textId="77777777" w:rsidR="00871CB8" w:rsidRPr="00FC7F1E" w:rsidRDefault="00B20351" w:rsidP="00B20351">
      <w:pPr>
        <w:pStyle w:val="3-BodyText"/>
      </w:pPr>
      <w:r w:rsidRPr="00FC7F1E">
        <w:t>As for the November 2017 PBAC submission, the assumption that the treatment effect of nusinersen w</w:t>
      </w:r>
      <w:r w:rsidR="00E14C8C" w:rsidRPr="00FC7F1E">
        <w:t>ould</w:t>
      </w:r>
      <w:r w:rsidRPr="00FC7F1E">
        <w:t xml:space="preserve"> not dissipate over time </w:t>
      </w:r>
      <w:r w:rsidR="002B2ADB" w:rsidRPr="00FC7F1E">
        <w:t xml:space="preserve">for patients remaining on treatment </w:t>
      </w:r>
      <w:r w:rsidRPr="00FC7F1E">
        <w:t>was a key driver of the model</w:t>
      </w:r>
      <w:r w:rsidR="00747213" w:rsidRPr="00FC7F1E">
        <w:t xml:space="preserve"> (as depicted in the time horizon and the extrapolation rows in </w:t>
      </w:r>
      <w:r w:rsidR="00733229" w:rsidRPr="00FC7F1E">
        <w:rPr>
          <w:rStyle w:val="CommentReference"/>
          <w:rFonts w:asciiTheme="minorHAnsi" w:hAnsiTheme="minorHAnsi" w:cstheme="minorHAnsi"/>
          <w:b w:val="0"/>
          <w:sz w:val="24"/>
          <w:szCs w:val="24"/>
        </w:rPr>
        <w:t xml:space="preserve">Table </w:t>
      </w:r>
      <w:r w:rsidR="00AA3F5F" w:rsidRPr="00FC7F1E">
        <w:rPr>
          <w:rStyle w:val="CommentReference"/>
          <w:rFonts w:asciiTheme="minorHAnsi" w:hAnsiTheme="minorHAnsi" w:cstheme="minorHAnsi"/>
          <w:b w:val="0"/>
          <w:sz w:val="24"/>
          <w:szCs w:val="24"/>
        </w:rPr>
        <w:t>10</w:t>
      </w:r>
      <w:r w:rsidR="00747213" w:rsidRPr="00FC7F1E">
        <w:rPr>
          <w:rStyle w:val="CommentReference"/>
          <w:rFonts w:asciiTheme="minorHAnsi" w:hAnsiTheme="minorHAnsi" w:cstheme="minorHAnsi"/>
          <w:b w:val="0"/>
          <w:sz w:val="24"/>
          <w:szCs w:val="24"/>
        </w:rPr>
        <w:t xml:space="preserve"> </w:t>
      </w:r>
      <w:r w:rsidR="00747213" w:rsidRPr="00FC7F1E">
        <w:t>above).</w:t>
      </w:r>
      <w:r w:rsidR="00747213" w:rsidRPr="00FC7F1E" w:rsidDel="00747213">
        <w:t xml:space="preserve"> </w:t>
      </w:r>
      <w:r w:rsidR="00A07091" w:rsidRPr="00FC7F1E">
        <w:t>W</w:t>
      </w:r>
      <w:r w:rsidR="00871CB8" w:rsidRPr="00FC7F1E">
        <w:t>hile the model included an allowance for patient discontinuation</w:t>
      </w:r>
      <w:r w:rsidR="00266FEC" w:rsidRPr="00FC7F1E">
        <w:t xml:space="preserve"> (based on a calculated rate of 3.7%</w:t>
      </w:r>
      <w:r w:rsidR="00871B11" w:rsidRPr="00FC7F1E">
        <w:t xml:space="preserve"> at the 10 month time point</w:t>
      </w:r>
      <w:r w:rsidR="009F1F48" w:rsidRPr="00FC7F1E">
        <w:t xml:space="preserve"> from Hagenacker </w:t>
      </w:r>
      <w:r w:rsidR="009F1F48" w:rsidRPr="00FC7F1E">
        <w:lastRenderedPageBreak/>
        <w:t>2020</w:t>
      </w:r>
      <w:r w:rsidR="00266FEC" w:rsidRPr="00FC7F1E">
        <w:t>)</w:t>
      </w:r>
      <w:r w:rsidR="00871CB8" w:rsidRPr="00FC7F1E">
        <w:t>, it was not clear that all patients treated with nusinersen who display disease progression would discontinue treatment.</w:t>
      </w:r>
      <w:r w:rsidR="00266FEC" w:rsidRPr="00FC7F1E">
        <w:t xml:space="preserve"> </w:t>
      </w:r>
      <w:r w:rsidR="009F1F48" w:rsidRPr="00FC7F1E">
        <w:t>In the Hagenacker 2020 study at the 10-month time point for example, 6.5% of patients reported a worsening with respect to the HFMSE, and yet only 3.7% withdrew from treatment.</w:t>
      </w:r>
      <w:r w:rsidR="00662319" w:rsidRPr="00FC7F1E">
        <w:t xml:space="preserve"> In the Walter study after visit 4, </w:t>
      </w:r>
      <w:r w:rsidR="00EB2A63" w:rsidRPr="00FC7F1E">
        <w:t xml:space="preserve">only </w:t>
      </w:r>
      <w:r w:rsidR="00662319" w:rsidRPr="00FC7F1E">
        <w:t>2/19 patients withdrew their consent and stopped treatment (due to concerns regarding hydrocephalus development and planned pregnancy), however of the remaining patients, 5/17 reported disease worsening with respect to HFMSE by month 10</w:t>
      </w:r>
      <w:r w:rsidR="00130611" w:rsidRPr="00FC7F1E">
        <w:t xml:space="preserve"> (23.5%)</w:t>
      </w:r>
      <w:r w:rsidR="00662319" w:rsidRPr="00FC7F1E">
        <w:t>.</w:t>
      </w:r>
    </w:p>
    <w:p w14:paraId="376605FB" w14:textId="77777777" w:rsidR="007D3392" w:rsidRPr="00FC7F1E" w:rsidRDefault="009C5FF9" w:rsidP="00B20351">
      <w:pPr>
        <w:pStyle w:val="3-BodyText"/>
      </w:pPr>
      <w:r w:rsidRPr="00FC7F1E">
        <w:t>T</w:t>
      </w:r>
      <w:r w:rsidR="00F146A0" w:rsidRPr="00FC7F1E">
        <w:t xml:space="preserve">he </w:t>
      </w:r>
      <w:r w:rsidR="003D58CE" w:rsidRPr="00FC7F1E">
        <w:t xml:space="preserve">ESC considered that the </w:t>
      </w:r>
      <w:r w:rsidR="00F146A0" w:rsidRPr="00FC7F1E">
        <w:t xml:space="preserve">utilities </w:t>
      </w:r>
      <w:r w:rsidR="003D58CE" w:rsidRPr="00FC7F1E">
        <w:t xml:space="preserve">applied </w:t>
      </w:r>
      <w:r w:rsidR="00F146A0" w:rsidRPr="00FC7F1E">
        <w:t xml:space="preserve">in the </w:t>
      </w:r>
      <w:r w:rsidR="00637B7F" w:rsidRPr="00FC7F1E">
        <w:t xml:space="preserve">resubmission’s </w:t>
      </w:r>
      <w:r w:rsidR="00F146A0" w:rsidRPr="00FC7F1E">
        <w:t xml:space="preserve">model </w:t>
      </w:r>
      <w:r w:rsidR="003943C7" w:rsidRPr="00FC7F1E">
        <w:t>were</w:t>
      </w:r>
      <w:r w:rsidR="00937807" w:rsidRPr="00FC7F1E">
        <w:t xml:space="preserve"> </w:t>
      </w:r>
      <w:r w:rsidR="00E14C8C" w:rsidRPr="00FC7F1E">
        <w:t xml:space="preserve">not </w:t>
      </w:r>
      <w:r w:rsidR="003D58CE" w:rsidRPr="00FC7F1E">
        <w:t xml:space="preserve">reliable. </w:t>
      </w:r>
      <w:r w:rsidR="00A65204" w:rsidRPr="00FC7F1E">
        <w:t xml:space="preserve">The utility estimates applied in the resubmission were from Lloyd 2019, which were based on proxy completion of the EQ-5D-Y (a youth version of the EQ-5D-3L) by five clinical experts using case vignettes. These were </w:t>
      </w:r>
      <w:r w:rsidR="00564362" w:rsidRPr="00FC7F1E">
        <w:t xml:space="preserve">then </w:t>
      </w:r>
      <w:r w:rsidR="00A65204" w:rsidRPr="00FC7F1E">
        <w:t xml:space="preserve">valued using the adult EQ-5D-3L algorithm, and then applied to adults. </w:t>
      </w:r>
      <w:r w:rsidR="00321AA2" w:rsidRPr="00FC7F1E">
        <w:t xml:space="preserve">The ESC acknowledged the difficulties associated with valuation of health in rare childhood conditions, but </w:t>
      </w:r>
      <w:r w:rsidR="002477A9" w:rsidRPr="00FC7F1E">
        <w:t>even in this context</w:t>
      </w:r>
      <w:r w:rsidR="00564362" w:rsidRPr="00FC7F1E">
        <w:t>,</w:t>
      </w:r>
      <w:r w:rsidR="002477A9" w:rsidRPr="00FC7F1E">
        <w:t xml:space="preserve"> </w:t>
      </w:r>
      <w:r w:rsidR="00321AA2" w:rsidRPr="00FC7F1E">
        <w:t xml:space="preserve">considered </w:t>
      </w:r>
      <w:r w:rsidR="00A65204" w:rsidRPr="00FC7F1E">
        <w:t xml:space="preserve">the utility weights </w:t>
      </w:r>
      <w:r w:rsidR="00321AA2" w:rsidRPr="00FC7F1E">
        <w:t xml:space="preserve">applied </w:t>
      </w:r>
      <w:r w:rsidR="00A65204" w:rsidRPr="00FC7F1E">
        <w:t xml:space="preserve">were </w:t>
      </w:r>
      <w:r w:rsidR="00E34059" w:rsidRPr="00FC7F1E">
        <w:t xml:space="preserve">not sufficiently </w:t>
      </w:r>
      <w:r w:rsidR="00321AA2" w:rsidRPr="00FC7F1E">
        <w:t>reliable</w:t>
      </w:r>
      <w:r w:rsidR="00E34059" w:rsidRPr="00FC7F1E">
        <w:t xml:space="preserve"> for decision-making purposes</w:t>
      </w:r>
      <w:r w:rsidR="00321AA2" w:rsidRPr="00FC7F1E">
        <w:t xml:space="preserve"> and </w:t>
      </w:r>
      <w:r w:rsidR="00E34059" w:rsidRPr="00FC7F1E">
        <w:t xml:space="preserve">were </w:t>
      </w:r>
      <w:r w:rsidR="00A65204" w:rsidRPr="00FC7F1E">
        <w:t xml:space="preserve">unlikely to capture the health-related quality of life of the requested patient population </w:t>
      </w:r>
      <w:r w:rsidR="00EB2A63" w:rsidRPr="00FC7F1E">
        <w:t>due to</w:t>
      </w:r>
      <w:r w:rsidR="00A65204" w:rsidRPr="00FC7F1E">
        <w:t>: the use of vignettes rather than observed data; the small survey of proxy clinician completers; and the use of the adult scoring algorithm for child-specific health states.</w:t>
      </w:r>
      <w:r w:rsidR="002477A9" w:rsidRPr="00FC7F1E">
        <w:t xml:space="preserve"> The ESC also noted that </w:t>
      </w:r>
      <w:r w:rsidR="002477A9" w:rsidRPr="00FC7F1E">
        <w:rPr>
          <w:rFonts w:cstheme="minorHAnsi"/>
          <w:color w:val="0E0E0E"/>
          <w:shd w:val="clear" w:color="auto" w:fill="FAFAFB"/>
        </w:rPr>
        <w:t>the case vignettes described Type I and Type II SMA</w:t>
      </w:r>
      <w:r w:rsidR="008332F7" w:rsidRPr="00FC7F1E">
        <w:rPr>
          <w:rFonts w:cstheme="minorHAnsi"/>
          <w:color w:val="0E0E0E"/>
          <w:shd w:val="clear" w:color="auto" w:fill="FAFAFB"/>
        </w:rPr>
        <w:t>, and the utility weights applied</w:t>
      </w:r>
      <w:r w:rsidR="002477A9" w:rsidRPr="00FC7F1E">
        <w:rPr>
          <w:rFonts w:cstheme="minorHAnsi"/>
          <w:color w:val="0E0E0E"/>
          <w:shd w:val="clear" w:color="auto" w:fill="FAFAFB"/>
        </w:rPr>
        <w:t xml:space="preserve"> were based on values derived predominantly for patients with Type II SMA. It </w:t>
      </w:r>
      <w:r w:rsidR="00637B7F" w:rsidRPr="00FC7F1E">
        <w:rPr>
          <w:rFonts w:cstheme="minorHAnsi"/>
          <w:color w:val="0E0E0E"/>
          <w:shd w:val="clear" w:color="auto" w:fill="FAFAFB"/>
        </w:rPr>
        <w:t>wa</w:t>
      </w:r>
      <w:r w:rsidR="002477A9" w:rsidRPr="00FC7F1E">
        <w:rPr>
          <w:rFonts w:cstheme="minorHAnsi"/>
          <w:color w:val="0E0E0E"/>
          <w:shd w:val="clear" w:color="auto" w:fill="FAFAFB"/>
        </w:rPr>
        <w:t xml:space="preserve">s </w:t>
      </w:r>
      <w:r w:rsidR="00D32494" w:rsidRPr="00FC7F1E">
        <w:rPr>
          <w:rFonts w:cstheme="minorHAnsi"/>
          <w:color w:val="0E0E0E"/>
          <w:shd w:val="clear" w:color="auto" w:fill="FAFAFB"/>
        </w:rPr>
        <w:t>u</w:t>
      </w:r>
      <w:r w:rsidR="002477A9" w:rsidRPr="00FC7F1E">
        <w:rPr>
          <w:rFonts w:cstheme="minorHAnsi"/>
          <w:color w:val="0E0E0E"/>
          <w:shd w:val="clear" w:color="auto" w:fill="FAFAFB"/>
        </w:rPr>
        <w:t xml:space="preserve">nclear </w:t>
      </w:r>
      <w:r w:rsidR="00637B7F" w:rsidRPr="00FC7F1E">
        <w:rPr>
          <w:rFonts w:cstheme="minorHAnsi"/>
          <w:color w:val="0E0E0E"/>
          <w:shd w:val="clear" w:color="auto" w:fill="FAFAFB"/>
        </w:rPr>
        <w:t xml:space="preserve">if </w:t>
      </w:r>
      <w:r w:rsidR="002477A9" w:rsidRPr="00FC7F1E">
        <w:rPr>
          <w:rFonts w:cstheme="minorHAnsi"/>
          <w:color w:val="0E0E0E"/>
          <w:shd w:val="clear" w:color="auto" w:fill="FAFAFB"/>
        </w:rPr>
        <w:t xml:space="preserve">these values </w:t>
      </w:r>
      <w:r w:rsidR="00637B7F" w:rsidRPr="00FC7F1E">
        <w:rPr>
          <w:rFonts w:cstheme="minorHAnsi"/>
          <w:color w:val="0E0E0E"/>
          <w:shd w:val="clear" w:color="auto" w:fill="FAFAFB"/>
        </w:rPr>
        <w:t xml:space="preserve">are applicable to patients with </w:t>
      </w:r>
      <w:r w:rsidR="002477A9" w:rsidRPr="00FC7F1E">
        <w:rPr>
          <w:rFonts w:cstheme="minorHAnsi"/>
          <w:color w:val="0E0E0E"/>
          <w:shd w:val="clear" w:color="auto" w:fill="FAFAFB"/>
        </w:rPr>
        <w:t>Type III SMA and</w:t>
      </w:r>
      <w:r w:rsidRPr="00FC7F1E">
        <w:rPr>
          <w:rFonts w:cstheme="minorHAnsi"/>
          <w:color w:val="0E0E0E"/>
          <w:shd w:val="clear" w:color="auto" w:fill="FAFAFB"/>
        </w:rPr>
        <w:t xml:space="preserve">/or to </w:t>
      </w:r>
      <w:r w:rsidR="002477A9" w:rsidRPr="00FC7F1E">
        <w:rPr>
          <w:rFonts w:cstheme="minorHAnsi"/>
          <w:color w:val="0E0E0E"/>
          <w:shd w:val="clear" w:color="auto" w:fill="FAFAFB"/>
        </w:rPr>
        <w:t>adult patients, where the resubmission expects the majority of the new use of nusinersen to be.</w:t>
      </w:r>
    </w:p>
    <w:p w14:paraId="6000300B" w14:textId="77777777" w:rsidR="00A65204" w:rsidRPr="00FC7F1E" w:rsidRDefault="007D3392" w:rsidP="00B20351">
      <w:pPr>
        <w:pStyle w:val="3-BodyText"/>
      </w:pPr>
      <w:r w:rsidRPr="00FC7F1E">
        <w:t xml:space="preserve">The ESC </w:t>
      </w:r>
      <w:r w:rsidR="00E34059" w:rsidRPr="00FC7F1E">
        <w:t xml:space="preserve">expressed </w:t>
      </w:r>
      <w:r w:rsidR="00F8421F" w:rsidRPr="00FC7F1E">
        <w:t>a</w:t>
      </w:r>
      <w:r w:rsidR="00E34059" w:rsidRPr="00FC7F1E">
        <w:t xml:space="preserve"> preference for utilities </w:t>
      </w:r>
      <w:r w:rsidR="00564362" w:rsidRPr="00FC7F1E">
        <w:t xml:space="preserve">elicited from patient self-report data </w:t>
      </w:r>
      <w:r w:rsidR="00E34059" w:rsidRPr="00FC7F1E">
        <w:t xml:space="preserve">and considered that </w:t>
      </w:r>
      <w:r w:rsidR="00A0793A" w:rsidRPr="00FC7F1E">
        <w:t xml:space="preserve">it would be more appropriate for the resubmission to have conducted </w:t>
      </w:r>
      <w:r w:rsidR="00E34059" w:rsidRPr="00FC7F1E">
        <w:t xml:space="preserve">a utility study in Australian patients with SMA </w:t>
      </w:r>
      <w:r w:rsidR="00A0793A" w:rsidRPr="00FC7F1E">
        <w:t>who are relevant to the requested patient population</w:t>
      </w:r>
      <w:r w:rsidR="00E34059" w:rsidRPr="00FC7F1E">
        <w:t xml:space="preserve">. </w:t>
      </w:r>
    </w:p>
    <w:p w14:paraId="0240093D" w14:textId="77777777" w:rsidR="00B20351" w:rsidRPr="00FC7F1E" w:rsidRDefault="00871CB8" w:rsidP="00B20351">
      <w:pPr>
        <w:pStyle w:val="3-BodyText"/>
      </w:pPr>
      <w:r w:rsidRPr="00FC7F1E">
        <w:t>Further</w:t>
      </w:r>
      <w:r w:rsidR="00CA098E" w:rsidRPr="00FC7F1E">
        <w:t>,</w:t>
      </w:r>
      <w:r w:rsidRPr="00FC7F1E">
        <w:t xml:space="preserve"> the </w:t>
      </w:r>
      <w:r w:rsidR="00CA098E" w:rsidRPr="00FC7F1E">
        <w:t>re</w:t>
      </w:r>
      <w:r w:rsidRPr="00FC7F1E">
        <w:t xml:space="preserve">submission did not allow for variation in utility values over time for patients in a given health state, and the values were based on changes in motor function rather than being broad enough to capture other benefits such as independence or the ability to self-care. </w:t>
      </w:r>
    </w:p>
    <w:p w14:paraId="6DAF2A92" w14:textId="4D834CF1" w:rsidR="00B81B23" w:rsidRPr="00FC7F1E" w:rsidRDefault="00594434" w:rsidP="00B20351">
      <w:pPr>
        <w:pStyle w:val="3-BodyText"/>
      </w:pPr>
      <w:r w:rsidRPr="00FC7F1E">
        <w:t>The resubmission assumed that there would be a gain in distance walked in the 6MWT for nusinersen</w:t>
      </w:r>
      <w:r w:rsidR="003943C7" w:rsidRPr="00FC7F1E">
        <w:t>-</w:t>
      </w:r>
      <w:r w:rsidRPr="00FC7F1E">
        <w:t xml:space="preserve">treated patients, and a utility benefit for this of 0.021 (based on </w:t>
      </w:r>
      <w:r w:rsidR="00A07091" w:rsidRPr="00FC7F1E">
        <w:t xml:space="preserve">data from </w:t>
      </w:r>
      <w:r w:rsidRPr="00FC7F1E">
        <w:t>Hagenacker 2020 and Shafrin 2017</w:t>
      </w:r>
      <w:r w:rsidR="00422346">
        <w:rPr>
          <w:rStyle w:val="FootnoteReference"/>
        </w:rPr>
        <w:footnoteReference w:id="11"/>
      </w:r>
      <w:r w:rsidRPr="00FC7F1E">
        <w:t>) The resubmission in</w:t>
      </w:r>
      <w:r w:rsidR="009C5FF9" w:rsidRPr="00FC7F1E">
        <w:t>correctly</w:t>
      </w:r>
      <w:r w:rsidRPr="00FC7F1E">
        <w:t xml:space="preserve"> applied this benefit to all patients treated with nusinersen, rather than to just ambulatory patients, </w:t>
      </w:r>
      <w:r w:rsidR="00A60F93" w:rsidRPr="00FC7F1E">
        <w:t>which</w:t>
      </w:r>
      <w:r w:rsidRPr="00FC7F1E">
        <w:t xml:space="preserve"> underestimated the ICER. </w:t>
      </w:r>
      <w:r w:rsidR="00D32494" w:rsidRPr="00FC7F1E">
        <w:t xml:space="preserve">The ESC considered that the base case </w:t>
      </w:r>
      <w:r w:rsidR="00D32494" w:rsidRPr="00FC7F1E">
        <w:lastRenderedPageBreak/>
        <w:t xml:space="preserve">should be revised to correct for this error. </w:t>
      </w:r>
      <w:r w:rsidR="00EB2A63" w:rsidRPr="00FC7F1E">
        <w:t>Further</w:t>
      </w:r>
      <w:r w:rsidRPr="00FC7F1E">
        <w:t xml:space="preserve">, it was not apparent that a utility benefit should apply for increased distance walked in the 6MWT. </w:t>
      </w:r>
    </w:p>
    <w:p w14:paraId="740112D5" w14:textId="77777777" w:rsidR="00F26177" w:rsidRPr="00FC7F1E" w:rsidRDefault="00F26177" w:rsidP="00B20351">
      <w:pPr>
        <w:pStyle w:val="3-BodyText"/>
      </w:pPr>
      <w:r w:rsidRPr="00FC7F1E">
        <w:t xml:space="preserve">The results of the </w:t>
      </w:r>
      <w:r w:rsidR="00CA098E" w:rsidRPr="00FC7F1E">
        <w:t>re</w:t>
      </w:r>
      <w:r w:rsidRPr="00FC7F1E">
        <w:t xml:space="preserve">submission’s stepped economic evaluation are presented in </w:t>
      </w:r>
      <w:r w:rsidR="00082C7F" w:rsidRPr="00FC7F1E">
        <w:t>Table 1</w:t>
      </w:r>
      <w:r w:rsidR="00AA3F5F" w:rsidRPr="00FC7F1E">
        <w:t>1</w:t>
      </w:r>
      <w:r w:rsidRPr="00FC7F1E">
        <w:t>.</w:t>
      </w:r>
    </w:p>
    <w:p w14:paraId="683C6698" w14:textId="77777777" w:rsidR="00D110BD" w:rsidRPr="00FC7F1E" w:rsidRDefault="00CA098E" w:rsidP="00BB00B3">
      <w:pPr>
        <w:pStyle w:val="TableFigureHeading"/>
        <w:rPr>
          <w:rStyle w:val="CommentReference"/>
          <w:b/>
          <w:szCs w:val="24"/>
        </w:rPr>
      </w:pPr>
      <w:bookmarkStart w:id="37" w:name="_Ref49227148"/>
      <w:r w:rsidRPr="00FC7F1E">
        <w:rPr>
          <w:rStyle w:val="CommentReference"/>
          <w:b/>
          <w:szCs w:val="24"/>
        </w:rPr>
        <w:t xml:space="preserve">Table </w:t>
      </w:r>
      <w:bookmarkEnd w:id="37"/>
      <w:r w:rsidR="00AA3F5F" w:rsidRPr="00FC7F1E">
        <w:rPr>
          <w:rStyle w:val="CommentReference"/>
          <w:b/>
          <w:szCs w:val="24"/>
        </w:rPr>
        <w:t>11</w:t>
      </w:r>
      <w:r w:rsidR="005A373D" w:rsidRPr="00FC7F1E">
        <w:rPr>
          <w:rStyle w:val="CommentReference"/>
          <w:b/>
          <w:szCs w:val="24"/>
        </w:rPr>
        <w:t>: Results of the stepped economic evaluation</w:t>
      </w:r>
    </w:p>
    <w:tbl>
      <w:tblPr>
        <w:tblStyle w:val="ASDTable19"/>
        <w:tblW w:w="0" w:type="auto"/>
        <w:tblLook w:val="0620" w:firstRow="1" w:lastRow="0" w:firstColumn="0" w:lastColumn="0" w:noHBand="1" w:noVBand="1"/>
        <w:tblCaption w:val="Table 11: Results of the stepped economic evaluation"/>
      </w:tblPr>
      <w:tblGrid>
        <w:gridCol w:w="2972"/>
        <w:gridCol w:w="1895"/>
        <w:gridCol w:w="1895"/>
        <w:gridCol w:w="2254"/>
      </w:tblGrid>
      <w:tr w:rsidR="00C21E01" w:rsidRPr="00FC7F1E" w14:paraId="573DA1CF" w14:textId="77777777" w:rsidTr="00991867">
        <w:trPr>
          <w:tblHeader/>
        </w:trPr>
        <w:tc>
          <w:tcPr>
            <w:tcW w:w="2972" w:type="dxa"/>
            <w:tcBorders>
              <w:top w:val="single" w:sz="4" w:space="0" w:color="auto"/>
              <w:left w:val="single" w:sz="4" w:space="0" w:color="auto"/>
              <w:bottom w:val="single" w:sz="4" w:space="0" w:color="auto"/>
              <w:right w:val="single" w:sz="4" w:space="0" w:color="auto"/>
            </w:tcBorders>
            <w:hideMark/>
          </w:tcPr>
          <w:p w14:paraId="7038C0BD" w14:textId="77777777" w:rsidR="00C21E01" w:rsidRPr="00FC7F1E" w:rsidRDefault="00C21E01" w:rsidP="00C21E01">
            <w:pPr>
              <w:keepNext/>
              <w:keepLines/>
              <w:spacing w:before="20" w:after="20"/>
              <w:jc w:val="left"/>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Treatment arm</w:t>
            </w:r>
          </w:p>
        </w:tc>
        <w:tc>
          <w:tcPr>
            <w:tcW w:w="1895" w:type="dxa"/>
            <w:tcBorders>
              <w:top w:val="single" w:sz="4" w:space="0" w:color="auto"/>
              <w:left w:val="single" w:sz="4" w:space="0" w:color="auto"/>
              <w:bottom w:val="single" w:sz="4" w:space="0" w:color="auto"/>
              <w:right w:val="single" w:sz="4" w:space="0" w:color="auto"/>
            </w:tcBorders>
            <w:hideMark/>
          </w:tcPr>
          <w:p w14:paraId="4C47059A" w14:textId="77777777" w:rsidR="00C21E01" w:rsidRPr="00FC7F1E" w:rsidRDefault="00C21E01" w:rsidP="00C21E01">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Nusinersen</w:t>
            </w:r>
          </w:p>
        </w:tc>
        <w:tc>
          <w:tcPr>
            <w:tcW w:w="1895" w:type="dxa"/>
            <w:tcBorders>
              <w:top w:val="single" w:sz="4" w:space="0" w:color="auto"/>
              <w:left w:val="single" w:sz="4" w:space="0" w:color="auto"/>
              <w:bottom w:val="single" w:sz="4" w:space="0" w:color="auto"/>
              <w:right w:val="single" w:sz="4" w:space="0" w:color="auto"/>
            </w:tcBorders>
            <w:hideMark/>
          </w:tcPr>
          <w:p w14:paraId="5BAEB0FF" w14:textId="77777777" w:rsidR="00C21E01" w:rsidRPr="00FC7F1E" w:rsidRDefault="00C21E01" w:rsidP="00C21E01">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Standard of care</w:t>
            </w:r>
          </w:p>
        </w:tc>
        <w:tc>
          <w:tcPr>
            <w:tcW w:w="2254" w:type="dxa"/>
            <w:tcBorders>
              <w:top w:val="single" w:sz="4" w:space="0" w:color="auto"/>
              <w:left w:val="single" w:sz="4" w:space="0" w:color="auto"/>
              <w:bottom w:val="single" w:sz="4" w:space="0" w:color="auto"/>
              <w:right w:val="single" w:sz="4" w:space="0" w:color="auto"/>
            </w:tcBorders>
            <w:hideMark/>
          </w:tcPr>
          <w:p w14:paraId="57C90E7C" w14:textId="77777777" w:rsidR="00C21E01" w:rsidRPr="00FC7F1E" w:rsidRDefault="00C21E01" w:rsidP="00C21E01">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Difference</w:t>
            </w:r>
          </w:p>
        </w:tc>
      </w:tr>
      <w:tr w:rsidR="00C21E01" w:rsidRPr="00FC7F1E" w14:paraId="1AC623E7" w14:textId="77777777" w:rsidTr="00991867">
        <w:tc>
          <w:tcPr>
            <w:tcW w:w="9016" w:type="dxa"/>
            <w:gridSpan w:val="4"/>
            <w:tcBorders>
              <w:top w:val="single" w:sz="4" w:space="0" w:color="auto"/>
              <w:left w:val="single" w:sz="4" w:space="0" w:color="auto"/>
              <w:bottom w:val="single" w:sz="4" w:space="0" w:color="auto"/>
              <w:right w:val="single" w:sz="4" w:space="0" w:color="auto"/>
            </w:tcBorders>
          </w:tcPr>
          <w:p w14:paraId="72755837"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u w:val="single"/>
              </w:rPr>
            </w:pPr>
            <w:r w:rsidRPr="00FC7F1E">
              <w:rPr>
                <w:rFonts w:ascii="Arial Narrow" w:eastAsia="TimesNewRoman" w:hAnsi="Arial Narrow" w:cs="Times New Roman"/>
                <w:color w:val="000000"/>
                <w:sz w:val="20"/>
                <w:szCs w:val="20"/>
                <w:u w:val="single"/>
              </w:rPr>
              <w:t>Step 1: Trial-based cost per one point change in HFSME analysis - over 14 months</w:t>
            </w:r>
          </w:p>
        </w:tc>
      </w:tr>
      <w:tr w:rsidR="00C21E01" w:rsidRPr="00FC7F1E" w14:paraId="7EC49495" w14:textId="77777777" w:rsidTr="00991867">
        <w:tc>
          <w:tcPr>
            <w:tcW w:w="2972" w:type="dxa"/>
            <w:tcBorders>
              <w:top w:val="single" w:sz="4" w:space="0" w:color="auto"/>
              <w:left w:val="single" w:sz="4" w:space="0" w:color="auto"/>
              <w:bottom w:val="single" w:sz="4" w:space="0" w:color="auto"/>
              <w:right w:val="single" w:sz="4" w:space="0" w:color="auto"/>
            </w:tcBorders>
            <w:hideMark/>
          </w:tcPr>
          <w:p w14:paraId="3E5C1A60"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Cost</w:t>
            </w:r>
          </w:p>
        </w:tc>
        <w:tc>
          <w:tcPr>
            <w:tcW w:w="1895" w:type="dxa"/>
            <w:tcBorders>
              <w:top w:val="single" w:sz="4" w:space="0" w:color="auto"/>
              <w:left w:val="single" w:sz="4" w:space="0" w:color="auto"/>
              <w:bottom w:val="single" w:sz="4" w:space="0" w:color="auto"/>
              <w:right w:val="single" w:sz="4" w:space="0" w:color="auto"/>
            </w:tcBorders>
          </w:tcPr>
          <w:p w14:paraId="6E6CBD53"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895" w:type="dxa"/>
            <w:tcBorders>
              <w:top w:val="single" w:sz="4" w:space="0" w:color="auto"/>
              <w:left w:val="single" w:sz="4" w:space="0" w:color="auto"/>
              <w:bottom w:val="single" w:sz="4" w:space="0" w:color="auto"/>
              <w:right w:val="single" w:sz="4" w:space="0" w:color="auto"/>
            </w:tcBorders>
          </w:tcPr>
          <w:p w14:paraId="5CA7FAEF"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Pr="00357404">
              <w:rPr>
                <w:rFonts w:ascii="Arial Narrow" w:eastAsia="TimesNewRoman" w:hAnsi="Arial Narrow" w:cs="Times New Roman"/>
                <w:color w:val="000000"/>
                <w:sz w:val="20"/>
                <w:szCs w:val="20"/>
              </w:rPr>
              <w:t>0</w:t>
            </w:r>
          </w:p>
        </w:tc>
        <w:tc>
          <w:tcPr>
            <w:tcW w:w="2254" w:type="dxa"/>
            <w:tcBorders>
              <w:top w:val="single" w:sz="4" w:space="0" w:color="auto"/>
              <w:left w:val="single" w:sz="4" w:space="0" w:color="auto"/>
              <w:bottom w:val="single" w:sz="4" w:space="0" w:color="auto"/>
              <w:right w:val="single" w:sz="4" w:space="0" w:color="auto"/>
            </w:tcBorders>
          </w:tcPr>
          <w:p w14:paraId="33527E50"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r>
      <w:tr w:rsidR="00C21E01" w:rsidRPr="00FC7F1E" w14:paraId="07922874" w14:textId="77777777" w:rsidTr="00991867">
        <w:tc>
          <w:tcPr>
            <w:tcW w:w="2972" w:type="dxa"/>
            <w:tcBorders>
              <w:top w:val="single" w:sz="4" w:space="0" w:color="auto"/>
              <w:left w:val="single" w:sz="4" w:space="0" w:color="auto"/>
              <w:bottom w:val="single" w:sz="4" w:space="0" w:color="auto"/>
              <w:right w:val="single" w:sz="4" w:space="0" w:color="auto"/>
            </w:tcBorders>
            <w:hideMark/>
          </w:tcPr>
          <w:p w14:paraId="568509F2"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Mean change in HFSME</w:t>
            </w:r>
          </w:p>
        </w:tc>
        <w:tc>
          <w:tcPr>
            <w:tcW w:w="1895" w:type="dxa"/>
            <w:tcBorders>
              <w:top w:val="single" w:sz="4" w:space="0" w:color="auto"/>
              <w:left w:val="single" w:sz="4" w:space="0" w:color="auto"/>
              <w:bottom w:val="single" w:sz="4" w:space="0" w:color="auto"/>
              <w:right w:val="single" w:sz="4" w:space="0" w:color="auto"/>
            </w:tcBorders>
          </w:tcPr>
          <w:p w14:paraId="48DB5F75"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3.12</w:t>
            </w:r>
          </w:p>
        </w:tc>
        <w:tc>
          <w:tcPr>
            <w:tcW w:w="1895" w:type="dxa"/>
            <w:tcBorders>
              <w:top w:val="single" w:sz="4" w:space="0" w:color="auto"/>
              <w:left w:val="single" w:sz="4" w:space="0" w:color="auto"/>
              <w:bottom w:val="single" w:sz="4" w:space="0" w:color="auto"/>
              <w:right w:val="single" w:sz="4" w:space="0" w:color="auto"/>
            </w:tcBorders>
          </w:tcPr>
          <w:p w14:paraId="22E9DD7A"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w:t>
            </w:r>
          </w:p>
        </w:tc>
        <w:tc>
          <w:tcPr>
            <w:tcW w:w="2254" w:type="dxa"/>
            <w:tcBorders>
              <w:top w:val="single" w:sz="4" w:space="0" w:color="auto"/>
              <w:left w:val="single" w:sz="4" w:space="0" w:color="auto"/>
              <w:bottom w:val="single" w:sz="4" w:space="0" w:color="auto"/>
              <w:right w:val="single" w:sz="4" w:space="0" w:color="auto"/>
            </w:tcBorders>
          </w:tcPr>
          <w:p w14:paraId="00E26039"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3.12</w:t>
            </w:r>
          </w:p>
        </w:tc>
      </w:tr>
      <w:tr w:rsidR="00C21E01" w:rsidRPr="00FC7F1E" w14:paraId="7DE9B271" w14:textId="77777777" w:rsidTr="00991867">
        <w:tc>
          <w:tcPr>
            <w:tcW w:w="6762" w:type="dxa"/>
            <w:gridSpan w:val="3"/>
            <w:tcBorders>
              <w:top w:val="single" w:sz="4" w:space="0" w:color="auto"/>
              <w:left w:val="single" w:sz="4" w:space="0" w:color="auto"/>
              <w:bottom w:val="single" w:sz="4" w:space="0" w:color="auto"/>
              <w:right w:val="single" w:sz="4" w:space="0" w:color="auto"/>
            </w:tcBorders>
          </w:tcPr>
          <w:p w14:paraId="0D269108"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Incremental cost per one point change in HFMSE</w:t>
            </w:r>
          </w:p>
        </w:tc>
        <w:tc>
          <w:tcPr>
            <w:tcW w:w="2254" w:type="dxa"/>
            <w:tcBorders>
              <w:top w:val="single" w:sz="4" w:space="0" w:color="auto"/>
              <w:left w:val="single" w:sz="4" w:space="0" w:color="auto"/>
              <w:bottom w:val="single" w:sz="4" w:space="0" w:color="auto"/>
              <w:right w:val="single" w:sz="4" w:space="0" w:color="auto"/>
            </w:tcBorders>
          </w:tcPr>
          <w:p w14:paraId="1B96A94D" w14:textId="77777777" w:rsidR="00C21E01" w:rsidRPr="00FC7F1E" w:rsidRDefault="00C21E01" w:rsidP="00E930D6">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DB2933" w:rsidRPr="00DB2933">
              <w:rPr>
                <w:rFonts w:ascii="Arial Narrow" w:eastAsia="TimesNewRoman" w:hAnsi="Arial Narrow" w:cs="Times New Roman"/>
                <w:color w:val="000000"/>
                <w:sz w:val="20"/>
                <w:szCs w:val="20"/>
                <w:vertAlign w:val="superscript"/>
              </w:rPr>
              <w:t>1</w:t>
            </w:r>
          </w:p>
        </w:tc>
      </w:tr>
      <w:tr w:rsidR="00C21E01" w:rsidRPr="00FC7F1E" w14:paraId="19BA4FDD" w14:textId="77777777" w:rsidTr="00991867">
        <w:tc>
          <w:tcPr>
            <w:tcW w:w="9016" w:type="dxa"/>
            <w:gridSpan w:val="4"/>
            <w:tcBorders>
              <w:top w:val="single" w:sz="4" w:space="0" w:color="auto"/>
              <w:left w:val="single" w:sz="4" w:space="0" w:color="auto"/>
              <w:bottom w:val="single" w:sz="4" w:space="0" w:color="auto"/>
              <w:right w:val="single" w:sz="4" w:space="0" w:color="auto"/>
            </w:tcBorders>
          </w:tcPr>
          <w:p w14:paraId="096F9BD7"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u w:val="single"/>
              </w:rPr>
            </w:pPr>
            <w:r w:rsidRPr="00FC7F1E">
              <w:rPr>
                <w:rFonts w:ascii="Arial Narrow" w:eastAsia="TimesNewRoman" w:hAnsi="Arial Narrow" w:cs="Times New Roman"/>
                <w:color w:val="000000"/>
                <w:sz w:val="20"/>
                <w:szCs w:val="20"/>
                <w:u w:val="single"/>
              </w:rPr>
              <w:t>Alternate step 1: Trial-based cost per responder (3 point or more increase in HFSME - over 14 months</w:t>
            </w:r>
            <w:r w:rsidR="00CE1004" w:rsidRPr="00FC7F1E">
              <w:rPr>
                <w:rFonts w:ascii="Arial Narrow" w:eastAsia="TimesNewRoman" w:hAnsi="Arial Narrow" w:cs="Times New Roman"/>
                <w:color w:val="000000"/>
                <w:sz w:val="20"/>
                <w:szCs w:val="20"/>
                <w:u w:val="single"/>
              </w:rPr>
              <w:t>)</w:t>
            </w:r>
          </w:p>
        </w:tc>
      </w:tr>
      <w:tr w:rsidR="00C21E01" w:rsidRPr="00FC7F1E" w14:paraId="6981D65F" w14:textId="77777777" w:rsidTr="00991867">
        <w:tc>
          <w:tcPr>
            <w:tcW w:w="2972" w:type="dxa"/>
            <w:tcBorders>
              <w:top w:val="single" w:sz="4" w:space="0" w:color="auto"/>
              <w:left w:val="single" w:sz="4" w:space="0" w:color="auto"/>
              <w:bottom w:val="single" w:sz="4" w:space="0" w:color="auto"/>
              <w:right w:val="single" w:sz="4" w:space="0" w:color="auto"/>
            </w:tcBorders>
            <w:hideMark/>
          </w:tcPr>
          <w:p w14:paraId="1B969313"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Cost</w:t>
            </w:r>
          </w:p>
        </w:tc>
        <w:tc>
          <w:tcPr>
            <w:tcW w:w="1895" w:type="dxa"/>
            <w:tcBorders>
              <w:top w:val="single" w:sz="4" w:space="0" w:color="auto"/>
              <w:left w:val="single" w:sz="4" w:space="0" w:color="auto"/>
              <w:bottom w:val="single" w:sz="4" w:space="0" w:color="auto"/>
              <w:right w:val="single" w:sz="4" w:space="0" w:color="auto"/>
            </w:tcBorders>
          </w:tcPr>
          <w:p w14:paraId="7A9505CF"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895" w:type="dxa"/>
            <w:tcBorders>
              <w:top w:val="single" w:sz="4" w:space="0" w:color="auto"/>
              <w:left w:val="single" w:sz="4" w:space="0" w:color="auto"/>
              <w:bottom w:val="single" w:sz="4" w:space="0" w:color="auto"/>
              <w:right w:val="single" w:sz="4" w:space="0" w:color="auto"/>
            </w:tcBorders>
          </w:tcPr>
          <w:p w14:paraId="420CC219"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Pr="00357404">
              <w:rPr>
                <w:rFonts w:ascii="Arial Narrow" w:eastAsia="TimesNewRoman" w:hAnsi="Arial Narrow" w:cs="Times New Roman"/>
                <w:color w:val="000000"/>
                <w:sz w:val="20"/>
                <w:szCs w:val="20"/>
              </w:rPr>
              <w:t>0</w:t>
            </w:r>
          </w:p>
        </w:tc>
        <w:tc>
          <w:tcPr>
            <w:tcW w:w="2254" w:type="dxa"/>
            <w:tcBorders>
              <w:top w:val="single" w:sz="4" w:space="0" w:color="auto"/>
              <w:left w:val="single" w:sz="4" w:space="0" w:color="auto"/>
              <w:bottom w:val="single" w:sz="4" w:space="0" w:color="auto"/>
              <w:right w:val="single" w:sz="4" w:space="0" w:color="auto"/>
            </w:tcBorders>
          </w:tcPr>
          <w:p w14:paraId="7E7F0222"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r>
      <w:tr w:rsidR="00C21E01" w:rsidRPr="00FC7F1E" w14:paraId="05512D70" w14:textId="77777777" w:rsidTr="00991867">
        <w:tc>
          <w:tcPr>
            <w:tcW w:w="2972" w:type="dxa"/>
            <w:tcBorders>
              <w:top w:val="single" w:sz="4" w:space="0" w:color="auto"/>
              <w:left w:val="single" w:sz="4" w:space="0" w:color="auto"/>
              <w:bottom w:val="single" w:sz="4" w:space="0" w:color="auto"/>
              <w:right w:val="single" w:sz="4" w:space="0" w:color="auto"/>
            </w:tcBorders>
            <w:hideMark/>
          </w:tcPr>
          <w:p w14:paraId="3509FCD0"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Proportion of patients responding*</w:t>
            </w:r>
          </w:p>
        </w:tc>
        <w:tc>
          <w:tcPr>
            <w:tcW w:w="1895" w:type="dxa"/>
            <w:tcBorders>
              <w:top w:val="single" w:sz="4" w:space="0" w:color="auto"/>
              <w:left w:val="single" w:sz="4" w:space="0" w:color="auto"/>
              <w:bottom w:val="single" w:sz="4" w:space="0" w:color="auto"/>
              <w:right w:val="single" w:sz="4" w:space="0" w:color="auto"/>
            </w:tcBorders>
          </w:tcPr>
          <w:p w14:paraId="5B348C88"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40.4%</w:t>
            </w:r>
          </w:p>
        </w:tc>
        <w:tc>
          <w:tcPr>
            <w:tcW w:w="1895" w:type="dxa"/>
            <w:tcBorders>
              <w:top w:val="single" w:sz="4" w:space="0" w:color="auto"/>
              <w:left w:val="single" w:sz="4" w:space="0" w:color="auto"/>
              <w:bottom w:val="single" w:sz="4" w:space="0" w:color="auto"/>
              <w:right w:val="single" w:sz="4" w:space="0" w:color="auto"/>
            </w:tcBorders>
          </w:tcPr>
          <w:p w14:paraId="0A001680"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6.7%</w:t>
            </w:r>
          </w:p>
        </w:tc>
        <w:tc>
          <w:tcPr>
            <w:tcW w:w="2254" w:type="dxa"/>
            <w:tcBorders>
              <w:top w:val="single" w:sz="4" w:space="0" w:color="auto"/>
              <w:left w:val="single" w:sz="4" w:space="0" w:color="auto"/>
              <w:bottom w:val="single" w:sz="4" w:space="0" w:color="auto"/>
              <w:right w:val="single" w:sz="4" w:space="0" w:color="auto"/>
            </w:tcBorders>
          </w:tcPr>
          <w:p w14:paraId="406BDEDA"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33.7%</w:t>
            </w:r>
          </w:p>
        </w:tc>
      </w:tr>
      <w:tr w:rsidR="00C21E01" w:rsidRPr="00FC7F1E" w14:paraId="28572144" w14:textId="77777777" w:rsidTr="00991867">
        <w:tc>
          <w:tcPr>
            <w:tcW w:w="6762" w:type="dxa"/>
            <w:gridSpan w:val="3"/>
            <w:tcBorders>
              <w:top w:val="single" w:sz="4" w:space="0" w:color="auto"/>
              <w:left w:val="single" w:sz="4" w:space="0" w:color="auto"/>
              <w:bottom w:val="single" w:sz="4" w:space="0" w:color="auto"/>
              <w:right w:val="single" w:sz="4" w:space="0" w:color="auto"/>
            </w:tcBorders>
          </w:tcPr>
          <w:p w14:paraId="1648C5CE"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Incremental cost per responder</w:t>
            </w:r>
          </w:p>
        </w:tc>
        <w:tc>
          <w:tcPr>
            <w:tcW w:w="2254" w:type="dxa"/>
            <w:tcBorders>
              <w:top w:val="single" w:sz="4" w:space="0" w:color="auto"/>
              <w:left w:val="single" w:sz="4" w:space="0" w:color="auto"/>
              <w:bottom w:val="single" w:sz="4" w:space="0" w:color="auto"/>
              <w:right w:val="single" w:sz="4" w:space="0" w:color="auto"/>
            </w:tcBorders>
          </w:tcPr>
          <w:p w14:paraId="00D93872" w14:textId="77777777" w:rsidR="00C21E01" w:rsidRPr="00FC7F1E" w:rsidRDefault="00C21E01" w:rsidP="00E930D6">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DB2933" w:rsidRPr="00DB2933">
              <w:rPr>
                <w:rFonts w:ascii="Arial Narrow" w:eastAsia="TimesNewRoman" w:hAnsi="Arial Narrow" w:cs="Times New Roman"/>
                <w:color w:val="000000"/>
                <w:sz w:val="20"/>
                <w:szCs w:val="20"/>
                <w:vertAlign w:val="superscript"/>
              </w:rPr>
              <w:t>2</w:t>
            </w:r>
          </w:p>
        </w:tc>
      </w:tr>
      <w:tr w:rsidR="00C21E01" w:rsidRPr="00FC7F1E" w14:paraId="7B01D0D7" w14:textId="77777777" w:rsidTr="00991867">
        <w:tc>
          <w:tcPr>
            <w:tcW w:w="9016" w:type="dxa"/>
            <w:gridSpan w:val="4"/>
            <w:tcBorders>
              <w:top w:val="single" w:sz="4" w:space="0" w:color="auto"/>
              <w:left w:val="single" w:sz="4" w:space="0" w:color="auto"/>
              <w:bottom w:val="single" w:sz="4" w:space="0" w:color="auto"/>
              <w:right w:val="single" w:sz="4" w:space="0" w:color="auto"/>
            </w:tcBorders>
          </w:tcPr>
          <w:p w14:paraId="31A3FBDB"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u w:val="single"/>
              </w:rPr>
            </w:pPr>
            <w:r w:rsidRPr="00FC7F1E">
              <w:rPr>
                <w:rFonts w:ascii="Arial Narrow" w:eastAsia="TimesNewRoman" w:hAnsi="Arial Narrow" w:cs="Times New Roman"/>
                <w:color w:val="000000"/>
                <w:sz w:val="20"/>
                <w:szCs w:val="20"/>
                <w:u w:val="single"/>
              </w:rPr>
              <w:t>Step 2: Extrapolation of treatment costs: Modelled cost per one point change in HFSME analysis</w:t>
            </w:r>
          </w:p>
        </w:tc>
      </w:tr>
      <w:tr w:rsidR="00C21E01" w:rsidRPr="00FC7F1E" w14:paraId="27CE332B" w14:textId="77777777" w:rsidTr="00991867">
        <w:tc>
          <w:tcPr>
            <w:tcW w:w="2972" w:type="dxa"/>
            <w:tcBorders>
              <w:top w:val="single" w:sz="4" w:space="0" w:color="auto"/>
              <w:left w:val="single" w:sz="4" w:space="0" w:color="auto"/>
              <w:bottom w:val="single" w:sz="4" w:space="0" w:color="auto"/>
              <w:right w:val="single" w:sz="4" w:space="0" w:color="auto"/>
            </w:tcBorders>
            <w:hideMark/>
          </w:tcPr>
          <w:p w14:paraId="0FB5CD38"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Cost</w:t>
            </w:r>
          </w:p>
        </w:tc>
        <w:tc>
          <w:tcPr>
            <w:tcW w:w="1895" w:type="dxa"/>
            <w:tcBorders>
              <w:top w:val="single" w:sz="4" w:space="0" w:color="auto"/>
              <w:left w:val="single" w:sz="4" w:space="0" w:color="auto"/>
              <w:bottom w:val="single" w:sz="4" w:space="0" w:color="auto"/>
              <w:right w:val="single" w:sz="4" w:space="0" w:color="auto"/>
            </w:tcBorders>
          </w:tcPr>
          <w:p w14:paraId="4C8E9803"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895" w:type="dxa"/>
            <w:tcBorders>
              <w:top w:val="single" w:sz="4" w:space="0" w:color="auto"/>
              <w:left w:val="single" w:sz="4" w:space="0" w:color="auto"/>
              <w:bottom w:val="single" w:sz="4" w:space="0" w:color="auto"/>
              <w:right w:val="single" w:sz="4" w:space="0" w:color="auto"/>
            </w:tcBorders>
          </w:tcPr>
          <w:p w14:paraId="156A8D8C"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Pr="00357404">
              <w:rPr>
                <w:rFonts w:ascii="Arial Narrow" w:eastAsia="TimesNewRoman" w:hAnsi="Arial Narrow" w:cs="Times New Roman"/>
                <w:color w:val="000000"/>
                <w:sz w:val="20"/>
                <w:szCs w:val="20"/>
              </w:rPr>
              <w:t>0</w:t>
            </w:r>
          </w:p>
        </w:tc>
        <w:tc>
          <w:tcPr>
            <w:tcW w:w="2254" w:type="dxa"/>
            <w:tcBorders>
              <w:top w:val="single" w:sz="4" w:space="0" w:color="auto"/>
              <w:left w:val="single" w:sz="4" w:space="0" w:color="auto"/>
              <w:bottom w:val="single" w:sz="4" w:space="0" w:color="auto"/>
              <w:right w:val="single" w:sz="4" w:space="0" w:color="auto"/>
            </w:tcBorders>
          </w:tcPr>
          <w:p w14:paraId="33C50143"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r>
      <w:tr w:rsidR="00C21E01" w:rsidRPr="00FC7F1E" w14:paraId="47BD3516" w14:textId="77777777" w:rsidTr="00991867">
        <w:tc>
          <w:tcPr>
            <w:tcW w:w="2972" w:type="dxa"/>
            <w:tcBorders>
              <w:top w:val="single" w:sz="4" w:space="0" w:color="auto"/>
              <w:left w:val="single" w:sz="4" w:space="0" w:color="auto"/>
              <w:bottom w:val="single" w:sz="4" w:space="0" w:color="auto"/>
              <w:right w:val="single" w:sz="4" w:space="0" w:color="auto"/>
            </w:tcBorders>
            <w:hideMark/>
          </w:tcPr>
          <w:p w14:paraId="2C8DCB91"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Mean change in HFSME</w:t>
            </w:r>
          </w:p>
        </w:tc>
        <w:tc>
          <w:tcPr>
            <w:tcW w:w="1895" w:type="dxa"/>
            <w:tcBorders>
              <w:top w:val="single" w:sz="4" w:space="0" w:color="auto"/>
              <w:left w:val="single" w:sz="4" w:space="0" w:color="auto"/>
              <w:bottom w:val="single" w:sz="4" w:space="0" w:color="auto"/>
              <w:right w:val="single" w:sz="4" w:space="0" w:color="auto"/>
            </w:tcBorders>
          </w:tcPr>
          <w:p w14:paraId="56C75670"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3.12</w:t>
            </w:r>
          </w:p>
        </w:tc>
        <w:tc>
          <w:tcPr>
            <w:tcW w:w="1895" w:type="dxa"/>
            <w:tcBorders>
              <w:top w:val="single" w:sz="4" w:space="0" w:color="auto"/>
              <w:left w:val="single" w:sz="4" w:space="0" w:color="auto"/>
              <w:bottom w:val="single" w:sz="4" w:space="0" w:color="auto"/>
              <w:right w:val="single" w:sz="4" w:space="0" w:color="auto"/>
            </w:tcBorders>
          </w:tcPr>
          <w:p w14:paraId="384BDB95"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w:t>
            </w:r>
          </w:p>
        </w:tc>
        <w:tc>
          <w:tcPr>
            <w:tcW w:w="2254" w:type="dxa"/>
            <w:tcBorders>
              <w:top w:val="single" w:sz="4" w:space="0" w:color="auto"/>
              <w:left w:val="single" w:sz="4" w:space="0" w:color="auto"/>
              <w:bottom w:val="single" w:sz="4" w:space="0" w:color="auto"/>
              <w:right w:val="single" w:sz="4" w:space="0" w:color="auto"/>
            </w:tcBorders>
          </w:tcPr>
          <w:p w14:paraId="5133B540"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3.12</w:t>
            </w:r>
          </w:p>
        </w:tc>
      </w:tr>
      <w:tr w:rsidR="00C21E01" w:rsidRPr="00FC7F1E" w14:paraId="6CE2B628" w14:textId="77777777" w:rsidTr="00991867">
        <w:tc>
          <w:tcPr>
            <w:tcW w:w="6762" w:type="dxa"/>
            <w:gridSpan w:val="3"/>
            <w:tcBorders>
              <w:top w:val="single" w:sz="4" w:space="0" w:color="auto"/>
              <w:left w:val="single" w:sz="4" w:space="0" w:color="auto"/>
              <w:bottom w:val="single" w:sz="4" w:space="0" w:color="auto"/>
              <w:right w:val="single" w:sz="4" w:space="0" w:color="auto"/>
            </w:tcBorders>
            <w:hideMark/>
          </w:tcPr>
          <w:p w14:paraId="40AA68DB"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Incremental cost per one point change in HFSME</w:t>
            </w:r>
          </w:p>
        </w:tc>
        <w:tc>
          <w:tcPr>
            <w:tcW w:w="2254" w:type="dxa"/>
            <w:tcBorders>
              <w:top w:val="single" w:sz="4" w:space="0" w:color="auto"/>
              <w:left w:val="single" w:sz="4" w:space="0" w:color="auto"/>
              <w:bottom w:val="single" w:sz="4" w:space="0" w:color="auto"/>
              <w:right w:val="single" w:sz="4" w:space="0" w:color="auto"/>
            </w:tcBorders>
          </w:tcPr>
          <w:p w14:paraId="6485678F" w14:textId="77777777" w:rsidR="00C21E01" w:rsidRPr="00FC7F1E" w:rsidRDefault="00C21E01" w:rsidP="00E930D6">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DB2933" w:rsidRPr="00DB2933">
              <w:rPr>
                <w:rFonts w:ascii="Arial Narrow" w:eastAsia="TimesNewRoman" w:hAnsi="Arial Narrow" w:cs="Times New Roman"/>
                <w:color w:val="000000"/>
                <w:sz w:val="20"/>
                <w:szCs w:val="20"/>
                <w:vertAlign w:val="superscript"/>
              </w:rPr>
              <w:t>3</w:t>
            </w:r>
          </w:p>
        </w:tc>
      </w:tr>
      <w:tr w:rsidR="00C21E01" w:rsidRPr="00FC7F1E" w14:paraId="6AE8ACA1" w14:textId="77777777" w:rsidTr="00991867">
        <w:tc>
          <w:tcPr>
            <w:tcW w:w="9016" w:type="dxa"/>
            <w:gridSpan w:val="4"/>
            <w:tcBorders>
              <w:top w:val="single" w:sz="4" w:space="0" w:color="auto"/>
              <w:left w:val="single" w:sz="4" w:space="0" w:color="auto"/>
              <w:bottom w:val="single" w:sz="4" w:space="0" w:color="auto"/>
              <w:right w:val="single" w:sz="4" w:space="0" w:color="auto"/>
            </w:tcBorders>
          </w:tcPr>
          <w:p w14:paraId="50731B3C"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u w:val="single"/>
              </w:rPr>
            </w:pPr>
            <w:r w:rsidRPr="00FC7F1E">
              <w:rPr>
                <w:rFonts w:ascii="Arial Narrow" w:eastAsia="TimesNewRoman" w:hAnsi="Arial Narrow" w:cs="Times New Roman"/>
                <w:color w:val="000000"/>
                <w:sz w:val="20"/>
                <w:szCs w:val="20"/>
                <w:u w:val="single"/>
              </w:rPr>
              <w:t>Step 3: HFMSE translated to QALYs: Modelled cost per QALY analysis</w:t>
            </w:r>
          </w:p>
        </w:tc>
      </w:tr>
      <w:tr w:rsidR="00C21E01" w:rsidRPr="00FC7F1E" w14:paraId="6BBBF7B8" w14:textId="77777777" w:rsidTr="00991867">
        <w:tc>
          <w:tcPr>
            <w:tcW w:w="2972" w:type="dxa"/>
            <w:tcBorders>
              <w:top w:val="single" w:sz="4" w:space="0" w:color="auto"/>
              <w:left w:val="single" w:sz="4" w:space="0" w:color="auto"/>
              <w:bottom w:val="single" w:sz="4" w:space="0" w:color="auto"/>
              <w:right w:val="single" w:sz="4" w:space="0" w:color="auto"/>
            </w:tcBorders>
            <w:hideMark/>
          </w:tcPr>
          <w:p w14:paraId="7B33828A"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Cost</w:t>
            </w:r>
          </w:p>
        </w:tc>
        <w:tc>
          <w:tcPr>
            <w:tcW w:w="1895" w:type="dxa"/>
            <w:tcBorders>
              <w:top w:val="single" w:sz="4" w:space="0" w:color="auto"/>
              <w:left w:val="single" w:sz="4" w:space="0" w:color="auto"/>
              <w:bottom w:val="single" w:sz="4" w:space="0" w:color="auto"/>
              <w:right w:val="single" w:sz="4" w:space="0" w:color="auto"/>
            </w:tcBorders>
          </w:tcPr>
          <w:p w14:paraId="0223D143"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895" w:type="dxa"/>
            <w:tcBorders>
              <w:top w:val="single" w:sz="4" w:space="0" w:color="auto"/>
              <w:left w:val="single" w:sz="4" w:space="0" w:color="auto"/>
              <w:bottom w:val="single" w:sz="4" w:space="0" w:color="auto"/>
              <w:right w:val="single" w:sz="4" w:space="0" w:color="auto"/>
            </w:tcBorders>
          </w:tcPr>
          <w:p w14:paraId="331FA4D3"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Pr="00357404">
              <w:rPr>
                <w:rFonts w:ascii="Arial Narrow" w:eastAsia="TimesNewRoman" w:hAnsi="Arial Narrow" w:cs="Times New Roman"/>
                <w:color w:val="000000"/>
                <w:sz w:val="20"/>
                <w:szCs w:val="20"/>
              </w:rPr>
              <w:t>0</w:t>
            </w:r>
          </w:p>
        </w:tc>
        <w:tc>
          <w:tcPr>
            <w:tcW w:w="2254" w:type="dxa"/>
            <w:tcBorders>
              <w:top w:val="single" w:sz="4" w:space="0" w:color="auto"/>
              <w:left w:val="single" w:sz="4" w:space="0" w:color="auto"/>
              <w:bottom w:val="single" w:sz="4" w:space="0" w:color="auto"/>
              <w:right w:val="single" w:sz="4" w:space="0" w:color="auto"/>
            </w:tcBorders>
          </w:tcPr>
          <w:p w14:paraId="6002EFF2"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r>
      <w:tr w:rsidR="00C21E01" w:rsidRPr="00FC7F1E" w14:paraId="13C83243" w14:textId="77777777" w:rsidTr="00991867">
        <w:tc>
          <w:tcPr>
            <w:tcW w:w="2972" w:type="dxa"/>
            <w:tcBorders>
              <w:top w:val="single" w:sz="4" w:space="0" w:color="auto"/>
              <w:left w:val="single" w:sz="4" w:space="0" w:color="auto"/>
              <w:bottom w:val="single" w:sz="4" w:space="0" w:color="auto"/>
              <w:right w:val="single" w:sz="4" w:space="0" w:color="auto"/>
            </w:tcBorders>
            <w:hideMark/>
          </w:tcPr>
          <w:p w14:paraId="251B41C3"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QALYs</w:t>
            </w:r>
          </w:p>
        </w:tc>
        <w:tc>
          <w:tcPr>
            <w:tcW w:w="1895" w:type="dxa"/>
            <w:tcBorders>
              <w:top w:val="single" w:sz="4" w:space="0" w:color="auto"/>
              <w:left w:val="single" w:sz="4" w:space="0" w:color="auto"/>
              <w:bottom w:val="single" w:sz="4" w:space="0" w:color="auto"/>
              <w:right w:val="single" w:sz="4" w:space="0" w:color="auto"/>
            </w:tcBorders>
          </w:tcPr>
          <w:p w14:paraId="21B68951"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3.1209</w:t>
            </w:r>
          </w:p>
        </w:tc>
        <w:tc>
          <w:tcPr>
            <w:tcW w:w="1895" w:type="dxa"/>
            <w:tcBorders>
              <w:top w:val="single" w:sz="4" w:space="0" w:color="auto"/>
              <w:left w:val="single" w:sz="4" w:space="0" w:color="auto"/>
              <w:bottom w:val="single" w:sz="4" w:space="0" w:color="auto"/>
              <w:right w:val="single" w:sz="4" w:space="0" w:color="auto"/>
            </w:tcBorders>
          </w:tcPr>
          <w:p w14:paraId="72BEBA18"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2.1966</w:t>
            </w:r>
          </w:p>
        </w:tc>
        <w:tc>
          <w:tcPr>
            <w:tcW w:w="2254" w:type="dxa"/>
            <w:tcBorders>
              <w:top w:val="single" w:sz="4" w:space="0" w:color="auto"/>
              <w:left w:val="single" w:sz="4" w:space="0" w:color="auto"/>
              <w:bottom w:val="single" w:sz="4" w:space="0" w:color="auto"/>
              <w:right w:val="single" w:sz="4" w:space="0" w:color="auto"/>
            </w:tcBorders>
          </w:tcPr>
          <w:p w14:paraId="19F62A79"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0.9243</w:t>
            </w:r>
          </w:p>
        </w:tc>
      </w:tr>
      <w:tr w:rsidR="00C21E01" w:rsidRPr="00FC7F1E" w14:paraId="2C99915D" w14:textId="77777777" w:rsidTr="00991867">
        <w:tc>
          <w:tcPr>
            <w:tcW w:w="6762" w:type="dxa"/>
            <w:gridSpan w:val="3"/>
            <w:tcBorders>
              <w:top w:val="single" w:sz="4" w:space="0" w:color="auto"/>
              <w:left w:val="single" w:sz="4" w:space="0" w:color="auto"/>
              <w:bottom w:val="single" w:sz="4" w:space="0" w:color="auto"/>
              <w:right w:val="single" w:sz="4" w:space="0" w:color="auto"/>
            </w:tcBorders>
            <w:hideMark/>
          </w:tcPr>
          <w:p w14:paraId="023CE0B4"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Incremental cost per QALY</w:t>
            </w:r>
          </w:p>
        </w:tc>
        <w:tc>
          <w:tcPr>
            <w:tcW w:w="2254" w:type="dxa"/>
            <w:tcBorders>
              <w:top w:val="single" w:sz="4" w:space="0" w:color="auto"/>
              <w:left w:val="single" w:sz="4" w:space="0" w:color="auto"/>
              <w:bottom w:val="single" w:sz="4" w:space="0" w:color="auto"/>
              <w:right w:val="single" w:sz="4" w:space="0" w:color="auto"/>
            </w:tcBorders>
          </w:tcPr>
          <w:p w14:paraId="7484FAE1" w14:textId="77777777" w:rsidR="00C21E01" w:rsidRPr="00FC7F1E" w:rsidRDefault="00C21E01" w:rsidP="00E930D6">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DB2933" w:rsidRPr="00DB2933">
              <w:rPr>
                <w:rFonts w:ascii="Arial Narrow" w:eastAsia="TimesNewRoman" w:hAnsi="Arial Narrow" w:cs="Times New Roman"/>
                <w:color w:val="000000"/>
                <w:sz w:val="20"/>
                <w:szCs w:val="20"/>
                <w:vertAlign w:val="superscript"/>
              </w:rPr>
              <w:t>4</w:t>
            </w:r>
          </w:p>
        </w:tc>
      </w:tr>
      <w:tr w:rsidR="00C21E01" w:rsidRPr="00FC7F1E" w14:paraId="7DB81370" w14:textId="77777777" w:rsidTr="00991867">
        <w:tc>
          <w:tcPr>
            <w:tcW w:w="9016" w:type="dxa"/>
            <w:gridSpan w:val="4"/>
            <w:tcBorders>
              <w:top w:val="single" w:sz="4" w:space="0" w:color="auto"/>
              <w:left w:val="single" w:sz="4" w:space="0" w:color="auto"/>
              <w:bottom w:val="single" w:sz="4" w:space="0" w:color="auto"/>
              <w:right w:val="single" w:sz="4" w:space="0" w:color="auto"/>
            </w:tcBorders>
          </w:tcPr>
          <w:p w14:paraId="1A6A5E80" w14:textId="77777777" w:rsidR="00C21E01" w:rsidRPr="00FC7F1E" w:rsidRDefault="009C5FF9" w:rsidP="009C5FF9">
            <w:pPr>
              <w:keepNext/>
              <w:keepLines/>
              <w:spacing w:before="20" w:after="20"/>
              <w:jc w:val="left"/>
              <w:rPr>
                <w:rFonts w:ascii="Arial Narrow" w:eastAsia="TimesNewRoman" w:hAnsi="Arial Narrow" w:cs="Times New Roman"/>
                <w:color w:val="000000"/>
                <w:sz w:val="20"/>
                <w:szCs w:val="20"/>
                <w:u w:val="single"/>
              </w:rPr>
            </w:pPr>
            <w:r w:rsidRPr="00FC7F1E">
              <w:rPr>
                <w:rFonts w:ascii="Arial Narrow" w:eastAsia="TimesNewRoman" w:hAnsi="Arial Narrow" w:cs="Times New Roman"/>
                <w:b/>
                <w:color w:val="000000"/>
                <w:sz w:val="20"/>
                <w:szCs w:val="20"/>
              </w:rPr>
              <w:t>Resubmission base case</w:t>
            </w:r>
            <w:r w:rsidRPr="00FC7F1E">
              <w:rPr>
                <w:rFonts w:ascii="Arial Narrow" w:eastAsia="TimesNewRoman" w:hAnsi="Arial Narrow" w:cs="Times New Roman"/>
                <w:color w:val="000000"/>
                <w:sz w:val="20"/>
                <w:szCs w:val="20"/>
              </w:rPr>
              <w:t>.</w:t>
            </w:r>
            <w:r w:rsidRPr="00FC7F1E">
              <w:rPr>
                <w:rFonts w:ascii="Arial Narrow" w:eastAsia="TimesNewRoman" w:hAnsi="Arial Narrow" w:cs="Times New Roman"/>
                <w:color w:val="000000"/>
                <w:sz w:val="20"/>
                <w:szCs w:val="20"/>
                <w:u w:val="single"/>
              </w:rPr>
              <w:t xml:space="preserve"> </w:t>
            </w:r>
            <w:r w:rsidR="00C21E01" w:rsidRPr="00FC7F1E">
              <w:rPr>
                <w:rFonts w:ascii="Arial Narrow" w:eastAsia="TimesNewRoman" w:hAnsi="Arial Narrow" w:cs="Times New Roman"/>
                <w:color w:val="000000"/>
                <w:sz w:val="20"/>
                <w:szCs w:val="20"/>
                <w:u w:val="single"/>
              </w:rPr>
              <w:t xml:space="preserve">Step 4: Incorporates SMA related health care costs: Modelled cost per QALY analysis </w:t>
            </w:r>
          </w:p>
        </w:tc>
      </w:tr>
      <w:tr w:rsidR="00C21E01" w:rsidRPr="00FC7F1E" w14:paraId="14ED3C57" w14:textId="77777777" w:rsidTr="00991867">
        <w:tc>
          <w:tcPr>
            <w:tcW w:w="2972" w:type="dxa"/>
            <w:tcBorders>
              <w:top w:val="single" w:sz="4" w:space="0" w:color="auto"/>
              <w:left w:val="single" w:sz="4" w:space="0" w:color="auto"/>
              <w:bottom w:val="single" w:sz="4" w:space="0" w:color="auto"/>
              <w:right w:val="single" w:sz="4" w:space="0" w:color="auto"/>
            </w:tcBorders>
            <w:hideMark/>
          </w:tcPr>
          <w:p w14:paraId="19CE9FB5"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Cost</w:t>
            </w:r>
          </w:p>
        </w:tc>
        <w:tc>
          <w:tcPr>
            <w:tcW w:w="1895" w:type="dxa"/>
            <w:tcBorders>
              <w:top w:val="single" w:sz="4" w:space="0" w:color="auto"/>
              <w:left w:val="single" w:sz="4" w:space="0" w:color="auto"/>
              <w:bottom w:val="single" w:sz="4" w:space="0" w:color="auto"/>
              <w:right w:val="single" w:sz="4" w:space="0" w:color="auto"/>
            </w:tcBorders>
          </w:tcPr>
          <w:p w14:paraId="26D1AB83"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895" w:type="dxa"/>
            <w:tcBorders>
              <w:top w:val="single" w:sz="4" w:space="0" w:color="auto"/>
              <w:left w:val="single" w:sz="4" w:space="0" w:color="auto"/>
              <w:bottom w:val="single" w:sz="4" w:space="0" w:color="auto"/>
              <w:right w:val="single" w:sz="4" w:space="0" w:color="auto"/>
            </w:tcBorders>
          </w:tcPr>
          <w:p w14:paraId="54AD8260"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Pr="00357404">
              <w:rPr>
                <w:rFonts w:ascii="Arial Narrow" w:eastAsia="TimesNewRoman" w:hAnsi="Arial Narrow" w:cs="Times New Roman"/>
                <w:color w:val="000000"/>
                <w:sz w:val="20"/>
                <w:szCs w:val="20"/>
              </w:rPr>
              <w:t>226,480</w:t>
            </w:r>
          </w:p>
        </w:tc>
        <w:tc>
          <w:tcPr>
            <w:tcW w:w="2254" w:type="dxa"/>
            <w:tcBorders>
              <w:top w:val="single" w:sz="4" w:space="0" w:color="auto"/>
              <w:left w:val="single" w:sz="4" w:space="0" w:color="auto"/>
              <w:bottom w:val="single" w:sz="4" w:space="0" w:color="auto"/>
              <w:right w:val="single" w:sz="4" w:space="0" w:color="auto"/>
            </w:tcBorders>
          </w:tcPr>
          <w:p w14:paraId="1F6F8926"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r>
      <w:tr w:rsidR="00C21E01" w:rsidRPr="00FC7F1E" w14:paraId="71BAC9E4" w14:textId="77777777" w:rsidTr="00991867">
        <w:tc>
          <w:tcPr>
            <w:tcW w:w="2972" w:type="dxa"/>
            <w:tcBorders>
              <w:top w:val="single" w:sz="4" w:space="0" w:color="auto"/>
              <w:left w:val="single" w:sz="4" w:space="0" w:color="auto"/>
              <w:bottom w:val="single" w:sz="4" w:space="0" w:color="auto"/>
              <w:right w:val="single" w:sz="4" w:space="0" w:color="auto"/>
            </w:tcBorders>
            <w:hideMark/>
          </w:tcPr>
          <w:p w14:paraId="6C309EA8"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QALYs</w:t>
            </w:r>
          </w:p>
        </w:tc>
        <w:tc>
          <w:tcPr>
            <w:tcW w:w="1895" w:type="dxa"/>
            <w:tcBorders>
              <w:top w:val="single" w:sz="4" w:space="0" w:color="auto"/>
              <w:left w:val="single" w:sz="4" w:space="0" w:color="auto"/>
              <w:bottom w:val="single" w:sz="4" w:space="0" w:color="auto"/>
              <w:right w:val="single" w:sz="4" w:space="0" w:color="auto"/>
            </w:tcBorders>
          </w:tcPr>
          <w:p w14:paraId="2043970F"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3.1209</w:t>
            </w:r>
          </w:p>
        </w:tc>
        <w:tc>
          <w:tcPr>
            <w:tcW w:w="1895" w:type="dxa"/>
            <w:tcBorders>
              <w:top w:val="single" w:sz="4" w:space="0" w:color="auto"/>
              <w:left w:val="single" w:sz="4" w:space="0" w:color="auto"/>
              <w:bottom w:val="single" w:sz="4" w:space="0" w:color="auto"/>
              <w:right w:val="single" w:sz="4" w:space="0" w:color="auto"/>
            </w:tcBorders>
          </w:tcPr>
          <w:p w14:paraId="5C06D006"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2.1966</w:t>
            </w:r>
          </w:p>
        </w:tc>
        <w:tc>
          <w:tcPr>
            <w:tcW w:w="2254" w:type="dxa"/>
            <w:tcBorders>
              <w:top w:val="single" w:sz="4" w:space="0" w:color="auto"/>
              <w:left w:val="single" w:sz="4" w:space="0" w:color="auto"/>
              <w:bottom w:val="single" w:sz="4" w:space="0" w:color="auto"/>
              <w:right w:val="single" w:sz="4" w:space="0" w:color="auto"/>
            </w:tcBorders>
          </w:tcPr>
          <w:p w14:paraId="0C674B27" w14:textId="77777777" w:rsidR="00C21E01" w:rsidRPr="00FC7F1E" w:rsidRDefault="00C21E01"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0.9243</w:t>
            </w:r>
          </w:p>
        </w:tc>
      </w:tr>
      <w:tr w:rsidR="00C21E01" w:rsidRPr="00FC7F1E" w14:paraId="1E27F6CC" w14:textId="77777777" w:rsidTr="00991867">
        <w:tc>
          <w:tcPr>
            <w:tcW w:w="6762" w:type="dxa"/>
            <w:gridSpan w:val="3"/>
            <w:tcBorders>
              <w:top w:val="single" w:sz="4" w:space="0" w:color="auto"/>
              <w:left w:val="single" w:sz="4" w:space="0" w:color="auto"/>
              <w:bottom w:val="single" w:sz="4" w:space="0" w:color="auto"/>
              <w:right w:val="single" w:sz="4" w:space="0" w:color="auto"/>
            </w:tcBorders>
            <w:hideMark/>
          </w:tcPr>
          <w:p w14:paraId="25E02EE9" w14:textId="77777777" w:rsidR="00C21E01" w:rsidRPr="00FC7F1E" w:rsidRDefault="00C21E01"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Incremental cost per QALY</w:t>
            </w:r>
          </w:p>
        </w:tc>
        <w:tc>
          <w:tcPr>
            <w:tcW w:w="2254" w:type="dxa"/>
            <w:tcBorders>
              <w:top w:val="single" w:sz="4" w:space="0" w:color="auto"/>
              <w:left w:val="single" w:sz="4" w:space="0" w:color="auto"/>
              <w:bottom w:val="single" w:sz="4" w:space="0" w:color="auto"/>
              <w:right w:val="single" w:sz="4" w:space="0" w:color="auto"/>
            </w:tcBorders>
          </w:tcPr>
          <w:p w14:paraId="24745685" w14:textId="77777777" w:rsidR="00C21E01" w:rsidRPr="00FC7F1E" w:rsidRDefault="00C21E01" w:rsidP="00E930D6">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w:t>
            </w:r>
            <w:r w:rsidR="008E2DDA">
              <w:rPr>
                <w:rFonts w:ascii="Arial Narrow" w:eastAsia="TimesNewRoman" w:hAnsi="Arial Narrow" w:cs="Times New Roman"/>
                <w:b/>
                <w:noProof/>
                <w:color w:val="000000"/>
                <w:sz w:val="20"/>
                <w:szCs w:val="20"/>
                <w:highlight w:val="black"/>
              </w:rPr>
              <w:t>''''''''''''''''''''</w:t>
            </w:r>
            <w:r w:rsidR="00DB2933" w:rsidRPr="00DB2933">
              <w:rPr>
                <w:rFonts w:ascii="Arial Narrow" w:eastAsia="TimesNewRoman" w:hAnsi="Arial Narrow" w:cs="Times New Roman"/>
                <w:color w:val="000000"/>
                <w:sz w:val="20"/>
                <w:szCs w:val="20"/>
                <w:vertAlign w:val="superscript"/>
              </w:rPr>
              <w:t>4</w:t>
            </w:r>
          </w:p>
        </w:tc>
      </w:tr>
      <w:tr w:rsidR="00403FAB" w:rsidRPr="00FC7F1E" w14:paraId="21421EB2" w14:textId="77777777" w:rsidTr="00991867">
        <w:tc>
          <w:tcPr>
            <w:tcW w:w="9016" w:type="dxa"/>
            <w:gridSpan w:val="4"/>
            <w:tcBorders>
              <w:top w:val="single" w:sz="4" w:space="0" w:color="auto"/>
              <w:left w:val="single" w:sz="4" w:space="0" w:color="auto"/>
              <w:bottom w:val="single" w:sz="4" w:space="0" w:color="auto"/>
              <w:right w:val="single" w:sz="4" w:space="0" w:color="auto"/>
            </w:tcBorders>
          </w:tcPr>
          <w:p w14:paraId="7E33B8B6" w14:textId="77777777" w:rsidR="00403FAB" w:rsidRPr="00FC7F1E" w:rsidRDefault="00403FAB" w:rsidP="00B847BF">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b/>
                <w:color w:val="000000"/>
                <w:sz w:val="20"/>
                <w:szCs w:val="20"/>
              </w:rPr>
              <w:t>Alternative base case</w:t>
            </w:r>
            <w:r w:rsidRPr="00FC7F1E">
              <w:rPr>
                <w:rFonts w:ascii="Arial Narrow" w:eastAsia="TimesNewRoman" w:hAnsi="Arial Narrow" w:cs="Times New Roman"/>
                <w:color w:val="000000"/>
                <w:sz w:val="20"/>
                <w:szCs w:val="20"/>
              </w:rPr>
              <w:t xml:space="preserve">: </w:t>
            </w:r>
            <w:r w:rsidR="00B847BF" w:rsidRPr="00FC7F1E">
              <w:rPr>
                <w:rFonts w:ascii="Arial Narrow" w:eastAsia="TimesNewRoman" w:hAnsi="Arial Narrow" w:cs="Times New Roman"/>
                <w:color w:val="000000"/>
                <w:sz w:val="20"/>
                <w:szCs w:val="20"/>
              </w:rPr>
              <w:t>Apply utility gain for increase in distance walked to ambulatory patients only (correction of error)</w:t>
            </w:r>
          </w:p>
        </w:tc>
      </w:tr>
      <w:tr w:rsidR="00403FAB" w:rsidRPr="00FC7F1E" w14:paraId="0A3B7438" w14:textId="77777777" w:rsidTr="00991867">
        <w:tc>
          <w:tcPr>
            <w:tcW w:w="6762" w:type="dxa"/>
            <w:gridSpan w:val="3"/>
            <w:tcBorders>
              <w:top w:val="single" w:sz="4" w:space="0" w:color="auto"/>
              <w:left w:val="single" w:sz="4" w:space="0" w:color="auto"/>
              <w:bottom w:val="single" w:sz="4" w:space="0" w:color="auto"/>
              <w:right w:val="single" w:sz="4" w:space="0" w:color="auto"/>
            </w:tcBorders>
          </w:tcPr>
          <w:p w14:paraId="00A060D2" w14:textId="77777777" w:rsidR="00403FAB" w:rsidRPr="00FC7F1E" w:rsidRDefault="00B847BF"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Incremental cost per QALY</w:t>
            </w:r>
          </w:p>
        </w:tc>
        <w:tc>
          <w:tcPr>
            <w:tcW w:w="2254" w:type="dxa"/>
            <w:tcBorders>
              <w:top w:val="single" w:sz="4" w:space="0" w:color="auto"/>
              <w:left w:val="single" w:sz="4" w:space="0" w:color="auto"/>
              <w:bottom w:val="single" w:sz="4" w:space="0" w:color="auto"/>
              <w:right w:val="single" w:sz="4" w:space="0" w:color="auto"/>
            </w:tcBorders>
          </w:tcPr>
          <w:p w14:paraId="23AEF6B6" w14:textId="77777777" w:rsidR="00403FAB" w:rsidRPr="00FC7F1E" w:rsidRDefault="00B847BF" w:rsidP="00E930D6">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w:t>
            </w:r>
            <w:r w:rsidR="008E2DDA">
              <w:rPr>
                <w:rFonts w:ascii="Arial Narrow" w:eastAsia="TimesNewRoman" w:hAnsi="Arial Narrow" w:cs="Times New Roman"/>
                <w:b/>
                <w:noProof/>
                <w:color w:val="000000"/>
                <w:sz w:val="20"/>
                <w:szCs w:val="20"/>
                <w:highlight w:val="black"/>
              </w:rPr>
              <w:t>'''''''''''''''''''</w:t>
            </w:r>
            <w:r w:rsidR="00DB2933" w:rsidRPr="00DB2933">
              <w:rPr>
                <w:rFonts w:ascii="Arial Narrow" w:eastAsia="TimesNewRoman" w:hAnsi="Arial Narrow" w:cs="Times New Roman"/>
                <w:color w:val="000000"/>
                <w:sz w:val="20"/>
                <w:szCs w:val="20"/>
                <w:vertAlign w:val="superscript"/>
              </w:rPr>
              <w:t>4</w:t>
            </w:r>
          </w:p>
        </w:tc>
      </w:tr>
    </w:tbl>
    <w:p w14:paraId="25E64DFE" w14:textId="77777777" w:rsidR="00464F96" w:rsidRPr="00FC7F1E" w:rsidRDefault="00464F96" w:rsidP="00464F96">
      <w:pPr>
        <w:keepNext/>
        <w:keepLines/>
        <w:spacing w:before="60" w:after="240"/>
        <w:contextualSpacing/>
        <w:jc w:val="left"/>
        <w:rPr>
          <w:rFonts w:ascii="Arial Narrow" w:hAnsi="Arial Narrow" w:cs="Times New Roman"/>
          <w:sz w:val="18"/>
          <w:szCs w:val="18"/>
        </w:rPr>
      </w:pPr>
      <w:r w:rsidRPr="00FC7F1E">
        <w:rPr>
          <w:rFonts w:ascii="Arial Narrow" w:hAnsi="Arial Narrow" w:cs="Times New Roman"/>
          <w:sz w:val="18"/>
          <w:szCs w:val="18"/>
        </w:rPr>
        <w:t>HFSME, Hammersmith Functional Motor Scale Extended; QALY, quality adjusted life year</w:t>
      </w:r>
    </w:p>
    <w:p w14:paraId="0F4AC99A" w14:textId="77777777" w:rsidR="00464F96" w:rsidRPr="00FC7F1E" w:rsidRDefault="00464F96" w:rsidP="00C21E01">
      <w:pPr>
        <w:keepNext/>
        <w:keepLines/>
        <w:tabs>
          <w:tab w:val="left" w:pos="284"/>
        </w:tabs>
        <w:spacing w:before="60" w:after="240"/>
        <w:contextualSpacing/>
        <w:jc w:val="left"/>
        <w:rPr>
          <w:rFonts w:ascii="Arial Narrow" w:hAnsi="Arial Narrow" w:cs="Times New Roman"/>
          <w:sz w:val="18"/>
          <w:szCs w:val="18"/>
        </w:rPr>
      </w:pPr>
      <w:r w:rsidRPr="00FC7F1E">
        <w:rPr>
          <w:rFonts w:ascii="Arial Narrow" w:hAnsi="Arial Narrow" w:cs="Times New Roman"/>
          <w:sz w:val="18"/>
          <w:szCs w:val="18"/>
        </w:rPr>
        <w:t>*</w:t>
      </w:r>
      <w:r w:rsidR="00C21E01" w:rsidRPr="00FC7F1E">
        <w:rPr>
          <w:rFonts w:ascii="Arial Narrow" w:hAnsi="Arial Narrow" w:cs="Times New Roman"/>
          <w:sz w:val="18"/>
          <w:szCs w:val="18"/>
        </w:rPr>
        <w:tab/>
      </w:r>
      <w:r w:rsidRPr="00FC7F1E">
        <w:rPr>
          <w:rFonts w:ascii="Arial Narrow" w:eastAsia="TimesNewRoman" w:hAnsi="Arial Narrow" w:cs="Times New Roman"/>
          <w:color w:val="000000"/>
          <w:sz w:val="18"/>
          <w:szCs w:val="18"/>
        </w:rPr>
        <w:t>From Figure 2.6.1 of the commentary</w:t>
      </w:r>
    </w:p>
    <w:p w14:paraId="4324DD3E" w14:textId="77777777" w:rsidR="00464F96" w:rsidRDefault="00464F96" w:rsidP="00464F96">
      <w:pPr>
        <w:keepNext/>
        <w:keepLines/>
        <w:spacing w:before="60" w:after="240"/>
        <w:contextualSpacing/>
        <w:jc w:val="left"/>
        <w:rPr>
          <w:rFonts w:ascii="Arial Narrow" w:hAnsi="Arial Narrow"/>
          <w:sz w:val="18"/>
          <w:szCs w:val="18"/>
        </w:rPr>
      </w:pPr>
      <w:r w:rsidRPr="00FC7F1E">
        <w:rPr>
          <w:rFonts w:ascii="Arial Narrow" w:hAnsi="Arial Narrow"/>
          <w:sz w:val="18"/>
          <w:szCs w:val="18"/>
        </w:rPr>
        <w:t xml:space="preserve">Source: Table 3.39, p204 of the </w:t>
      </w:r>
      <w:r w:rsidR="00C21E01" w:rsidRPr="00FC7F1E">
        <w:rPr>
          <w:rFonts w:ascii="Arial Narrow" w:hAnsi="Arial Narrow"/>
          <w:sz w:val="18"/>
          <w:szCs w:val="18"/>
        </w:rPr>
        <w:t>re</w:t>
      </w:r>
      <w:r w:rsidRPr="00FC7F1E">
        <w:rPr>
          <w:rFonts w:ascii="Arial Narrow" w:hAnsi="Arial Narrow"/>
          <w:sz w:val="18"/>
          <w:szCs w:val="18"/>
        </w:rPr>
        <w:t>submission.</w:t>
      </w:r>
    </w:p>
    <w:p w14:paraId="78486FDF" w14:textId="77777777" w:rsidR="00D13388" w:rsidRPr="00DB2933" w:rsidRDefault="00DB2933" w:rsidP="00464F96">
      <w:pPr>
        <w:keepNext/>
        <w:keepLines/>
        <w:spacing w:before="60" w:after="240"/>
        <w:contextualSpacing/>
        <w:jc w:val="left"/>
        <w:rPr>
          <w:rFonts w:ascii="Arial Narrow" w:hAnsi="Arial Narrow" w:cs="Times New Roman"/>
          <w:i/>
          <w:sz w:val="18"/>
          <w:szCs w:val="18"/>
        </w:rPr>
      </w:pPr>
      <w:r w:rsidRPr="00DB2933">
        <w:rPr>
          <w:rFonts w:ascii="Arial Narrow" w:hAnsi="Arial Narrow" w:cs="Times New Roman"/>
          <w:i/>
          <w:sz w:val="18"/>
          <w:szCs w:val="18"/>
        </w:rPr>
        <w:t>The redacted values correspond to the following ranges:</w:t>
      </w:r>
    </w:p>
    <w:p w14:paraId="0DF8A62A" w14:textId="77777777" w:rsidR="00DB2933" w:rsidRPr="00DB2933" w:rsidRDefault="00DB2933" w:rsidP="00464F96">
      <w:pPr>
        <w:keepNext/>
        <w:keepLines/>
        <w:spacing w:before="60" w:after="240"/>
        <w:contextualSpacing/>
        <w:jc w:val="left"/>
        <w:rPr>
          <w:rFonts w:ascii="Arial Narrow" w:hAnsi="Arial Narrow" w:cs="Times New Roman"/>
          <w:i/>
          <w:sz w:val="18"/>
          <w:szCs w:val="18"/>
        </w:rPr>
      </w:pPr>
      <w:r w:rsidRPr="00DB2933">
        <w:rPr>
          <w:rFonts w:ascii="Arial Narrow" w:hAnsi="Arial Narrow" w:cs="Times New Roman"/>
          <w:i/>
          <w:sz w:val="18"/>
          <w:szCs w:val="18"/>
          <w:vertAlign w:val="superscript"/>
        </w:rPr>
        <w:t>1</w:t>
      </w:r>
      <w:r w:rsidRPr="00DB2933">
        <w:rPr>
          <w:rFonts w:ascii="Arial Narrow" w:hAnsi="Arial Narrow" w:cs="Times New Roman"/>
          <w:i/>
          <w:sz w:val="18"/>
          <w:szCs w:val="18"/>
        </w:rPr>
        <w:t>$9</w:t>
      </w:r>
      <w:r w:rsidR="00382D83">
        <w:rPr>
          <w:rFonts w:ascii="Arial Narrow" w:hAnsi="Arial Narrow" w:cs="Times New Roman"/>
          <w:i/>
          <w:sz w:val="18"/>
          <w:szCs w:val="18"/>
        </w:rPr>
        <w:t>5</w:t>
      </w:r>
      <w:r w:rsidRPr="00DB2933">
        <w:rPr>
          <w:rFonts w:ascii="Arial Narrow" w:hAnsi="Arial Narrow" w:cs="Times New Roman"/>
          <w:i/>
          <w:sz w:val="18"/>
          <w:szCs w:val="18"/>
        </w:rPr>
        <w:t>,000 to &lt;$11</w:t>
      </w:r>
      <w:r w:rsidR="00382D83">
        <w:rPr>
          <w:rFonts w:ascii="Arial Narrow" w:hAnsi="Arial Narrow" w:cs="Times New Roman"/>
          <w:i/>
          <w:sz w:val="18"/>
          <w:szCs w:val="18"/>
        </w:rPr>
        <w:t>5</w:t>
      </w:r>
      <w:r w:rsidRPr="00DB2933">
        <w:rPr>
          <w:rFonts w:ascii="Arial Narrow" w:hAnsi="Arial Narrow" w:cs="Times New Roman"/>
          <w:i/>
          <w:sz w:val="18"/>
          <w:szCs w:val="18"/>
        </w:rPr>
        <w:t>,000/QALY gained</w:t>
      </w:r>
    </w:p>
    <w:p w14:paraId="170B5F52" w14:textId="77777777" w:rsidR="00DB2933" w:rsidRPr="00DB2933" w:rsidRDefault="00DB2933" w:rsidP="00464F96">
      <w:pPr>
        <w:keepNext/>
        <w:keepLines/>
        <w:spacing w:before="60" w:after="240"/>
        <w:contextualSpacing/>
        <w:jc w:val="left"/>
        <w:rPr>
          <w:rFonts w:ascii="Arial Narrow" w:hAnsi="Arial Narrow" w:cs="Times New Roman"/>
          <w:i/>
          <w:sz w:val="18"/>
          <w:szCs w:val="18"/>
        </w:rPr>
      </w:pPr>
      <w:r w:rsidRPr="00DB2933">
        <w:rPr>
          <w:rFonts w:ascii="Arial Narrow" w:hAnsi="Arial Narrow" w:cs="Times New Roman"/>
          <w:i/>
          <w:sz w:val="18"/>
          <w:szCs w:val="18"/>
          <w:vertAlign w:val="superscript"/>
        </w:rPr>
        <w:t>2</w:t>
      </w:r>
      <w:r w:rsidRPr="00DB2933">
        <w:rPr>
          <w:rFonts w:ascii="Arial Narrow" w:hAnsi="Arial Narrow" w:cs="Times New Roman"/>
          <w:i/>
          <w:sz w:val="18"/>
          <w:szCs w:val="18"/>
        </w:rPr>
        <w:t>$</w:t>
      </w:r>
      <w:r w:rsidR="00382D83">
        <w:rPr>
          <w:rFonts w:ascii="Arial Narrow" w:hAnsi="Arial Narrow" w:cs="Times New Roman"/>
          <w:i/>
          <w:sz w:val="18"/>
          <w:szCs w:val="18"/>
        </w:rPr>
        <w:t>855</w:t>
      </w:r>
      <w:r w:rsidRPr="00DB2933">
        <w:rPr>
          <w:rFonts w:ascii="Arial Narrow" w:hAnsi="Arial Narrow" w:cs="Times New Roman"/>
          <w:i/>
          <w:sz w:val="18"/>
          <w:szCs w:val="18"/>
        </w:rPr>
        <w:t>,000 to &lt;$</w:t>
      </w:r>
      <w:r w:rsidR="00382D83">
        <w:rPr>
          <w:rFonts w:ascii="Arial Narrow" w:hAnsi="Arial Narrow" w:cs="Times New Roman"/>
          <w:i/>
          <w:sz w:val="18"/>
          <w:szCs w:val="18"/>
        </w:rPr>
        <w:t>95</w:t>
      </w:r>
      <w:r w:rsidRPr="00DB2933">
        <w:rPr>
          <w:rFonts w:ascii="Arial Narrow" w:hAnsi="Arial Narrow" w:cs="Times New Roman"/>
          <w:i/>
          <w:sz w:val="18"/>
          <w:szCs w:val="18"/>
        </w:rPr>
        <w:t>,000/QALY gained</w:t>
      </w:r>
    </w:p>
    <w:p w14:paraId="2A5479E6" w14:textId="77777777" w:rsidR="00DB2933" w:rsidRPr="00DB2933" w:rsidRDefault="00DB2933" w:rsidP="00464F96">
      <w:pPr>
        <w:keepNext/>
        <w:keepLines/>
        <w:spacing w:before="60" w:after="240"/>
        <w:contextualSpacing/>
        <w:jc w:val="left"/>
        <w:rPr>
          <w:rFonts w:ascii="Arial Narrow" w:hAnsi="Arial Narrow" w:cs="Times New Roman"/>
          <w:i/>
          <w:sz w:val="18"/>
          <w:szCs w:val="18"/>
        </w:rPr>
      </w:pPr>
      <w:r w:rsidRPr="00DB2933">
        <w:rPr>
          <w:rFonts w:ascii="Arial Narrow" w:hAnsi="Arial Narrow" w:cs="Times New Roman"/>
          <w:i/>
          <w:sz w:val="18"/>
          <w:szCs w:val="18"/>
          <w:vertAlign w:val="superscript"/>
        </w:rPr>
        <w:t>3</w:t>
      </w:r>
      <w:r w:rsidRPr="00DB2933">
        <w:rPr>
          <w:rFonts w:ascii="Arial Narrow" w:hAnsi="Arial Narrow" w:cs="Times New Roman"/>
          <w:i/>
          <w:sz w:val="18"/>
          <w:szCs w:val="18"/>
        </w:rPr>
        <w:t>$</w:t>
      </w:r>
      <w:r w:rsidR="00382D83">
        <w:rPr>
          <w:rFonts w:ascii="Arial Narrow" w:hAnsi="Arial Narrow" w:cs="Times New Roman"/>
          <w:i/>
          <w:sz w:val="18"/>
          <w:szCs w:val="18"/>
        </w:rPr>
        <w:t>755</w:t>
      </w:r>
      <w:r w:rsidRPr="00DB2933">
        <w:rPr>
          <w:rFonts w:ascii="Arial Narrow" w:hAnsi="Arial Narrow" w:cs="Times New Roman"/>
          <w:i/>
          <w:sz w:val="18"/>
          <w:szCs w:val="18"/>
        </w:rPr>
        <w:t>,000 to &lt;$</w:t>
      </w:r>
      <w:r w:rsidR="00382D83">
        <w:rPr>
          <w:rFonts w:ascii="Arial Narrow" w:hAnsi="Arial Narrow" w:cs="Times New Roman"/>
          <w:i/>
          <w:sz w:val="18"/>
          <w:szCs w:val="18"/>
        </w:rPr>
        <w:t>855</w:t>
      </w:r>
      <w:r w:rsidRPr="00DB2933">
        <w:rPr>
          <w:rFonts w:ascii="Arial Narrow" w:hAnsi="Arial Narrow" w:cs="Times New Roman"/>
          <w:i/>
          <w:sz w:val="18"/>
          <w:szCs w:val="18"/>
        </w:rPr>
        <w:t>,000/QALY gained</w:t>
      </w:r>
    </w:p>
    <w:p w14:paraId="05D52D5F" w14:textId="77777777" w:rsidR="00DB2933" w:rsidRPr="00DB2933" w:rsidRDefault="00DB2933" w:rsidP="00464F96">
      <w:pPr>
        <w:keepNext/>
        <w:keepLines/>
        <w:spacing w:before="60" w:after="240"/>
        <w:contextualSpacing/>
        <w:jc w:val="left"/>
        <w:rPr>
          <w:rFonts w:ascii="Arial Narrow" w:hAnsi="Arial Narrow" w:cs="Times New Roman"/>
          <w:i/>
          <w:sz w:val="18"/>
          <w:szCs w:val="18"/>
        </w:rPr>
      </w:pPr>
      <w:r w:rsidRPr="00DB2933">
        <w:rPr>
          <w:rFonts w:ascii="Arial Narrow" w:hAnsi="Arial Narrow" w:cs="Times New Roman"/>
          <w:i/>
          <w:sz w:val="18"/>
          <w:szCs w:val="18"/>
          <w:vertAlign w:val="superscript"/>
        </w:rPr>
        <w:t>4</w:t>
      </w:r>
      <w:r w:rsidRPr="00DB2933">
        <w:rPr>
          <w:rFonts w:ascii="Arial Narrow" w:hAnsi="Arial Narrow" w:cs="Times New Roman"/>
          <w:i/>
          <w:sz w:val="18"/>
          <w:szCs w:val="18"/>
        </w:rPr>
        <w:t>&gt;$1,055,000/QALY gained</w:t>
      </w:r>
    </w:p>
    <w:p w14:paraId="5E3A4D8E" w14:textId="77777777" w:rsidR="00403FAB" w:rsidRPr="00FC7F1E" w:rsidRDefault="00DC4A93" w:rsidP="00403FAB">
      <w:pPr>
        <w:pStyle w:val="3-BodyText"/>
      </w:pPr>
      <w:r w:rsidRPr="00FC7F1E">
        <w:t xml:space="preserve">The </w:t>
      </w:r>
      <w:r w:rsidR="00C21E01" w:rsidRPr="00FC7F1E">
        <w:t>re</w:t>
      </w:r>
      <w:r w:rsidRPr="00FC7F1E">
        <w:t>submission’s base case incremental cost per QALY</w:t>
      </w:r>
      <w:r w:rsidR="00AA7614" w:rsidRPr="00FC7F1E">
        <w:t xml:space="preserve"> at approximately </w:t>
      </w:r>
      <w:r w:rsidR="000E79A5">
        <w:t>&gt;</w:t>
      </w:r>
      <w:r w:rsidR="00AA7614" w:rsidRPr="00FC7F1E">
        <w:t>$</w:t>
      </w:r>
      <w:r w:rsidR="000E79A5">
        <w:t>1,055,000</w:t>
      </w:r>
      <w:r w:rsidR="00357404">
        <w:t>/QALY gained</w:t>
      </w:r>
      <w:r w:rsidRPr="00FC7F1E">
        <w:t xml:space="preserve"> was </w:t>
      </w:r>
      <w:r w:rsidR="00620D99" w:rsidRPr="00FC7F1E">
        <w:t xml:space="preserve">extremely </w:t>
      </w:r>
      <w:r w:rsidR="00D46AF1" w:rsidRPr="00FC7F1E">
        <w:t xml:space="preserve">high. </w:t>
      </w:r>
      <w:r w:rsidR="00B9798F" w:rsidRPr="00FC7F1E">
        <w:t xml:space="preserve">Given the utility gain </w:t>
      </w:r>
      <w:r w:rsidR="00520355" w:rsidRPr="00FC7F1E">
        <w:t xml:space="preserve">for an increase in distance walked </w:t>
      </w:r>
      <w:r w:rsidR="00B9798F" w:rsidRPr="00FC7F1E">
        <w:t xml:space="preserve">was incorrectly applied to all patients treated with nusinersen rather than </w:t>
      </w:r>
      <w:r w:rsidR="00520355" w:rsidRPr="00FC7F1E">
        <w:t xml:space="preserve">to </w:t>
      </w:r>
      <w:r w:rsidR="00B9798F" w:rsidRPr="00FC7F1E">
        <w:t>just ambu</w:t>
      </w:r>
      <w:r w:rsidR="00520355" w:rsidRPr="00FC7F1E">
        <w:t>latory patients, the</w:t>
      </w:r>
      <w:r w:rsidR="001005AB" w:rsidRPr="00FC7F1E">
        <w:t xml:space="preserve"> ESC considered the</w:t>
      </w:r>
      <w:r w:rsidR="00520355" w:rsidRPr="00FC7F1E">
        <w:t xml:space="preserve"> ICER of </w:t>
      </w:r>
      <w:r w:rsidR="000E79A5">
        <w:t>&gt;</w:t>
      </w:r>
      <w:r w:rsidR="00520355" w:rsidRPr="00FC7F1E">
        <w:t>$</w:t>
      </w:r>
      <w:r w:rsidR="000E79A5">
        <w:t>1,055,000</w:t>
      </w:r>
      <w:r w:rsidR="00357404">
        <w:t>/QALY gained</w:t>
      </w:r>
      <w:r w:rsidR="00520355" w:rsidRPr="00FC7F1E">
        <w:t xml:space="preserve"> </w:t>
      </w:r>
      <w:r w:rsidR="00B9798F" w:rsidRPr="00FC7F1E">
        <w:t xml:space="preserve"> should be considered the base case ICER. </w:t>
      </w:r>
    </w:p>
    <w:p w14:paraId="7DBE3BB1" w14:textId="77777777" w:rsidR="002905B2" w:rsidRPr="00FC7F1E" w:rsidRDefault="002905B2" w:rsidP="002905B2">
      <w:pPr>
        <w:pStyle w:val="3-BodyText"/>
      </w:pPr>
      <w:r w:rsidRPr="00FC7F1E">
        <w:t>For context, in March 2018, the PBAC noted that the cost per QALY gained for patients with Type II/IIIa SMA was estimated to be an indicative ICER of $</w:t>
      </w:r>
      <w:r w:rsidR="007F44AB">
        <w:t>255,000</w:t>
      </w:r>
      <w:r w:rsidR="000E79A5">
        <w:t xml:space="preserve"> to &lt;$</w:t>
      </w:r>
      <w:r w:rsidR="007F44AB">
        <w:t>355</w:t>
      </w:r>
      <w:r w:rsidR="000E79A5">
        <w:t>,000</w:t>
      </w:r>
      <w:r w:rsidR="00357404">
        <w:t>/QALY gained</w:t>
      </w:r>
      <w:r w:rsidRPr="00FC7F1E">
        <w:t xml:space="preserve"> based on a health care perspective. The PBAC </w:t>
      </w:r>
      <w:r w:rsidR="00A036F6" w:rsidRPr="00FC7F1E">
        <w:t xml:space="preserve">(in March 2018) </w:t>
      </w:r>
      <w:r w:rsidRPr="00FC7F1E">
        <w:t>considered that this I</w:t>
      </w:r>
      <w:r w:rsidR="00D32494" w:rsidRPr="00FC7F1E">
        <w:t xml:space="preserve">CER was considerably uncertain, </w:t>
      </w:r>
      <w:r w:rsidRPr="00FC7F1E">
        <w:t xml:space="preserve">and did not accept the proposed </w:t>
      </w:r>
      <w:r w:rsidRPr="00FC7F1E">
        <w:lastRenderedPageBreak/>
        <w:t xml:space="preserve">price for all SMA types and advised that a price reduction accounting for utilisation in Type II/IIIa patients would be appropriate. The PBAC advised that a combination of reduction in price, increased rebates or lower financial caps </w:t>
      </w:r>
      <w:r w:rsidR="00DC75F5" w:rsidRPr="00FC7F1E">
        <w:t>would be</w:t>
      </w:r>
      <w:r w:rsidRPr="00FC7F1E">
        <w:t xml:space="preserve"> necessary to achieve a cost-effective listing (</w:t>
      </w:r>
      <w:r w:rsidR="00D32494" w:rsidRPr="00FC7F1E">
        <w:t xml:space="preserve">Nusinersen PBAC PSD, March 2018, paragraphs 6.10 to </w:t>
      </w:r>
      <w:r w:rsidRPr="00FC7F1E">
        <w:t>6.11).</w:t>
      </w:r>
    </w:p>
    <w:p w14:paraId="0604DFDA" w14:textId="77777777" w:rsidR="002905B2" w:rsidRPr="00FC7F1E" w:rsidRDefault="00D32494" w:rsidP="002905B2">
      <w:pPr>
        <w:pStyle w:val="3-BodyText"/>
      </w:pPr>
      <w:r w:rsidRPr="00FC7F1E">
        <w:t>The</w:t>
      </w:r>
      <w:r w:rsidR="002905B2" w:rsidRPr="00FC7F1E">
        <w:t xml:space="preserve"> November 2017 submission requested consideration under the </w:t>
      </w:r>
      <w:r w:rsidR="007E047D" w:rsidRPr="00FC7F1E">
        <w:t>‘</w:t>
      </w:r>
      <w:r w:rsidR="002905B2" w:rsidRPr="00FC7F1E">
        <w:t>rule of rescue</w:t>
      </w:r>
      <w:r w:rsidR="007E047D" w:rsidRPr="00FC7F1E">
        <w:t>’</w:t>
      </w:r>
      <w:r w:rsidR="002905B2" w:rsidRPr="00FC7F1E">
        <w:t>. In November 2017, the PBAC did not consider the ‘rule of rescue’ criteria were met for SMA Type II. Further, the PBAC considered there was insufficient clinical data to ascertain whether the ‘rule of rescue’ criteria would be met for SMA Type III (</w:t>
      </w:r>
      <w:r w:rsidR="007E047D" w:rsidRPr="00FC7F1E">
        <w:t xml:space="preserve">5.11 Nusinersen PBAC PSD, November 2017, </w:t>
      </w:r>
      <w:r w:rsidR="002905B2" w:rsidRPr="00FC7F1E">
        <w:t>paragraph</w:t>
      </w:r>
      <w:r w:rsidRPr="00FC7F1E">
        <w:t>s</w:t>
      </w:r>
      <w:r w:rsidR="002905B2" w:rsidRPr="00FC7F1E">
        <w:t xml:space="preserve"> 7.29 and 7.30).</w:t>
      </w:r>
    </w:p>
    <w:p w14:paraId="040C6D10" w14:textId="77777777" w:rsidR="000C0D70" w:rsidRPr="00FC7F1E" w:rsidRDefault="000C0D70" w:rsidP="000C0D70">
      <w:pPr>
        <w:pStyle w:val="3-BodyText"/>
      </w:pPr>
      <w:r w:rsidRPr="00FC7F1E">
        <w:t xml:space="preserve">An additional cost per responder analysis was </w:t>
      </w:r>
      <w:r w:rsidR="00952A6A" w:rsidRPr="00FC7F1E">
        <w:t>included in the stepped economic evaluation</w:t>
      </w:r>
      <w:r w:rsidRPr="00FC7F1E">
        <w:t xml:space="preserve"> during the evaluation</w:t>
      </w:r>
      <w:r w:rsidR="00952A6A" w:rsidRPr="00FC7F1E">
        <w:t>. A</w:t>
      </w:r>
      <w:r w:rsidRPr="00FC7F1E">
        <w:t xml:space="preserve">s shown in </w:t>
      </w:r>
      <w:r w:rsidR="00F146A0" w:rsidRPr="00FC7F1E">
        <w:t>Table 1</w:t>
      </w:r>
      <w:r w:rsidR="00AA3F5F" w:rsidRPr="00FC7F1E">
        <w:t>1</w:t>
      </w:r>
      <w:r w:rsidRPr="00FC7F1E">
        <w:t>, the incremental cost per responder based on a 3 point or greater change on the HFMSE was estimated to be $</w:t>
      </w:r>
      <w:r w:rsidR="002E0842">
        <w:t>855,000 to &lt;$955,000/QALY gained</w:t>
      </w:r>
      <w:r w:rsidR="00CE1004" w:rsidRPr="00FC7F1E">
        <w:t xml:space="preserve"> (based on 14 month outcomes in Hagenacker </w:t>
      </w:r>
      <w:r w:rsidR="000E0BFA" w:rsidRPr="00FC7F1E">
        <w:t xml:space="preserve">2020 </w:t>
      </w:r>
      <w:r w:rsidR="00CE1004" w:rsidRPr="00FC7F1E">
        <w:t>(40.4%) versus Mercuri 2016 (6.7%))</w:t>
      </w:r>
      <w:r w:rsidRPr="00FC7F1E">
        <w:t xml:space="preserve">. This was calculated to </w:t>
      </w:r>
      <w:r w:rsidR="005E6908" w:rsidRPr="00FC7F1E">
        <w:t xml:space="preserve">allow </w:t>
      </w:r>
      <w:r w:rsidRPr="00FC7F1E">
        <w:t>some comparison to the cost per responder with Type II SMA in the first PBAC submission of $</w:t>
      </w:r>
      <w:r w:rsidR="008E2DDA">
        <w:rPr>
          <w:noProof/>
          <w:color w:val="000000"/>
          <w:highlight w:val="black"/>
        </w:rPr>
        <w:t>'''''''''''''''''</w:t>
      </w:r>
      <w:r w:rsidRPr="00FC7F1E">
        <w:t xml:space="preserve"> (recalculated to be $</w:t>
      </w:r>
      <w:r w:rsidR="008E2DDA">
        <w:rPr>
          <w:noProof/>
          <w:color w:val="000000"/>
          <w:highlight w:val="black"/>
        </w:rPr>
        <w:t>'''''''''''''''''</w:t>
      </w:r>
      <w:r w:rsidRPr="00FC7F1E">
        <w:t xml:space="preserve"> based on the current effective price of $</w:t>
      </w:r>
      <w:r w:rsidR="008E2DDA">
        <w:rPr>
          <w:noProof/>
          <w:color w:val="000000"/>
          <w:highlight w:val="black"/>
        </w:rPr>
        <w:t>''''''''''''</w:t>
      </w:r>
      <w:r w:rsidRPr="00FC7F1E">
        <w:t xml:space="preserve"> per vial rather than $110,000 per vial in the first submission), noting that th</w:t>
      </w:r>
      <w:r w:rsidR="00CE1004" w:rsidRPr="00FC7F1E">
        <w:t xml:space="preserve">e current cost per responder </w:t>
      </w:r>
      <w:r w:rsidRPr="00FC7F1E">
        <w:t xml:space="preserve">is </w:t>
      </w:r>
      <w:r w:rsidR="00CE1004" w:rsidRPr="00FC7F1E">
        <w:t>highly uncertain due to</w:t>
      </w:r>
      <w:r w:rsidRPr="00FC7F1E">
        <w:t xml:space="preserve"> the lack of comparative data compared to the first submission where response rates of 56.8% versus 26.3% were seen for nusinersen and best supportive care treated patients respectively in the CHERISH trial (5.11 COM, November 2017 Table 2.8.3). </w:t>
      </w:r>
      <w:r w:rsidR="00D32494" w:rsidRPr="00FC7F1E">
        <w:t>The evaluation</w:t>
      </w:r>
      <w:r w:rsidRPr="00FC7F1E">
        <w:t xml:space="preserve"> further noted that the ESC previously considered the nomination of a 3-point change as being clinically significant was poorly supported (Nusinersen PSD, November 2017 PBAC Meeting, para 6.52), and that the change from baseline to 14 months was lower for Type II patients than Type III patients in Hagenacker 2020 (1.1 versus 4.2), indicating that the proportion of Type II SMA patients achieving a 3</w:t>
      </w:r>
      <w:r w:rsidR="00C21E01" w:rsidRPr="00FC7F1E">
        <w:t>-</w:t>
      </w:r>
      <w:r w:rsidRPr="00FC7F1E">
        <w:t>point or more increase in HFMSE would have been lower than the mean rates reported for all patients in this study.</w:t>
      </w:r>
    </w:p>
    <w:p w14:paraId="6BC0C17F" w14:textId="77777777" w:rsidR="00A86E8B" w:rsidRPr="00FC7F1E" w:rsidRDefault="0097460A" w:rsidP="00354D52">
      <w:pPr>
        <w:pStyle w:val="3-BodyText"/>
      </w:pPr>
      <w:r w:rsidRPr="00FC7F1E">
        <w:t>R</w:t>
      </w:r>
      <w:r w:rsidR="00D23D11" w:rsidRPr="00FC7F1E">
        <w:t xml:space="preserve">esults of key univariate sensitivity analyses </w:t>
      </w:r>
      <w:r w:rsidR="00BA3A48" w:rsidRPr="00FC7F1E">
        <w:t xml:space="preserve">presented by the </w:t>
      </w:r>
      <w:r w:rsidR="00C21E01" w:rsidRPr="00FC7F1E">
        <w:t>re</w:t>
      </w:r>
      <w:r w:rsidR="00BA3A48" w:rsidRPr="00FC7F1E">
        <w:t xml:space="preserve">submission </w:t>
      </w:r>
      <w:r w:rsidR="00BA3A48" w:rsidRPr="00FC7F1E">
        <w:rPr>
          <w:iCs/>
        </w:rPr>
        <w:t xml:space="preserve">and undertaken during the evaluation </w:t>
      </w:r>
      <w:r w:rsidR="00D23D11" w:rsidRPr="00FC7F1E">
        <w:t xml:space="preserve">are summarised </w:t>
      </w:r>
      <w:r w:rsidR="00C21E01" w:rsidRPr="00FC7F1E">
        <w:t xml:space="preserve">in </w:t>
      </w:r>
      <w:r w:rsidR="00082C7F" w:rsidRPr="00FC7F1E">
        <w:t>Table 1</w:t>
      </w:r>
      <w:r w:rsidR="00AA3F5F" w:rsidRPr="00FC7F1E">
        <w:t>2</w:t>
      </w:r>
      <w:r w:rsidR="00D23D11" w:rsidRPr="00FC7F1E">
        <w:t xml:space="preserve">. </w:t>
      </w:r>
      <w:r w:rsidR="00B9798F" w:rsidRPr="00FC7F1E">
        <w:t>These are based on the base case presented in the resubmission</w:t>
      </w:r>
      <w:r w:rsidR="00354D52" w:rsidRPr="00FC7F1E">
        <w:t>, and do not include the correction to apply the treatment utility benefit (for increase in distance walked) to ambulatory patients only</w:t>
      </w:r>
      <w:r w:rsidR="00B9798F" w:rsidRPr="00FC7F1E">
        <w:t>.</w:t>
      </w:r>
    </w:p>
    <w:p w14:paraId="5CCC184D" w14:textId="77777777" w:rsidR="00EE2C3E" w:rsidRPr="00FC7F1E" w:rsidRDefault="00C21E01" w:rsidP="00C21E01">
      <w:pPr>
        <w:keepNext/>
        <w:rPr>
          <w:rFonts w:ascii="Arial Narrow" w:hAnsi="Arial Narrow"/>
          <w:b/>
          <w:sz w:val="20"/>
          <w:szCs w:val="20"/>
        </w:rPr>
      </w:pPr>
      <w:bookmarkStart w:id="38" w:name="_Ref49227405"/>
      <w:bookmarkStart w:id="39" w:name="_Toc22897646"/>
      <w:r w:rsidRPr="00FC7F1E">
        <w:rPr>
          <w:rFonts w:ascii="Arial Narrow" w:hAnsi="Arial Narrow"/>
          <w:b/>
          <w:sz w:val="20"/>
          <w:szCs w:val="20"/>
        </w:rPr>
        <w:lastRenderedPageBreak/>
        <w:t xml:space="preserve">Table </w:t>
      </w:r>
      <w:r w:rsidR="00082C7F" w:rsidRPr="00FC7F1E">
        <w:rPr>
          <w:rFonts w:ascii="Arial Narrow" w:hAnsi="Arial Narrow"/>
          <w:b/>
          <w:sz w:val="20"/>
          <w:szCs w:val="20"/>
        </w:rPr>
        <w:t>1</w:t>
      </w:r>
      <w:bookmarkEnd w:id="38"/>
      <w:r w:rsidR="00AA3F5F" w:rsidRPr="00FC7F1E">
        <w:rPr>
          <w:rFonts w:ascii="Arial Narrow" w:hAnsi="Arial Narrow"/>
          <w:b/>
          <w:sz w:val="20"/>
          <w:szCs w:val="20"/>
        </w:rPr>
        <w:t>2</w:t>
      </w:r>
      <w:r w:rsidR="00EE2C3E" w:rsidRPr="00FC7F1E">
        <w:rPr>
          <w:rFonts w:ascii="Arial Narrow" w:hAnsi="Arial Narrow"/>
          <w:b/>
          <w:sz w:val="20"/>
          <w:szCs w:val="20"/>
        </w:rPr>
        <w:t xml:space="preserve">: </w:t>
      </w:r>
      <w:r w:rsidR="00020203" w:rsidRPr="00FC7F1E">
        <w:rPr>
          <w:rFonts w:ascii="Arial Narrow" w:hAnsi="Arial Narrow"/>
          <w:b/>
          <w:sz w:val="20"/>
          <w:szCs w:val="20"/>
        </w:rPr>
        <w:t>Key u</w:t>
      </w:r>
      <w:r w:rsidR="00EE2C3E" w:rsidRPr="00FC7F1E">
        <w:rPr>
          <w:rFonts w:ascii="Arial Narrow" w:hAnsi="Arial Narrow"/>
          <w:b/>
          <w:sz w:val="20"/>
          <w:szCs w:val="20"/>
        </w:rPr>
        <w:t>nivariate sensitivity analysis: Incremental cost per QALY gained</w:t>
      </w:r>
    </w:p>
    <w:tbl>
      <w:tblPr>
        <w:tblStyle w:val="ASDTable23"/>
        <w:tblW w:w="0" w:type="auto"/>
        <w:tblLook w:val="0620" w:firstRow="1" w:lastRow="0" w:firstColumn="0" w:lastColumn="0" w:noHBand="1" w:noVBand="1"/>
        <w:tblCaption w:val="Table 12: Key univariate sensitivity analysis: Incremental cost per QALY gained"/>
      </w:tblPr>
      <w:tblGrid>
        <w:gridCol w:w="3862"/>
        <w:gridCol w:w="1410"/>
        <w:gridCol w:w="1505"/>
        <w:gridCol w:w="2240"/>
      </w:tblGrid>
      <w:tr w:rsidR="00EE2C3E" w:rsidRPr="00FC7F1E" w14:paraId="7B07C831" w14:textId="77777777" w:rsidTr="00991867">
        <w:trPr>
          <w:tblHeader/>
        </w:trPr>
        <w:tc>
          <w:tcPr>
            <w:tcW w:w="3862" w:type="dxa"/>
            <w:tcBorders>
              <w:top w:val="single" w:sz="4" w:space="0" w:color="auto"/>
              <w:left w:val="single" w:sz="4" w:space="0" w:color="auto"/>
              <w:bottom w:val="single" w:sz="4" w:space="0" w:color="auto"/>
              <w:right w:val="single" w:sz="4" w:space="0" w:color="auto"/>
            </w:tcBorders>
            <w:hideMark/>
          </w:tcPr>
          <w:p w14:paraId="1CCD22DB" w14:textId="77777777" w:rsidR="00EE2C3E" w:rsidRPr="00FC7F1E" w:rsidRDefault="00EE2C3E" w:rsidP="00C21E01">
            <w:pPr>
              <w:keepNext/>
              <w:keepLines/>
              <w:spacing w:before="20" w:after="20"/>
              <w:jc w:val="left"/>
              <w:rPr>
                <w:rFonts w:ascii="Arial Narrow" w:eastAsia="TimesNewRoman" w:hAnsi="Arial Narrow" w:cs="Times New Roman"/>
                <w:b/>
                <w:color w:val="000000"/>
                <w:sz w:val="20"/>
                <w:szCs w:val="20"/>
              </w:rPr>
            </w:pPr>
          </w:p>
        </w:tc>
        <w:tc>
          <w:tcPr>
            <w:tcW w:w="1410" w:type="dxa"/>
            <w:tcBorders>
              <w:top w:val="single" w:sz="4" w:space="0" w:color="auto"/>
              <w:left w:val="single" w:sz="4" w:space="0" w:color="auto"/>
              <w:bottom w:val="single" w:sz="4" w:space="0" w:color="auto"/>
              <w:right w:val="single" w:sz="4" w:space="0" w:color="auto"/>
            </w:tcBorders>
            <w:hideMark/>
          </w:tcPr>
          <w:p w14:paraId="04BF0015" w14:textId="77777777" w:rsidR="00EE2C3E" w:rsidRPr="00FC7F1E" w:rsidRDefault="00EE2C3E" w:rsidP="00C21E01">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Incremental costs</w:t>
            </w:r>
          </w:p>
        </w:tc>
        <w:tc>
          <w:tcPr>
            <w:tcW w:w="1505" w:type="dxa"/>
            <w:tcBorders>
              <w:top w:val="single" w:sz="4" w:space="0" w:color="auto"/>
              <w:left w:val="single" w:sz="4" w:space="0" w:color="auto"/>
              <w:bottom w:val="single" w:sz="4" w:space="0" w:color="auto"/>
              <w:right w:val="single" w:sz="4" w:space="0" w:color="auto"/>
            </w:tcBorders>
            <w:hideMark/>
          </w:tcPr>
          <w:p w14:paraId="2E72D4E9" w14:textId="77777777" w:rsidR="00EE2C3E" w:rsidRPr="00FC7F1E" w:rsidRDefault="00EE2C3E" w:rsidP="00C21E01">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Incremental. QALYs</w:t>
            </w:r>
          </w:p>
        </w:tc>
        <w:tc>
          <w:tcPr>
            <w:tcW w:w="2240" w:type="dxa"/>
            <w:tcBorders>
              <w:top w:val="single" w:sz="4" w:space="0" w:color="auto"/>
              <w:left w:val="single" w:sz="4" w:space="0" w:color="auto"/>
              <w:bottom w:val="single" w:sz="4" w:space="0" w:color="auto"/>
              <w:right w:val="single" w:sz="4" w:space="0" w:color="auto"/>
            </w:tcBorders>
            <w:hideMark/>
          </w:tcPr>
          <w:p w14:paraId="065EB9BA" w14:textId="77777777" w:rsidR="00EE2C3E" w:rsidRPr="00FC7F1E" w:rsidRDefault="00EE2C3E" w:rsidP="00C21E01">
            <w:pPr>
              <w:keepNext/>
              <w:keepLines/>
              <w:spacing w:before="20" w:after="20"/>
              <w:jc w:val="center"/>
              <w:rPr>
                <w:rFonts w:ascii="Arial Narrow" w:eastAsia="TimesNewRoman" w:hAnsi="Arial Narrow" w:cs="Times New Roman"/>
                <w:b/>
                <w:color w:val="000000"/>
                <w:sz w:val="20"/>
                <w:szCs w:val="20"/>
              </w:rPr>
            </w:pPr>
            <w:r w:rsidRPr="00FC7F1E">
              <w:rPr>
                <w:rFonts w:ascii="Arial Narrow" w:eastAsia="TimesNewRoman" w:hAnsi="Arial Narrow" w:cs="Times New Roman"/>
                <w:b/>
                <w:color w:val="000000"/>
                <w:sz w:val="20"/>
                <w:szCs w:val="20"/>
              </w:rPr>
              <w:t>ICER ($/QALY)</w:t>
            </w:r>
          </w:p>
        </w:tc>
      </w:tr>
      <w:tr w:rsidR="00EE2C3E" w:rsidRPr="00FC7F1E" w14:paraId="7DB3E7D0" w14:textId="77777777" w:rsidTr="00991867">
        <w:tc>
          <w:tcPr>
            <w:tcW w:w="3862" w:type="dxa"/>
            <w:tcBorders>
              <w:top w:val="single" w:sz="4" w:space="0" w:color="auto"/>
              <w:left w:val="single" w:sz="4" w:space="0" w:color="auto"/>
              <w:bottom w:val="single" w:sz="4" w:space="0" w:color="auto"/>
              <w:right w:val="single" w:sz="4" w:space="0" w:color="auto"/>
            </w:tcBorders>
          </w:tcPr>
          <w:p w14:paraId="749805C5" w14:textId="77777777" w:rsidR="00EE2C3E" w:rsidRPr="00FC7F1E" w:rsidRDefault="00EE2C3E"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Base case</w:t>
            </w:r>
            <w:r w:rsidR="00B9798F" w:rsidRPr="00FC7F1E">
              <w:rPr>
                <w:rFonts w:ascii="Arial Narrow" w:eastAsia="TimesNewRoman" w:hAnsi="Arial Narrow" w:cs="Times New Roman"/>
                <w:color w:val="000000"/>
                <w:sz w:val="20"/>
                <w:szCs w:val="20"/>
              </w:rPr>
              <w:t xml:space="preserve"> (per resubmission)</w:t>
            </w:r>
          </w:p>
        </w:tc>
        <w:tc>
          <w:tcPr>
            <w:tcW w:w="1410" w:type="dxa"/>
            <w:tcBorders>
              <w:top w:val="single" w:sz="4" w:space="0" w:color="auto"/>
              <w:left w:val="single" w:sz="4" w:space="0" w:color="auto"/>
              <w:bottom w:val="single" w:sz="4" w:space="0" w:color="auto"/>
              <w:right w:val="single" w:sz="4" w:space="0" w:color="auto"/>
            </w:tcBorders>
          </w:tcPr>
          <w:p w14:paraId="07224E15"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tcPr>
          <w:p w14:paraId="4A1A2451"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0.9243</w:t>
            </w:r>
          </w:p>
        </w:tc>
        <w:tc>
          <w:tcPr>
            <w:tcW w:w="2240" w:type="dxa"/>
            <w:tcBorders>
              <w:top w:val="single" w:sz="4" w:space="0" w:color="auto"/>
              <w:left w:val="single" w:sz="4" w:space="0" w:color="auto"/>
              <w:bottom w:val="single" w:sz="4" w:space="0" w:color="auto"/>
              <w:right w:val="single" w:sz="4" w:space="0" w:color="auto"/>
            </w:tcBorders>
          </w:tcPr>
          <w:p w14:paraId="67F0031A" w14:textId="77777777" w:rsidR="00EE2C3E" w:rsidRPr="00FC7F1E" w:rsidRDefault="00EE2C3E"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EC321D" w:rsidRPr="00EC321D">
              <w:rPr>
                <w:rFonts w:ascii="Arial Narrow" w:eastAsia="TimesNewRoman" w:hAnsi="Arial Narrow" w:cs="Times New Roman"/>
                <w:color w:val="000000"/>
                <w:sz w:val="20"/>
                <w:szCs w:val="20"/>
                <w:vertAlign w:val="superscript"/>
              </w:rPr>
              <w:t>1</w:t>
            </w:r>
          </w:p>
        </w:tc>
      </w:tr>
      <w:tr w:rsidR="00EE2C3E" w:rsidRPr="00FC7F1E" w14:paraId="670F7B9A" w14:textId="77777777" w:rsidTr="00991867">
        <w:tc>
          <w:tcPr>
            <w:tcW w:w="9017" w:type="dxa"/>
            <w:gridSpan w:val="4"/>
            <w:tcBorders>
              <w:top w:val="single" w:sz="4" w:space="0" w:color="auto"/>
              <w:left w:val="single" w:sz="4" w:space="0" w:color="auto"/>
              <w:bottom w:val="single" w:sz="4" w:space="0" w:color="auto"/>
              <w:right w:val="single" w:sz="4" w:space="0" w:color="auto"/>
            </w:tcBorders>
          </w:tcPr>
          <w:p w14:paraId="79D121ED" w14:textId="77777777" w:rsidR="00EE2C3E" w:rsidRPr="00FC7F1E" w:rsidRDefault="00EE2C3E" w:rsidP="00C21E01">
            <w:pPr>
              <w:keepNext/>
              <w:keepLines/>
              <w:spacing w:before="20" w:after="20"/>
              <w:jc w:val="left"/>
              <w:rPr>
                <w:rFonts w:ascii="Arial Narrow" w:eastAsia="TimesNewRoman" w:hAnsi="Arial Narrow" w:cs="Times New Roman"/>
                <w:b/>
                <w:bCs/>
                <w:color w:val="000000"/>
                <w:sz w:val="20"/>
                <w:szCs w:val="20"/>
              </w:rPr>
            </w:pPr>
            <w:r w:rsidRPr="00FC7F1E">
              <w:rPr>
                <w:rFonts w:ascii="Arial Narrow" w:eastAsia="TimesNewRoman" w:hAnsi="Arial Narrow" w:cs="Times New Roman"/>
                <w:b/>
                <w:bCs/>
                <w:color w:val="000000"/>
                <w:sz w:val="20"/>
                <w:szCs w:val="20"/>
              </w:rPr>
              <w:t>Time horizon (base case: lifetime)</w:t>
            </w:r>
          </w:p>
        </w:tc>
      </w:tr>
      <w:tr w:rsidR="00EE2C3E" w:rsidRPr="00FC7F1E" w14:paraId="21490FA4" w14:textId="77777777" w:rsidTr="00991867">
        <w:trPr>
          <w:trHeight w:val="91"/>
        </w:trPr>
        <w:tc>
          <w:tcPr>
            <w:tcW w:w="3862" w:type="dxa"/>
            <w:tcBorders>
              <w:top w:val="single" w:sz="4" w:space="0" w:color="auto"/>
              <w:left w:val="single" w:sz="4" w:space="0" w:color="auto"/>
              <w:bottom w:val="single" w:sz="4" w:space="0" w:color="auto"/>
              <w:right w:val="single" w:sz="4" w:space="0" w:color="auto"/>
            </w:tcBorders>
          </w:tcPr>
          <w:p w14:paraId="5805C28C" w14:textId="77777777" w:rsidR="00EE2C3E" w:rsidRPr="00FC7F1E" w:rsidRDefault="00EE2C3E"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 year</w:t>
            </w:r>
          </w:p>
        </w:tc>
        <w:tc>
          <w:tcPr>
            <w:tcW w:w="1410" w:type="dxa"/>
            <w:tcBorders>
              <w:top w:val="single" w:sz="4" w:space="0" w:color="auto"/>
              <w:left w:val="single" w:sz="4" w:space="0" w:color="auto"/>
              <w:bottom w:val="single" w:sz="4" w:space="0" w:color="auto"/>
              <w:right w:val="single" w:sz="4" w:space="0" w:color="auto"/>
            </w:tcBorders>
          </w:tcPr>
          <w:p w14:paraId="70055B82"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tcPr>
          <w:p w14:paraId="18948496"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0.0222</w:t>
            </w:r>
          </w:p>
        </w:tc>
        <w:tc>
          <w:tcPr>
            <w:tcW w:w="2240" w:type="dxa"/>
            <w:tcBorders>
              <w:top w:val="single" w:sz="4" w:space="0" w:color="auto"/>
              <w:left w:val="single" w:sz="4" w:space="0" w:color="auto"/>
              <w:bottom w:val="single" w:sz="4" w:space="0" w:color="auto"/>
              <w:right w:val="single" w:sz="4" w:space="0" w:color="auto"/>
            </w:tcBorders>
          </w:tcPr>
          <w:p w14:paraId="14AF39CC" w14:textId="77777777" w:rsidR="00EE2C3E" w:rsidRPr="00FC7F1E" w:rsidRDefault="00EE2C3E"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5D22A5" w:rsidRPr="005D22A5">
              <w:rPr>
                <w:rFonts w:ascii="Arial Narrow" w:eastAsia="TimesNewRoman" w:hAnsi="Arial Narrow" w:cs="Times New Roman"/>
                <w:color w:val="000000"/>
                <w:sz w:val="20"/>
                <w:szCs w:val="20"/>
                <w:vertAlign w:val="superscript"/>
              </w:rPr>
              <w:t>1</w:t>
            </w:r>
          </w:p>
        </w:tc>
      </w:tr>
      <w:tr w:rsidR="00EE2C3E" w:rsidRPr="00FC7F1E" w14:paraId="26258A95" w14:textId="77777777" w:rsidTr="00991867">
        <w:tc>
          <w:tcPr>
            <w:tcW w:w="3862" w:type="dxa"/>
            <w:tcBorders>
              <w:top w:val="single" w:sz="4" w:space="0" w:color="auto"/>
              <w:left w:val="single" w:sz="4" w:space="0" w:color="auto"/>
              <w:bottom w:val="single" w:sz="4" w:space="0" w:color="auto"/>
              <w:right w:val="single" w:sz="4" w:space="0" w:color="auto"/>
            </w:tcBorders>
          </w:tcPr>
          <w:p w14:paraId="0AE9D9D4" w14:textId="77777777" w:rsidR="00EE2C3E" w:rsidRPr="00FC7F1E" w:rsidRDefault="00EE2C3E"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5 years</w:t>
            </w:r>
          </w:p>
        </w:tc>
        <w:tc>
          <w:tcPr>
            <w:tcW w:w="1410" w:type="dxa"/>
            <w:tcBorders>
              <w:top w:val="single" w:sz="4" w:space="0" w:color="auto"/>
              <w:left w:val="single" w:sz="4" w:space="0" w:color="auto"/>
              <w:bottom w:val="single" w:sz="4" w:space="0" w:color="auto"/>
              <w:right w:val="single" w:sz="4" w:space="0" w:color="auto"/>
            </w:tcBorders>
          </w:tcPr>
          <w:p w14:paraId="485645EC"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tcPr>
          <w:p w14:paraId="30C55982"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0.1288</w:t>
            </w:r>
          </w:p>
        </w:tc>
        <w:tc>
          <w:tcPr>
            <w:tcW w:w="2240" w:type="dxa"/>
            <w:tcBorders>
              <w:top w:val="single" w:sz="4" w:space="0" w:color="auto"/>
              <w:left w:val="single" w:sz="4" w:space="0" w:color="auto"/>
              <w:bottom w:val="single" w:sz="4" w:space="0" w:color="auto"/>
              <w:right w:val="single" w:sz="4" w:space="0" w:color="auto"/>
            </w:tcBorders>
          </w:tcPr>
          <w:p w14:paraId="1E07A3D9" w14:textId="77777777" w:rsidR="00EE2C3E" w:rsidRPr="00FC7F1E" w:rsidRDefault="00EE2C3E"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5D22A5" w:rsidRPr="005D22A5">
              <w:rPr>
                <w:rFonts w:ascii="Arial Narrow" w:eastAsia="TimesNewRoman" w:hAnsi="Arial Narrow" w:cs="Times New Roman"/>
                <w:color w:val="000000"/>
                <w:sz w:val="20"/>
                <w:szCs w:val="20"/>
                <w:vertAlign w:val="superscript"/>
              </w:rPr>
              <w:t>1</w:t>
            </w:r>
          </w:p>
        </w:tc>
      </w:tr>
      <w:tr w:rsidR="00EE2C3E" w:rsidRPr="00FC7F1E" w14:paraId="4F75D51A" w14:textId="77777777" w:rsidTr="00991867">
        <w:tc>
          <w:tcPr>
            <w:tcW w:w="9017" w:type="dxa"/>
            <w:gridSpan w:val="4"/>
            <w:tcBorders>
              <w:top w:val="single" w:sz="4" w:space="0" w:color="auto"/>
              <w:left w:val="single" w:sz="4" w:space="0" w:color="auto"/>
              <w:bottom w:val="single" w:sz="4" w:space="0" w:color="auto"/>
              <w:right w:val="single" w:sz="4" w:space="0" w:color="auto"/>
            </w:tcBorders>
          </w:tcPr>
          <w:p w14:paraId="09424C4D" w14:textId="77777777" w:rsidR="00EE2C3E" w:rsidRPr="00FC7F1E" w:rsidRDefault="00EE2C3E" w:rsidP="00C21E01">
            <w:pPr>
              <w:keepNext/>
              <w:keepLines/>
              <w:spacing w:before="20" w:after="20"/>
              <w:jc w:val="left"/>
              <w:rPr>
                <w:rFonts w:ascii="Arial Narrow" w:eastAsia="TimesNewRoman" w:hAnsi="Arial Narrow" w:cs="Times New Roman"/>
                <w:b/>
                <w:bCs/>
                <w:color w:val="000000"/>
                <w:sz w:val="20"/>
                <w:szCs w:val="20"/>
              </w:rPr>
            </w:pPr>
            <w:r w:rsidRPr="00FC7F1E">
              <w:rPr>
                <w:rFonts w:ascii="Arial Narrow" w:eastAsia="TimesNewRoman" w:hAnsi="Arial Narrow" w:cs="Times New Roman"/>
                <w:b/>
                <w:bCs/>
                <w:color w:val="000000"/>
                <w:sz w:val="20"/>
                <w:szCs w:val="20"/>
              </w:rPr>
              <w:t>Standard of care progression rate (base case: 2.3%)</w:t>
            </w:r>
          </w:p>
        </w:tc>
      </w:tr>
      <w:tr w:rsidR="00EE2C3E" w:rsidRPr="00FC7F1E" w14:paraId="7F6BF9C8" w14:textId="77777777" w:rsidTr="00991867">
        <w:tc>
          <w:tcPr>
            <w:tcW w:w="3862" w:type="dxa"/>
            <w:tcBorders>
              <w:top w:val="single" w:sz="4" w:space="0" w:color="auto"/>
              <w:left w:val="single" w:sz="4" w:space="0" w:color="auto"/>
              <w:bottom w:val="single" w:sz="4" w:space="0" w:color="auto"/>
              <w:right w:val="single" w:sz="4" w:space="0" w:color="auto"/>
            </w:tcBorders>
          </w:tcPr>
          <w:p w14:paraId="767D29F2" w14:textId="77777777" w:rsidR="00EE2C3E" w:rsidRPr="00FC7F1E" w:rsidRDefault="00EE2C3E"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w:t>
            </w:r>
          </w:p>
        </w:tc>
        <w:tc>
          <w:tcPr>
            <w:tcW w:w="1410" w:type="dxa"/>
            <w:tcBorders>
              <w:top w:val="single" w:sz="4" w:space="0" w:color="auto"/>
              <w:left w:val="single" w:sz="4" w:space="0" w:color="auto"/>
              <w:bottom w:val="single" w:sz="4" w:space="0" w:color="auto"/>
              <w:right w:val="single" w:sz="4" w:space="0" w:color="auto"/>
            </w:tcBorders>
          </w:tcPr>
          <w:p w14:paraId="3ABF3182"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tcPr>
          <w:p w14:paraId="53DB2729"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0.5610</w:t>
            </w:r>
          </w:p>
        </w:tc>
        <w:tc>
          <w:tcPr>
            <w:tcW w:w="2240" w:type="dxa"/>
            <w:tcBorders>
              <w:top w:val="single" w:sz="4" w:space="0" w:color="auto"/>
              <w:left w:val="single" w:sz="4" w:space="0" w:color="auto"/>
              <w:bottom w:val="single" w:sz="4" w:space="0" w:color="auto"/>
              <w:right w:val="single" w:sz="4" w:space="0" w:color="auto"/>
            </w:tcBorders>
          </w:tcPr>
          <w:p w14:paraId="197A2F0E" w14:textId="77777777" w:rsidR="00EE2C3E" w:rsidRPr="00FC7F1E" w:rsidRDefault="00EE2C3E"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5D22A5" w:rsidRPr="005D22A5">
              <w:rPr>
                <w:rFonts w:ascii="Arial Narrow" w:eastAsia="TimesNewRoman" w:hAnsi="Arial Narrow" w:cs="Times New Roman"/>
                <w:color w:val="000000"/>
                <w:sz w:val="20"/>
                <w:szCs w:val="20"/>
                <w:vertAlign w:val="superscript"/>
              </w:rPr>
              <w:t>1</w:t>
            </w:r>
          </w:p>
        </w:tc>
      </w:tr>
      <w:tr w:rsidR="00EE2C3E" w:rsidRPr="00FC7F1E" w14:paraId="66492AAB" w14:textId="77777777" w:rsidTr="00991867">
        <w:tc>
          <w:tcPr>
            <w:tcW w:w="9017" w:type="dxa"/>
            <w:gridSpan w:val="4"/>
            <w:tcBorders>
              <w:top w:val="single" w:sz="4" w:space="0" w:color="auto"/>
              <w:left w:val="single" w:sz="4" w:space="0" w:color="auto"/>
              <w:bottom w:val="single" w:sz="4" w:space="0" w:color="auto"/>
              <w:right w:val="single" w:sz="4" w:space="0" w:color="auto"/>
            </w:tcBorders>
          </w:tcPr>
          <w:p w14:paraId="6C5A7BB8" w14:textId="77777777" w:rsidR="00EE2C3E" w:rsidRPr="00FC7F1E" w:rsidRDefault="00EE2C3E" w:rsidP="00C21E01">
            <w:pPr>
              <w:keepNext/>
              <w:keepLines/>
              <w:spacing w:before="20" w:after="20"/>
              <w:jc w:val="left"/>
              <w:rPr>
                <w:rFonts w:ascii="Arial Narrow" w:eastAsia="TimesNewRoman" w:hAnsi="Arial Narrow" w:cs="Times New Roman"/>
                <w:b/>
                <w:bCs/>
                <w:color w:val="000000"/>
                <w:sz w:val="20"/>
                <w:szCs w:val="20"/>
              </w:rPr>
            </w:pPr>
            <w:r w:rsidRPr="00FC7F1E">
              <w:rPr>
                <w:rFonts w:ascii="Arial Narrow" w:eastAsia="TimesNewRoman" w:hAnsi="Arial Narrow" w:cs="Times New Roman"/>
                <w:b/>
                <w:bCs/>
                <w:color w:val="000000"/>
                <w:sz w:val="20"/>
                <w:szCs w:val="20"/>
              </w:rPr>
              <w:t>Progression odds ratio, nusinersen versus standard of care (base case: 0, i.e. no progression on treatment)</w:t>
            </w:r>
          </w:p>
        </w:tc>
      </w:tr>
      <w:tr w:rsidR="00EE2C3E" w:rsidRPr="00FC7F1E" w14:paraId="15D636AD" w14:textId="77777777" w:rsidTr="00991867">
        <w:tc>
          <w:tcPr>
            <w:tcW w:w="3862" w:type="dxa"/>
            <w:tcBorders>
              <w:top w:val="single" w:sz="4" w:space="0" w:color="auto"/>
              <w:left w:val="single" w:sz="4" w:space="0" w:color="auto"/>
              <w:bottom w:val="single" w:sz="4" w:space="0" w:color="auto"/>
              <w:right w:val="single" w:sz="4" w:space="0" w:color="auto"/>
            </w:tcBorders>
          </w:tcPr>
          <w:p w14:paraId="1FF6C075" w14:textId="77777777" w:rsidR="00EE2C3E" w:rsidRPr="00FC7F1E" w:rsidRDefault="00EE2C3E"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0.5 (progression rate = 1.2%)</w:t>
            </w:r>
            <w:r w:rsidR="009E2D72" w:rsidRPr="00FC7F1E">
              <w:rPr>
                <w:rFonts w:ascii="Arial Narrow" w:eastAsia="TimesNewRoman" w:hAnsi="Arial Narrow" w:cs="Times New Roman"/>
                <w:color w:val="000000"/>
                <w:sz w:val="20"/>
                <w:szCs w:val="20"/>
              </w:rPr>
              <w:t>*</w:t>
            </w:r>
          </w:p>
        </w:tc>
        <w:tc>
          <w:tcPr>
            <w:tcW w:w="1410" w:type="dxa"/>
            <w:tcBorders>
              <w:top w:val="single" w:sz="4" w:space="0" w:color="auto"/>
              <w:left w:val="single" w:sz="4" w:space="0" w:color="auto"/>
              <w:bottom w:val="single" w:sz="4" w:space="0" w:color="auto"/>
              <w:right w:val="single" w:sz="4" w:space="0" w:color="auto"/>
            </w:tcBorders>
            <w:vAlign w:val="center"/>
          </w:tcPr>
          <w:p w14:paraId="58421647"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vAlign w:val="center"/>
          </w:tcPr>
          <w:p w14:paraId="7A5D9075"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0.9673</w:t>
            </w:r>
          </w:p>
        </w:tc>
        <w:tc>
          <w:tcPr>
            <w:tcW w:w="2240" w:type="dxa"/>
            <w:tcBorders>
              <w:top w:val="single" w:sz="4" w:space="0" w:color="auto"/>
              <w:left w:val="single" w:sz="4" w:space="0" w:color="auto"/>
              <w:bottom w:val="single" w:sz="4" w:space="0" w:color="auto"/>
              <w:right w:val="single" w:sz="4" w:space="0" w:color="auto"/>
            </w:tcBorders>
            <w:vAlign w:val="center"/>
          </w:tcPr>
          <w:p w14:paraId="727BE391" w14:textId="77777777" w:rsidR="00EE2C3E" w:rsidRPr="00FC7F1E" w:rsidRDefault="00EE2C3E"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5D22A5" w:rsidRPr="005D22A5">
              <w:rPr>
                <w:rFonts w:ascii="Arial Narrow" w:eastAsia="TimesNewRoman" w:hAnsi="Arial Narrow" w:cs="Times New Roman"/>
                <w:color w:val="000000"/>
                <w:sz w:val="20"/>
                <w:szCs w:val="20"/>
                <w:vertAlign w:val="superscript"/>
              </w:rPr>
              <w:t>1</w:t>
            </w:r>
          </w:p>
        </w:tc>
      </w:tr>
      <w:tr w:rsidR="00FA3F9F" w:rsidRPr="00FC7F1E" w14:paraId="0968EFB1" w14:textId="77777777" w:rsidTr="00991867">
        <w:tc>
          <w:tcPr>
            <w:tcW w:w="3862" w:type="dxa"/>
            <w:tcBorders>
              <w:top w:val="single" w:sz="4" w:space="0" w:color="auto"/>
              <w:left w:val="single" w:sz="4" w:space="0" w:color="auto"/>
              <w:bottom w:val="single" w:sz="4" w:space="0" w:color="auto"/>
              <w:right w:val="single" w:sz="4" w:space="0" w:color="auto"/>
            </w:tcBorders>
          </w:tcPr>
          <w:p w14:paraId="55FC4E35" w14:textId="77777777" w:rsidR="00FA3F9F" w:rsidRPr="00FC7F1E" w:rsidRDefault="00FA3F9F"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0.25 (progression rate = 0.6%)</w:t>
            </w:r>
          </w:p>
        </w:tc>
        <w:tc>
          <w:tcPr>
            <w:tcW w:w="1410" w:type="dxa"/>
            <w:tcBorders>
              <w:top w:val="single" w:sz="4" w:space="0" w:color="auto"/>
              <w:left w:val="single" w:sz="4" w:space="0" w:color="auto"/>
              <w:bottom w:val="single" w:sz="4" w:space="0" w:color="auto"/>
              <w:right w:val="single" w:sz="4" w:space="0" w:color="auto"/>
            </w:tcBorders>
            <w:vAlign w:val="center"/>
          </w:tcPr>
          <w:p w14:paraId="4B512C68" w14:textId="77777777" w:rsidR="00FA3F9F" w:rsidRPr="00FC7F1E" w:rsidRDefault="00FA3F9F"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vAlign w:val="center"/>
          </w:tcPr>
          <w:p w14:paraId="042173DE" w14:textId="77777777" w:rsidR="00FA3F9F" w:rsidRPr="00FC7F1E" w:rsidRDefault="00FA3F9F"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0.9958</w:t>
            </w:r>
          </w:p>
        </w:tc>
        <w:tc>
          <w:tcPr>
            <w:tcW w:w="2240" w:type="dxa"/>
            <w:tcBorders>
              <w:top w:val="single" w:sz="4" w:space="0" w:color="auto"/>
              <w:left w:val="single" w:sz="4" w:space="0" w:color="auto"/>
              <w:bottom w:val="single" w:sz="4" w:space="0" w:color="auto"/>
              <w:right w:val="single" w:sz="4" w:space="0" w:color="auto"/>
            </w:tcBorders>
            <w:vAlign w:val="center"/>
          </w:tcPr>
          <w:p w14:paraId="1266B636" w14:textId="77777777" w:rsidR="00FA3F9F" w:rsidRPr="00FC7F1E" w:rsidRDefault="00FA3F9F"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5D22A5" w:rsidRPr="005D22A5">
              <w:rPr>
                <w:rFonts w:ascii="Arial Narrow" w:eastAsia="TimesNewRoman" w:hAnsi="Arial Narrow" w:cs="Times New Roman"/>
                <w:color w:val="000000"/>
                <w:sz w:val="20"/>
                <w:szCs w:val="20"/>
                <w:vertAlign w:val="superscript"/>
              </w:rPr>
              <w:t>1</w:t>
            </w:r>
          </w:p>
        </w:tc>
      </w:tr>
      <w:tr w:rsidR="009E2D72" w:rsidRPr="00FC7F1E" w14:paraId="08205FFE" w14:textId="77777777" w:rsidTr="00991867">
        <w:tc>
          <w:tcPr>
            <w:tcW w:w="3862" w:type="dxa"/>
            <w:tcBorders>
              <w:top w:val="single" w:sz="4" w:space="0" w:color="auto"/>
              <w:left w:val="single" w:sz="4" w:space="0" w:color="auto"/>
              <w:bottom w:val="single" w:sz="4" w:space="0" w:color="auto"/>
              <w:right w:val="single" w:sz="4" w:space="0" w:color="auto"/>
            </w:tcBorders>
          </w:tcPr>
          <w:p w14:paraId="19C00403" w14:textId="77777777" w:rsidR="009E2D72" w:rsidRPr="00FC7F1E" w:rsidRDefault="009E2D72"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hAnsi="Arial Narrow" w:cs="Calibri"/>
                <w:iCs/>
                <w:color w:val="000000"/>
                <w:sz w:val="20"/>
                <w:szCs w:val="20"/>
              </w:rPr>
              <w:t>0.25 progression odds ratio (</w:t>
            </w:r>
            <w:r w:rsidR="00FA3F9F" w:rsidRPr="00FC7F1E">
              <w:rPr>
                <w:rFonts w:ascii="Arial Narrow" w:hAnsi="Arial Narrow" w:cs="Calibri"/>
                <w:iCs/>
                <w:color w:val="000000"/>
                <w:sz w:val="20"/>
                <w:szCs w:val="20"/>
              </w:rPr>
              <w:t>progression rate = 0.6%</w:t>
            </w:r>
            <w:r w:rsidRPr="00FC7F1E">
              <w:rPr>
                <w:rFonts w:ascii="Arial Narrow" w:hAnsi="Arial Narrow" w:cs="Calibri"/>
                <w:iCs/>
                <w:color w:val="000000"/>
                <w:sz w:val="20"/>
                <w:szCs w:val="20"/>
              </w:rPr>
              <w:t>), and only 50% of patients discontinuing after progression (base case 100%)</w:t>
            </w:r>
          </w:p>
        </w:tc>
        <w:tc>
          <w:tcPr>
            <w:tcW w:w="1410" w:type="dxa"/>
            <w:tcBorders>
              <w:top w:val="single" w:sz="4" w:space="0" w:color="auto"/>
              <w:left w:val="single" w:sz="4" w:space="0" w:color="auto"/>
              <w:bottom w:val="single" w:sz="4" w:space="0" w:color="auto"/>
              <w:right w:val="single" w:sz="4" w:space="0" w:color="auto"/>
            </w:tcBorders>
            <w:vAlign w:val="center"/>
          </w:tcPr>
          <w:p w14:paraId="7666AF18" w14:textId="77777777" w:rsidR="009E2D72" w:rsidRPr="00FC7F1E" w:rsidRDefault="009E2D72"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hAnsi="Arial Narrow" w:cs="Calibri"/>
                <w:iCs/>
                <w:color w:val="000000"/>
                <w:sz w:val="20"/>
                <w:szCs w:val="20"/>
              </w:rPr>
              <w:t>$</w:t>
            </w:r>
            <w:r w:rsidR="008E2DDA">
              <w:rPr>
                <w:rFonts w:ascii="Arial Narrow" w:hAnsi="Arial Narrow" w:cs="Calibri"/>
                <w:iCs/>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vAlign w:val="center"/>
          </w:tcPr>
          <w:p w14:paraId="5C581AE9" w14:textId="77777777" w:rsidR="009E2D72" w:rsidRPr="00FC7F1E" w:rsidRDefault="009E2D72"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hAnsi="Arial Narrow" w:cs="Calibri"/>
                <w:iCs/>
                <w:color w:val="000000"/>
                <w:sz w:val="20"/>
                <w:szCs w:val="20"/>
              </w:rPr>
              <w:t>0.7231</w:t>
            </w:r>
          </w:p>
        </w:tc>
        <w:tc>
          <w:tcPr>
            <w:tcW w:w="2240" w:type="dxa"/>
            <w:tcBorders>
              <w:top w:val="single" w:sz="4" w:space="0" w:color="auto"/>
              <w:left w:val="single" w:sz="4" w:space="0" w:color="auto"/>
              <w:bottom w:val="single" w:sz="4" w:space="0" w:color="auto"/>
              <w:right w:val="single" w:sz="4" w:space="0" w:color="auto"/>
            </w:tcBorders>
            <w:vAlign w:val="center"/>
          </w:tcPr>
          <w:p w14:paraId="3B0D4BC4" w14:textId="77777777" w:rsidR="009E2D72" w:rsidRPr="00FC7F1E" w:rsidRDefault="009E2D72"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hAnsi="Arial Narrow" w:cs="Calibri"/>
                <w:iCs/>
                <w:color w:val="000000"/>
                <w:sz w:val="20"/>
                <w:szCs w:val="20"/>
              </w:rPr>
              <w:t>$</w:t>
            </w:r>
            <w:r w:rsidR="008E2DDA">
              <w:rPr>
                <w:rFonts w:ascii="Arial Narrow" w:hAnsi="Arial Narrow" w:cs="Calibri"/>
                <w:iCs/>
                <w:noProof/>
                <w:color w:val="000000"/>
                <w:sz w:val="20"/>
                <w:szCs w:val="20"/>
                <w:highlight w:val="black"/>
              </w:rPr>
              <w:t>''''''''''''''''''''''</w:t>
            </w:r>
            <w:r w:rsidR="005D22A5" w:rsidRPr="005D22A5">
              <w:rPr>
                <w:rFonts w:ascii="Arial Narrow" w:hAnsi="Arial Narrow" w:cs="Calibri"/>
                <w:iCs/>
                <w:color w:val="000000"/>
                <w:sz w:val="20"/>
                <w:szCs w:val="20"/>
                <w:vertAlign w:val="superscript"/>
              </w:rPr>
              <w:t>1</w:t>
            </w:r>
          </w:p>
        </w:tc>
      </w:tr>
      <w:tr w:rsidR="00EE2C3E" w:rsidRPr="00FC7F1E" w14:paraId="30DD259C" w14:textId="77777777" w:rsidTr="00991867">
        <w:tc>
          <w:tcPr>
            <w:tcW w:w="9017" w:type="dxa"/>
            <w:gridSpan w:val="4"/>
            <w:tcBorders>
              <w:top w:val="single" w:sz="4" w:space="0" w:color="auto"/>
              <w:left w:val="single" w:sz="4" w:space="0" w:color="auto"/>
              <w:bottom w:val="single" w:sz="4" w:space="0" w:color="auto"/>
              <w:right w:val="single" w:sz="4" w:space="0" w:color="auto"/>
            </w:tcBorders>
          </w:tcPr>
          <w:p w14:paraId="5D0F592E" w14:textId="77777777" w:rsidR="00EE2C3E" w:rsidRPr="00FC7F1E" w:rsidRDefault="00EE2C3E" w:rsidP="00C21E01">
            <w:pPr>
              <w:keepNext/>
              <w:keepLines/>
              <w:spacing w:before="20" w:after="20"/>
              <w:jc w:val="left"/>
              <w:rPr>
                <w:rFonts w:ascii="Arial Narrow" w:eastAsia="TimesNewRoman" w:hAnsi="Arial Narrow" w:cs="Times New Roman"/>
                <w:b/>
                <w:bCs/>
                <w:color w:val="000000"/>
                <w:sz w:val="20"/>
                <w:szCs w:val="20"/>
              </w:rPr>
            </w:pPr>
            <w:r w:rsidRPr="00FC7F1E">
              <w:rPr>
                <w:rFonts w:ascii="Arial Narrow" w:eastAsia="TimesNewRoman" w:hAnsi="Arial Narrow" w:cs="Times New Roman"/>
                <w:b/>
                <w:bCs/>
                <w:color w:val="000000"/>
                <w:sz w:val="20"/>
                <w:szCs w:val="20"/>
              </w:rPr>
              <w:t>Health state utilities</w:t>
            </w:r>
            <w:r w:rsidR="006D57FD" w:rsidRPr="00FC7F1E">
              <w:rPr>
                <w:rFonts w:ascii="Arial Narrow" w:eastAsia="TimesNewRoman" w:hAnsi="Arial Narrow" w:cs="Times New Roman"/>
                <w:b/>
                <w:bCs/>
                <w:color w:val="000000"/>
                <w:sz w:val="20"/>
                <w:szCs w:val="20"/>
              </w:rPr>
              <w:t xml:space="preserve"> (base case walking/standing: unaided 0.72, walking/standing: aided</w:t>
            </w:r>
            <w:r w:rsidR="006E415C" w:rsidRPr="00FC7F1E">
              <w:rPr>
                <w:rFonts w:ascii="Arial Narrow" w:eastAsia="TimesNewRoman" w:hAnsi="Arial Narrow" w:cs="Times New Roman"/>
                <w:b/>
                <w:bCs/>
                <w:color w:val="000000"/>
                <w:sz w:val="20"/>
                <w:szCs w:val="20"/>
              </w:rPr>
              <w:t xml:space="preserve"> </w:t>
            </w:r>
            <w:r w:rsidR="006D57FD" w:rsidRPr="00FC7F1E">
              <w:rPr>
                <w:rFonts w:ascii="Arial Narrow" w:eastAsia="TimesNewRoman" w:hAnsi="Arial Narrow" w:cs="Times New Roman"/>
                <w:b/>
                <w:bCs/>
                <w:color w:val="000000"/>
                <w:sz w:val="20"/>
                <w:szCs w:val="20"/>
              </w:rPr>
              <w:t>0.39, non-ambulatory: able to sit -0.04, non-ambulatory: unable to sit -0.12)</w:t>
            </w:r>
          </w:p>
        </w:tc>
      </w:tr>
      <w:tr w:rsidR="00EE2C3E" w:rsidRPr="00FC7F1E" w14:paraId="337D96FE" w14:textId="77777777" w:rsidTr="00991867">
        <w:tc>
          <w:tcPr>
            <w:tcW w:w="3862" w:type="dxa"/>
            <w:tcBorders>
              <w:top w:val="single" w:sz="4" w:space="0" w:color="auto"/>
              <w:left w:val="single" w:sz="4" w:space="0" w:color="auto"/>
              <w:bottom w:val="single" w:sz="4" w:space="0" w:color="auto"/>
              <w:right w:val="single" w:sz="4" w:space="0" w:color="auto"/>
            </w:tcBorders>
          </w:tcPr>
          <w:p w14:paraId="2EF89ABA" w14:textId="77777777" w:rsidR="00EE2C3E" w:rsidRPr="00FC7F1E" w:rsidRDefault="00EE2C3E"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‘Non-ambulatory: unable to sit’ = -0.04</w:t>
            </w:r>
          </w:p>
        </w:tc>
        <w:tc>
          <w:tcPr>
            <w:tcW w:w="1410" w:type="dxa"/>
            <w:tcBorders>
              <w:top w:val="single" w:sz="4" w:space="0" w:color="auto"/>
              <w:left w:val="single" w:sz="4" w:space="0" w:color="auto"/>
              <w:bottom w:val="single" w:sz="4" w:space="0" w:color="auto"/>
              <w:right w:val="single" w:sz="4" w:space="0" w:color="auto"/>
            </w:tcBorders>
            <w:vAlign w:val="center"/>
          </w:tcPr>
          <w:p w14:paraId="1254AF3C"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vAlign w:val="center"/>
          </w:tcPr>
          <w:p w14:paraId="55D34638"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0.7484</w:t>
            </w:r>
          </w:p>
        </w:tc>
        <w:tc>
          <w:tcPr>
            <w:tcW w:w="2240" w:type="dxa"/>
            <w:tcBorders>
              <w:top w:val="single" w:sz="4" w:space="0" w:color="auto"/>
              <w:left w:val="single" w:sz="4" w:space="0" w:color="auto"/>
              <w:bottom w:val="single" w:sz="4" w:space="0" w:color="auto"/>
              <w:right w:val="single" w:sz="4" w:space="0" w:color="auto"/>
            </w:tcBorders>
            <w:vAlign w:val="center"/>
          </w:tcPr>
          <w:p w14:paraId="2539BFBE" w14:textId="77777777" w:rsidR="00EE2C3E" w:rsidRPr="00FC7F1E" w:rsidRDefault="00EE2C3E"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5D22A5" w:rsidRPr="005D22A5">
              <w:rPr>
                <w:rFonts w:ascii="Arial Narrow" w:eastAsia="TimesNewRoman" w:hAnsi="Arial Narrow" w:cs="Times New Roman"/>
                <w:color w:val="000000"/>
                <w:sz w:val="20"/>
                <w:szCs w:val="20"/>
                <w:vertAlign w:val="superscript"/>
              </w:rPr>
              <w:t>1</w:t>
            </w:r>
          </w:p>
        </w:tc>
      </w:tr>
      <w:tr w:rsidR="00EE2C3E" w:rsidRPr="00FC7F1E" w14:paraId="7D345B0A" w14:textId="77777777" w:rsidTr="00991867">
        <w:tc>
          <w:tcPr>
            <w:tcW w:w="3862" w:type="dxa"/>
            <w:tcBorders>
              <w:top w:val="single" w:sz="4" w:space="0" w:color="auto"/>
              <w:left w:val="single" w:sz="4" w:space="0" w:color="auto"/>
              <w:bottom w:val="single" w:sz="4" w:space="0" w:color="auto"/>
              <w:right w:val="single" w:sz="4" w:space="0" w:color="auto"/>
            </w:tcBorders>
          </w:tcPr>
          <w:p w14:paraId="7416663D" w14:textId="77777777" w:rsidR="00EE2C3E" w:rsidRPr="00FC7F1E" w:rsidRDefault="00EE2C3E"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‘Walking/standing: unaided’ = 0.5</w:t>
            </w:r>
          </w:p>
        </w:tc>
        <w:tc>
          <w:tcPr>
            <w:tcW w:w="1410" w:type="dxa"/>
            <w:tcBorders>
              <w:top w:val="single" w:sz="4" w:space="0" w:color="auto"/>
              <w:left w:val="single" w:sz="4" w:space="0" w:color="auto"/>
              <w:bottom w:val="single" w:sz="4" w:space="0" w:color="auto"/>
              <w:right w:val="single" w:sz="4" w:space="0" w:color="auto"/>
            </w:tcBorders>
            <w:vAlign w:val="center"/>
          </w:tcPr>
          <w:p w14:paraId="1A5D1571"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vAlign w:val="center"/>
          </w:tcPr>
          <w:p w14:paraId="000C5D75"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0.7941</w:t>
            </w:r>
          </w:p>
        </w:tc>
        <w:tc>
          <w:tcPr>
            <w:tcW w:w="2240" w:type="dxa"/>
            <w:tcBorders>
              <w:top w:val="single" w:sz="4" w:space="0" w:color="auto"/>
              <w:left w:val="single" w:sz="4" w:space="0" w:color="auto"/>
              <w:bottom w:val="single" w:sz="4" w:space="0" w:color="auto"/>
              <w:right w:val="single" w:sz="4" w:space="0" w:color="auto"/>
            </w:tcBorders>
            <w:vAlign w:val="center"/>
          </w:tcPr>
          <w:p w14:paraId="7569F6F7" w14:textId="77777777" w:rsidR="00EE2C3E" w:rsidRPr="00FC7F1E" w:rsidRDefault="00EE2C3E"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5D22A5" w:rsidRPr="005D22A5">
              <w:rPr>
                <w:rFonts w:ascii="Arial Narrow" w:eastAsia="TimesNewRoman" w:hAnsi="Arial Narrow" w:cs="Times New Roman"/>
                <w:color w:val="000000"/>
                <w:sz w:val="20"/>
                <w:szCs w:val="20"/>
                <w:vertAlign w:val="superscript"/>
              </w:rPr>
              <w:t>1</w:t>
            </w:r>
          </w:p>
        </w:tc>
      </w:tr>
      <w:tr w:rsidR="00EE2C3E" w:rsidRPr="00FC7F1E" w14:paraId="39BE5C9A" w14:textId="77777777" w:rsidTr="00991867">
        <w:tc>
          <w:tcPr>
            <w:tcW w:w="3862" w:type="dxa"/>
            <w:tcBorders>
              <w:top w:val="single" w:sz="4" w:space="0" w:color="auto"/>
              <w:left w:val="single" w:sz="4" w:space="0" w:color="auto"/>
              <w:bottom w:val="single" w:sz="4" w:space="0" w:color="auto"/>
              <w:right w:val="single" w:sz="4" w:space="0" w:color="auto"/>
            </w:tcBorders>
          </w:tcPr>
          <w:p w14:paraId="5C95791B" w14:textId="77777777" w:rsidR="00EE2C3E" w:rsidRPr="00FC7F1E" w:rsidRDefault="00EE2C3E"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‘Non-ambulatory: able to sit’ = 0.14</w:t>
            </w:r>
          </w:p>
        </w:tc>
        <w:tc>
          <w:tcPr>
            <w:tcW w:w="1410" w:type="dxa"/>
            <w:tcBorders>
              <w:top w:val="single" w:sz="4" w:space="0" w:color="auto"/>
              <w:left w:val="single" w:sz="4" w:space="0" w:color="auto"/>
              <w:bottom w:val="single" w:sz="4" w:space="0" w:color="auto"/>
              <w:right w:val="single" w:sz="4" w:space="0" w:color="auto"/>
            </w:tcBorders>
            <w:vAlign w:val="center"/>
          </w:tcPr>
          <w:p w14:paraId="6D53DEFE"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vAlign w:val="center"/>
          </w:tcPr>
          <w:p w14:paraId="459E9C7A"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1.1866</w:t>
            </w:r>
          </w:p>
        </w:tc>
        <w:tc>
          <w:tcPr>
            <w:tcW w:w="2240" w:type="dxa"/>
            <w:tcBorders>
              <w:top w:val="single" w:sz="4" w:space="0" w:color="auto"/>
              <w:left w:val="single" w:sz="4" w:space="0" w:color="auto"/>
              <w:bottom w:val="single" w:sz="4" w:space="0" w:color="auto"/>
              <w:right w:val="single" w:sz="4" w:space="0" w:color="auto"/>
            </w:tcBorders>
            <w:vAlign w:val="center"/>
          </w:tcPr>
          <w:p w14:paraId="70E5C4DE" w14:textId="77777777" w:rsidR="00EE2C3E" w:rsidRPr="00FC7F1E" w:rsidRDefault="00EE2C3E"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5D22A5" w:rsidRPr="005D22A5">
              <w:rPr>
                <w:rFonts w:ascii="Arial Narrow" w:eastAsia="TimesNewRoman" w:hAnsi="Arial Narrow" w:cs="Times New Roman"/>
                <w:color w:val="000000"/>
                <w:sz w:val="20"/>
                <w:szCs w:val="20"/>
                <w:vertAlign w:val="superscript"/>
              </w:rPr>
              <w:t>1</w:t>
            </w:r>
          </w:p>
        </w:tc>
      </w:tr>
      <w:tr w:rsidR="00EE2C3E" w:rsidRPr="00FC7F1E" w14:paraId="204715D6" w14:textId="77777777" w:rsidTr="00991867">
        <w:tc>
          <w:tcPr>
            <w:tcW w:w="3862" w:type="dxa"/>
            <w:tcBorders>
              <w:top w:val="single" w:sz="4" w:space="0" w:color="auto"/>
              <w:left w:val="single" w:sz="4" w:space="0" w:color="auto"/>
              <w:bottom w:val="single" w:sz="4" w:space="0" w:color="auto"/>
              <w:right w:val="single" w:sz="4" w:space="0" w:color="auto"/>
            </w:tcBorders>
          </w:tcPr>
          <w:p w14:paraId="56F365C6" w14:textId="77777777" w:rsidR="00EE2C3E" w:rsidRPr="00FC7F1E" w:rsidRDefault="00EE2C3E"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NICE utilities (walk/stand unaided = 0.85, walk/stand aided = 0.75, non-ambulatory: able to sit = 0.6, non-ambulatory, unable to sit = 0.25)</w:t>
            </w:r>
          </w:p>
        </w:tc>
        <w:tc>
          <w:tcPr>
            <w:tcW w:w="1410" w:type="dxa"/>
            <w:tcBorders>
              <w:top w:val="single" w:sz="4" w:space="0" w:color="auto"/>
              <w:left w:val="single" w:sz="4" w:space="0" w:color="auto"/>
              <w:bottom w:val="single" w:sz="4" w:space="0" w:color="auto"/>
              <w:right w:val="single" w:sz="4" w:space="0" w:color="auto"/>
            </w:tcBorders>
            <w:vAlign w:val="center"/>
          </w:tcPr>
          <w:p w14:paraId="52943100"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vAlign w:val="center"/>
          </w:tcPr>
          <w:p w14:paraId="1A289F33"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1.1742</w:t>
            </w:r>
          </w:p>
        </w:tc>
        <w:tc>
          <w:tcPr>
            <w:tcW w:w="2240" w:type="dxa"/>
            <w:tcBorders>
              <w:top w:val="single" w:sz="4" w:space="0" w:color="auto"/>
              <w:left w:val="single" w:sz="4" w:space="0" w:color="auto"/>
              <w:bottom w:val="single" w:sz="4" w:space="0" w:color="auto"/>
              <w:right w:val="single" w:sz="4" w:space="0" w:color="auto"/>
            </w:tcBorders>
            <w:vAlign w:val="center"/>
          </w:tcPr>
          <w:p w14:paraId="237024F8" w14:textId="77777777" w:rsidR="00EE2C3E" w:rsidRPr="00FC7F1E" w:rsidRDefault="00EE2C3E"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5D22A5" w:rsidRPr="005D22A5">
              <w:rPr>
                <w:rFonts w:ascii="Arial Narrow" w:eastAsia="TimesNewRoman" w:hAnsi="Arial Narrow" w:cs="Times New Roman"/>
                <w:color w:val="000000"/>
                <w:sz w:val="20"/>
                <w:szCs w:val="20"/>
                <w:vertAlign w:val="superscript"/>
              </w:rPr>
              <w:t>1</w:t>
            </w:r>
          </w:p>
        </w:tc>
      </w:tr>
      <w:tr w:rsidR="00EE2C3E" w:rsidRPr="00FC7F1E" w14:paraId="20EF3597" w14:textId="77777777" w:rsidTr="00991867">
        <w:tc>
          <w:tcPr>
            <w:tcW w:w="9017" w:type="dxa"/>
            <w:gridSpan w:val="4"/>
            <w:tcBorders>
              <w:top w:val="single" w:sz="4" w:space="0" w:color="auto"/>
              <w:left w:val="single" w:sz="4" w:space="0" w:color="auto"/>
              <w:bottom w:val="single" w:sz="4" w:space="0" w:color="auto"/>
              <w:right w:val="single" w:sz="4" w:space="0" w:color="auto"/>
            </w:tcBorders>
          </w:tcPr>
          <w:p w14:paraId="621D811E" w14:textId="77777777" w:rsidR="00EE2C3E" w:rsidRPr="00FC7F1E" w:rsidRDefault="00EE2C3E" w:rsidP="00C21E01">
            <w:pPr>
              <w:keepNext/>
              <w:keepLines/>
              <w:spacing w:before="20" w:after="20"/>
              <w:jc w:val="left"/>
              <w:rPr>
                <w:rFonts w:ascii="Arial Narrow" w:eastAsia="TimesNewRoman" w:hAnsi="Arial Narrow" w:cs="Times New Roman"/>
                <w:b/>
                <w:bCs/>
                <w:color w:val="000000"/>
                <w:sz w:val="20"/>
                <w:szCs w:val="20"/>
              </w:rPr>
            </w:pPr>
            <w:r w:rsidRPr="00FC7F1E">
              <w:rPr>
                <w:rFonts w:ascii="Arial Narrow" w:eastAsia="TimesNewRoman" w:hAnsi="Arial Narrow" w:cs="Times New Roman"/>
                <w:b/>
                <w:bCs/>
                <w:color w:val="000000"/>
                <w:sz w:val="20"/>
                <w:szCs w:val="20"/>
              </w:rPr>
              <w:t xml:space="preserve">Treatment utility benefit </w:t>
            </w:r>
            <w:r w:rsidR="00520355" w:rsidRPr="00FC7F1E">
              <w:rPr>
                <w:rFonts w:ascii="Arial Narrow" w:eastAsia="TimesNewRoman" w:hAnsi="Arial Narrow" w:cs="Times New Roman"/>
                <w:b/>
                <w:bCs/>
                <w:color w:val="000000"/>
                <w:sz w:val="20"/>
                <w:szCs w:val="20"/>
              </w:rPr>
              <w:t xml:space="preserve">– utility gain for increase in distance walked </w:t>
            </w:r>
            <w:r w:rsidRPr="00FC7F1E">
              <w:rPr>
                <w:rFonts w:ascii="Arial Narrow" w:eastAsia="TimesNewRoman" w:hAnsi="Arial Narrow" w:cs="Times New Roman"/>
                <w:b/>
                <w:bCs/>
                <w:color w:val="000000"/>
                <w:sz w:val="20"/>
                <w:szCs w:val="20"/>
              </w:rPr>
              <w:t>(base case 0.021)</w:t>
            </w:r>
          </w:p>
        </w:tc>
      </w:tr>
      <w:tr w:rsidR="00EE2C3E" w:rsidRPr="00FC7F1E" w14:paraId="78F0FB3C" w14:textId="77777777" w:rsidTr="00991867">
        <w:tc>
          <w:tcPr>
            <w:tcW w:w="3862" w:type="dxa"/>
            <w:tcBorders>
              <w:top w:val="single" w:sz="4" w:space="0" w:color="auto"/>
              <w:left w:val="single" w:sz="4" w:space="0" w:color="auto"/>
              <w:bottom w:val="single" w:sz="4" w:space="0" w:color="auto"/>
              <w:right w:val="single" w:sz="4" w:space="0" w:color="auto"/>
            </w:tcBorders>
          </w:tcPr>
          <w:p w14:paraId="13E7A598" w14:textId="77777777" w:rsidR="00EE2C3E" w:rsidRPr="00FC7F1E" w:rsidRDefault="00EE2C3E"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w:t>
            </w:r>
          </w:p>
        </w:tc>
        <w:tc>
          <w:tcPr>
            <w:tcW w:w="1410" w:type="dxa"/>
            <w:tcBorders>
              <w:top w:val="single" w:sz="4" w:space="0" w:color="auto"/>
              <w:left w:val="single" w:sz="4" w:space="0" w:color="auto"/>
              <w:bottom w:val="single" w:sz="4" w:space="0" w:color="auto"/>
              <w:right w:val="single" w:sz="4" w:space="0" w:color="auto"/>
            </w:tcBorders>
            <w:vAlign w:val="center"/>
          </w:tcPr>
          <w:p w14:paraId="38C8737D"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vAlign w:val="center"/>
          </w:tcPr>
          <w:p w14:paraId="7D034FE2"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0.6902</w:t>
            </w:r>
          </w:p>
        </w:tc>
        <w:tc>
          <w:tcPr>
            <w:tcW w:w="2240" w:type="dxa"/>
            <w:tcBorders>
              <w:top w:val="single" w:sz="4" w:space="0" w:color="auto"/>
              <w:left w:val="single" w:sz="4" w:space="0" w:color="auto"/>
              <w:bottom w:val="single" w:sz="4" w:space="0" w:color="auto"/>
              <w:right w:val="single" w:sz="4" w:space="0" w:color="auto"/>
            </w:tcBorders>
            <w:vAlign w:val="center"/>
          </w:tcPr>
          <w:p w14:paraId="031C8A44" w14:textId="77777777" w:rsidR="00EE2C3E" w:rsidRPr="00FC7F1E" w:rsidRDefault="00EE2C3E"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5D22A5" w:rsidRPr="005D22A5">
              <w:rPr>
                <w:rFonts w:ascii="Arial Narrow" w:eastAsia="TimesNewRoman" w:hAnsi="Arial Narrow" w:cs="Times New Roman"/>
                <w:color w:val="000000"/>
                <w:sz w:val="20"/>
                <w:szCs w:val="20"/>
                <w:vertAlign w:val="superscript"/>
              </w:rPr>
              <w:t>1</w:t>
            </w:r>
          </w:p>
        </w:tc>
      </w:tr>
      <w:tr w:rsidR="00EE2C3E" w:rsidRPr="00FC7F1E" w14:paraId="63CACBB3" w14:textId="77777777" w:rsidTr="00991867">
        <w:tc>
          <w:tcPr>
            <w:tcW w:w="3862" w:type="dxa"/>
            <w:tcBorders>
              <w:top w:val="single" w:sz="4" w:space="0" w:color="auto"/>
              <w:left w:val="single" w:sz="4" w:space="0" w:color="auto"/>
              <w:bottom w:val="single" w:sz="4" w:space="0" w:color="auto"/>
              <w:right w:val="single" w:sz="4" w:space="0" w:color="auto"/>
            </w:tcBorders>
          </w:tcPr>
          <w:p w14:paraId="4FE33744" w14:textId="77777777" w:rsidR="00EE2C3E" w:rsidRPr="00FC7F1E" w:rsidRDefault="00EE2C3E" w:rsidP="00C21E01">
            <w:pPr>
              <w:keepNext/>
              <w:keepLines/>
              <w:spacing w:before="20" w:after="20"/>
              <w:jc w:val="left"/>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 xml:space="preserve">Apply treatment utility benefit </w:t>
            </w:r>
            <w:r w:rsidR="00355AAF" w:rsidRPr="00FC7F1E">
              <w:rPr>
                <w:rFonts w:ascii="Arial Narrow" w:eastAsia="TimesNewRoman" w:hAnsi="Arial Narrow" w:cs="Times New Roman"/>
                <w:color w:val="000000"/>
                <w:sz w:val="20"/>
                <w:szCs w:val="20"/>
              </w:rPr>
              <w:t xml:space="preserve">of 0.021 </w:t>
            </w:r>
            <w:r w:rsidRPr="00FC7F1E">
              <w:rPr>
                <w:rFonts w:ascii="Arial Narrow" w:eastAsia="TimesNewRoman" w:hAnsi="Arial Narrow" w:cs="Times New Roman"/>
                <w:color w:val="000000"/>
                <w:sz w:val="20"/>
                <w:szCs w:val="20"/>
              </w:rPr>
              <w:t>to walk/stand unaided health state only</w:t>
            </w:r>
          </w:p>
        </w:tc>
        <w:tc>
          <w:tcPr>
            <w:tcW w:w="1410" w:type="dxa"/>
            <w:tcBorders>
              <w:top w:val="single" w:sz="4" w:space="0" w:color="auto"/>
              <w:left w:val="single" w:sz="4" w:space="0" w:color="auto"/>
              <w:bottom w:val="single" w:sz="4" w:space="0" w:color="auto"/>
              <w:right w:val="single" w:sz="4" w:space="0" w:color="auto"/>
            </w:tcBorders>
            <w:vAlign w:val="center"/>
          </w:tcPr>
          <w:p w14:paraId="5ACC1008"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p>
        </w:tc>
        <w:tc>
          <w:tcPr>
            <w:tcW w:w="1505" w:type="dxa"/>
            <w:tcBorders>
              <w:top w:val="single" w:sz="4" w:space="0" w:color="auto"/>
              <w:left w:val="single" w:sz="4" w:space="0" w:color="auto"/>
              <w:bottom w:val="single" w:sz="4" w:space="0" w:color="auto"/>
              <w:right w:val="single" w:sz="4" w:space="0" w:color="auto"/>
            </w:tcBorders>
            <w:vAlign w:val="center"/>
          </w:tcPr>
          <w:p w14:paraId="618FE510" w14:textId="77777777" w:rsidR="00EE2C3E" w:rsidRPr="00FC7F1E" w:rsidRDefault="00EE2C3E" w:rsidP="00C21E01">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0.7335</w:t>
            </w:r>
          </w:p>
        </w:tc>
        <w:tc>
          <w:tcPr>
            <w:tcW w:w="2240" w:type="dxa"/>
            <w:tcBorders>
              <w:top w:val="single" w:sz="4" w:space="0" w:color="auto"/>
              <w:left w:val="single" w:sz="4" w:space="0" w:color="auto"/>
              <w:bottom w:val="single" w:sz="4" w:space="0" w:color="auto"/>
              <w:right w:val="single" w:sz="4" w:space="0" w:color="auto"/>
            </w:tcBorders>
            <w:vAlign w:val="center"/>
          </w:tcPr>
          <w:p w14:paraId="68536EB4" w14:textId="77777777" w:rsidR="00EE2C3E" w:rsidRPr="00FC7F1E" w:rsidRDefault="00EE2C3E" w:rsidP="00343579">
            <w:pPr>
              <w:keepNext/>
              <w:keepLines/>
              <w:spacing w:before="20" w:after="20"/>
              <w:jc w:val="center"/>
              <w:rPr>
                <w:rFonts w:ascii="Arial Narrow" w:eastAsia="TimesNewRoman" w:hAnsi="Arial Narrow" w:cs="Times New Roman"/>
                <w:color w:val="000000"/>
                <w:sz w:val="20"/>
                <w:szCs w:val="20"/>
              </w:rPr>
            </w:pPr>
            <w:r w:rsidRPr="00FC7F1E">
              <w:rPr>
                <w:rFonts w:ascii="Arial Narrow" w:eastAsia="TimesNewRoman" w:hAnsi="Arial Narrow" w:cs="Times New Roman"/>
                <w:color w:val="000000"/>
                <w:sz w:val="20"/>
                <w:szCs w:val="20"/>
              </w:rPr>
              <w:t>$</w:t>
            </w:r>
            <w:r w:rsidR="008E2DDA">
              <w:rPr>
                <w:rFonts w:ascii="Arial Narrow" w:eastAsia="TimesNewRoman" w:hAnsi="Arial Narrow" w:cs="Times New Roman"/>
                <w:noProof/>
                <w:color w:val="000000"/>
                <w:sz w:val="20"/>
                <w:szCs w:val="20"/>
                <w:highlight w:val="black"/>
              </w:rPr>
              <w:t>'''''''''''''''''''''''''</w:t>
            </w:r>
            <w:r w:rsidR="005D22A5" w:rsidRPr="005D22A5">
              <w:rPr>
                <w:rFonts w:ascii="Arial Narrow" w:eastAsia="TimesNewRoman" w:hAnsi="Arial Narrow" w:cs="Times New Roman"/>
                <w:color w:val="000000"/>
                <w:sz w:val="20"/>
                <w:szCs w:val="20"/>
                <w:vertAlign w:val="superscript"/>
              </w:rPr>
              <w:t>1</w:t>
            </w:r>
          </w:p>
        </w:tc>
      </w:tr>
    </w:tbl>
    <w:p w14:paraId="75F589D6" w14:textId="77777777" w:rsidR="00EE2C3E" w:rsidRPr="00FC7F1E" w:rsidRDefault="00EE2C3E" w:rsidP="00C21E01">
      <w:pPr>
        <w:keepNext/>
        <w:widowControl w:val="0"/>
        <w:rPr>
          <w:rFonts w:ascii="Arial Narrow" w:hAnsi="Arial Narrow"/>
          <w:snapToGrid w:val="0"/>
          <w:sz w:val="18"/>
          <w:szCs w:val="18"/>
          <w:lang w:eastAsia="en-US"/>
        </w:rPr>
      </w:pPr>
      <w:r w:rsidRPr="00FC7F1E">
        <w:rPr>
          <w:rFonts w:ascii="Arial Narrow" w:hAnsi="Arial Narrow"/>
          <w:snapToGrid w:val="0"/>
          <w:sz w:val="18"/>
          <w:szCs w:val="18"/>
          <w:lang w:eastAsia="en-US"/>
        </w:rPr>
        <w:t xml:space="preserve">Values in italics were additional analyses conducted during the evaluation. </w:t>
      </w:r>
    </w:p>
    <w:p w14:paraId="67B5C196" w14:textId="77777777" w:rsidR="009E2D72" w:rsidRPr="00FC7F1E" w:rsidRDefault="009E2D72" w:rsidP="00C21E01">
      <w:pPr>
        <w:keepNext/>
        <w:widowControl w:val="0"/>
        <w:tabs>
          <w:tab w:val="left" w:pos="284"/>
        </w:tabs>
        <w:rPr>
          <w:rFonts w:ascii="Arial Narrow" w:hAnsi="Arial Narrow"/>
          <w:snapToGrid w:val="0"/>
          <w:sz w:val="18"/>
          <w:szCs w:val="18"/>
          <w:lang w:eastAsia="en-US"/>
        </w:rPr>
      </w:pPr>
      <w:r w:rsidRPr="00FC7F1E">
        <w:rPr>
          <w:rFonts w:ascii="Arial Narrow" w:hAnsi="Arial Narrow"/>
          <w:snapToGrid w:val="0"/>
          <w:sz w:val="18"/>
          <w:szCs w:val="18"/>
          <w:lang w:eastAsia="en-US"/>
        </w:rPr>
        <w:t>*</w:t>
      </w:r>
      <w:r w:rsidR="00C21E01" w:rsidRPr="00FC7F1E">
        <w:rPr>
          <w:rFonts w:ascii="Arial Narrow" w:hAnsi="Arial Narrow"/>
          <w:snapToGrid w:val="0"/>
          <w:sz w:val="18"/>
          <w:szCs w:val="18"/>
          <w:lang w:eastAsia="en-US"/>
        </w:rPr>
        <w:tab/>
      </w:r>
      <w:r w:rsidRPr="00FC7F1E">
        <w:rPr>
          <w:rFonts w:ascii="Arial Narrow" w:hAnsi="Arial Narrow"/>
          <w:snapToGrid w:val="0"/>
          <w:sz w:val="18"/>
          <w:szCs w:val="18"/>
          <w:lang w:eastAsia="en-US"/>
        </w:rPr>
        <w:t>Could not be replicated during the evaluation and appeared to be implausible.</w:t>
      </w:r>
    </w:p>
    <w:p w14:paraId="42D09898" w14:textId="77777777" w:rsidR="00A700C0" w:rsidRPr="00FC7F1E" w:rsidRDefault="00A700C0" w:rsidP="00C21E01">
      <w:pPr>
        <w:keepNext/>
        <w:widowControl w:val="0"/>
        <w:tabs>
          <w:tab w:val="left" w:pos="284"/>
        </w:tabs>
        <w:rPr>
          <w:rFonts w:ascii="Arial Narrow" w:hAnsi="Arial Narrow"/>
          <w:snapToGrid w:val="0"/>
          <w:sz w:val="18"/>
          <w:szCs w:val="18"/>
          <w:lang w:eastAsia="en-US"/>
        </w:rPr>
      </w:pPr>
      <w:r w:rsidRPr="00FC7F1E">
        <w:rPr>
          <w:rFonts w:ascii="Arial Narrow" w:hAnsi="Arial Narrow"/>
          <w:snapToGrid w:val="0"/>
          <w:sz w:val="18"/>
          <w:szCs w:val="18"/>
          <w:lang w:eastAsia="en-US"/>
        </w:rPr>
        <w:t>**</w:t>
      </w:r>
      <w:r w:rsidRPr="00FC7F1E">
        <w:rPr>
          <w:rFonts w:ascii="Arial Narrow" w:hAnsi="Arial Narrow"/>
          <w:snapToGrid w:val="0"/>
          <w:sz w:val="18"/>
          <w:szCs w:val="18"/>
          <w:lang w:eastAsia="en-US"/>
        </w:rPr>
        <w:tab/>
      </w:r>
      <w:r w:rsidR="000B71DC" w:rsidRPr="00FC7F1E">
        <w:rPr>
          <w:rFonts w:ascii="Arial Narrow" w:hAnsi="Arial Narrow"/>
          <w:snapToGrid w:val="0"/>
          <w:sz w:val="18"/>
          <w:szCs w:val="18"/>
          <w:lang w:eastAsia="en-US"/>
        </w:rPr>
        <w:t>The ESC considered this should be the revised base case</w:t>
      </w:r>
      <w:r w:rsidRPr="00FC7F1E">
        <w:rPr>
          <w:rFonts w:ascii="Arial Narrow" w:hAnsi="Arial Narrow"/>
          <w:snapToGrid w:val="0"/>
          <w:sz w:val="18"/>
          <w:szCs w:val="18"/>
          <w:lang w:eastAsia="en-US"/>
        </w:rPr>
        <w:t>.</w:t>
      </w:r>
    </w:p>
    <w:p w14:paraId="577AD7C8" w14:textId="77777777" w:rsidR="00EE2C3E" w:rsidRDefault="00EE2C3E" w:rsidP="00C21E01">
      <w:pPr>
        <w:keepNext/>
        <w:widowControl w:val="0"/>
        <w:rPr>
          <w:rFonts w:ascii="Arial Narrow" w:hAnsi="Arial Narrow"/>
          <w:snapToGrid w:val="0"/>
          <w:sz w:val="18"/>
          <w:szCs w:val="18"/>
          <w:lang w:eastAsia="en-US"/>
        </w:rPr>
      </w:pPr>
      <w:r w:rsidRPr="00FC7F1E">
        <w:rPr>
          <w:rFonts w:ascii="Arial Narrow" w:hAnsi="Arial Narrow"/>
          <w:snapToGrid w:val="0"/>
          <w:sz w:val="18"/>
          <w:szCs w:val="18"/>
          <w:lang w:eastAsia="en-US"/>
        </w:rPr>
        <w:t xml:space="preserve">Source: Table 3.44, p211 of the </w:t>
      </w:r>
      <w:r w:rsidR="00C21E01" w:rsidRPr="00FC7F1E">
        <w:rPr>
          <w:rFonts w:ascii="Arial Narrow" w:hAnsi="Arial Narrow"/>
          <w:snapToGrid w:val="0"/>
          <w:sz w:val="18"/>
          <w:szCs w:val="18"/>
          <w:lang w:eastAsia="en-US"/>
        </w:rPr>
        <w:t>re</w:t>
      </w:r>
      <w:r w:rsidRPr="00FC7F1E">
        <w:rPr>
          <w:rFonts w:ascii="Arial Narrow" w:hAnsi="Arial Narrow"/>
          <w:snapToGrid w:val="0"/>
          <w:sz w:val="18"/>
          <w:szCs w:val="18"/>
          <w:lang w:eastAsia="en-US"/>
        </w:rPr>
        <w:t>submission</w:t>
      </w:r>
      <w:r w:rsidR="00F23E08" w:rsidRPr="00FC7F1E">
        <w:rPr>
          <w:rFonts w:ascii="Arial Narrow" w:hAnsi="Arial Narrow"/>
          <w:snapToGrid w:val="0"/>
          <w:sz w:val="18"/>
          <w:szCs w:val="18"/>
          <w:lang w:eastAsia="en-US"/>
        </w:rPr>
        <w:t xml:space="preserve"> and compiled during the evaluation.</w:t>
      </w:r>
    </w:p>
    <w:p w14:paraId="1EB50852" w14:textId="77777777" w:rsidR="00EC321D" w:rsidRPr="00EC321D" w:rsidRDefault="00EC321D" w:rsidP="00C21E01">
      <w:pPr>
        <w:keepNext/>
        <w:widowControl w:val="0"/>
        <w:rPr>
          <w:rFonts w:ascii="Arial Narrow" w:hAnsi="Arial Narrow"/>
          <w:i/>
          <w:snapToGrid w:val="0"/>
          <w:sz w:val="18"/>
          <w:szCs w:val="18"/>
          <w:lang w:eastAsia="en-US"/>
        </w:rPr>
      </w:pPr>
      <w:r w:rsidRPr="00EC321D">
        <w:rPr>
          <w:rFonts w:ascii="Arial Narrow" w:hAnsi="Arial Narrow"/>
          <w:i/>
          <w:snapToGrid w:val="0"/>
          <w:sz w:val="18"/>
          <w:szCs w:val="18"/>
          <w:lang w:eastAsia="en-US"/>
        </w:rPr>
        <w:t>The redacted values correspond to the following range</w:t>
      </w:r>
    </w:p>
    <w:p w14:paraId="220D0483" w14:textId="77777777" w:rsidR="00EC321D" w:rsidRPr="00EC321D" w:rsidRDefault="00EC321D" w:rsidP="00C21E01">
      <w:pPr>
        <w:keepNext/>
        <w:widowControl w:val="0"/>
        <w:rPr>
          <w:rFonts w:ascii="Arial Narrow" w:hAnsi="Arial Narrow"/>
          <w:i/>
          <w:snapToGrid w:val="0"/>
          <w:sz w:val="18"/>
          <w:szCs w:val="18"/>
          <w:lang w:eastAsia="en-US"/>
        </w:rPr>
      </w:pPr>
      <w:r w:rsidRPr="00EC321D">
        <w:rPr>
          <w:rFonts w:ascii="Arial Narrow" w:hAnsi="Arial Narrow"/>
          <w:i/>
          <w:snapToGrid w:val="0"/>
          <w:sz w:val="18"/>
          <w:szCs w:val="18"/>
          <w:vertAlign w:val="superscript"/>
          <w:lang w:eastAsia="en-US"/>
        </w:rPr>
        <w:t>1</w:t>
      </w:r>
      <w:r w:rsidRPr="00EC321D">
        <w:rPr>
          <w:rFonts w:ascii="Arial Narrow" w:hAnsi="Arial Narrow"/>
          <w:i/>
          <w:snapToGrid w:val="0"/>
          <w:sz w:val="18"/>
          <w:szCs w:val="18"/>
          <w:lang w:eastAsia="en-US"/>
        </w:rPr>
        <w:t>&gt;$1,055,000</w:t>
      </w:r>
    </w:p>
    <w:p w14:paraId="6872DD72" w14:textId="77777777" w:rsidR="0093643A" w:rsidRPr="00FC7F1E" w:rsidRDefault="0093643A" w:rsidP="00EE2C3E">
      <w:pPr>
        <w:widowControl w:val="0"/>
        <w:rPr>
          <w:rFonts w:ascii="Arial Narrow" w:hAnsi="Arial Narrow"/>
          <w:snapToGrid w:val="0"/>
          <w:sz w:val="18"/>
          <w:szCs w:val="18"/>
          <w:lang w:eastAsia="en-US"/>
        </w:rPr>
      </w:pPr>
    </w:p>
    <w:p w14:paraId="19A63FAC" w14:textId="77777777" w:rsidR="000E2B79" w:rsidRPr="00FC7F1E" w:rsidRDefault="000E2B79" w:rsidP="000E2B79">
      <w:pPr>
        <w:pStyle w:val="3-BodyText"/>
        <w:rPr>
          <w:rFonts w:cstheme="minorHAnsi"/>
          <w:lang w:eastAsia="en-US"/>
        </w:rPr>
      </w:pPr>
      <w:r w:rsidRPr="00FC7F1E">
        <w:rPr>
          <w:rFonts w:cstheme="minorHAnsi"/>
          <w:lang w:eastAsia="en-US"/>
        </w:rPr>
        <w:t xml:space="preserve">The ESC considered that the ICER </w:t>
      </w:r>
      <w:r w:rsidR="00620D99" w:rsidRPr="00FC7F1E">
        <w:rPr>
          <w:rFonts w:cstheme="minorHAnsi"/>
          <w:lang w:eastAsia="en-US"/>
        </w:rPr>
        <w:t xml:space="preserve">per QALY </w:t>
      </w:r>
      <w:r w:rsidRPr="00FC7F1E">
        <w:rPr>
          <w:rFonts w:cstheme="minorHAnsi"/>
          <w:lang w:eastAsia="en-US"/>
        </w:rPr>
        <w:t xml:space="preserve">was underestimated, and the key uncertainties that had a large impact on the ICER were: </w:t>
      </w:r>
    </w:p>
    <w:p w14:paraId="19E57A7C" w14:textId="77777777" w:rsidR="0093643A" w:rsidRPr="00FC7F1E" w:rsidRDefault="00520355" w:rsidP="000A1EFA">
      <w:pPr>
        <w:pStyle w:val="3-BodyText"/>
        <w:numPr>
          <w:ilvl w:val="0"/>
          <w:numId w:val="5"/>
        </w:numPr>
        <w:spacing w:after="0"/>
        <w:ind w:left="993" w:hanging="284"/>
        <w:rPr>
          <w:rFonts w:cstheme="minorHAnsi"/>
          <w:lang w:eastAsia="en-US"/>
        </w:rPr>
      </w:pPr>
      <w:r w:rsidRPr="00FC7F1E">
        <w:rPr>
          <w:rFonts w:cstheme="minorHAnsi"/>
          <w:lang w:eastAsia="en-US"/>
        </w:rPr>
        <w:t xml:space="preserve">the time horizon. A </w:t>
      </w:r>
      <w:r w:rsidR="0093643A" w:rsidRPr="00FC7F1E">
        <w:rPr>
          <w:rFonts w:cstheme="minorHAnsi"/>
          <w:lang w:eastAsia="en-US"/>
        </w:rPr>
        <w:t>1-year time horizon increas</w:t>
      </w:r>
      <w:r w:rsidRPr="00FC7F1E">
        <w:rPr>
          <w:rFonts w:cstheme="minorHAnsi"/>
          <w:lang w:eastAsia="en-US"/>
        </w:rPr>
        <w:t>ed</w:t>
      </w:r>
      <w:r w:rsidR="0093643A" w:rsidRPr="00FC7F1E">
        <w:rPr>
          <w:rFonts w:cstheme="minorHAnsi"/>
          <w:lang w:eastAsia="en-US"/>
        </w:rPr>
        <w:t xml:space="preserve"> the ICER to over </w:t>
      </w:r>
      <w:r w:rsidR="005D22A5">
        <w:rPr>
          <w:rFonts w:cstheme="minorHAnsi"/>
          <w:lang w:eastAsia="en-US"/>
        </w:rPr>
        <w:t>&gt;</w:t>
      </w:r>
      <w:r w:rsidR="0093643A" w:rsidRPr="00FC7F1E">
        <w:rPr>
          <w:rFonts w:cstheme="minorHAnsi"/>
          <w:lang w:eastAsia="en-US"/>
        </w:rPr>
        <w:t>$</w:t>
      </w:r>
      <w:r w:rsidR="005D22A5">
        <w:rPr>
          <w:rFonts w:cstheme="minorHAnsi"/>
          <w:lang w:eastAsia="en-US"/>
        </w:rPr>
        <w:t xml:space="preserve">1,055,000 </w:t>
      </w:r>
      <w:r w:rsidR="0093643A" w:rsidRPr="00FC7F1E">
        <w:rPr>
          <w:rFonts w:cstheme="minorHAnsi"/>
          <w:lang w:eastAsia="en-US"/>
        </w:rPr>
        <w:t xml:space="preserve"> per QALY gained, and a 5-year time horizon increas</w:t>
      </w:r>
      <w:r w:rsidRPr="00FC7F1E">
        <w:rPr>
          <w:rFonts w:cstheme="minorHAnsi"/>
          <w:lang w:eastAsia="en-US"/>
        </w:rPr>
        <w:t>ed</w:t>
      </w:r>
      <w:r w:rsidR="0093643A" w:rsidRPr="00FC7F1E">
        <w:rPr>
          <w:rFonts w:cstheme="minorHAnsi"/>
          <w:lang w:eastAsia="en-US"/>
        </w:rPr>
        <w:t xml:space="preserve"> the ICER to over </w:t>
      </w:r>
      <w:r w:rsidR="005D22A5">
        <w:rPr>
          <w:rFonts w:cstheme="minorHAnsi"/>
          <w:lang w:eastAsia="en-US"/>
        </w:rPr>
        <w:t>&gt;</w:t>
      </w:r>
      <w:r w:rsidR="0093643A" w:rsidRPr="00FC7F1E">
        <w:rPr>
          <w:rFonts w:cstheme="minorHAnsi"/>
          <w:lang w:eastAsia="en-US"/>
        </w:rPr>
        <w:t>$</w:t>
      </w:r>
      <w:r w:rsidR="005D22A5">
        <w:rPr>
          <w:rFonts w:cstheme="minorHAnsi"/>
          <w:lang w:eastAsia="en-US"/>
        </w:rPr>
        <w:t xml:space="preserve">1,055,000 </w:t>
      </w:r>
      <w:r w:rsidR="0093643A" w:rsidRPr="00FC7F1E">
        <w:rPr>
          <w:rFonts w:cstheme="minorHAnsi"/>
          <w:lang w:eastAsia="en-US"/>
        </w:rPr>
        <w:t xml:space="preserve"> per QALY gained</w:t>
      </w:r>
      <w:r w:rsidR="00564362" w:rsidRPr="00FC7F1E">
        <w:rPr>
          <w:rFonts w:cstheme="minorHAnsi"/>
          <w:lang w:eastAsia="en-US"/>
        </w:rPr>
        <w:t>. While the ESC did not believe that a time horizon below 5 years was reasonable, the current selection of base case time horizon was highly problematic given the uncertainty in the clinical data</w:t>
      </w:r>
      <w:r w:rsidRPr="00FC7F1E">
        <w:rPr>
          <w:rFonts w:cstheme="minorHAnsi"/>
          <w:lang w:eastAsia="en-US"/>
        </w:rPr>
        <w:t xml:space="preserve">; and </w:t>
      </w:r>
    </w:p>
    <w:p w14:paraId="1398A816" w14:textId="77777777" w:rsidR="00520355" w:rsidRPr="00FC7F1E" w:rsidRDefault="00520355" w:rsidP="000A1EFA">
      <w:pPr>
        <w:pStyle w:val="3-BodyText"/>
        <w:numPr>
          <w:ilvl w:val="0"/>
          <w:numId w:val="5"/>
        </w:numPr>
        <w:ind w:left="993" w:hanging="284"/>
        <w:rPr>
          <w:rFonts w:cstheme="minorHAnsi"/>
          <w:lang w:eastAsia="en-US"/>
        </w:rPr>
      </w:pPr>
      <w:r w:rsidRPr="00FC7F1E">
        <w:rPr>
          <w:rFonts w:cstheme="minorHAnsi"/>
          <w:lang w:eastAsia="en-US"/>
        </w:rPr>
        <w:t xml:space="preserve">the </w:t>
      </w:r>
      <w:r w:rsidR="003A2B54" w:rsidRPr="00FC7F1E">
        <w:rPr>
          <w:rFonts w:cstheme="minorHAnsi"/>
          <w:lang w:eastAsia="en-US"/>
        </w:rPr>
        <w:t>rate of progression in the standard of care arm</w:t>
      </w:r>
      <w:r w:rsidRPr="00FC7F1E">
        <w:rPr>
          <w:rFonts w:cstheme="minorHAnsi"/>
          <w:lang w:eastAsia="en-US"/>
        </w:rPr>
        <w:t xml:space="preserve">. If a rate of 1% was used, the ICER </w:t>
      </w:r>
      <w:r w:rsidR="003A2B54" w:rsidRPr="00FC7F1E">
        <w:rPr>
          <w:rFonts w:cstheme="minorHAnsi"/>
          <w:lang w:eastAsia="en-US"/>
        </w:rPr>
        <w:t>increased to</w:t>
      </w:r>
      <w:r w:rsidR="005D22A5">
        <w:rPr>
          <w:rFonts w:cstheme="minorHAnsi"/>
          <w:lang w:eastAsia="en-US"/>
        </w:rPr>
        <w:t xml:space="preserve"> &gt;</w:t>
      </w:r>
      <w:r w:rsidR="003A2B54" w:rsidRPr="00FC7F1E">
        <w:rPr>
          <w:rFonts w:cstheme="minorHAnsi"/>
          <w:lang w:eastAsia="en-US"/>
        </w:rPr>
        <w:t>$</w:t>
      </w:r>
      <w:r w:rsidR="005D22A5">
        <w:rPr>
          <w:rFonts w:cstheme="minorHAnsi"/>
          <w:lang w:eastAsia="en-US"/>
        </w:rPr>
        <w:t>1,055,000</w:t>
      </w:r>
      <w:r w:rsidR="003A2B54" w:rsidRPr="00FC7F1E">
        <w:rPr>
          <w:rFonts w:cstheme="minorHAnsi"/>
          <w:lang w:eastAsia="en-US"/>
        </w:rPr>
        <w:t xml:space="preserve"> per QALY gained. </w:t>
      </w:r>
    </w:p>
    <w:p w14:paraId="627520F1" w14:textId="77777777" w:rsidR="008332F7" w:rsidRPr="00FC7F1E" w:rsidRDefault="00520355" w:rsidP="00520355">
      <w:pPr>
        <w:pStyle w:val="3-BodyText"/>
        <w:numPr>
          <w:ilvl w:val="0"/>
          <w:numId w:val="0"/>
        </w:numPr>
        <w:spacing w:after="0"/>
        <w:ind w:left="709"/>
        <w:rPr>
          <w:rFonts w:cstheme="minorHAnsi"/>
          <w:lang w:eastAsia="en-US"/>
        </w:rPr>
      </w:pPr>
      <w:r w:rsidRPr="00FC7F1E">
        <w:rPr>
          <w:rFonts w:cstheme="minorHAnsi"/>
          <w:lang w:eastAsia="en-US"/>
        </w:rPr>
        <w:t xml:space="preserve">These were based on the resubmission’s base case. Correcting the ICER </w:t>
      </w:r>
      <w:r w:rsidR="00620D99" w:rsidRPr="00FC7F1E">
        <w:rPr>
          <w:rFonts w:cstheme="minorHAnsi"/>
          <w:lang w:eastAsia="en-US"/>
        </w:rPr>
        <w:t xml:space="preserve">by applying the treatment </w:t>
      </w:r>
      <w:r w:rsidRPr="00FC7F1E">
        <w:rPr>
          <w:rFonts w:cstheme="minorHAnsi"/>
          <w:lang w:eastAsia="en-US"/>
        </w:rPr>
        <w:t xml:space="preserve">utility benefit </w:t>
      </w:r>
      <w:r w:rsidR="00620D99" w:rsidRPr="00FC7F1E">
        <w:rPr>
          <w:rFonts w:cstheme="minorHAnsi"/>
          <w:lang w:eastAsia="en-US"/>
        </w:rPr>
        <w:t xml:space="preserve">(for increase in distance walked) </w:t>
      </w:r>
      <w:r w:rsidRPr="00FC7F1E">
        <w:rPr>
          <w:rFonts w:cstheme="minorHAnsi"/>
          <w:lang w:eastAsia="en-US"/>
        </w:rPr>
        <w:t>to ambulatory patients only would further increase these ICERs</w:t>
      </w:r>
      <w:r w:rsidR="00FC7F1E">
        <w:rPr>
          <w:rFonts w:cstheme="minorHAnsi"/>
          <w:lang w:eastAsia="en-US"/>
        </w:rPr>
        <w:t xml:space="preserve">. </w:t>
      </w:r>
    </w:p>
    <w:p w14:paraId="427DAC4C" w14:textId="77777777" w:rsidR="00C25D9C" w:rsidRPr="00FC7F1E" w:rsidRDefault="00C25D9C" w:rsidP="00BB732D">
      <w:pPr>
        <w:pStyle w:val="4-SubsectionHeading"/>
      </w:pPr>
      <w:bookmarkStart w:id="40" w:name="_Toc50701423"/>
      <w:r w:rsidRPr="00FC7F1E">
        <w:lastRenderedPageBreak/>
        <w:t>Drug cost/</w:t>
      </w:r>
      <w:r w:rsidR="00A45B79" w:rsidRPr="00FC7F1E">
        <w:t xml:space="preserve">adult </w:t>
      </w:r>
      <w:r w:rsidRPr="00FC7F1E">
        <w:t>patient</w:t>
      </w:r>
      <w:r w:rsidR="00A45B79" w:rsidRPr="00FC7F1E">
        <w:t xml:space="preserve"> initiated on nusinersen</w:t>
      </w:r>
      <w:bookmarkEnd w:id="39"/>
      <w:bookmarkEnd w:id="40"/>
    </w:p>
    <w:p w14:paraId="6A47A4EA" w14:textId="77777777" w:rsidR="00494207" w:rsidRPr="00FC7F1E" w:rsidRDefault="00C21E01" w:rsidP="00BB732D">
      <w:pPr>
        <w:pStyle w:val="TableFigureHeading"/>
        <w:rPr>
          <w:rStyle w:val="CommentReference"/>
          <w:b/>
          <w:szCs w:val="24"/>
        </w:rPr>
      </w:pPr>
      <w:r w:rsidRPr="00FC7F1E">
        <w:rPr>
          <w:rStyle w:val="CommentReference"/>
          <w:b/>
          <w:szCs w:val="24"/>
        </w:rPr>
        <w:t xml:space="preserve">Table </w:t>
      </w:r>
      <w:r w:rsidR="00AA3F5F" w:rsidRPr="00FC7F1E">
        <w:rPr>
          <w:rStyle w:val="CommentReference"/>
          <w:b/>
          <w:szCs w:val="24"/>
        </w:rPr>
        <w:t>13</w:t>
      </w:r>
      <w:r w:rsidR="000379E2" w:rsidRPr="00FC7F1E">
        <w:rPr>
          <w:rStyle w:val="CommentReference"/>
          <w:b/>
          <w:szCs w:val="24"/>
        </w:rPr>
        <w:t>:</w:t>
      </w:r>
      <w:r w:rsidR="00494207" w:rsidRPr="00FC7F1E">
        <w:rPr>
          <w:rStyle w:val="CommentReference"/>
          <w:b/>
          <w:szCs w:val="24"/>
        </w:rPr>
        <w:t xml:space="preserve"> Drug cost per </w:t>
      </w:r>
      <w:r w:rsidR="00A45B79" w:rsidRPr="00FC7F1E">
        <w:rPr>
          <w:rStyle w:val="CommentReference"/>
          <w:b/>
          <w:szCs w:val="24"/>
        </w:rPr>
        <w:t xml:space="preserve">adult </w:t>
      </w:r>
      <w:r w:rsidR="00494207" w:rsidRPr="00FC7F1E">
        <w:rPr>
          <w:rStyle w:val="CommentReference"/>
          <w:b/>
          <w:szCs w:val="24"/>
        </w:rPr>
        <w:t xml:space="preserve">patient </w:t>
      </w:r>
      <w:r w:rsidR="00A45B79" w:rsidRPr="00FC7F1E">
        <w:rPr>
          <w:rStyle w:val="CommentReference"/>
          <w:b/>
          <w:szCs w:val="24"/>
        </w:rPr>
        <w:t xml:space="preserve">initiated on </w:t>
      </w:r>
      <w:r w:rsidR="008D3701" w:rsidRPr="00FC7F1E">
        <w:rPr>
          <w:rStyle w:val="CommentReference"/>
          <w:b/>
          <w:szCs w:val="24"/>
        </w:rPr>
        <w:t>nusinersen</w:t>
      </w:r>
      <w:r w:rsidR="003E7FC1" w:rsidRPr="00FC7F1E">
        <w:rPr>
          <w:rStyle w:val="CommentReference"/>
          <w:b/>
          <w:szCs w:val="24"/>
        </w:rPr>
        <w:t xml:space="preserve"> (including cost of administration)</w:t>
      </w: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4"/>
        <w:gridCol w:w="1558"/>
        <w:gridCol w:w="3119"/>
        <w:gridCol w:w="1995"/>
      </w:tblGrid>
      <w:tr w:rsidR="008D3701" w:rsidRPr="00FC7F1E" w14:paraId="2FA97C1B" w14:textId="77777777" w:rsidTr="008F1152">
        <w:trPr>
          <w:cantSplit/>
          <w:tblHeader/>
          <w:jc w:val="center"/>
        </w:trPr>
        <w:tc>
          <w:tcPr>
            <w:tcW w:w="1267" w:type="pct"/>
            <w:shd w:val="clear" w:color="auto" w:fill="auto"/>
            <w:vAlign w:val="center"/>
          </w:tcPr>
          <w:p w14:paraId="598EA5E2" w14:textId="77777777" w:rsidR="008D3701" w:rsidRPr="00FC7F1E" w:rsidRDefault="008D3701" w:rsidP="00BB732D">
            <w:pPr>
              <w:pStyle w:val="In-tableHeading"/>
              <w:jc w:val="center"/>
              <w:rPr>
                <w:lang w:val="en-AU"/>
              </w:rPr>
            </w:pPr>
          </w:p>
        </w:tc>
        <w:tc>
          <w:tcPr>
            <w:tcW w:w="872" w:type="pct"/>
            <w:shd w:val="clear" w:color="auto" w:fill="auto"/>
            <w:vAlign w:val="center"/>
          </w:tcPr>
          <w:p w14:paraId="507EB920" w14:textId="77777777" w:rsidR="008D3701" w:rsidRPr="00FC7F1E" w:rsidRDefault="008D3701" w:rsidP="00BB732D">
            <w:pPr>
              <w:pStyle w:val="In-tableHeading"/>
              <w:jc w:val="center"/>
              <w:rPr>
                <w:lang w:val="en-AU"/>
              </w:rPr>
            </w:pPr>
            <w:r w:rsidRPr="00FC7F1E">
              <w:rPr>
                <w:lang w:val="en-AU"/>
              </w:rPr>
              <w:t>Study dose and duration</w:t>
            </w:r>
          </w:p>
        </w:tc>
        <w:tc>
          <w:tcPr>
            <w:tcW w:w="1745" w:type="pct"/>
            <w:shd w:val="clear" w:color="auto" w:fill="auto"/>
            <w:vAlign w:val="center"/>
          </w:tcPr>
          <w:p w14:paraId="2890DB4A" w14:textId="77777777" w:rsidR="008D3701" w:rsidRPr="00FC7F1E" w:rsidRDefault="008D3701" w:rsidP="00BB732D">
            <w:pPr>
              <w:pStyle w:val="In-tableHeading"/>
              <w:jc w:val="center"/>
              <w:rPr>
                <w:lang w:val="en-AU"/>
              </w:rPr>
            </w:pPr>
            <w:r w:rsidRPr="00FC7F1E">
              <w:rPr>
                <w:lang w:val="en-AU"/>
              </w:rPr>
              <w:t>Model</w:t>
            </w:r>
          </w:p>
        </w:tc>
        <w:tc>
          <w:tcPr>
            <w:tcW w:w="1116" w:type="pct"/>
            <w:shd w:val="clear" w:color="auto" w:fill="auto"/>
            <w:vAlign w:val="center"/>
          </w:tcPr>
          <w:p w14:paraId="5839777B" w14:textId="77777777" w:rsidR="008D3701" w:rsidRPr="00FC7F1E" w:rsidRDefault="008D3701" w:rsidP="00BB732D">
            <w:pPr>
              <w:pStyle w:val="In-tableHeading"/>
              <w:jc w:val="center"/>
              <w:rPr>
                <w:lang w:val="en-AU"/>
              </w:rPr>
            </w:pPr>
            <w:r w:rsidRPr="00FC7F1E">
              <w:rPr>
                <w:lang w:val="en-AU"/>
              </w:rPr>
              <w:t>Financial estimates</w:t>
            </w:r>
          </w:p>
        </w:tc>
      </w:tr>
      <w:tr w:rsidR="008D3701" w:rsidRPr="00FC7F1E" w14:paraId="65695753" w14:textId="77777777" w:rsidTr="008F1152">
        <w:trPr>
          <w:cantSplit/>
          <w:jc w:val="center"/>
        </w:trPr>
        <w:tc>
          <w:tcPr>
            <w:tcW w:w="1267" w:type="pct"/>
            <w:shd w:val="clear" w:color="auto" w:fill="auto"/>
            <w:vAlign w:val="center"/>
          </w:tcPr>
          <w:p w14:paraId="140AEA28" w14:textId="77777777" w:rsidR="008D3701" w:rsidRPr="00FC7F1E" w:rsidRDefault="008D3701" w:rsidP="00BB732D">
            <w:pPr>
              <w:pStyle w:val="TableText0"/>
            </w:pPr>
            <w:r w:rsidRPr="00FC7F1E">
              <w:t>Mean dose</w:t>
            </w:r>
          </w:p>
        </w:tc>
        <w:tc>
          <w:tcPr>
            <w:tcW w:w="872" w:type="pct"/>
            <w:shd w:val="clear" w:color="auto" w:fill="auto"/>
            <w:vAlign w:val="center"/>
          </w:tcPr>
          <w:p w14:paraId="01C5CBEA" w14:textId="77777777" w:rsidR="008D3701" w:rsidRPr="00FC7F1E" w:rsidRDefault="008D3701" w:rsidP="00BB732D">
            <w:pPr>
              <w:pStyle w:val="TableText0"/>
              <w:jc w:val="center"/>
            </w:pPr>
            <w:r w:rsidRPr="00FC7F1E">
              <w:t>4 loading doses and then doses every 4 months</w:t>
            </w:r>
          </w:p>
        </w:tc>
        <w:tc>
          <w:tcPr>
            <w:tcW w:w="1745" w:type="pct"/>
            <w:shd w:val="clear" w:color="auto" w:fill="auto"/>
            <w:vAlign w:val="center"/>
          </w:tcPr>
          <w:p w14:paraId="1C2C7925" w14:textId="77777777" w:rsidR="008D3701" w:rsidRPr="00FC7F1E" w:rsidRDefault="008D3701" w:rsidP="00BB732D">
            <w:pPr>
              <w:pStyle w:val="TableText0"/>
              <w:jc w:val="center"/>
            </w:pPr>
            <w:r w:rsidRPr="00FC7F1E">
              <w:t>4 loading dose</w:t>
            </w:r>
            <w:r w:rsidR="0053606E" w:rsidRPr="00FC7F1E">
              <w:t>s</w:t>
            </w:r>
            <w:r w:rsidR="008F4E3E" w:rsidRPr="00FC7F1E">
              <w:t xml:space="preserve"> (with one rebated)</w:t>
            </w:r>
            <w:r w:rsidRPr="00FC7F1E">
              <w:t xml:space="preserve"> and then doses every 4 months</w:t>
            </w:r>
          </w:p>
        </w:tc>
        <w:tc>
          <w:tcPr>
            <w:tcW w:w="1116" w:type="pct"/>
            <w:shd w:val="clear" w:color="auto" w:fill="auto"/>
            <w:vAlign w:val="center"/>
          </w:tcPr>
          <w:p w14:paraId="71304F91" w14:textId="77777777" w:rsidR="008D3701" w:rsidRPr="00FC7F1E" w:rsidRDefault="008D3701" w:rsidP="00BB732D">
            <w:pPr>
              <w:pStyle w:val="TableText0"/>
              <w:jc w:val="center"/>
            </w:pPr>
            <w:r w:rsidRPr="00FC7F1E">
              <w:t xml:space="preserve">4 loading doses </w:t>
            </w:r>
            <w:r w:rsidR="008F4E3E" w:rsidRPr="00FC7F1E">
              <w:t xml:space="preserve">(with one rebated) </w:t>
            </w:r>
            <w:r w:rsidRPr="00FC7F1E">
              <w:t>and then doses every 4 months</w:t>
            </w:r>
          </w:p>
        </w:tc>
      </w:tr>
      <w:tr w:rsidR="008D3701" w:rsidRPr="00FC7F1E" w14:paraId="699B0535" w14:textId="77777777" w:rsidTr="008F1152">
        <w:trPr>
          <w:cantSplit/>
          <w:jc w:val="center"/>
        </w:trPr>
        <w:tc>
          <w:tcPr>
            <w:tcW w:w="1267" w:type="pct"/>
            <w:shd w:val="clear" w:color="auto" w:fill="auto"/>
            <w:vAlign w:val="center"/>
          </w:tcPr>
          <w:p w14:paraId="1547E97D" w14:textId="77777777" w:rsidR="008D3701" w:rsidRPr="00FC7F1E" w:rsidRDefault="008D3701" w:rsidP="00BB732D">
            <w:pPr>
              <w:pStyle w:val="TableText0"/>
            </w:pPr>
            <w:r w:rsidRPr="00FC7F1E">
              <w:t>Mean duration</w:t>
            </w:r>
          </w:p>
        </w:tc>
        <w:tc>
          <w:tcPr>
            <w:tcW w:w="872" w:type="pct"/>
            <w:shd w:val="clear" w:color="auto" w:fill="auto"/>
            <w:vAlign w:val="center"/>
          </w:tcPr>
          <w:p w14:paraId="02D52E31" w14:textId="77777777" w:rsidR="008D3701" w:rsidRPr="00FC7F1E" w:rsidRDefault="008D3701" w:rsidP="008F4E3E">
            <w:pPr>
              <w:pStyle w:val="TableText0"/>
              <w:jc w:val="center"/>
            </w:pPr>
            <w:r w:rsidRPr="00FC7F1E">
              <w:t>14 months</w:t>
            </w:r>
            <w:r w:rsidR="00C27B07" w:rsidRPr="00FC7F1E">
              <w:t xml:space="preserve"> </w:t>
            </w:r>
          </w:p>
        </w:tc>
        <w:tc>
          <w:tcPr>
            <w:tcW w:w="1745" w:type="pct"/>
            <w:shd w:val="clear" w:color="auto" w:fill="auto"/>
            <w:vAlign w:val="center"/>
          </w:tcPr>
          <w:p w14:paraId="4759AFBE" w14:textId="77777777" w:rsidR="008D3701" w:rsidRPr="00FC7F1E" w:rsidRDefault="008D3701" w:rsidP="008F1152">
            <w:pPr>
              <w:pStyle w:val="TableText0"/>
              <w:jc w:val="center"/>
            </w:pPr>
            <w:r w:rsidRPr="00FC7F1E">
              <w:t>Lifetime, with a 3.</w:t>
            </w:r>
            <w:r w:rsidR="00C27B07" w:rsidRPr="00FC7F1E">
              <w:t>7</w:t>
            </w:r>
            <w:r w:rsidRPr="00FC7F1E">
              <w:t>% discontinuation rate per year</w:t>
            </w:r>
            <w:r w:rsidR="008F1152" w:rsidRPr="00FC7F1E">
              <w:t xml:space="preserve"> </w:t>
            </w:r>
            <w:r w:rsidR="005D7BCF" w:rsidRPr="00FC7F1E">
              <w:rPr>
                <w:iCs/>
              </w:rPr>
              <w:t>(mean of 21.05 years and median of 17.5 years)</w:t>
            </w:r>
          </w:p>
        </w:tc>
        <w:tc>
          <w:tcPr>
            <w:tcW w:w="1116" w:type="pct"/>
            <w:shd w:val="clear" w:color="auto" w:fill="auto"/>
            <w:vAlign w:val="center"/>
          </w:tcPr>
          <w:p w14:paraId="56B7F0BA" w14:textId="77777777" w:rsidR="008D3701" w:rsidRPr="00FC7F1E" w:rsidRDefault="008D3701" w:rsidP="00BB732D">
            <w:pPr>
              <w:pStyle w:val="TableText0"/>
              <w:jc w:val="center"/>
            </w:pPr>
            <w:r w:rsidRPr="00FC7F1E">
              <w:t>Lifetime, with no discontinuation per year in the base case</w:t>
            </w:r>
          </w:p>
        </w:tc>
      </w:tr>
      <w:tr w:rsidR="008D3701" w:rsidRPr="00FC7F1E" w14:paraId="1FC01D81" w14:textId="77777777" w:rsidTr="008F1152">
        <w:trPr>
          <w:cantSplit/>
          <w:jc w:val="center"/>
        </w:trPr>
        <w:tc>
          <w:tcPr>
            <w:tcW w:w="1267" w:type="pct"/>
            <w:shd w:val="clear" w:color="auto" w:fill="auto"/>
            <w:vAlign w:val="center"/>
          </w:tcPr>
          <w:p w14:paraId="7B23A2D5" w14:textId="77777777" w:rsidR="008D3701" w:rsidRPr="00FC7F1E" w:rsidRDefault="008D3701" w:rsidP="00BB732D">
            <w:pPr>
              <w:pStyle w:val="TableText0"/>
            </w:pPr>
            <w:r w:rsidRPr="00FC7F1E">
              <w:t>Cost/patient for loading doses over 2 months</w:t>
            </w:r>
          </w:p>
        </w:tc>
        <w:tc>
          <w:tcPr>
            <w:tcW w:w="872" w:type="pct"/>
            <w:shd w:val="clear" w:color="auto" w:fill="auto"/>
            <w:vAlign w:val="center"/>
          </w:tcPr>
          <w:p w14:paraId="212ACAC1" w14:textId="77777777" w:rsidR="008D3701" w:rsidRPr="00FC7F1E" w:rsidRDefault="00B5369E" w:rsidP="00B5369E">
            <w:pPr>
              <w:pStyle w:val="TableText0"/>
              <w:jc w:val="center"/>
            </w:pPr>
            <w:r w:rsidRPr="00FC7F1E">
              <w:t>(</w:t>
            </w:r>
            <w:r w:rsidR="00CF4CC6" w:rsidRPr="00FC7F1E">
              <w:t>$</w:t>
            </w:r>
            <w:r w:rsidR="008E2DDA">
              <w:rPr>
                <w:noProof/>
                <w:color w:val="000000"/>
                <w:highlight w:val="black"/>
              </w:rPr>
              <w:t>''''''''''''''''</w:t>
            </w:r>
            <w:r w:rsidRPr="00FC7F1E">
              <w:t xml:space="preserve"> +$</w:t>
            </w:r>
            <w:r w:rsidR="00FE661A" w:rsidRPr="001147BF">
              <w:t>4</w:t>
            </w:r>
            <w:r w:rsidRPr="001147BF">
              <w:t>24.33</w:t>
            </w:r>
            <w:r w:rsidRPr="00FC7F1E">
              <w:t>)</w:t>
            </w:r>
            <w:r w:rsidR="00CF4CC6" w:rsidRPr="00FC7F1E">
              <w:t xml:space="preserve"> x 4</w:t>
            </w:r>
            <w:r w:rsidR="00227F37" w:rsidRPr="00FC7F1E">
              <w:t>= $</w:t>
            </w:r>
            <w:r w:rsidR="008E2DDA">
              <w:rPr>
                <w:noProof/>
                <w:color w:val="000000"/>
                <w:highlight w:val="black"/>
              </w:rPr>
              <w:t>'''''''''''''''''''</w:t>
            </w:r>
          </w:p>
        </w:tc>
        <w:tc>
          <w:tcPr>
            <w:tcW w:w="1745" w:type="pct"/>
            <w:shd w:val="clear" w:color="auto" w:fill="auto"/>
            <w:vAlign w:val="center"/>
          </w:tcPr>
          <w:p w14:paraId="01B10DE2" w14:textId="77777777" w:rsidR="008D3701" w:rsidRPr="00FC7F1E" w:rsidRDefault="00A66BCE" w:rsidP="00A66BCE">
            <w:pPr>
              <w:pStyle w:val="TableText0"/>
              <w:jc w:val="center"/>
            </w:pPr>
            <w:r w:rsidRPr="00FC7F1E">
              <w:t>(</w:t>
            </w:r>
            <w:r w:rsidR="00066E7D" w:rsidRPr="00FC7F1E">
              <w:t>(</w:t>
            </w:r>
            <w:r w:rsidR="00CF4CC6" w:rsidRPr="00FC7F1E">
              <w:t>$</w:t>
            </w:r>
            <w:r w:rsidR="008E2DDA">
              <w:rPr>
                <w:noProof/>
                <w:color w:val="000000"/>
                <w:highlight w:val="black"/>
              </w:rPr>
              <w:t>'''''''''''''''</w:t>
            </w:r>
            <w:r w:rsidR="00066E7D" w:rsidRPr="00FC7F1E">
              <w:t xml:space="preserve"> +$</w:t>
            </w:r>
            <w:r w:rsidR="008E5E7D" w:rsidRPr="001147BF">
              <w:t>424.33</w:t>
            </w:r>
            <w:r w:rsidR="00066E7D" w:rsidRPr="00FC7F1E">
              <w:t>)</w:t>
            </w:r>
            <w:r w:rsidR="00CF4CC6" w:rsidRPr="00FC7F1E">
              <w:t xml:space="preserve"> x </w:t>
            </w:r>
            <w:r w:rsidR="00CF4CC6" w:rsidRPr="001147BF">
              <w:t>3</w:t>
            </w:r>
            <w:r w:rsidRPr="00FC7F1E">
              <w:t>) +$</w:t>
            </w:r>
            <w:r w:rsidRPr="001147BF">
              <w:t>424.33</w:t>
            </w:r>
            <w:r w:rsidR="0053606E" w:rsidRPr="00FC7F1E">
              <w:t xml:space="preserve"> </w:t>
            </w:r>
            <w:r w:rsidR="003252F0" w:rsidRPr="00FC7F1E">
              <w:t>=</w:t>
            </w:r>
            <w:r w:rsidR="00227F37" w:rsidRPr="00FC7F1E">
              <w:t>$</w:t>
            </w:r>
            <w:r w:rsidR="008E2DDA">
              <w:rPr>
                <w:noProof/>
                <w:color w:val="000000"/>
                <w:highlight w:val="black"/>
              </w:rPr>
              <w:t>''''''''''''''''''</w:t>
            </w:r>
          </w:p>
        </w:tc>
        <w:tc>
          <w:tcPr>
            <w:tcW w:w="1116" w:type="pct"/>
            <w:shd w:val="clear" w:color="auto" w:fill="auto"/>
            <w:vAlign w:val="center"/>
          </w:tcPr>
          <w:p w14:paraId="006E3A52" w14:textId="77777777" w:rsidR="008D3701" w:rsidRPr="00FC7F1E" w:rsidRDefault="00066E7D" w:rsidP="008751B6">
            <w:pPr>
              <w:pStyle w:val="TableText0"/>
              <w:jc w:val="center"/>
            </w:pPr>
            <w:r w:rsidRPr="00FC7F1E">
              <w:t>(</w:t>
            </w:r>
            <w:r w:rsidR="008751B6" w:rsidRPr="00FC7F1E">
              <w:t>(</w:t>
            </w:r>
            <w:r w:rsidR="00CF4CC6" w:rsidRPr="00FC7F1E">
              <w:t>$</w:t>
            </w:r>
            <w:r w:rsidR="008E2DDA">
              <w:rPr>
                <w:noProof/>
                <w:color w:val="000000"/>
                <w:highlight w:val="black"/>
              </w:rPr>
              <w:t>''''''''''''''''''</w:t>
            </w:r>
            <w:r w:rsidRPr="00FC7F1E">
              <w:t xml:space="preserve"> + $</w:t>
            </w:r>
            <w:r w:rsidR="00360393" w:rsidRPr="001147BF">
              <w:t>343.88</w:t>
            </w:r>
            <w:r w:rsidRPr="00FC7F1E">
              <w:t>)</w:t>
            </w:r>
            <w:r w:rsidR="00CF4CC6" w:rsidRPr="00FC7F1E">
              <w:t xml:space="preserve"> x 3</w:t>
            </w:r>
            <w:r w:rsidR="008751B6" w:rsidRPr="00FC7F1E">
              <w:t>) + $</w:t>
            </w:r>
            <w:r w:rsidR="008751B6" w:rsidRPr="001147BF">
              <w:t>343.88</w:t>
            </w:r>
            <w:r w:rsidR="00227F37" w:rsidRPr="00FC7F1E">
              <w:t>= $</w:t>
            </w:r>
            <w:r w:rsidR="008E2DDA">
              <w:rPr>
                <w:noProof/>
                <w:color w:val="000000"/>
                <w:highlight w:val="black"/>
              </w:rPr>
              <w:t>'''''''''''''''''''</w:t>
            </w:r>
          </w:p>
        </w:tc>
      </w:tr>
      <w:tr w:rsidR="0045471C" w:rsidRPr="00FC7F1E" w14:paraId="7D1581F3" w14:textId="77777777" w:rsidTr="008F1152">
        <w:trPr>
          <w:cantSplit/>
          <w:jc w:val="center"/>
        </w:trPr>
        <w:tc>
          <w:tcPr>
            <w:tcW w:w="1267" w:type="pct"/>
            <w:shd w:val="clear" w:color="auto" w:fill="auto"/>
            <w:vAlign w:val="center"/>
          </w:tcPr>
          <w:p w14:paraId="2838B3CD" w14:textId="77777777" w:rsidR="0045471C" w:rsidRPr="00FC7F1E" w:rsidRDefault="0045471C" w:rsidP="00A66BCE">
            <w:pPr>
              <w:pStyle w:val="TableText0"/>
            </w:pPr>
            <w:r w:rsidRPr="00FC7F1E">
              <w:t xml:space="preserve">Cost </w:t>
            </w:r>
            <w:r w:rsidR="00A66BCE" w:rsidRPr="00FC7F1E">
              <w:t>per 4-month cycle after the first cycle of 4 months</w:t>
            </w:r>
          </w:p>
        </w:tc>
        <w:tc>
          <w:tcPr>
            <w:tcW w:w="872" w:type="pct"/>
            <w:shd w:val="clear" w:color="auto" w:fill="auto"/>
            <w:vAlign w:val="center"/>
          </w:tcPr>
          <w:p w14:paraId="22569348" w14:textId="77777777" w:rsidR="0045471C" w:rsidRPr="00FC7F1E" w:rsidRDefault="00A45B79" w:rsidP="008751B6">
            <w:pPr>
              <w:pStyle w:val="TableText0"/>
              <w:jc w:val="center"/>
            </w:pPr>
            <w:r w:rsidRPr="00FC7F1E">
              <w:t>($</w:t>
            </w:r>
            <w:r w:rsidR="008E2DDA">
              <w:rPr>
                <w:noProof/>
                <w:color w:val="000000"/>
                <w:highlight w:val="black"/>
              </w:rPr>
              <w:t>''''''''''''''''</w:t>
            </w:r>
            <w:r w:rsidRPr="00FC7F1E">
              <w:t xml:space="preserve"> +$</w:t>
            </w:r>
            <w:r w:rsidRPr="001147BF">
              <w:t>424.33</w:t>
            </w:r>
            <w:r w:rsidRPr="00FC7F1E">
              <w:t>) =</w:t>
            </w:r>
            <w:r w:rsidR="0045471C" w:rsidRPr="00FC7F1E">
              <w:t xml:space="preserve"> $</w:t>
            </w:r>
            <w:r w:rsidR="008E2DDA">
              <w:rPr>
                <w:noProof/>
                <w:color w:val="000000"/>
                <w:highlight w:val="black"/>
              </w:rPr>
              <w:t>''''''''''''''''''</w:t>
            </w:r>
          </w:p>
        </w:tc>
        <w:tc>
          <w:tcPr>
            <w:tcW w:w="1745" w:type="pct"/>
            <w:shd w:val="clear" w:color="auto" w:fill="auto"/>
            <w:vAlign w:val="center"/>
          </w:tcPr>
          <w:p w14:paraId="6E5CFE24" w14:textId="77777777" w:rsidR="0045471C" w:rsidRPr="00FC7F1E" w:rsidRDefault="0045471C" w:rsidP="00CF1DA1">
            <w:pPr>
              <w:pStyle w:val="TableText0"/>
              <w:jc w:val="center"/>
            </w:pPr>
            <w:r w:rsidRPr="00FC7F1E">
              <w:t>($</w:t>
            </w:r>
            <w:r w:rsidR="008E2DDA">
              <w:rPr>
                <w:noProof/>
                <w:color w:val="000000"/>
                <w:highlight w:val="black"/>
              </w:rPr>
              <w:t>''''''''''''''''''</w:t>
            </w:r>
            <w:r w:rsidRPr="00FC7F1E">
              <w:t xml:space="preserve"> + $</w:t>
            </w:r>
            <w:r w:rsidRPr="001147BF">
              <w:t>424.33</w:t>
            </w:r>
            <w:r w:rsidRPr="00FC7F1E">
              <w:t>)</w:t>
            </w:r>
            <w:r w:rsidR="00A66BCE" w:rsidRPr="00FC7F1E">
              <w:t xml:space="preserve"> = $</w:t>
            </w:r>
            <w:r w:rsidR="008E2DDA">
              <w:rPr>
                <w:noProof/>
                <w:color w:val="000000"/>
                <w:highlight w:val="black"/>
              </w:rPr>
              <w:t>'''''''''''''''''</w:t>
            </w:r>
            <w:r w:rsidR="00CF1DA1" w:rsidRPr="00FC7F1E">
              <w:t>,</w:t>
            </w:r>
            <w:r w:rsidRPr="00FC7F1E">
              <w:t xml:space="preserve"> </w:t>
            </w:r>
            <w:r w:rsidR="00A66BCE" w:rsidRPr="00FC7F1E">
              <w:t>less the cost for 3.7%/3 patients who discontinue each cycle = $</w:t>
            </w:r>
            <w:r w:rsidR="008E2DDA">
              <w:rPr>
                <w:noProof/>
                <w:color w:val="000000"/>
                <w:highlight w:val="black"/>
              </w:rPr>
              <w:t>'''''''''''''''</w:t>
            </w:r>
          </w:p>
        </w:tc>
        <w:tc>
          <w:tcPr>
            <w:tcW w:w="1116" w:type="pct"/>
            <w:shd w:val="clear" w:color="auto" w:fill="auto"/>
            <w:vAlign w:val="center"/>
          </w:tcPr>
          <w:p w14:paraId="008EB07E" w14:textId="77777777" w:rsidR="0045471C" w:rsidRPr="00FC7F1E" w:rsidRDefault="0045471C" w:rsidP="008751B6">
            <w:pPr>
              <w:pStyle w:val="TableText0"/>
              <w:jc w:val="center"/>
            </w:pPr>
            <w:r w:rsidRPr="00FC7F1E">
              <w:t>($</w:t>
            </w:r>
            <w:r w:rsidR="008E2DDA">
              <w:rPr>
                <w:noProof/>
                <w:color w:val="000000"/>
                <w:highlight w:val="black"/>
              </w:rPr>
              <w:t>''''''''''''''''''</w:t>
            </w:r>
            <w:r w:rsidRPr="00FC7F1E">
              <w:t xml:space="preserve"> + $</w:t>
            </w:r>
            <w:r w:rsidRPr="001147BF">
              <w:t>343.88</w:t>
            </w:r>
            <w:r w:rsidRPr="00FC7F1E">
              <w:t>) =</w:t>
            </w:r>
            <w:r w:rsidR="0053606E" w:rsidRPr="00FC7F1E">
              <w:t xml:space="preserve"> </w:t>
            </w:r>
            <w:r w:rsidRPr="00FC7F1E">
              <w:t>$</w:t>
            </w:r>
            <w:r w:rsidR="008E2DDA">
              <w:rPr>
                <w:noProof/>
                <w:color w:val="000000"/>
                <w:highlight w:val="black"/>
              </w:rPr>
              <w:t>''''''''''''''''''</w:t>
            </w:r>
          </w:p>
        </w:tc>
      </w:tr>
    </w:tbl>
    <w:p w14:paraId="3D273F9D" w14:textId="77777777" w:rsidR="00494207" w:rsidRPr="00FC7F1E" w:rsidRDefault="00494207" w:rsidP="00C94053">
      <w:pPr>
        <w:pStyle w:val="TableFigureFooter"/>
      </w:pPr>
      <w:r w:rsidRPr="00FC7F1E">
        <w:t xml:space="preserve">Source: </w:t>
      </w:r>
      <w:r w:rsidR="008E451E" w:rsidRPr="00FC7F1E">
        <w:t>Calculated during the evaluation</w:t>
      </w:r>
      <w:r w:rsidR="001C0916" w:rsidRPr="00FC7F1E">
        <w:t xml:space="preserve">, where </w:t>
      </w:r>
      <w:r w:rsidR="005E4B44" w:rsidRPr="00FC7F1E">
        <w:t>3.7</w:t>
      </w:r>
      <w:r w:rsidR="001C0916" w:rsidRPr="00FC7F1E">
        <w:t xml:space="preserve">% is the assumed </w:t>
      </w:r>
      <w:r w:rsidR="005E4B44" w:rsidRPr="00FC7F1E">
        <w:t>dis</w:t>
      </w:r>
      <w:r w:rsidR="001C0916" w:rsidRPr="00FC7F1E">
        <w:t>continuation rate for nusinersen per year</w:t>
      </w:r>
      <w:r w:rsidR="008E451E" w:rsidRPr="00FC7F1E">
        <w:t>.</w:t>
      </w:r>
    </w:p>
    <w:p w14:paraId="25C0447A" w14:textId="77777777" w:rsidR="00360393" w:rsidRPr="00FC7F1E" w:rsidRDefault="00696112" w:rsidP="00C94053">
      <w:pPr>
        <w:pStyle w:val="TableFigureFooter"/>
      </w:pPr>
      <w:r w:rsidRPr="00FC7F1E">
        <w:t>The f</w:t>
      </w:r>
      <w:r w:rsidR="00360393" w:rsidRPr="00FC7F1E">
        <w:t xml:space="preserve">inancial estimates </w:t>
      </w:r>
      <w:r w:rsidRPr="00FC7F1E">
        <w:t>include</w:t>
      </w:r>
      <w:r w:rsidR="00360393" w:rsidRPr="00FC7F1E">
        <w:t xml:space="preserve"> </w:t>
      </w:r>
      <w:r w:rsidRPr="00FC7F1E">
        <w:t xml:space="preserve">the </w:t>
      </w:r>
      <w:r w:rsidR="00360393" w:rsidRPr="00FC7F1E">
        <w:t>cost of</w:t>
      </w:r>
      <w:r w:rsidRPr="00FC7F1E">
        <w:t xml:space="preserve"> administration with an </w:t>
      </w:r>
      <w:r w:rsidRPr="001147BF">
        <w:t>80</w:t>
      </w:r>
      <w:r w:rsidRPr="00FC7F1E">
        <w:t>% rebate ($</w:t>
      </w:r>
      <w:r w:rsidRPr="001147BF">
        <w:t>402.25</w:t>
      </w:r>
      <w:r w:rsidRPr="00FC7F1E">
        <w:t xml:space="preserve"> x </w:t>
      </w:r>
      <w:r w:rsidRPr="001147BF">
        <w:t>80</w:t>
      </w:r>
      <w:r w:rsidRPr="00FC7F1E">
        <w:t>%) and the cost of</w:t>
      </w:r>
      <w:r w:rsidR="00360393" w:rsidRPr="00FC7F1E">
        <w:t xml:space="preserve"> adverse events </w:t>
      </w:r>
      <w:r w:rsidRPr="00FC7F1E">
        <w:t xml:space="preserve">($22.08), while the economic model does not include the </w:t>
      </w:r>
      <w:r w:rsidR="00360393" w:rsidRPr="001147BF">
        <w:t>80</w:t>
      </w:r>
      <w:r w:rsidR="00360393" w:rsidRPr="00FC7F1E">
        <w:t>% rebate.</w:t>
      </w:r>
    </w:p>
    <w:p w14:paraId="5C0FB903" w14:textId="77777777" w:rsidR="00A45B79" w:rsidRPr="00FC7F1E" w:rsidRDefault="00A45B79" w:rsidP="00CA3EA6">
      <w:pPr>
        <w:pStyle w:val="3-BodyText"/>
      </w:pPr>
      <w:r w:rsidRPr="00FC7F1E">
        <w:t xml:space="preserve">After the loading doses for the first 2 months, the cost per </w:t>
      </w:r>
      <w:r w:rsidR="00013156" w:rsidRPr="00FC7F1E">
        <w:t>4 month cycle</w:t>
      </w:r>
      <w:r w:rsidRPr="00FC7F1E">
        <w:t xml:space="preserve"> </w:t>
      </w:r>
      <w:r w:rsidR="009B22AE" w:rsidRPr="00FC7F1E">
        <w:t xml:space="preserve">for adult patients aged 19 years or more on initiation of nusinersen </w:t>
      </w:r>
      <w:r w:rsidRPr="00FC7F1E">
        <w:t xml:space="preserve">was estimated to be </w:t>
      </w:r>
      <w:r w:rsidR="008E451E" w:rsidRPr="00FC7F1E">
        <w:t>$</w:t>
      </w:r>
      <w:r w:rsidR="005D22A5">
        <w:t xml:space="preserve">0 to &lt;$10 million </w:t>
      </w:r>
      <w:r w:rsidR="008E451E" w:rsidRPr="00FC7F1E">
        <w:t>in the economic evaluation, and $</w:t>
      </w:r>
      <w:r w:rsidR="005D22A5">
        <w:t>0 to &lt;$10 million</w:t>
      </w:r>
      <w:r w:rsidR="008E451E" w:rsidRPr="00FC7F1E">
        <w:t xml:space="preserve"> in the financial estimates. </w:t>
      </w:r>
    </w:p>
    <w:p w14:paraId="623986DF" w14:textId="77777777" w:rsidR="00A45B79" w:rsidRPr="00FC7F1E" w:rsidRDefault="00A45B79" w:rsidP="00C94053">
      <w:pPr>
        <w:pStyle w:val="TableFigureFooter"/>
      </w:pPr>
    </w:p>
    <w:p w14:paraId="53F81099" w14:textId="77777777" w:rsidR="00B60939" w:rsidRPr="00FC7F1E" w:rsidRDefault="00B60939" w:rsidP="002B05A1">
      <w:pPr>
        <w:pStyle w:val="4-SubsectionHeading"/>
      </w:pPr>
      <w:bookmarkStart w:id="41" w:name="_Toc22897647"/>
      <w:bookmarkStart w:id="42" w:name="_Toc50701424"/>
      <w:r w:rsidRPr="00FC7F1E">
        <w:t>Estimated PBS usage &amp; financial implications</w:t>
      </w:r>
      <w:bookmarkEnd w:id="41"/>
      <w:bookmarkEnd w:id="42"/>
    </w:p>
    <w:p w14:paraId="6EA19386" w14:textId="77777777" w:rsidR="00C21E01" w:rsidRPr="00FC7F1E" w:rsidRDefault="00C25D9C" w:rsidP="00C21E01">
      <w:pPr>
        <w:pStyle w:val="3-BodyText"/>
      </w:pPr>
      <w:r w:rsidRPr="00FC7F1E">
        <w:t xml:space="preserve">This </w:t>
      </w:r>
      <w:r w:rsidR="00F61FEB" w:rsidRPr="00FC7F1E">
        <w:t>re</w:t>
      </w:r>
      <w:r w:rsidRPr="00FC7F1E">
        <w:t xml:space="preserve">submission </w:t>
      </w:r>
      <w:r w:rsidR="00B201A4" w:rsidRPr="00FC7F1E">
        <w:t>w</w:t>
      </w:r>
      <w:r w:rsidR="00AB158A" w:rsidRPr="00FC7F1E">
        <w:t>as not</w:t>
      </w:r>
      <w:r w:rsidR="00D23D11" w:rsidRPr="00FC7F1E">
        <w:t xml:space="preserve"> </w:t>
      </w:r>
      <w:r w:rsidRPr="00FC7F1E">
        <w:t>considered by DUSC.</w:t>
      </w:r>
      <w:r w:rsidR="00BC591F" w:rsidRPr="00FC7F1E">
        <w:t xml:space="preserve"> </w:t>
      </w:r>
    </w:p>
    <w:p w14:paraId="47A562A2" w14:textId="77777777" w:rsidR="0072416F" w:rsidRPr="00FC7F1E" w:rsidRDefault="00627E9E" w:rsidP="00C21E01">
      <w:pPr>
        <w:pStyle w:val="3-BodyText"/>
      </w:pPr>
      <w:r w:rsidRPr="00FC7F1E">
        <w:t xml:space="preserve">The </w:t>
      </w:r>
      <w:r w:rsidR="00C21E01" w:rsidRPr="00FC7F1E">
        <w:t>re</w:t>
      </w:r>
      <w:r w:rsidRPr="00FC7F1E">
        <w:t xml:space="preserve">submission used an epidemiological approach based on </w:t>
      </w:r>
      <w:r w:rsidR="00CD77A5" w:rsidRPr="00FC7F1E">
        <w:t xml:space="preserve">the same </w:t>
      </w:r>
      <w:r w:rsidRPr="00FC7F1E">
        <w:t>international estimates of prevalence of SMA in patients aged over 18 years</w:t>
      </w:r>
      <w:r w:rsidR="00CD77A5" w:rsidRPr="00FC7F1E">
        <w:t xml:space="preserve"> that were </w:t>
      </w:r>
      <w:r w:rsidRPr="00FC7F1E">
        <w:t xml:space="preserve">used for this patient population in the November 2017 PBAC submission for nusinersen. </w:t>
      </w:r>
    </w:p>
    <w:p w14:paraId="2EC5AA82" w14:textId="77777777" w:rsidR="00C21E01" w:rsidRPr="00FC7F1E" w:rsidRDefault="00082C7F" w:rsidP="00C21E01">
      <w:pPr>
        <w:pStyle w:val="3-BodyText"/>
      </w:pPr>
      <w:r w:rsidRPr="00FC7F1E">
        <w:t>Table 1</w:t>
      </w:r>
      <w:r w:rsidR="00AA3F5F" w:rsidRPr="00FC7F1E">
        <w:t>4</w:t>
      </w:r>
      <w:r w:rsidR="00C21E01" w:rsidRPr="00FC7F1E">
        <w:t xml:space="preserve"> and </w:t>
      </w:r>
      <w:r w:rsidRPr="00FC7F1E">
        <w:t>Table 1</w:t>
      </w:r>
      <w:r w:rsidR="00AA3F5F" w:rsidRPr="00FC7F1E">
        <w:t>5</w:t>
      </w:r>
      <w:r w:rsidR="00C21E01" w:rsidRPr="00FC7F1E">
        <w:t xml:space="preserve"> present the key inputs for financial estimates and estimated use and financial implications of listing adult-initiated nusinersen treatment, respectively.</w:t>
      </w:r>
    </w:p>
    <w:p w14:paraId="702B05E8" w14:textId="77777777" w:rsidR="00E42F73" w:rsidRPr="00FC7F1E" w:rsidRDefault="00C21E01" w:rsidP="007925DF">
      <w:pPr>
        <w:pStyle w:val="TableFigureHeading"/>
        <w:rPr>
          <w:rStyle w:val="CommentReference"/>
          <w:b/>
          <w:szCs w:val="24"/>
        </w:rPr>
      </w:pPr>
      <w:bookmarkStart w:id="43" w:name="_Ref49227875"/>
      <w:r w:rsidRPr="00FC7F1E">
        <w:rPr>
          <w:rStyle w:val="CommentReference"/>
          <w:b/>
          <w:szCs w:val="24"/>
        </w:rPr>
        <w:lastRenderedPageBreak/>
        <w:t>Table</w:t>
      </w:r>
      <w:r w:rsidRPr="00FC7F1E">
        <w:rPr>
          <w:rStyle w:val="CommentReference"/>
          <w:szCs w:val="24"/>
        </w:rPr>
        <w:t xml:space="preserve"> </w:t>
      </w:r>
      <w:r w:rsidR="00082C7F" w:rsidRPr="00FC7F1E">
        <w:rPr>
          <w:rStyle w:val="CommentReference"/>
          <w:b/>
          <w:szCs w:val="24"/>
        </w:rPr>
        <w:t>1</w:t>
      </w:r>
      <w:bookmarkEnd w:id="43"/>
      <w:r w:rsidR="00AA3F5F" w:rsidRPr="00FC7F1E">
        <w:rPr>
          <w:rStyle w:val="CommentReference"/>
          <w:b/>
          <w:szCs w:val="24"/>
        </w:rPr>
        <w:t>4</w:t>
      </w:r>
      <w:r w:rsidR="00E42F73" w:rsidRPr="00FC7F1E">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C92D69" w:rsidRPr="00FC7F1E" w14:paraId="0CCFBCF9" w14:textId="77777777" w:rsidTr="009C3A3A">
        <w:trPr>
          <w:tblHeader/>
        </w:trPr>
        <w:tc>
          <w:tcPr>
            <w:tcW w:w="950" w:type="pct"/>
            <w:shd w:val="clear" w:color="auto" w:fill="auto"/>
            <w:vAlign w:val="center"/>
          </w:tcPr>
          <w:p w14:paraId="3D8E7677" w14:textId="77777777" w:rsidR="00E42F73" w:rsidRPr="00FC7F1E" w:rsidRDefault="004658B5" w:rsidP="007925DF">
            <w:pPr>
              <w:pStyle w:val="In-tableHeading"/>
              <w:rPr>
                <w:lang w:val="en-AU"/>
              </w:rPr>
            </w:pPr>
            <w:r w:rsidRPr="00FC7F1E">
              <w:rPr>
                <w:lang w:val="en-AU"/>
              </w:rPr>
              <w:t>Parameter</w:t>
            </w:r>
          </w:p>
        </w:tc>
        <w:tc>
          <w:tcPr>
            <w:tcW w:w="2270" w:type="pct"/>
            <w:shd w:val="clear" w:color="auto" w:fill="auto"/>
            <w:vAlign w:val="center"/>
          </w:tcPr>
          <w:p w14:paraId="1D637D56" w14:textId="77777777" w:rsidR="00E42F73" w:rsidRPr="00FC7F1E" w:rsidRDefault="004658B5" w:rsidP="007925DF">
            <w:pPr>
              <w:pStyle w:val="In-tableHeading"/>
              <w:rPr>
                <w:lang w:val="en-AU"/>
              </w:rPr>
            </w:pPr>
            <w:r w:rsidRPr="00FC7F1E">
              <w:rPr>
                <w:lang w:val="en-AU"/>
              </w:rPr>
              <w:t>Value applied and source</w:t>
            </w:r>
          </w:p>
        </w:tc>
        <w:tc>
          <w:tcPr>
            <w:tcW w:w="1780" w:type="pct"/>
            <w:shd w:val="clear" w:color="auto" w:fill="auto"/>
            <w:vAlign w:val="center"/>
          </w:tcPr>
          <w:p w14:paraId="0CCC185F" w14:textId="77777777" w:rsidR="00E42F73" w:rsidRPr="00FC7F1E" w:rsidRDefault="004658B5" w:rsidP="007925DF">
            <w:pPr>
              <w:pStyle w:val="In-tableHeading"/>
              <w:rPr>
                <w:lang w:val="en-AU"/>
              </w:rPr>
            </w:pPr>
            <w:r w:rsidRPr="00FC7F1E">
              <w:rPr>
                <w:lang w:val="en-AU"/>
              </w:rPr>
              <w:t>Comment</w:t>
            </w:r>
          </w:p>
        </w:tc>
      </w:tr>
      <w:tr w:rsidR="00C92D69" w:rsidRPr="00FC7F1E" w14:paraId="187ECE92" w14:textId="77777777" w:rsidTr="009C3A3A">
        <w:tc>
          <w:tcPr>
            <w:tcW w:w="950" w:type="pct"/>
            <w:shd w:val="clear" w:color="auto" w:fill="auto"/>
            <w:vAlign w:val="center"/>
          </w:tcPr>
          <w:p w14:paraId="18914260" w14:textId="77777777" w:rsidR="00E42F73" w:rsidRPr="00FC7F1E" w:rsidRDefault="000457E6" w:rsidP="000457E6">
            <w:pPr>
              <w:pStyle w:val="TableText0"/>
            </w:pPr>
            <w:r w:rsidRPr="00FC7F1E">
              <w:t>Prevalent population</w:t>
            </w:r>
          </w:p>
        </w:tc>
        <w:tc>
          <w:tcPr>
            <w:tcW w:w="2270" w:type="pct"/>
            <w:shd w:val="clear" w:color="auto" w:fill="auto"/>
            <w:vAlign w:val="center"/>
          </w:tcPr>
          <w:p w14:paraId="17AC0CE8" w14:textId="77777777" w:rsidR="00E42F73" w:rsidRPr="00FC7F1E" w:rsidRDefault="00AF56EC" w:rsidP="00AF56EC">
            <w:pPr>
              <w:pStyle w:val="TableText0"/>
            </w:pPr>
            <w:r w:rsidRPr="00FC7F1E">
              <w:t>From the November 2017 PBAC submission’s e</w:t>
            </w:r>
            <w:r w:rsidR="000457E6" w:rsidRPr="00FC7F1E">
              <w:t xml:space="preserve">stimates of prevalent patients over 18 years of age </w:t>
            </w:r>
            <w:r w:rsidRPr="00FC7F1E">
              <w:t>with Type I, II or III SMA</w:t>
            </w:r>
          </w:p>
        </w:tc>
        <w:tc>
          <w:tcPr>
            <w:tcW w:w="1780" w:type="pct"/>
            <w:shd w:val="clear" w:color="auto" w:fill="auto"/>
            <w:vAlign w:val="center"/>
          </w:tcPr>
          <w:p w14:paraId="3E77E451" w14:textId="77777777" w:rsidR="00E42F73" w:rsidRPr="00FC7F1E" w:rsidRDefault="00AF56EC" w:rsidP="00B4267D">
            <w:pPr>
              <w:pStyle w:val="TableText0"/>
            </w:pPr>
            <w:r w:rsidRPr="00FC7F1E">
              <w:t>Likely underestimated use in adult patients</w:t>
            </w:r>
            <w:r w:rsidR="00044B7D" w:rsidRPr="00FC7F1E">
              <w:t xml:space="preserve"> as the prevalent patient pool may be higher, as noted in para 7.4 of the November 2017 </w:t>
            </w:r>
            <w:r w:rsidR="00122C1F" w:rsidRPr="00FC7F1E">
              <w:t xml:space="preserve">PBAC </w:t>
            </w:r>
            <w:r w:rsidR="00044B7D" w:rsidRPr="00FC7F1E">
              <w:t>PSD for nusinersen</w:t>
            </w:r>
            <w:r w:rsidRPr="00FC7F1E">
              <w:t xml:space="preserve">. There was no allowance for use </w:t>
            </w:r>
            <w:r w:rsidR="000457E6" w:rsidRPr="00FC7F1E">
              <w:t>in non-adult patients</w:t>
            </w:r>
          </w:p>
        </w:tc>
      </w:tr>
      <w:tr w:rsidR="00C92D69" w:rsidRPr="00FC7F1E" w14:paraId="61F139EE" w14:textId="77777777" w:rsidTr="009C3A3A">
        <w:tc>
          <w:tcPr>
            <w:tcW w:w="950" w:type="pct"/>
            <w:shd w:val="clear" w:color="auto" w:fill="auto"/>
            <w:vAlign w:val="center"/>
          </w:tcPr>
          <w:p w14:paraId="53C77408" w14:textId="77777777" w:rsidR="00E42F73" w:rsidRPr="00FC7F1E" w:rsidRDefault="004658B5" w:rsidP="007925DF">
            <w:pPr>
              <w:pStyle w:val="TableText0"/>
            </w:pPr>
            <w:r w:rsidRPr="00FC7F1E">
              <w:t>Uptake rate</w:t>
            </w:r>
          </w:p>
        </w:tc>
        <w:tc>
          <w:tcPr>
            <w:tcW w:w="2270" w:type="pct"/>
            <w:shd w:val="clear" w:color="auto" w:fill="auto"/>
            <w:vAlign w:val="center"/>
          </w:tcPr>
          <w:p w14:paraId="25BB2B34" w14:textId="77777777" w:rsidR="00E42F73" w:rsidRPr="00FC7F1E" w:rsidRDefault="000457E6" w:rsidP="000457E6">
            <w:pPr>
              <w:pStyle w:val="TableText0"/>
            </w:pPr>
            <w:r w:rsidRPr="00FC7F1E">
              <w:t>20</w:t>
            </w:r>
            <w:r w:rsidR="004658B5" w:rsidRPr="00FC7F1E">
              <w:t xml:space="preserve">% in Year 1 increasing </w:t>
            </w:r>
            <w:r w:rsidRPr="00FC7F1E">
              <w:t>by 5% per year up to Y</w:t>
            </w:r>
            <w:r w:rsidR="004658B5" w:rsidRPr="00FC7F1E">
              <w:t>ear 6. Based on clinical opinion.</w:t>
            </w:r>
          </w:p>
        </w:tc>
        <w:tc>
          <w:tcPr>
            <w:tcW w:w="1780" w:type="pct"/>
            <w:shd w:val="clear" w:color="auto" w:fill="auto"/>
            <w:vAlign w:val="center"/>
          </w:tcPr>
          <w:p w14:paraId="18752AA2" w14:textId="77777777" w:rsidR="00E42F73" w:rsidRPr="00FC7F1E" w:rsidRDefault="00696112" w:rsidP="00696112">
            <w:pPr>
              <w:pStyle w:val="TableText0"/>
            </w:pPr>
            <w:r w:rsidRPr="00FC7F1E">
              <w:t>The evaluation considered this was l</w:t>
            </w:r>
            <w:r w:rsidR="004658B5" w:rsidRPr="00FC7F1E">
              <w:t>ikely u</w:t>
            </w:r>
            <w:r w:rsidR="000457E6" w:rsidRPr="00FC7F1E">
              <w:t>nderestimated</w:t>
            </w:r>
          </w:p>
        </w:tc>
      </w:tr>
      <w:tr w:rsidR="004D057D" w:rsidRPr="00FC7F1E" w14:paraId="65F44F56" w14:textId="77777777" w:rsidTr="009C3A3A">
        <w:tc>
          <w:tcPr>
            <w:tcW w:w="950" w:type="pct"/>
            <w:shd w:val="clear" w:color="auto" w:fill="auto"/>
            <w:vAlign w:val="center"/>
          </w:tcPr>
          <w:p w14:paraId="7E483853" w14:textId="77777777" w:rsidR="004D057D" w:rsidRPr="00FC7F1E" w:rsidRDefault="004D057D" w:rsidP="007925DF">
            <w:pPr>
              <w:pStyle w:val="TableText0"/>
            </w:pPr>
            <w:r w:rsidRPr="00FC7F1E">
              <w:t>Price of nusinersen</w:t>
            </w:r>
          </w:p>
        </w:tc>
        <w:tc>
          <w:tcPr>
            <w:tcW w:w="2270" w:type="pct"/>
            <w:shd w:val="clear" w:color="auto" w:fill="auto"/>
            <w:vAlign w:val="center"/>
          </w:tcPr>
          <w:p w14:paraId="33A5B254" w14:textId="77777777" w:rsidR="004D057D" w:rsidRPr="00FC7F1E" w:rsidRDefault="004D057D" w:rsidP="007740C8">
            <w:pPr>
              <w:pStyle w:val="TableText0"/>
            </w:pPr>
            <w:r w:rsidRPr="00FC7F1E">
              <w:t>$</w:t>
            </w:r>
            <w:r w:rsidR="008E2DDA">
              <w:rPr>
                <w:noProof/>
                <w:color w:val="000000"/>
                <w:highlight w:val="black"/>
              </w:rPr>
              <w:t>''''''''''''''''''</w:t>
            </w:r>
            <w:r w:rsidRPr="00FC7F1E">
              <w:t xml:space="preserve"> per 5 mg vial with </w:t>
            </w:r>
            <w:r w:rsidR="007740C8" w:rsidRPr="00FC7F1E">
              <w:t xml:space="preserve">the cost of </w:t>
            </w:r>
            <w:r w:rsidR="008E2DDA">
              <w:rPr>
                <w:noProof/>
                <w:color w:val="000000"/>
                <w:highlight w:val="black"/>
              </w:rPr>
              <w:t>''''''''' '''''''''''''''''' ''''''''''</w:t>
            </w:r>
            <w:r w:rsidRPr="00FC7F1E">
              <w:t xml:space="preserve"> </w:t>
            </w:r>
            <w:r w:rsidR="007740C8" w:rsidRPr="00FC7F1E">
              <w:t xml:space="preserve">rebated </w:t>
            </w:r>
            <w:r w:rsidRPr="00FC7F1E">
              <w:t>for patients initiating treatment over 18 years of age only</w:t>
            </w:r>
          </w:p>
        </w:tc>
        <w:tc>
          <w:tcPr>
            <w:tcW w:w="1780" w:type="pct"/>
            <w:shd w:val="clear" w:color="auto" w:fill="auto"/>
            <w:vAlign w:val="center"/>
          </w:tcPr>
          <w:p w14:paraId="76B702D3" w14:textId="77777777" w:rsidR="004D057D" w:rsidRPr="00FC7F1E" w:rsidRDefault="00167737" w:rsidP="00087980">
            <w:pPr>
              <w:pStyle w:val="TableText0"/>
            </w:pPr>
            <w:r w:rsidRPr="00FC7F1E">
              <w:t>The price was the requested effective price</w:t>
            </w:r>
            <w:r w:rsidR="004D057D" w:rsidRPr="00FC7F1E">
              <w:t xml:space="preserve"> for adult patients, but th</w:t>
            </w:r>
            <w:r w:rsidRPr="00FC7F1E">
              <w:t>is</w:t>
            </w:r>
            <w:r w:rsidR="004D057D" w:rsidRPr="00FC7F1E">
              <w:t xml:space="preserve"> price</w:t>
            </w:r>
            <w:r w:rsidRPr="00FC7F1E">
              <w:t xml:space="preserve"> and rebate</w:t>
            </w:r>
            <w:r w:rsidR="004D057D" w:rsidRPr="00FC7F1E">
              <w:t xml:space="preserve"> were not </w:t>
            </w:r>
            <w:r w:rsidR="00087980" w:rsidRPr="00FC7F1E">
              <w:t xml:space="preserve">proposed </w:t>
            </w:r>
            <w:r w:rsidR="004D057D" w:rsidRPr="00FC7F1E">
              <w:t>for non-adult patients forming part of the requested restriction</w:t>
            </w:r>
          </w:p>
        </w:tc>
      </w:tr>
      <w:tr w:rsidR="00C92D69" w:rsidRPr="00FC7F1E" w14:paraId="73A61EA0" w14:textId="77777777" w:rsidTr="009C3A3A">
        <w:tc>
          <w:tcPr>
            <w:tcW w:w="950" w:type="pct"/>
            <w:shd w:val="clear" w:color="auto" w:fill="auto"/>
            <w:vAlign w:val="center"/>
          </w:tcPr>
          <w:p w14:paraId="68948BA7" w14:textId="77777777" w:rsidR="00A05C32" w:rsidRPr="00FC7F1E" w:rsidRDefault="000457E6" w:rsidP="007925DF">
            <w:pPr>
              <w:pStyle w:val="TableText0"/>
            </w:pPr>
            <w:r w:rsidRPr="00FC7F1E">
              <w:t>Discontinuation rate</w:t>
            </w:r>
          </w:p>
        </w:tc>
        <w:tc>
          <w:tcPr>
            <w:tcW w:w="2270" w:type="pct"/>
            <w:shd w:val="clear" w:color="auto" w:fill="auto"/>
            <w:vAlign w:val="center"/>
          </w:tcPr>
          <w:p w14:paraId="25BE77B6" w14:textId="77777777" w:rsidR="00A05C32" w:rsidRPr="00FC7F1E" w:rsidRDefault="000457E6" w:rsidP="007925DF">
            <w:pPr>
              <w:pStyle w:val="TableText0"/>
            </w:pPr>
            <w:r w:rsidRPr="00FC7F1E">
              <w:t>Zero discontinuation assumed</w:t>
            </w:r>
          </w:p>
        </w:tc>
        <w:tc>
          <w:tcPr>
            <w:tcW w:w="1780" w:type="pct"/>
            <w:shd w:val="clear" w:color="auto" w:fill="auto"/>
            <w:vAlign w:val="center"/>
          </w:tcPr>
          <w:p w14:paraId="17034621" w14:textId="77777777" w:rsidR="00A05C32" w:rsidRPr="00FC7F1E" w:rsidRDefault="000457E6" w:rsidP="007925DF">
            <w:pPr>
              <w:pStyle w:val="TableText0"/>
            </w:pPr>
            <w:r w:rsidRPr="00FC7F1E">
              <w:t>Inconsistent with the economic evaluation</w:t>
            </w:r>
          </w:p>
        </w:tc>
      </w:tr>
      <w:tr w:rsidR="00C92D69" w:rsidRPr="00FC7F1E" w14:paraId="5D6B77EB" w14:textId="77777777" w:rsidTr="009C3A3A">
        <w:tc>
          <w:tcPr>
            <w:tcW w:w="950" w:type="pct"/>
            <w:shd w:val="clear" w:color="auto" w:fill="auto"/>
            <w:vAlign w:val="center"/>
          </w:tcPr>
          <w:p w14:paraId="46F1DAA2" w14:textId="77777777" w:rsidR="004658B5" w:rsidRPr="00FC7F1E" w:rsidRDefault="00DD1F92" w:rsidP="007925DF">
            <w:pPr>
              <w:pStyle w:val="TableText0"/>
            </w:pPr>
            <w:r w:rsidRPr="00FC7F1E">
              <w:t>MBS items</w:t>
            </w:r>
          </w:p>
        </w:tc>
        <w:tc>
          <w:tcPr>
            <w:tcW w:w="2270" w:type="pct"/>
            <w:shd w:val="clear" w:color="auto" w:fill="auto"/>
            <w:vAlign w:val="center"/>
          </w:tcPr>
          <w:tbl>
            <w:tblPr>
              <w:tblStyle w:val="TableGrid"/>
              <w:tblW w:w="0" w:type="auto"/>
              <w:tblLayout w:type="fixed"/>
              <w:tblLook w:val="0620" w:firstRow="1" w:lastRow="0" w:firstColumn="0" w:lastColumn="0" w:noHBand="1" w:noVBand="1"/>
              <w:tblCaption w:val="MBS items"/>
            </w:tblPr>
            <w:tblGrid>
              <w:gridCol w:w="1994"/>
              <w:gridCol w:w="688"/>
              <w:gridCol w:w="706"/>
              <w:gridCol w:w="569"/>
            </w:tblGrid>
            <w:tr w:rsidR="00F72A8B" w:rsidRPr="00FC7F1E" w14:paraId="01634D41" w14:textId="77777777" w:rsidTr="00A356D1">
              <w:trPr>
                <w:trHeight w:val="258"/>
                <w:tblHeader/>
              </w:trPr>
              <w:tc>
                <w:tcPr>
                  <w:tcW w:w="1994" w:type="dxa"/>
                  <w:noWrap/>
                  <w:hideMark/>
                </w:tcPr>
                <w:p w14:paraId="475D5217" w14:textId="77777777" w:rsidR="00F72A8B" w:rsidRPr="00FC7F1E" w:rsidRDefault="00F72A8B" w:rsidP="00F72A8B">
                  <w:pPr>
                    <w:keepNext/>
                    <w:rPr>
                      <w:rFonts w:ascii="Arial Narrow" w:hAnsi="Arial Narrow"/>
                      <w:b/>
                      <w:bCs/>
                      <w:sz w:val="20"/>
                      <w:szCs w:val="20"/>
                    </w:rPr>
                  </w:pPr>
                  <w:r w:rsidRPr="00FC7F1E">
                    <w:rPr>
                      <w:rFonts w:ascii="Arial Narrow" w:hAnsi="Arial Narrow"/>
                      <w:b/>
                      <w:bCs/>
                      <w:sz w:val="20"/>
                      <w:szCs w:val="20"/>
                    </w:rPr>
                    <w:t>Service</w:t>
                  </w:r>
                </w:p>
              </w:tc>
              <w:tc>
                <w:tcPr>
                  <w:tcW w:w="688" w:type="dxa"/>
                  <w:noWrap/>
                  <w:hideMark/>
                </w:tcPr>
                <w:p w14:paraId="62232301" w14:textId="77777777" w:rsidR="00F72A8B" w:rsidRPr="00FC7F1E" w:rsidRDefault="00F72A8B" w:rsidP="00F72A8B">
                  <w:pPr>
                    <w:keepNext/>
                    <w:rPr>
                      <w:rFonts w:ascii="Arial Narrow" w:hAnsi="Arial Narrow"/>
                      <w:b/>
                      <w:bCs/>
                      <w:sz w:val="20"/>
                      <w:szCs w:val="20"/>
                    </w:rPr>
                  </w:pPr>
                  <w:r w:rsidRPr="00FC7F1E">
                    <w:rPr>
                      <w:rFonts w:ascii="Arial Narrow" w:hAnsi="Arial Narrow"/>
                      <w:b/>
                      <w:bCs/>
                      <w:sz w:val="20"/>
                      <w:szCs w:val="20"/>
                    </w:rPr>
                    <w:t>Cost</w:t>
                  </w:r>
                </w:p>
              </w:tc>
              <w:tc>
                <w:tcPr>
                  <w:tcW w:w="706" w:type="dxa"/>
                  <w:noWrap/>
                  <w:hideMark/>
                </w:tcPr>
                <w:p w14:paraId="7902D7B8" w14:textId="77777777" w:rsidR="00F72A8B" w:rsidRPr="00FC7F1E" w:rsidRDefault="00F72A8B" w:rsidP="00F72A8B">
                  <w:pPr>
                    <w:keepNext/>
                    <w:rPr>
                      <w:rFonts w:ascii="Arial Narrow" w:hAnsi="Arial Narrow"/>
                      <w:b/>
                      <w:bCs/>
                      <w:sz w:val="20"/>
                      <w:szCs w:val="20"/>
                    </w:rPr>
                  </w:pPr>
                  <w:r w:rsidRPr="00B3196C">
                    <w:rPr>
                      <w:rFonts w:ascii="Arial Narrow" w:hAnsi="Arial Narrow"/>
                      <w:b/>
                      <w:bCs/>
                      <w:sz w:val="20"/>
                      <w:szCs w:val="20"/>
                    </w:rPr>
                    <w:t>80</w:t>
                  </w:r>
                  <w:r w:rsidRPr="00FC7F1E">
                    <w:rPr>
                      <w:rFonts w:ascii="Arial Narrow" w:hAnsi="Arial Narrow"/>
                      <w:b/>
                      <w:bCs/>
                      <w:sz w:val="20"/>
                      <w:szCs w:val="20"/>
                    </w:rPr>
                    <w:t>% rebate</w:t>
                  </w:r>
                </w:p>
              </w:tc>
              <w:tc>
                <w:tcPr>
                  <w:tcW w:w="569" w:type="dxa"/>
                </w:tcPr>
                <w:p w14:paraId="7D1A9F6E" w14:textId="77777777" w:rsidR="00F72A8B" w:rsidRPr="00FC7F1E" w:rsidRDefault="00F72A8B" w:rsidP="00F72A8B">
                  <w:pPr>
                    <w:keepNext/>
                    <w:rPr>
                      <w:rFonts w:ascii="Arial Narrow" w:hAnsi="Arial Narrow"/>
                      <w:b/>
                      <w:bCs/>
                      <w:sz w:val="18"/>
                      <w:szCs w:val="18"/>
                      <w:vertAlign w:val="subscript"/>
                    </w:rPr>
                  </w:pPr>
                  <w:r w:rsidRPr="00FC7F1E">
                    <w:rPr>
                      <w:rFonts w:ascii="Arial Narrow" w:hAnsi="Arial Narrow"/>
                      <w:b/>
                      <w:bCs/>
                      <w:sz w:val="18"/>
                      <w:szCs w:val="18"/>
                      <w:vertAlign w:val="subscript"/>
                    </w:rPr>
                    <w:t>MBS item</w:t>
                  </w:r>
                </w:p>
              </w:tc>
            </w:tr>
            <w:tr w:rsidR="00F72A8B" w:rsidRPr="00FC7F1E" w14:paraId="3AFB89F0" w14:textId="77777777" w:rsidTr="00A356D1">
              <w:trPr>
                <w:trHeight w:val="258"/>
              </w:trPr>
              <w:tc>
                <w:tcPr>
                  <w:tcW w:w="1994" w:type="dxa"/>
                  <w:noWrap/>
                  <w:hideMark/>
                </w:tcPr>
                <w:p w14:paraId="599767B1"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Specialist consultation</w:t>
                  </w:r>
                </w:p>
              </w:tc>
              <w:tc>
                <w:tcPr>
                  <w:tcW w:w="688" w:type="dxa"/>
                  <w:noWrap/>
                  <w:hideMark/>
                </w:tcPr>
                <w:p w14:paraId="2071CA2B"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w:t>
                  </w:r>
                  <w:r w:rsidRPr="00B3196C">
                    <w:rPr>
                      <w:rFonts w:ascii="Arial Narrow" w:hAnsi="Arial Narrow"/>
                      <w:sz w:val="20"/>
                      <w:szCs w:val="20"/>
                    </w:rPr>
                    <w:t>44.35</w:t>
                  </w:r>
                </w:p>
              </w:tc>
              <w:tc>
                <w:tcPr>
                  <w:tcW w:w="706" w:type="dxa"/>
                  <w:noWrap/>
                </w:tcPr>
                <w:p w14:paraId="4865A2E5"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w:t>
                  </w:r>
                  <w:r w:rsidRPr="00B3196C">
                    <w:rPr>
                      <w:rFonts w:ascii="Arial Narrow" w:hAnsi="Arial Narrow"/>
                      <w:sz w:val="20"/>
                      <w:szCs w:val="20"/>
                    </w:rPr>
                    <w:t>35.48</w:t>
                  </w:r>
                </w:p>
              </w:tc>
              <w:tc>
                <w:tcPr>
                  <w:tcW w:w="569" w:type="dxa"/>
                </w:tcPr>
                <w:p w14:paraId="7E270BC5" w14:textId="77777777" w:rsidR="00F72A8B" w:rsidRPr="00FC7F1E" w:rsidRDefault="00F72A8B" w:rsidP="00F72A8B">
                  <w:pPr>
                    <w:keepNext/>
                    <w:rPr>
                      <w:rFonts w:ascii="Arial Narrow" w:hAnsi="Arial Narrow"/>
                      <w:sz w:val="18"/>
                      <w:szCs w:val="18"/>
                      <w:vertAlign w:val="subscript"/>
                    </w:rPr>
                  </w:pPr>
                  <w:r w:rsidRPr="00FC7F1E">
                    <w:rPr>
                      <w:rFonts w:ascii="Arial Narrow" w:hAnsi="Arial Narrow"/>
                      <w:sz w:val="18"/>
                      <w:szCs w:val="18"/>
                      <w:vertAlign w:val="subscript"/>
                    </w:rPr>
                    <w:t>105</w:t>
                  </w:r>
                </w:p>
              </w:tc>
            </w:tr>
            <w:tr w:rsidR="00F72A8B" w:rsidRPr="00FC7F1E" w14:paraId="742F73CC" w14:textId="77777777" w:rsidTr="00A356D1">
              <w:trPr>
                <w:trHeight w:val="258"/>
              </w:trPr>
              <w:tc>
                <w:tcPr>
                  <w:tcW w:w="1994" w:type="dxa"/>
                  <w:noWrap/>
                  <w:hideMark/>
                </w:tcPr>
                <w:p w14:paraId="5EE7A250"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Pre-anaesthesia consultation by anaesthetist</w:t>
                  </w:r>
                </w:p>
              </w:tc>
              <w:tc>
                <w:tcPr>
                  <w:tcW w:w="688" w:type="dxa"/>
                  <w:noWrap/>
                  <w:hideMark/>
                </w:tcPr>
                <w:p w14:paraId="774AC701"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w:t>
                  </w:r>
                  <w:r w:rsidRPr="00B3196C">
                    <w:rPr>
                      <w:rFonts w:ascii="Arial Narrow" w:hAnsi="Arial Narrow"/>
                      <w:sz w:val="20"/>
                      <w:szCs w:val="20"/>
                    </w:rPr>
                    <w:t>44.35</w:t>
                  </w:r>
                </w:p>
              </w:tc>
              <w:tc>
                <w:tcPr>
                  <w:tcW w:w="706" w:type="dxa"/>
                  <w:noWrap/>
                </w:tcPr>
                <w:p w14:paraId="0AC15971"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w:t>
                  </w:r>
                  <w:r w:rsidRPr="00B3196C">
                    <w:rPr>
                      <w:rFonts w:ascii="Arial Narrow" w:hAnsi="Arial Narrow"/>
                      <w:sz w:val="20"/>
                      <w:szCs w:val="20"/>
                    </w:rPr>
                    <w:t>35.48</w:t>
                  </w:r>
                </w:p>
              </w:tc>
              <w:tc>
                <w:tcPr>
                  <w:tcW w:w="569" w:type="dxa"/>
                </w:tcPr>
                <w:p w14:paraId="36910311" w14:textId="77777777" w:rsidR="00F72A8B" w:rsidRPr="00FC7F1E" w:rsidRDefault="00F72A8B" w:rsidP="00F72A8B">
                  <w:pPr>
                    <w:keepNext/>
                    <w:rPr>
                      <w:rFonts w:ascii="Arial Narrow" w:hAnsi="Arial Narrow"/>
                      <w:sz w:val="18"/>
                      <w:szCs w:val="18"/>
                      <w:vertAlign w:val="subscript"/>
                    </w:rPr>
                  </w:pPr>
                  <w:r w:rsidRPr="00FC7F1E">
                    <w:rPr>
                      <w:rFonts w:ascii="Arial Narrow" w:hAnsi="Arial Narrow"/>
                      <w:sz w:val="18"/>
                      <w:szCs w:val="18"/>
                      <w:vertAlign w:val="subscript"/>
                    </w:rPr>
                    <w:t>17610</w:t>
                  </w:r>
                </w:p>
              </w:tc>
            </w:tr>
            <w:tr w:rsidR="00F72A8B" w:rsidRPr="00FC7F1E" w14:paraId="04098C2A" w14:textId="77777777" w:rsidTr="00A356D1">
              <w:trPr>
                <w:trHeight w:val="258"/>
              </w:trPr>
              <w:tc>
                <w:tcPr>
                  <w:tcW w:w="1994" w:type="dxa"/>
                  <w:noWrap/>
                  <w:hideMark/>
                </w:tcPr>
                <w:p w14:paraId="5B7A4408"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Initiation of management of anaesthesia for lumbar puncture</w:t>
                  </w:r>
                </w:p>
              </w:tc>
              <w:tc>
                <w:tcPr>
                  <w:tcW w:w="688" w:type="dxa"/>
                  <w:noWrap/>
                  <w:hideMark/>
                </w:tcPr>
                <w:p w14:paraId="7C90C889"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w:t>
                  </w:r>
                  <w:r w:rsidRPr="00B3196C">
                    <w:rPr>
                      <w:rFonts w:ascii="Arial Narrow" w:hAnsi="Arial Narrow"/>
                      <w:sz w:val="20"/>
                      <w:szCs w:val="20"/>
                    </w:rPr>
                    <w:t>100.50</w:t>
                  </w:r>
                </w:p>
              </w:tc>
              <w:tc>
                <w:tcPr>
                  <w:tcW w:w="706" w:type="dxa"/>
                  <w:noWrap/>
                </w:tcPr>
                <w:p w14:paraId="596A239C"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w:t>
                  </w:r>
                  <w:r w:rsidRPr="00B3196C">
                    <w:rPr>
                      <w:rFonts w:ascii="Arial Narrow" w:hAnsi="Arial Narrow"/>
                      <w:sz w:val="20"/>
                      <w:szCs w:val="20"/>
                    </w:rPr>
                    <w:t>80.40</w:t>
                  </w:r>
                </w:p>
              </w:tc>
              <w:tc>
                <w:tcPr>
                  <w:tcW w:w="569" w:type="dxa"/>
                </w:tcPr>
                <w:p w14:paraId="57E4EA9E" w14:textId="77777777" w:rsidR="00F72A8B" w:rsidRPr="00FC7F1E" w:rsidRDefault="00F72A8B" w:rsidP="00F72A8B">
                  <w:pPr>
                    <w:keepNext/>
                    <w:rPr>
                      <w:rFonts w:ascii="Arial Narrow" w:hAnsi="Arial Narrow"/>
                      <w:sz w:val="18"/>
                      <w:szCs w:val="18"/>
                      <w:vertAlign w:val="subscript"/>
                    </w:rPr>
                  </w:pPr>
                  <w:r w:rsidRPr="00FC7F1E">
                    <w:rPr>
                      <w:rFonts w:ascii="Arial Narrow" w:hAnsi="Arial Narrow"/>
                      <w:sz w:val="18"/>
                      <w:szCs w:val="18"/>
                      <w:vertAlign w:val="subscript"/>
                    </w:rPr>
                    <w:t>21945</w:t>
                  </w:r>
                </w:p>
              </w:tc>
            </w:tr>
            <w:tr w:rsidR="00F72A8B" w:rsidRPr="00FC7F1E" w14:paraId="6705DFB2" w14:textId="77777777" w:rsidTr="00A356D1">
              <w:trPr>
                <w:trHeight w:val="258"/>
              </w:trPr>
              <w:tc>
                <w:tcPr>
                  <w:tcW w:w="1994" w:type="dxa"/>
                  <w:noWrap/>
                  <w:hideMark/>
                </w:tcPr>
                <w:p w14:paraId="7D52D5C9"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Anaesthesia, perfusion or assistance at anaesthesia, less than 15 minutes</w:t>
                  </w:r>
                </w:p>
              </w:tc>
              <w:tc>
                <w:tcPr>
                  <w:tcW w:w="688" w:type="dxa"/>
                  <w:noWrap/>
                  <w:hideMark/>
                </w:tcPr>
                <w:p w14:paraId="6DE07880"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w:t>
                  </w:r>
                  <w:r w:rsidRPr="00B3196C">
                    <w:rPr>
                      <w:rFonts w:ascii="Arial Narrow" w:hAnsi="Arial Narrow"/>
                      <w:sz w:val="20"/>
                      <w:szCs w:val="20"/>
                    </w:rPr>
                    <w:t>20.10</w:t>
                  </w:r>
                </w:p>
              </w:tc>
              <w:tc>
                <w:tcPr>
                  <w:tcW w:w="706" w:type="dxa"/>
                  <w:noWrap/>
                </w:tcPr>
                <w:p w14:paraId="577BC9B3"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w:t>
                  </w:r>
                  <w:r w:rsidRPr="00B3196C">
                    <w:rPr>
                      <w:rFonts w:ascii="Arial Narrow" w:hAnsi="Arial Narrow"/>
                      <w:sz w:val="20"/>
                      <w:szCs w:val="20"/>
                    </w:rPr>
                    <w:t>16.08</w:t>
                  </w:r>
                </w:p>
              </w:tc>
              <w:tc>
                <w:tcPr>
                  <w:tcW w:w="569" w:type="dxa"/>
                </w:tcPr>
                <w:p w14:paraId="42F5B3F7" w14:textId="77777777" w:rsidR="00F72A8B" w:rsidRPr="00FC7F1E" w:rsidRDefault="00F72A8B" w:rsidP="00F72A8B">
                  <w:pPr>
                    <w:keepNext/>
                    <w:rPr>
                      <w:rFonts w:ascii="Arial Narrow" w:hAnsi="Arial Narrow"/>
                      <w:sz w:val="18"/>
                      <w:szCs w:val="18"/>
                      <w:vertAlign w:val="subscript"/>
                    </w:rPr>
                  </w:pPr>
                  <w:r w:rsidRPr="00FC7F1E">
                    <w:rPr>
                      <w:rFonts w:ascii="Arial Narrow" w:hAnsi="Arial Narrow"/>
                      <w:sz w:val="18"/>
                      <w:szCs w:val="18"/>
                      <w:vertAlign w:val="subscript"/>
                    </w:rPr>
                    <w:t>23010</w:t>
                  </w:r>
                </w:p>
              </w:tc>
            </w:tr>
            <w:tr w:rsidR="00F72A8B" w:rsidRPr="00FC7F1E" w14:paraId="1CF3AB20" w14:textId="77777777" w:rsidTr="00A356D1">
              <w:trPr>
                <w:trHeight w:val="258"/>
              </w:trPr>
              <w:tc>
                <w:tcPr>
                  <w:tcW w:w="1994" w:type="dxa"/>
                  <w:noWrap/>
                  <w:hideMark/>
                </w:tcPr>
                <w:p w14:paraId="6763AF1D"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Intrathecal infusion of a therapeutic substance</w:t>
                  </w:r>
                </w:p>
              </w:tc>
              <w:tc>
                <w:tcPr>
                  <w:tcW w:w="688" w:type="dxa"/>
                  <w:noWrap/>
                  <w:hideMark/>
                </w:tcPr>
                <w:p w14:paraId="7641EA9C"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w:t>
                  </w:r>
                  <w:r w:rsidRPr="00B3196C">
                    <w:rPr>
                      <w:rFonts w:ascii="Arial Narrow" w:hAnsi="Arial Narrow"/>
                      <w:sz w:val="20"/>
                      <w:szCs w:val="20"/>
                    </w:rPr>
                    <w:t>192.95</w:t>
                  </w:r>
                </w:p>
              </w:tc>
              <w:tc>
                <w:tcPr>
                  <w:tcW w:w="706" w:type="dxa"/>
                  <w:noWrap/>
                </w:tcPr>
                <w:p w14:paraId="59D26545"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w:t>
                  </w:r>
                  <w:r w:rsidRPr="00B3196C">
                    <w:rPr>
                      <w:rFonts w:ascii="Arial Narrow" w:hAnsi="Arial Narrow"/>
                      <w:sz w:val="20"/>
                      <w:szCs w:val="20"/>
                    </w:rPr>
                    <w:t>154.36</w:t>
                  </w:r>
                </w:p>
              </w:tc>
              <w:tc>
                <w:tcPr>
                  <w:tcW w:w="569" w:type="dxa"/>
                </w:tcPr>
                <w:p w14:paraId="7783F8FB" w14:textId="77777777" w:rsidR="00F72A8B" w:rsidRPr="00FC7F1E" w:rsidRDefault="00F72A8B" w:rsidP="00F72A8B">
                  <w:pPr>
                    <w:keepNext/>
                    <w:rPr>
                      <w:rFonts w:ascii="Arial Narrow" w:hAnsi="Arial Narrow"/>
                      <w:sz w:val="18"/>
                      <w:szCs w:val="18"/>
                      <w:vertAlign w:val="subscript"/>
                    </w:rPr>
                  </w:pPr>
                  <w:r w:rsidRPr="00FC7F1E">
                    <w:rPr>
                      <w:rFonts w:ascii="Arial Narrow" w:hAnsi="Arial Narrow"/>
                      <w:sz w:val="18"/>
                      <w:szCs w:val="18"/>
                      <w:vertAlign w:val="subscript"/>
                    </w:rPr>
                    <w:t>18216</w:t>
                  </w:r>
                </w:p>
              </w:tc>
            </w:tr>
            <w:tr w:rsidR="00F72A8B" w:rsidRPr="00FC7F1E" w14:paraId="5F017636" w14:textId="77777777" w:rsidTr="00A356D1">
              <w:trPr>
                <w:trHeight w:val="258"/>
              </w:trPr>
              <w:tc>
                <w:tcPr>
                  <w:tcW w:w="1994" w:type="dxa"/>
                  <w:noWrap/>
                  <w:hideMark/>
                </w:tcPr>
                <w:p w14:paraId="4AF89A81"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Total cost per administration</w:t>
                  </w:r>
                </w:p>
              </w:tc>
              <w:tc>
                <w:tcPr>
                  <w:tcW w:w="688" w:type="dxa"/>
                  <w:noWrap/>
                  <w:hideMark/>
                </w:tcPr>
                <w:p w14:paraId="3E4C2353" w14:textId="77777777" w:rsidR="00F72A8B" w:rsidRPr="00FC7F1E" w:rsidRDefault="00F72A8B" w:rsidP="00F72A8B">
                  <w:pPr>
                    <w:keepNext/>
                    <w:rPr>
                      <w:rFonts w:ascii="Arial Narrow" w:hAnsi="Arial Narrow"/>
                      <w:bCs/>
                      <w:sz w:val="20"/>
                      <w:szCs w:val="20"/>
                    </w:rPr>
                  </w:pPr>
                  <w:r w:rsidRPr="00FC7F1E">
                    <w:rPr>
                      <w:rFonts w:ascii="Arial Narrow" w:hAnsi="Arial Narrow"/>
                      <w:bCs/>
                      <w:sz w:val="20"/>
                      <w:szCs w:val="20"/>
                    </w:rPr>
                    <w:t>$</w:t>
                  </w:r>
                  <w:r w:rsidRPr="00B3196C">
                    <w:rPr>
                      <w:rFonts w:ascii="Arial Narrow" w:hAnsi="Arial Narrow"/>
                      <w:bCs/>
                      <w:sz w:val="20"/>
                      <w:szCs w:val="20"/>
                    </w:rPr>
                    <w:t>402.25</w:t>
                  </w:r>
                </w:p>
              </w:tc>
              <w:tc>
                <w:tcPr>
                  <w:tcW w:w="706" w:type="dxa"/>
                  <w:noWrap/>
                </w:tcPr>
                <w:p w14:paraId="09F4068A" w14:textId="77777777" w:rsidR="00F72A8B" w:rsidRPr="00FC7F1E" w:rsidRDefault="00F72A8B" w:rsidP="00F72A8B">
                  <w:pPr>
                    <w:keepNext/>
                    <w:rPr>
                      <w:rFonts w:ascii="Arial Narrow" w:hAnsi="Arial Narrow"/>
                      <w:sz w:val="20"/>
                      <w:szCs w:val="20"/>
                    </w:rPr>
                  </w:pPr>
                  <w:r w:rsidRPr="00FC7F1E">
                    <w:rPr>
                      <w:rFonts w:ascii="Arial Narrow" w:hAnsi="Arial Narrow"/>
                      <w:sz w:val="20"/>
                      <w:szCs w:val="20"/>
                    </w:rPr>
                    <w:t>$</w:t>
                  </w:r>
                  <w:r w:rsidRPr="00B3196C">
                    <w:rPr>
                      <w:rFonts w:ascii="Arial Narrow" w:hAnsi="Arial Narrow"/>
                      <w:sz w:val="20"/>
                      <w:szCs w:val="20"/>
                    </w:rPr>
                    <w:t>321.80</w:t>
                  </w:r>
                </w:p>
              </w:tc>
              <w:tc>
                <w:tcPr>
                  <w:tcW w:w="569" w:type="dxa"/>
                </w:tcPr>
                <w:p w14:paraId="71AB985F" w14:textId="77777777" w:rsidR="00F72A8B" w:rsidRPr="00FC7F1E" w:rsidRDefault="00F72A8B" w:rsidP="00F72A8B">
                  <w:pPr>
                    <w:keepNext/>
                    <w:rPr>
                      <w:rFonts w:ascii="Arial Narrow" w:hAnsi="Arial Narrow"/>
                      <w:sz w:val="18"/>
                      <w:szCs w:val="18"/>
                      <w:vertAlign w:val="subscript"/>
                    </w:rPr>
                  </w:pPr>
                  <w:r w:rsidRPr="00FC7F1E">
                    <w:rPr>
                      <w:rFonts w:ascii="Arial Narrow" w:hAnsi="Arial Narrow"/>
                      <w:sz w:val="18"/>
                      <w:szCs w:val="18"/>
                      <w:vertAlign w:val="subscript"/>
                    </w:rPr>
                    <w:t>Calculated</w:t>
                  </w:r>
                </w:p>
              </w:tc>
            </w:tr>
          </w:tbl>
          <w:p w14:paraId="5620DFA4" w14:textId="77777777" w:rsidR="004658B5" w:rsidRPr="00FC7F1E" w:rsidRDefault="004658B5" w:rsidP="007925DF">
            <w:pPr>
              <w:pStyle w:val="TableText0"/>
            </w:pPr>
          </w:p>
        </w:tc>
        <w:tc>
          <w:tcPr>
            <w:tcW w:w="1780" w:type="pct"/>
            <w:shd w:val="clear" w:color="auto" w:fill="auto"/>
            <w:vAlign w:val="center"/>
          </w:tcPr>
          <w:p w14:paraId="4630713E" w14:textId="77777777" w:rsidR="000918E7" w:rsidRPr="00FC7F1E" w:rsidRDefault="007740C8" w:rsidP="007740C8">
            <w:pPr>
              <w:pStyle w:val="TableText0"/>
            </w:pPr>
            <w:r w:rsidRPr="00FC7F1E">
              <w:t xml:space="preserve">Used appropriately, with </w:t>
            </w:r>
            <w:r w:rsidR="006D0A25" w:rsidRPr="00B3196C">
              <w:t>80</w:t>
            </w:r>
            <w:r w:rsidR="006D0A25" w:rsidRPr="00FC7F1E">
              <w:t xml:space="preserve">% rebate </w:t>
            </w:r>
            <w:r w:rsidRPr="00FC7F1E">
              <w:t>for the MBS</w:t>
            </w:r>
            <w:r w:rsidR="000918E7" w:rsidRPr="00FC7F1E">
              <w:t>.</w:t>
            </w:r>
          </w:p>
          <w:p w14:paraId="4B75291F" w14:textId="77777777" w:rsidR="000918E7" w:rsidRPr="00FC7F1E" w:rsidRDefault="000918E7" w:rsidP="000918E7">
            <w:pPr>
              <w:pStyle w:val="3-BodyText"/>
              <w:numPr>
                <w:ilvl w:val="0"/>
                <w:numId w:val="0"/>
              </w:numPr>
              <w:ind w:right="63"/>
              <w:rPr>
                <w:rFonts w:ascii="Arial Narrow" w:eastAsiaTheme="majorEastAsia" w:hAnsi="Arial Narrow" w:cstheme="majorBidi"/>
                <w:bCs/>
                <w:snapToGrid/>
                <w:sz w:val="20"/>
              </w:rPr>
            </w:pPr>
            <w:r w:rsidRPr="00FC7F1E">
              <w:rPr>
                <w:rFonts w:ascii="Arial Narrow" w:eastAsiaTheme="majorEastAsia" w:hAnsi="Arial Narrow" w:cstheme="majorBidi"/>
                <w:bCs/>
                <w:snapToGrid/>
                <w:sz w:val="20"/>
              </w:rPr>
              <w:t>The financial estimates did not co</w:t>
            </w:r>
            <w:bookmarkStart w:id="44" w:name="_GoBack"/>
            <w:bookmarkEnd w:id="44"/>
            <w:r w:rsidRPr="00FC7F1E">
              <w:rPr>
                <w:rFonts w:ascii="Arial Narrow" w:eastAsiaTheme="majorEastAsia" w:hAnsi="Arial Narrow" w:cstheme="majorBidi"/>
                <w:bCs/>
                <w:snapToGrid/>
                <w:sz w:val="20"/>
              </w:rPr>
              <w:t xml:space="preserve">nsider the cost to the MBS of monitoring for thrombocytopenia or renal toxicity which may also be required for patients treated with nusinersen. </w:t>
            </w:r>
          </w:p>
          <w:p w14:paraId="68B75CAE" w14:textId="77777777" w:rsidR="004658B5" w:rsidRPr="00FC7F1E" w:rsidRDefault="004658B5" w:rsidP="007740C8">
            <w:pPr>
              <w:pStyle w:val="TableText0"/>
            </w:pPr>
          </w:p>
        </w:tc>
      </w:tr>
    </w:tbl>
    <w:p w14:paraId="7EE4641C" w14:textId="77777777" w:rsidR="00E42F73" w:rsidRPr="00FC7F1E" w:rsidRDefault="00E42F73" w:rsidP="00A036F6">
      <w:pPr>
        <w:pStyle w:val="TableFigureFooter"/>
        <w:spacing w:after="240"/>
        <w:contextualSpacing w:val="0"/>
      </w:pPr>
      <w:r w:rsidRPr="00FC7F1E">
        <w:t>Source: Table</w:t>
      </w:r>
      <w:r w:rsidR="00DD1F92" w:rsidRPr="00FC7F1E">
        <w:t xml:space="preserve"> 4.5, p218 of the </w:t>
      </w:r>
      <w:r w:rsidR="00C21E01" w:rsidRPr="00FC7F1E">
        <w:t>re</w:t>
      </w:r>
      <w:r w:rsidR="00DD1F92" w:rsidRPr="00FC7F1E">
        <w:t>submission and compiled during the evaluation</w:t>
      </w:r>
      <w:r w:rsidRPr="00FC7F1E">
        <w:t>.</w:t>
      </w:r>
    </w:p>
    <w:p w14:paraId="1AE17C09" w14:textId="77777777" w:rsidR="00C25D9C" w:rsidRPr="00FC7F1E" w:rsidRDefault="00C21E01" w:rsidP="00606FBA">
      <w:pPr>
        <w:pStyle w:val="TableFigureHeading"/>
      </w:pPr>
      <w:bookmarkStart w:id="45" w:name="_Ref49227876"/>
      <w:r w:rsidRPr="00FC7F1E">
        <w:rPr>
          <w:rStyle w:val="CommentReference"/>
          <w:b/>
          <w:szCs w:val="24"/>
        </w:rPr>
        <w:t xml:space="preserve">Table </w:t>
      </w:r>
      <w:r w:rsidR="00082C7F" w:rsidRPr="00FC7F1E">
        <w:rPr>
          <w:rStyle w:val="CommentReference"/>
          <w:b/>
          <w:szCs w:val="24"/>
        </w:rPr>
        <w:t>1</w:t>
      </w:r>
      <w:bookmarkEnd w:id="45"/>
      <w:r w:rsidR="00AA3F5F" w:rsidRPr="00FC7F1E">
        <w:rPr>
          <w:rStyle w:val="CommentReference"/>
          <w:b/>
          <w:szCs w:val="24"/>
        </w:rPr>
        <w:t>5</w:t>
      </w:r>
      <w:r w:rsidR="002A2F50" w:rsidRPr="00FC7F1E">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385A9D" w:rsidRPr="00FC7F1E" w14:paraId="2635B408" w14:textId="77777777" w:rsidTr="005324D5">
        <w:trPr>
          <w:tblHeader/>
        </w:trPr>
        <w:tc>
          <w:tcPr>
            <w:tcW w:w="1116" w:type="pct"/>
            <w:shd w:val="clear" w:color="auto" w:fill="auto"/>
            <w:vAlign w:val="center"/>
          </w:tcPr>
          <w:p w14:paraId="57603478" w14:textId="77777777" w:rsidR="00385A9D" w:rsidRPr="00FC7F1E" w:rsidRDefault="00385A9D" w:rsidP="00606FBA">
            <w:pPr>
              <w:pStyle w:val="In-tableHeading"/>
              <w:jc w:val="center"/>
              <w:rPr>
                <w:lang w:val="en-AU"/>
              </w:rPr>
            </w:pPr>
          </w:p>
        </w:tc>
        <w:tc>
          <w:tcPr>
            <w:tcW w:w="647" w:type="pct"/>
            <w:shd w:val="clear" w:color="auto" w:fill="auto"/>
            <w:vAlign w:val="center"/>
          </w:tcPr>
          <w:p w14:paraId="20C9B936" w14:textId="77777777" w:rsidR="00385A9D" w:rsidRPr="00FC7F1E" w:rsidRDefault="00385A9D" w:rsidP="00606FBA">
            <w:pPr>
              <w:pStyle w:val="In-tableHeading"/>
              <w:jc w:val="center"/>
              <w:rPr>
                <w:lang w:val="en-AU"/>
              </w:rPr>
            </w:pPr>
            <w:r w:rsidRPr="00FC7F1E">
              <w:rPr>
                <w:lang w:val="en-AU"/>
              </w:rPr>
              <w:t>Year 1</w:t>
            </w:r>
          </w:p>
        </w:tc>
        <w:tc>
          <w:tcPr>
            <w:tcW w:w="647" w:type="pct"/>
            <w:shd w:val="clear" w:color="auto" w:fill="auto"/>
            <w:vAlign w:val="center"/>
          </w:tcPr>
          <w:p w14:paraId="75D30962" w14:textId="77777777" w:rsidR="00385A9D" w:rsidRPr="00FC7F1E" w:rsidRDefault="00385A9D" w:rsidP="00606FBA">
            <w:pPr>
              <w:pStyle w:val="In-tableHeading"/>
              <w:jc w:val="center"/>
              <w:rPr>
                <w:lang w:val="en-AU"/>
              </w:rPr>
            </w:pPr>
            <w:r w:rsidRPr="00FC7F1E">
              <w:rPr>
                <w:lang w:val="en-AU"/>
              </w:rPr>
              <w:t>Year 2</w:t>
            </w:r>
          </w:p>
        </w:tc>
        <w:tc>
          <w:tcPr>
            <w:tcW w:w="647" w:type="pct"/>
            <w:shd w:val="clear" w:color="auto" w:fill="auto"/>
            <w:vAlign w:val="center"/>
          </w:tcPr>
          <w:p w14:paraId="3C1BDA5B" w14:textId="77777777" w:rsidR="00385A9D" w:rsidRPr="00FC7F1E" w:rsidRDefault="00385A9D" w:rsidP="00606FBA">
            <w:pPr>
              <w:pStyle w:val="In-tableHeading"/>
              <w:jc w:val="center"/>
              <w:rPr>
                <w:lang w:val="en-AU"/>
              </w:rPr>
            </w:pPr>
            <w:r w:rsidRPr="00FC7F1E">
              <w:rPr>
                <w:lang w:val="en-AU"/>
              </w:rPr>
              <w:t>Year 3</w:t>
            </w:r>
          </w:p>
        </w:tc>
        <w:tc>
          <w:tcPr>
            <w:tcW w:w="647" w:type="pct"/>
            <w:shd w:val="clear" w:color="auto" w:fill="auto"/>
            <w:vAlign w:val="center"/>
          </w:tcPr>
          <w:p w14:paraId="1394A250" w14:textId="77777777" w:rsidR="00385A9D" w:rsidRPr="00FC7F1E" w:rsidRDefault="00385A9D" w:rsidP="00606FBA">
            <w:pPr>
              <w:pStyle w:val="In-tableHeading"/>
              <w:jc w:val="center"/>
              <w:rPr>
                <w:lang w:val="en-AU"/>
              </w:rPr>
            </w:pPr>
            <w:r w:rsidRPr="00FC7F1E">
              <w:rPr>
                <w:lang w:val="en-AU"/>
              </w:rPr>
              <w:t>Year 4</w:t>
            </w:r>
          </w:p>
        </w:tc>
        <w:tc>
          <w:tcPr>
            <w:tcW w:w="647" w:type="pct"/>
            <w:shd w:val="clear" w:color="auto" w:fill="auto"/>
            <w:vAlign w:val="center"/>
          </w:tcPr>
          <w:p w14:paraId="482394F4" w14:textId="77777777" w:rsidR="00385A9D" w:rsidRPr="00FC7F1E" w:rsidRDefault="00385A9D" w:rsidP="00606FBA">
            <w:pPr>
              <w:pStyle w:val="In-tableHeading"/>
              <w:jc w:val="center"/>
              <w:rPr>
                <w:lang w:val="en-AU"/>
              </w:rPr>
            </w:pPr>
            <w:r w:rsidRPr="00FC7F1E">
              <w:rPr>
                <w:lang w:val="en-AU"/>
              </w:rPr>
              <w:t>Year 5</w:t>
            </w:r>
          </w:p>
        </w:tc>
        <w:tc>
          <w:tcPr>
            <w:tcW w:w="649" w:type="pct"/>
          </w:tcPr>
          <w:p w14:paraId="18162FD5" w14:textId="77777777" w:rsidR="00385A9D" w:rsidRPr="00FC7F1E" w:rsidRDefault="00385A9D" w:rsidP="00606FBA">
            <w:pPr>
              <w:pStyle w:val="In-tableHeading"/>
              <w:jc w:val="center"/>
              <w:rPr>
                <w:lang w:val="en-AU"/>
              </w:rPr>
            </w:pPr>
            <w:r w:rsidRPr="00FC7F1E">
              <w:rPr>
                <w:lang w:val="en-AU"/>
              </w:rPr>
              <w:t>Year 6</w:t>
            </w:r>
          </w:p>
        </w:tc>
      </w:tr>
      <w:tr w:rsidR="00385A9D" w:rsidRPr="00FC7F1E" w14:paraId="71AADFA6" w14:textId="77777777" w:rsidTr="009C3A3A">
        <w:tc>
          <w:tcPr>
            <w:tcW w:w="5000" w:type="pct"/>
            <w:gridSpan w:val="7"/>
            <w:shd w:val="clear" w:color="auto" w:fill="auto"/>
            <w:vAlign w:val="center"/>
          </w:tcPr>
          <w:p w14:paraId="75484C7A" w14:textId="77777777" w:rsidR="00385A9D" w:rsidRPr="00FC7F1E" w:rsidRDefault="00385A9D" w:rsidP="00606FBA">
            <w:pPr>
              <w:pStyle w:val="In-tableHeading"/>
              <w:rPr>
                <w:bCs/>
                <w:color w:val="000000"/>
                <w:lang w:val="en-AU"/>
              </w:rPr>
            </w:pPr>
            <w:r w:rsidRPr="00FC7F1E">
              <w:rPr>
                <w:bCs/>
                <w:color w:val="000000"/>
                <w:lang w:val="en-AU"/>
              </w:rPr>
              <w:t>Estimated extent of use</w:t>
            </w:r>
          </w:p>
        </w:tc>
      </w:tr>
      <w:tr w:rsidR="00880268" w:rsidRPr="00FC7F1E" w14:paraId="29894DFE" w14:textId="77777777" w:rsidTr="005324D5">
        <w:tc>
          <w:tcPr>
            <w:tcW w:w="1116" w:type="pct"/>
            <w:shd w:val="clear" w:color="auto" w:fill="auto"/>
            <w:vAlign w:val="center"/>
          </w:tcPr>
          <w:p w14:paraId="4352E2E8" w14:textId="77777777" w:rsidR="00880268" w:rsidRPr="00FC7F1E" w:rsidRDefault="00880268" w:rsidP="00880268">
            <w:pPr>
              <w:pStyle w:val="TableText0"/>
              <w:rPr>
                <w:rFonts w:ascii="Times" w:hAnsi="Times"/>
              </w:rPr>
            </w:pPr>
            <w:r w:rsidRPr="00FC7F1E">
              <w:t>Number of patients treated</w:t>
            </w:r>
          </w:p>
        </w:tc>
        <w:tc>
          <w:tcPr>
            <w:tcW w:w="647" w:type="pct"/>
          </w:tcPr>
          <w:p w14:paraId="5DD7C502" w14:textId="77777777" w:rsidR="00880268" w:rsidRPr="00FC7F1E" w:rsidRDefault="008E2DDA" w:rsidP="00343579">
            <w:pPr>
              <w:pStyle w:val="TableText0"/>
              <w:jc w:val="center"/>
              <w:rPr>
                <w:color w:val="000000"/>
              </w:rPr>
            </w:pPr>
            <w:r>
              <w:rPr>
                <w:rFonts w:cstheme="minorBidi"/>
                <w:noProof/>
                <w:color w:val="000000"/>
                <w:szCs w:val="20"/>
                <w:highlight w:val="black"/>
              </w:rPr>
              <w:t>'''''''</w:t>
            </w:r>
            <w:r w:rsidR="00D722FF" w:rsidRPr="00D722FF">
              <w:rPr>
                <w:rFonts w:cstheme="minorBidi"/>
                <w:szCs w:val="20"/>
                <w:vertAlign w:val="superscript"/>
              </w:rPr>
              <w:t>1</w:t>
            </w:r>
          </w:p>
        </w:tc>
        <w:tc>
          <w:tcPr>
            <w:tcW w:w="647" w:type="pct"/>
          </w:tcPr>
          <w:p w14:paraId="39ADB8B1" w14:textId="77777777" w:rsidR="00880268" w:rsidRPr="00FC7F1E" w:rsidRDefault="008E2DDA" w:rsidP="00343579">
            <w:pPr>
              <w:pStyle w:val="TableText0"/>
              <w:jc w:val="center"/>
              <w:rPr>
                <w:color w:val="000000"/>
              </w:rPr>
            </w:pPr>
            <w:r>
              <w:rPr>
                <w:rFonts w:cstheme="minorBidi"/>
                <w:noProof/>
                <w:color w:val="000000"/>
                <w:szCs w:val="20"/>
                <w:highlight w:val="black"/>
              </w:rPr>
              <w:t>''''''</w:t>
            </w:r>
            <w:r w:rsidR="00A87F13" w:rsidRPr="00A87F13">
              <w:rPr>
                <w:rFonts w:cstheme="minorBidi"/>
                <w:szCs w:val="20"/>
                <w:vertAlign w:val="superscript"/>
              </w:rPr>
              <w:t>1</w:t>
            </w:r>
          </w:p>
        </w:tc>
        <w:tc>
          <w:tcPr>
            <w:tcW w:w="647" w:type="pct"/>
          </w:tcPr>
          <w:p w14:paraId="58932568" w14:textId="77777777" w:rsidR="00880268" w:rsidRPr="00FC7F1E" w:rsidRDefault="008E2DDA" w:rsidP="00343579">
            <w:pPr>
              <w:pStyle w:val="TableText0"/>
              <w:jc w:val="center"/>
              <w:rPr>
                <w:color w:val="000000"/>
              </w:rPr>
            </w:pPr>
            <w:r>
              <w:rPr>
                <w:rFonts w:cstheme="minorBidi"/>
                <w:noProof/>
                <w:color w:val="000000"/>
                <w:szCs w:val="20"/>
                <w:highlight w:val="black"/>
              </w:rPr>
              <w:t>''''''</w:t>
            </w:r>
            <w:r w:rsidR="00A87F13" w:rsidRPr="00A87F13">
              <w:rPr>
                <w:rFonts w:cstheme="minorBidi"/>
                <w:szCs w:val="20"/>
                <w:vertAlign w:val="superscript"/>
              </w:rPr>
              <w:t>1</w:t>
            </w:r>
          </w:p>
        </w:tc>
        <w:tc>
          <w:tcPr>
            <w:tcW w:w="647" w:type="pct"/>
          </w:tcPr>
          <w:p w14:paraId="200EEF15" w14:textId="77777777" w:rsidR="00880268" w:rsidRPr="00FC7F1E" w:rsidRDefault="008E2DDA" w:rsidP="00880268">
            <w:pPr>
              <w:pStyle w:val="TableText0"/>
              <w:jc w:val="center"/>
              <w:rPr>
                <w:color w:val="000000"/>
              </w:rPr>
            </w:pPr>
            <w:r>
              <w:rPr>
                <w:rFonts w:cstheme="minorBidi"/>
                <w:noProof/>
                <w:color w:val="000000"/>
                <w:szCs w:val="20"/>
                <w:highlight w:val="black"/>
              </w:rPr>
              <w:t>''''''''</w:t>
            </w:r>
            <w:r w:rsidR="00A87F13" w:rsidRPr="00A87F13">
              <w:rPr>
                <w:rFonts w:cstheme="minorBidi"/>
                <w:szCs w:val="20"/>
                <w:vertAlign w:val="superscript"/>
              </w:rPr>
              <w:t>1</w:t>
            </w:r>
          </w:p>
        </w:tc>
        <w:tc>
          <w:tcPr>
            <w:tcW w:w="647" w:type="pct"/>
          </w:tcPr>
          <w:p w14:paraId="77F6CC78" w14:textId="77777777" w:rsidR="00880268" w:rsidRPr="00FC7F1E" w:rsidRDefault="008E2DDA" w:rsidP="00343579">
            <w:pPr>
              <w:pStyle w:val="TableText0"/>
              <w:jc w:val="center"/>
              <w:rPr>
                <w:color w:val="000000"/>
              </w:rPr>
            </w:pPr>
            <w:r>
              <w:rPr>
                <w:rFonts w:cstheme="minorBidi"/>
                <w:noProof/>
                <w:color w:val="000000"/>
                <w:szCs w:val="20"/>
                <w:highlight w:val="black"/>
              </w:rPr>
              <w:t>''''''''</w:t>
            </w:r>
            <w:r w:rsidR="00A87F13" w:rsidRPr="00A87F13">
              <w:rPr>
                <w:rFonts w:cstheme="minorBidi"/>
                <w:szCs w:val="20"/>
                <w:vertAlign w:val="superscript"/>
              </w:rPr>
              <w:t>1</w:t>
            </w:r>
          </w:p>
        </w:tc>
        <w:tc>
          <w:tcPr>
            <w:tcW w:w="649" w:type="pct"/>
          </w:tcPr>
          <w:p w14:paraId="520F219C" w14:textId="77777777" w:rsidR="00880268" w:rsidRPr="00FC7F1E" w:rsidRDefault="008E2DDA" w:rsidP="00880268">
            <w:pPr>
              <w:pStyle w:val="TableText0"/>
              <w:jc w:val="center"/>
              <w:rPr>
                <w:color w:val="000000"/>
              </w:rPr>
            </w:pPr>
            <w:r>
              <w:rPr>
                <w:rFonts w:cstheme="minorBidi"/>
                <w:noProof/>
                <w:color w:val="000000"/>
                <w:szCs w:val="20"/>
                <w:highlight w:val="black"/>
              </w:rPr>
              <w:t>''''''''''</w:t>
            </w:r>
            <w:r w:rsidR="00A87F13" w:rsidRPr="00A87F13">
              <w:rPr>
                <w:rFonts w:cstheme="minorBidi"/>
                <w:szCs w:val="20"/>
                <w:vertAlign w:val="superscript"/>
              </w:rPr>
              <w:t>1</w:t>
            </w:r>
          </w:p>
        </w:tc>
      </w:tr>
      <w:tr w:rsidR="005324D5" w:rsidRPr="00FC7F1E" w14:paraId="672534CF" w14:textId="77777777" w:rsidTr="00905013">
        <w:tc>
          <w:tcPr>
            <w:tcW w:w="1116" w:type="pct"/>
            <w:shd w:val="clear" w:color="auto" w:fill="auto"/>
            <w:vAlign w:val="center"/>
          </w:tcPr>
          <w:p w14:paraId="1381C778" w14:textId="77777777" w:rsidR="005324D5" w:rsidRPr="00FC7F1E" w:rsidRDefault="005324D5" w:rsidP="005324D5">
            <w:pPr>
              <w:pStyle w:val="TableText0"/>
              <w:rPr>
                <w:rFonts w:ascii="Times" w:hAnsi="Times"/>
              </w:rPr>
            </w:pPr>
            <w:r w:rsidRPr="00FC7F1E">
              <w:t>Number of scripts dispensed</w:t>
            </w:r>
            <w:r w:rsidRPr="00FC7F1E">
              <w:rPr>
                <w:vertAlign w:val="superscript"/>
              </w:rPr>
              <w:t>a</w:t>
            </w:r>
          </w:p>
        </w:tc>
        <w:tc>
          <w:tcPr>
            <w:tcW w:w="647" w:type="pct"/>
            <w:vAlign w:val="center"/>
          </w:tcPr>
          <w:p w14:paraId="74CDF0ED" w14:textId="77777777" w:rsidR="005324D5" w:rsidRPr="00FC7F1E" w:rsidRDefault="008E2DDA" w:rsidP="00905013">
            <w:pPr>
              <w:pStyle w:val="TableText0"/>
              <w:jc w:val="center"/>
              <w:rPr>
                <w:color w:val="000000"/>
              </w:rPr>
            </w:pPr>
            <w:r>
              <w:rPr>
                <w:rFonts w:cstheme="minorBidi"/>
                <w:noProof/>
                <w:color w:val="000000"/>
                <w:szCs w:val="20"/>
                <w:highlight w:val="black"/>
              </w:rPr>
              <w:t>''''''''</w:t>
            </w:r>
            <w:r w:rsidR="00A87F13" w:rsidRPr="00A87F13">
              <w:rPr>
                <w:rFonts w:cstheme="minorBidi"/>
                <w:szCs w:val="20"/>
                <w:vertAlign w:val="superscript"/>
              </w:rPr>
              <w:t>1</w:t>
            </w:r>
          </w:p>
        </w:tc>
        <w:tc>
          <w:tcPr>
            <w:tcW w:w="647" w:type="pct"/>
            <w:vAlign w:val="center"/>
          </w:tcPr>
          <w:p w14:paraId="1BA0A5FE" w14:textId="77777777" w:rsidR="005324D5" w:rsidRPr="00FC7F1E" w:rsidRDefault="008E2DDA" w:rsidP="00905013">
            <w:pPr>
              <w:pStyle w:val="TableText0"/>
              <w:jc w:val="center"/>
              <w:rPr>
                <w:color w:val="000000"/>
              </w:rPr>
            </w:pPr>
            <w:r>
              <w:rPr>
                <w:rFonts w:cstheme="minorBidi"/>
                <w:noProof/>
                <w:color w:val="000000"/>
                <w:szCs w:val="20"/>
                <w:highlight w:val="black"/>
              </w:rPr>
              <w:t>''''''''''</w:t>
            </w:r>
            <w:r w:rsidR="00A87F13" w:rsidRPr="00A87F13">
              <w:rPr>
                <w:rFonts w:cstheme="minorBidi"/>
                <w:szCs w:val="20"/>
                <w:vertAlign w:val="superscript"/>
              </w:rPr>
              <w:t>1</w:t>
            </w:r>
          </w:p>
        </w:tc>
        <w:tc>
          <w:tcPr>
            <w:tcW w:w="647" w:type="pct"/>
            <w:vAlign w:val="center"/>
          </w:tcPr>
          <w:p w14:paraId="7D0CB858" w14:textId="77777777" w:rsidR="005324D5" w:rsidRPr="00FC7F1E" w:rsidRDefault="008E2DDA" w:rsidP="00343579">
            <w:pPr>
              <w:pStyle w:val="TableText0"/>
              <w:jc w:val="center"/>
              <w:rPr>
                <w:color w:val="000000"/>
              </w:rPr>
            </w:pPr>
            <w:r>
              <w:rPr>
                <w:rFonts w:cstheme="minorBidi"/>
                <w:noProof/>
                <w:color w:val="000000"/>
                <w:szCs w:val="20"/>
                <w:highlight w:val="black"/>
              </w:rPr>
              <w:t>''''''''''</w:t>
            </w:r>
            <w:r w:rsidR="00A87F13" w:rsidRPr="00A87F13">
              <w:rPr>
                <w:rFonts w:cstheme="minorBidi"/>
                <w:szCs w:val="20"/>
                <w:vertAlign w:val="superscript"/>
              </w:rPr>
              <w:t>1</w:t>
            </w:r>
          </w:p>
        </w:tc>
        <w:tc>
          <w:tcPr>
            <w:tcW w:w="647" w:type="pct"/>
            <w:vAlign w:val="center"/>
          </w:tcPr>
          <w:p w14:paraId="6C08F536" w14:textId="77777777" w:rsidR="005324D5" w:rsidRPr="00FC7F1E" w:rsidRDefault="008E2DDA" w:rsidP="00905013">
            <w:pPr>
              <w:pStyle w:val="TableText0"/>
              <w:jc w:val="center"/>
              <w:rPr>
                <w:color w:val="000000"/>
              </w:rPr>
            </w:pPr>
            <w:r>
              <w:rPr>
                <w:rFonts w:cstheme="minorBidi"/>
                <w:noProof/>
                <w:color w:val="000000"/>
                <w:szCs w:val="20"/>
                <w:highlight w:val="black"/>
              </w:rPr>
              <w:t>'''''''''</w:t>
            </w:r>
            <w:r w:rsidR="00A87F13" w:rsidRPr="00A87F13">
              <w:rPr>
                <w:rFonts w:cstheme="minorBidi"/>
                <w:szCs w:val="20"/>
                <w:vertAlign w:val="superscript"/>
              </w:rPr>
              <w:t>1</w:t>
            </w:r>
          </w:p>
        </w:tc>
        <w:tc>
          <w:tcPr>
            <w:tcW w:w="647" w:type="pct"/>
            <w:vAlign w:val="center"/>
          </w:tcPr>
          <w:p w14:paraId="2EB41287" w14:textId="77777777" w:rsidR="005324D5" w:rsidRPr="00FC7F1E" w:rsidRDefault="008E2DDA" w:rsidP="00D722FF">
            <w:pPr>
              <w:pStyle w:val="TableText0"/>
              <w:jc w:val="center"/>
              <w:rPr>
                <w:color w:val="000000"/>
              </w:rPr>
            </w:pPr>
            <w:r>
              <w:rPr>
                <w:rFonts w:cstheme="minorBidi"/>
                <w:noProof/>
                <w:color w:val="000000"/>
                <w:szCs w:val="20"/>
                <w:highlight w:val="black"/>
              </w:rPr>
              <w:t>'''''''''</w:t>
            </w:r>
            <w:r w:rsidR="00A87F13" w:rsidRPr="00A87F13">
              <w:rPr>
                <w:rFonts w:cstheme="minorBidi"/>
                <w:szCs w:val="20"/>
                <w:vertAlign w:val="superscript"/>
              </w:rPr>
              <w:t>1</w:t>
            </w:r>
          </w:p>
        </w:tc>
        <w:tc>
          <w:tcPr>
            <w:tcW w:w="649" w:type="pct"/>
            <w:vAlign w:val="center"/>
          </w:tcPr>
          <w:p w14:paraId="4D378CE6" w14:textId="77777777" w:rsidR="005324D5" w:rsidRPr="00FC7F1E" w:rsidRDefault="008E2DDA" w:rsidP="00905013">
            <w:pPr>
              <w:pStyle w:val="TableText0"/>
              <w:jc w:val="center"/>
              <w:rPr>
                <w:color w:val="000000"/>
              </w:rPr>
            </w:pPr>
            <w:r>
              <w:rPr>
                <w:rFonts w:cstheme="minorBidi"/>
                <w:noProof/>
                <w:color w:val="000000"/>
                <w:szCs w:val="20"/>
                <w:highlight w:val="black"/>
              </w:rPr>
              <w:t>''''''''''</w:t>
            </w:r>
            <w:r w:rsidR="00A87F13" w:rsidRPr="00A87F13">
              <w:rPr>
                <w:rFonts w:cstheme="minorBidi"/>
                <w:szCs w:val="20"/>
                <w:vertAlign w:val="superscript"/>
              </w:rPr>
              <w:t>1</w:t>
            </w:r>
          </w:p>
        </w:tc>
      </w:tr>
      <w:tr w:rsidR="00385A9D" w:rsidRPr="00FC7F1E" w14:paraId="411EB55A" w14:textId="77777777" w:rsidTr="009C3A3A">
        <w:tc>
          <w:tcPr>
            <w:tcW w:w="5000" w:type="pct"/>
            <w:gridSpan w:val="7"/>
            <w:shd w:val="clear" w:color="auto" w:fill="auto"/>
            <w:vAlign w:val="center"/>
          </w:tcPr>
          <w:p w14:paraId="1967E090" w14:textId="77777777" w:rsidR="00385A9D" w:rsidRPr="00FC7F1E" w:rsidRDefault="00385A9D" w:rsidP="00AA0EF9">
            <w:pPr>
              <w:pStyle w:val="In-tableHeading"/>
              <w:rPr>
                <w:lang w:val="en-AU"/>
              </w:rPr>
            </w:pPr>
            <w:r w:rsidRPr="00FC7F1E">
              <w:rPr>
                <w:lang w:val="en-AU"/>
              </w:rPr>
              <w:t>Net financial implications</w:t>
            </w:r>
            <w:r w:rsidRPr="00FC7F1E">
              <w:rPr>
                <w:color w:val="4BACC6" w:themeColor="accent5"/>
                <w:lang w:val="en-AU"/>
              </w:rPr>
              <w:t xml:space="preserve"> </w:t>
            </w:r>
          </w:p>
        </w:tc>
      </w:tr>
      <w:tr w:rsidR="00880268" w:rsidRPr="00FC7F1E" w14:paraId="44CD33DF" w14:textId="77777777" w:rsidTr="005324D5">
        <w:tc>
          <w:tcPr>
            <w:tcW w:w="1116" w:type="pct"/>
            <w:shd w:val="clear" w:color="auto" w:fill="auto"/>
            <w:vAlign w:val="center"/>
          </w:tcPr>
          <w:p w14:paraId="52200AA5" w14:textId="77777777" w:rsidR="00880268" w:rsidRPr="00FC7F1E" w:rsidRDefault="00696112" w:rsidP="00880268">
            <w:pPr>
              <w:pStyle w:val="TableText0"/>
              <w:rPr>
                <w:sz w:val="19"/>
                <w:szCs w:val="19"/>
                <w:vertAlign w:val="superscript"/>
              </w:rPr>
            </w:pPr>
            <w:r w:rsidRPr="00FC7F1E">
              <w:rPr>
                <w:sz w:val="19"/>
                <w:szCs w:val="19"/>
              </w:rPr>
              <w:t xml:space="preserve">Net cost to PBS/RPBS </w:t>
            </w:r>
            <w:r w:rsidRPr="00FC7F1E">
              <w:rPr>
                <w:sz w:val="19"/>
                <w:szCs w:val="19"/>
                <w:vertAlign w:val="superscript"/>
              </w:rPr>
              <w:t>a</w:t>
            </w:r>
          </w:p>
        </w:tc>
        <w:tc>
          <w:tcPr>
            <w:tcW w:w="647" w:type="pct"/>
          </w:tcPr>
          <w:p w14:paraId="32454AB0" w14:textId="77777777" w:rsidR="00880268" w:rsidRPr="00FC7F1E" w:rsidRDefault="00880268" w:rsidP="00343579">
            <w:pPr>
              <w:pStyle w:val="TableText0"/>
              <w:jc w:val="center"/>
            </w:pPr>
            <w:r w:rsidRPr="00FC7F1E">
              <w:rPr>
                <w:szCs w:val="20"/>
              </w:rPr>
              <w:t>$</w:t>
            </w:r>
            <w:r w:rsidR="008E2DDA">
              <w:rPr>
                <w:noProof/>
                <w:color w:val="000000"/>
                <w:szCs w:val="20"/>
                <w:highlight w:val="black"/>
              </w:rPr>
              <w:t>''''''''''''''''''''''''''''</w:t>
            </w:r>
            <w:r w:rsidR="00D722FF" w:rsidRPr="00D722FF">
              <w:rPr>
                <w:szCs w:val="20"/>
                <w:vertAlign w:val="superscript"/>
              </w:rPr>
              <w:t>2</w:t>
            </w:r>
          </w:p>
        </w:tc>
        <w:tc>
          <w:tcPr>
            <w:tcW w:w="647" w:type="pct"/>
          </w:tcPr>
          <w:p w14:paraId="274F073F" w14:textId="77777777" w:rsidR="00880268" w:rsidRPr="00FC7F1E" w:rsidRDefault="00880268" w:rsidP="00343579">
            <w:pPr>
              <w:pStyle w:val="TableText0"/>
              <w:jc w:val="center"/>
            </w:pPr>
            <w:r w:rsidRPr="00FC7F1E">
              <w:rPr>
                <w:szCs w:val="20"/>
              </w:rPr>
              <w:t>$</w:t>
            </w:r>
            <w:r w:rsidR="008E2DDA">
              <w:rPr>
                <w:noProof/>
                <w:color w:val="000000"/>
                <w:szCs w:val="20"/>
                <w:highlight w:val="black"/>
              </w:rPr>
              <w:t>'''''''''''''''''''''''''</w:t>
            </w:r>
            <w:r w:rsidR="00D722FF">
              <w:rPr>
                <w:szCs w:val="20"/>
                <w:vertAlign w:val="superscript"/>
              </w:rPr>
              <w:t>2</w:t>
            </w:r>
          </w:p>
        </w:tc>
        <w:tc>
          <w:tcPr>
            <w:tcW w:w="647" w:type="pct"/>
          </w:tcPr>
          <w:p w14:paraId="1DD5D667" w14:textId="77777777" w:rsidR="00880268" w:rsidRPr="00FC7F1E" w:rsidRDefault="00880268" w:rsidP="00343579">
            <w:pPr>
              <w:pStyle w:val="TableText0"/>
              <w:jc w:val="center"/>
            </w:pPr>
            <w:r w:rsidRPr="00FC7F1E">
              <w:rPr>
                <w:szCs w:val="20"/>
              </w:rPr>
              <w:t>$</w:t>
            </w:r>
            <w:r w:rsidR="008E2DDA">
              <w:rPr>
                <w:noProof/>
                <w:color w:val="000000"/>
                <w:szCs w:val="20"/>
                <w:highlight w:val="black"/>
              </w:rPr>
              <w:t>'''''''''''''''''''''''''''''</w:t>
            </w:r>
            <w:r w:rsidR="00D722FF">
              <w:rPr>
                <w:szCs w:val="20"/>
                <w:vertAlign w:val="superscript"/>
              </w:rPr>
              <w:t>2</w:t>
            </w:r>
          </w:p>
        </w:tc>
        <w:tc>
          <w:tcPr>
            <w:tcW w:w="647" w:type="pct"/>
          </w:tcPr>
          <w:p w14:paraId="2F8EF114" w14:textId="77777777" w:rsidR="00880268" w:rsidRPr="00FC7F1E" w:rsidRDefault="00880268" w:rsidP="00343579">
            <w:pPr>
              <w:pStyle w:val="TableText0"/>
              <w:jc w:val="center"/>
            </w:pPr>
            <w:r w:rsidRPr="00FC7F1E">
              <w:rPr>
                <w:szCs w:val="20"/>
              </w:rPr>
              <w:t>$</w:t>
            </w:r>
            <w:r w:rsidR="008E2DDA">
              <w:rPr>
                <w:noProof/>
                <w:color w:val="000000"/>
                <w:szCs w:val="20"/>
                <w:highlight w:val="black"/>
              </w:rPr>
              <w:t>'''''''''''''''''''''''''''</w:t>
            </w:r>
            <w:r w:rsidR="006B1856">
              <w:rPr>
                <w:szCs w:val="20"/>
                <w:vertAlign w:val="superscript"/>
              </w:rPr>
              <w:t>3</w:t>
            </w:r>
          </w:p>
        </w:tc>
        <w:tc>
          <w:tcPr>
            <w:tcW w:w="647" w:type="pct"/>
          </w:tcPr>
          <w:p w14:paraId="19C366EE" w14:textId="77777777" w:rsidR="00880268" w:rsidRPr="00FC7F1E" w:rsidRDefault="00880268" w:rsidP="00343579">
            <w:pPr>
              <w:pStyle w:val="TableText0"/>
              <w:jc w:val="center"/>
            </w:pPr>
            <w:r w:rsidRPr="00FC7F1E">
              <w:rPr>
                <w:szCs w:val="20"/>
              </w:rPr>
              <w:t>$</w:t>
            </w:r>
            <w:r w:rsidR="008E2DDA">
              <w:rPr>
                <w:noProof/>
                <w:color w:val="000000"/>
                <w:szCs w:val="20"/>
                <w:highlight w:val="black"/>
              </w:rPr>
              <w:t>'''''''''''''''''''''''''''</w:t>
            </w:r>
            <w:r w:rsidR="00D722FF" w:rsidRPr="00D722FF">
              <w:rPr>
                <w:szCs w:val="20"/>
                <w:vertAlign w:val="superscript"/>
              </w:rPr>
              <w:t>3</w:t>
            </w:r>
          </w:p>
        </w:tc>
        <w:tc>
          <w:tcPr>
            <w:tcW w:w="649" w:type="pct"/>
          </w:tcPr>
          <w:p w14:paraId="78508A0E" w14:textId="77777777" w:rsidR="00880268" w:rsidRPr="00FC7F1E" w:rsidRDefault="00880268" w:rsidP="00343579">
            <w:pPr>
              <w:pStyle w:val="TableText0"/>
              <w:jc w:val="center"/>
            </w:pPr>
            <w:r w:rsidRPr="00FC7F1E">
              <w:rPr>
                <w:szCs w:val="20"/>
              </w:rPr>
              <w:t>$</w:t>
            </w:r>
            <w:r w:rsidR="008E2DDA">
              <w:rPr>
                <w:noProof/>
                <w:color w:val="000000"/>
                <w:szCs w:val="20"/>
                <w:highlight w:val="black"/>
              </w:rPr>
              <w:t>'''''''''''''''''''''''''</w:t>
            </w:r>
            <w:r w:rsidR="00D722FF">
              <w:rPr>
                <w:szCs w:val="20"/>
                <w:vertAlign w:val="superscript"/>
              </w:rPr>
              <w:t>3</w:t>
            </w:r>
          </w:p>
        </w:tc>
      </w:tr>
      <w:tr w:rsidR="00AA0EF9" w:rsidRPr="00FC7F1E" w14:paraId="03F09FFB" w14:textId="77777777" w:rsidTr="00F37EFC">
        <w:tc>
          <w:tcPr>
            <w:tcW w:w="1116" w:type="pct"/>
            <w:shd w:val="clear" w:color="auto" w:fill="auto"/>
            <w:vAlign w:val="center"/>
          </w:tcPr>
          <w:p w14:paraId="0F4BC45C" w14:textId="77777777" w:rsidR="00AA0EF9" w:rsidRPr="00FC7F1E" w:rsidRDefault="00AA0EF9" w:rsidP="00AA0EF9">
            <w:pPr>
              <w:pStyle w:val="TableText0"/>
              <w:rPr>
                <w:rFonts w:ascii="Times" w:hAnsi="Times"/>
              </w:rPr>
            </w:pPr>
            <w:r w:rsidRPr="00FC7F1E">
              <w:rPr>
                <w:sz w:val="19"/>
                <w:szCs w:val="19"/>
              </w:rPr>
              <w:t>Net cost to MBS</w:t>
            </w:r>
          </w:p>
        </w:tc>
        <w:tc>
          <w:tcPr>
            <w:tcW w:w="647" w:type="pct"/>
          </w:tcPr>
          <w:p w14:paraId="68B8C8CC"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sidRPr="00D722FF">
              <w:rPr>
                <w:rFonts w:cstheme="minorBidi"/>
                <w:szCs w:val="20"/>
                <w:vertAlign w:val="superscript"/>
              </w:rPr>
              <w:t>4</w:t>
            </w:r>
          </w:p>
        </w:tc>
        <w:tc>
          <w:tcPr>
            <w:tcW w:w="647" w:type="pct"/>
          </w:tcPr>
          <w:p w14:paraId="13FC2FF9"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4</w:t>
            </w:r>
          </w:p>
        </w:tc>
        <w:tc>
          <w:tcPr>
            <w:tcW w:w="647" w:type="pct"/>
          </w:tcPr>
          <w:p w14:paraId="4CC93295"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4</w:t>
            </w:r>
          </w:p>
        </w:tc>
        <w:tc>
          <w:tcPr>
            <w:tcW w:w="647" w:type="pct"/>
          </w:tcPr>
          <w:p w14:paraId="5DA650C6"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4</w:t>
            </w:r>
          </w:p>
        </w:tc>
        <w:tc>
          <w:tcPr>
            <w:tcW w:w="647" w:type="pct"/>
          </w:tcPr>
          <w:p w14:paraId="5075A32E"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4</w:t>
            </w:r>
          </w:p>
        </w:tc>
        <w:tc>
          <w:tcPr>
            <w:tcW w:w="649" w:type="pct"/>
          </w:tcPr>
          <w:p w14:paraId="4C020117"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4</w:t>
            </w:r>
          </w:p>
        </w:tc>
      </w:tr>
      <w:tr w:rsidR="00AA0EF9" w:rsidRPr="00FC7F1E" w14:paraId="112D5DA1" w14:textId="77777777" w:rsidTr="00905013">
        <w:tc>
          <w:tcPr>
            <w:tcW w:w="1116" w:type="pct"/>
            <w:shd w:val="clear" w:color="auto" w:fill="auto"/>
            <w:vAlign w:val="center"/>
          </w:tcPr>
          <w:p w14:paraId="413624BE" w14:textId="77777777" w:rsidR="00AA0EF9" w:rsidRPr="00FC7F1E" w:rsidRDefault="00AA0EF9" w:rsidP="00AA0EF9">
            <w:pPr>
              <w:pStyle w:val="TableText0"/>
              <w:rPr>
                <w:sz w:val="19"/>
                <w:szCs w:val="19"/>
              </w:rPr>
            </w:pPr>
            <w:r w:rsidRPr="00FC7F1E">
              <w:rPr>
                <w:sz w:val="19"/>
                <w:szCs w:val="19"/>
              </w:rPr>
              <w:t>Net cost of lumbar puncture adverse events</w:t>
            </w:r>
          </w:p>
        </w:tc>
        <w:tc>
          <w:tcPr>
            <w:tcW w:w="647" w:type="pct"/>
            <w:vAlign w:val="center"/>
          </w:tcPr>
          <w:p w14:paraId="552C6E94"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4</w:t>
            </w:r>
          </w:p>
        </w:tc>
        <w:tc>
          <w:tcPr>
            <w:tcW w:w="647" w:type="pct"/>
            <w:vAlign w:val="center"/>
          </w:tcPr>
          <w:p w14:paraId="249B10A3"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4</w:t>
            </w:r>
          </w:p>
        </w:tc>
        <w:tc>
          <w:tcPr>
            <w:tcW w:w="647" w:type="pct"/>
            <w:vAlign w:val="center"/>
          </w:tcPr>
          <w:p w14:paraId="6BDA1421"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4</w:t>
            </w:r>
          </w:p>
        </w:tc>
        <w:tc>
          <w:tcPr>
            <w:tcW w:w="647" w:type="pct"/>
            <w:vAlign w:val="center"/>
          </w:tcPr>
          <w:p w14:paraId="28432ACE"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4</w:t>
            </w:r>
          </w:p>
        </w:tc>
        <w:tc>
          <w:tcPr>
            <w:tcW w:w="647" w:type="pct"/>
            <w:vAlign w:val="center"/>
          </w:tcPr>
          <w:p w14:paraId="33CDDB35"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4</w:t>
            </w:r>
          </w:p>
        </w:tc>
        <w:tc>
          <w:tcPr>
            <w:tcW w:w="649" w:type="pct"/>
            <w:vAlign w:val="center"/>
          </w:tcPr>
          <w:p w14:paraId="7B5F46D5"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4</w:t>
            </w:r>
          </w:p>
        </w:tc>
      </w:tr>
      <w:tr w:rsidR="00AA0EF9" w:rsidRPr="00FC7F1E" w14:paraId="1D9AF924" w14:textId="77777777" w:rsidTr="00F37EFC">
        <w:tc>
          <w:tcPr>
            <w:tcW w:w="1116" w:type="pct"/>
            <w:shd w:val="clear" w:color="auto" w:fill="auto"/>
            <w:vAlign w:val="center"/>
          </w:tcPr>
          <w:p w14:paraId="146DB3E5" w14:textId="77777777" w:rsidR="00AA0EF9" w:rsidRPr="00FC7F1E" w:rsidRDefault="00AA0EF9" w:rsidP="00AA0EF9">
            <w:pPr>
              <w:pStyle w:val="TableText0"/>
              <w:rPr>
                <w:sz w:val="19"/>
                <w:szCs w:val="19"/>
              </w:rPr>
            </w:pPr>
            <w:r w:rsidRPr="00FC7F1E">
              <w:rPr>
                <w:sz w:val="19"/>
                <w:szCs w:val="19"/>
              </w:rPr>
              <w:t>Net cost to PBS/RPBS/MBS</w:t>
            </w:r>
          </w:p>
        </w:tc>
        <w:tc>
          <w:tcPr>
            <w:tcW w:w="647" w:type="pct"/>
            <w:vAlign w:val="bottom"/>
          </w:tcPr>
          <w:p w14:paraId="4F9B19D4"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2</w:t>
            </w:r>
          </w:p>
        </w:tc>
        <w:tc>
          <w:tcPr>
            <w:tcW w:w="647" w:type="pct"/>
            <w:vAlign w:val="bottom"/>
          </w:tcPr>
          <w:p w14:paraId="0C3AB85B"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2</w:t>
            </w:r>
          </w:p>
        </w:tc>
        <w:tc>
          <w:tcPr>
            <w:tcW w:w="647" w:type="pct"/>
            <w:vAlign w:val="bottom"/>
          </w:tcPr>
          <w:p w14:paraId="43BF2279"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2</w:t>
            </w:r>
          </w:p>
        </w:tc>
        <w:tc>
          <w:tcPr>
            <w:tcW w:w="647" w:type="pct"/>
            <w:vAlign w:val="bottom"/>
          </w:tcPr>
          <w:p w14:paraId="169A4444"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6B1856">
              <w:rPr>
                <w:rFonts w:cstheme="minorBidi"/>
                <w:szCs w:val="20"/>
                <w:vertAlign w:val="superscript"/>
              </w:rPr>
              <w:t>3</w:t>
            </w:r>
          </w:p>
        </w:tc>
        <w:tc>
          <w:tcPr>
            <w:tcW w:w="647" w:type="pct"/>
            <w:vAlign w:val="bottom"/>
          </w:tcPr>
          <w:p w14:paraId="3739A30B"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3</w:t>
            </w:r>
          </w:p>
        </w:tc>
        <w:tc>
          <w:tcPr>
            <w:tcW w:w="649" w:type="pct"/>
            <w:vAlign w:val="bottom"/>
          </w:tcPr>
          <w:p w14:paraId="3930BBA2" w14:textId="77777777" w:rsidR="00AA0EF9" w:rsidRPr="00FC7F1E" w:rsidRDefault="00AA0EF9" w:rsidP="00343579">
            <w:pPr>
              <w:pStyle w:val="TableText0"/>
              <w:jc w:val="center"/>
            </w:pPr>
            <w:r w:rsidRPr="00FC7F1E">
              <w:rPr>
                <w:rFonts w:cstheme="minorBidi"/>
                <w:szCs w:val="20"/>
              </w:rPr>
              <w:t>$</w:t>
            </w:r>
            <w:r w:rsidR="008E2DDA">
              <w:rPr>
                <w:rFonts w:cstheme="minorBidi"/>
                <w:noProof/>
                <w:color w:val="000000"/>
                <w:szCs w:val="20"/>
                <w:highlight w:val="black"/>
              </w:rPr>
              <w:t>''''''''''''''''''''''''''''</w:t>
            </w:r>
            <w:r w:rsidR="00D722FF">
              <w:rPr>
                <w:rFonts w:cstheme="minorBidi"/>
                <w:szCs w:val="20"/>
                <w:vertAlign w:val="superscript"/>
              </w:rPr>
              <w:t>3</w:t>
            </w:r>
          </w:p>
        </w:tc>
      </w:tr>
      <w:tr w:rsidR="000902D9" w:rsidRPr="00FC7F1E" w14:paraId="106E0AC3" w14:textId="77777777" w:rsidTr="007925DF">
        <w:tc>
          <w:tcPr>
            <w:tcW w:w="5000" w:type="pct"/>
            <w:gridSpan w:val="7"/>
            <w:shd w:val="clear" w:color="auto" w:fill="B8CCE4" w:themeFill="accent1" w:themeFillTint="66"/>
            <w:vAlign w:val="center"/>
          </w:tcPr>
          <w:p w14:paraId="5D5491E6" w14:textId="77777777" w:rsidR="000902D9" w:rsidRPr="00FC7F1E" w:rsidRDefault="000902D9" w:rsidP="00AA0EF9">
            <w:pPr>
              <w:pStyle w:val="In-tableHeading"/>
              <w:rPr>
                <w:lang w:val="en-AU"/>
              </w:rPr>
            </w:pPr>
            <w:r w:rsidRPr="00FC7F1E">
              <w:rPr>
                <w:lang w:val="en-AU"/>
              </w:rPr>
              <w:t xml:space="preserve">Previous submission </w:t>
            </w:r>
            <w:r w:rsidR="00AA0EF9" w:rsidRPr="00FC7F1E">
              <w:rPr>
                <w:lang w:val="en-AU"/>
              </w:rPr>
              <w:t>November 2017</w:t>
            </w:r>
            <w:r w:rsidR="00C663D7" w:rsidRPr="00FC7F1E">
              <w:rPr>
                <w:lang w:val="en-AU"/>
              </w:rPr>
              <w:t xml:space="preserve"> </w:t>
            </w:r>
            <w:r w:rsidR="00C663D7" w:rsidRPr="00FC7F1E">
              <w:rPr>
                <w:b w:val="0"/>
                <w:lang w:val="en-AU"/>
              </w:rPr>
              <w:t>(net cost is based on the subgroup who are aged over 18 years)</w:t>
            </w:r>
          </w:p>
        </w:tc>
      </w:tr>
      <w:tr w:rsidR="000A70C7" w:rsidRPr="00FC7F1E" w14:paraId="71DA1695" w14:textId="77777777" w:rsidTr="00C21E01">
        <w:tc>
          <w:tcPr>
            <w:tcW w:w="1116" w:type="pct"/>
            <w:shd w:val="clear" w:color="auto" w:fill="B8CCE4" w:themeFill="accent1" w:themeFillTint="66"/>
            <w:vAlign w:val="center"/>
          </w:tcPr>
          <w:p w14:paraId="689F8506" w14:textId="77777777" w:rsidR="000A70C7" w:rsidRPr="00FC7F1E" w:rsidRDefault="000A70C7" w:rsidP="000A70C7">
            <w:pPr>
              <w:pStyle w:val="TableText0"/>
              <w:rPr>
                <w:sz w:val="19"/>
                <w:szCs w:val="19"/>
              </w:rPr>
            </w:pPr>
            <w:r w:rsidRPr="00FC7F1E">
              <w:rPr>
                <w:sz w:val="19"/>
                <w:szCs w:val="19"/>
              </w:rPr>
              <w:t>Net cost to PBS/RPBS</w:t>
            </w:r>
            <w:r w:rsidR="00C663D7" w:rsidRPr="00FC7F1E">
              <w:rPr>
                <w:sz w:val="19"/>
                <w:szCs w:val="19"/>
              </w:rPr>
              <w:t xml:space="preserve"> for patients aged over 18 years</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BF1B22" w14:textId="77777777" w:rsidR="000A70C7" w:rsidRPr="00FC7F1E" w:rsidRDefault="000A70C7" w:rsidP="00343579">
            <w:pPr>
              <w:pStyle w:val="TableText0"/>
              <w:jc w:val="center"/>
            </w:pPr>
            <w:r w:rsidRPr="00FC7F1E">
              <w:rPr>
                <w:szCs w:val="20"/>
              </w:rPr>
              <w:t>$</w:t>
            </w:r>
            <w:r w:rsidR="008E2DDA">
              <w:rPr>
                <w:noProof/>
                <w:color w:val="000000"/>
                <w:szCs w:val="20"/>
                <w:highlight w:val="black"/>
              </w:rPr>
              <w:t>''''''''''''''''''''''''</w:t>
            </w:r>
            <w:r w:rsidR="00D722FF" w:rsidRPr="00D722FF">
              <w:rPr>
                <w:szCs w:val="20"/>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80CD08" w14:textId="77777777" w:rsidR="000A70C7" w:rsidRPr="00FC7F1E" w:rsidRDefault="000A70C7" w:rsidP="00343579">
            <w:pPr>
              <w:pStyle w:val="TableText0"/>
              <w:jc w:val="center"/>
            </w:pPr>
            <w:r w:rsidRPr="00FC7F1E">
              <w:rPr>
                <w:szCs w:val="20"/>
              </w:rPr>
              <w:t>$</w:t>
            </w:r>
            <w:r w:rsidR="008E2DDA">
              <w:rPr>
                <w:noProof/>
                <w:color w:val="000000"/>
                <w:szCs w:val="20"/>
                <w:highlight w:val="black"/>
              </w:rPr>
              <w:t>''''''''''''''''''''''''</w:t>
            </w:r>
            <w:r w:rsidR="00D722FF">
              <w:rPr>
                <w:szCs w:val="20"/>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46720B" w14:textId="77777777" w:rsidR="000A70C7" w:rsidRPr="00FC7F1E" w:rsidRDefault="000A70C7" w:rsidP="00343579">
            <w:pPr>
              <w:pStyle w:val="TableText0"/>
              <w:jc w:val="center"/>
            </w:pPr>
            <w:r w:rsidRPr="00FC7F1E">
              <w:rPr>
                <w:szCs w:val="20"/>
              </w:rPr>
              <w:t>$</w:t>
            </w:r>
            <w:r w:rsidR="008E2DDA">
              <w:rPr>
                <w:noProof/>
                <w:color w:val="000000"/>
                <w:szCs w:val="20"/>
                <w:highlight w:val="black"/>
              </w:rPr>
              <w:t>'''''''''''''''''''''''''''</w:t>
            </w:r>
            <w:r w:rsidR="00D722FF" w:rsidRPr="00D722FF">
              <w:rPr>
                <w:szCs w:val="20"/>
                <w:vertAlign w:val="superscript"/>
              </w:rPr>
              <w:t>6</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91C413" w14:textId="77777777" w:rsidR="000A70C7" w:rsidRPr="00FC7F1E" w:rsidRDefault="000A70C7" w:rsidP="00343579">
            <w:pPr>
              <w:pStyle w:val="TableText0"/>
              <w:jc w:val="center"/>
            </w:pPr>
            <w:r w:rsidRPr="00FC7F1E">
              <w:rPr>
                <w:szCs w:val="20"/>
              </w:rPr>
              <w:t>$</w:t>
            </w:r>
            <w:r w:rsidR="008E2DDA">
              <w:rPr>
                <w:noProof/>
                <w:color w:val="000000"/>
                <w:szCs w:val="20"/>
                <w:highlight w:val="black"/>
              </w:rPr>
              <w:t>'''''''''''''''''''''''''</w:t>
            </w:r>
            <w:r w:rsidR="00D722FF">
              <w:rPr>
                <w:szCs w:val="20"/>
                <w:vertAlign w:val="superscript"/>
              </w:rPr>
              <w:t>6</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1BC999" w14:textId="77777777" w:rsidR="000A70C7" w:rsidRPr="00FC7F1E" w:rsidRDefault="000A70C7" w:rsidP="00343579">
            <w:pPr>
              <w:pStyle w:val="TableText0"/>
              <w:jc w:val="center"/>
            </w:pPr>
            <w:r w:rsidRPr="00FC7F1E">
              <w:rPr>
                <w:szCs w:val="20"/>
              </w:rPr>
              <w:t>$</w:t>
            </w:r>
            <w:r w:rsidR="008E2DDA">
              <w:rPr>
                <w:noProof/>
                <w:color w:val="000000"/>
                <w:szCs w:val="20"/>
                <w:highlight w:val="black"/>
              </w:rPr>
              <w:t>'''''''''''''''''''''''''</w:t>
            </w:r>
            <w:r w:rsidR="00D722FF" w:rsidRPr="00D722FF">
              <w:rPr>
                <w:szCs w:val="20"/>
                <w:vertAlign w:val="superscript"/>
              </w:rPr>
              <w:t>7</w:t>
            </w:r>
          </w:p>
        </w:tc>
        <w:tc>
          <w:tcPr>
            <w:tcW w:w="6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11AB00" w14:textId="77777777" w:rsidR="000A70C7" w:rsidRPr="00FC7F1E" w:rsidRDefault="000A70C7" w:rsidP="00343579">
            <w:pPr>
              <w:pStyle w:val="TableText0"/>
              <w:jc w:val="center"/>
            </w:pPr>
            <w:r w:rsidRPr="00FC7F1E">
              <w:rPr>
                <w:szCs w:val="20"/>
              </w:rPr>
              <w:t>$</w:t>
            </w:r>
            <w:r w:rsidR="008E2DDA">
              <w:rPr>
                <w:noProof/>
                <w:color w:val="000000"/>
                <w:szCs w:val="20"/>
                <w:highlight w:val="black"/>
              </w:rPr>
              <w:t>'''''''''''''''''''''''''''''</w:t>
            </w:r>
            <w:r w:rsidR="006B1856">
              <w:rPr>
                <w:szCs w:val="20"/>
                <w:vertAlign w:val="superscript"/>
              </w:rPr>
              <w:t>8</w:t>
            </w:r>
          </w:p>
        </w:tc>
      </w:tr>
    </w:tbl>
    <w:p w14:paraId="56A14E6F" w14:textId="77777777" w:rsidR="00620C25" w:rsidRPr="00FC7F1E" w:rsidRDefault="00880268" w:rsidP="00620C25">
      <w:pPr>
        <w:pStyle w:val="TableFigureFooter"/>
        <w:rPr>
          <w:rStyle w:val="CommentReference"/>
        </w:rPr>
      </w:pPr>
      <w:r w:rsidRPr="00FC7F1E">
        <w:t xml:space="preserve">Source: </w:t>
      </w:r>
      <w:r w:rsidR="00620C25" w:rsidRPr="00FC7F1E">
        <w:t>Table</w:t>
      </w:r>
      <w:r w:rsidR="00AA0EF9" w:rsidRPr="00FC7F1E">
        <w:t xml:space="preserve">s 4.3 - </w:t>
      </w:r>
      <w:r w:rsidRPr="00FC7F1E">
        <w:t>4.</w:t>
      </w:r>
      <w:r w:rsidR="00AA0EF9" w:rsidRPr="00FC7F1E">
        <w:t>6</w:t>
      </w:r>
      <w:r w:rsidRPr="00FC7F1E">
        <w:t>, pp216</w:t>
      </w:r>
      <w:r w:rsidR="00AA0EF9" w:rsidRPr="00FC7F1E">
        <w:t>-</w:t>
      </w:r>
      <w:r w:rsidRPr="00FC7F1E">
        <w:t>21</w:t>
      </w:r>
      <w:r w:rsidR="00AA0EF9" w:rsidRPr="00FC7F1E">
        <w:t>9</w:t>
      </w:r>
      <w:r w:rsidRPr="00FC7F1E">
        <w:t xml:space="preserve"> of</w:t>
      </w:r>
      <w:r w:rsidR="00620C25" w:rsidRPr="00FC7F1E">
        <w:t xml:space="preserve"> the </w:t>
      </w:r>
      <w:r w:rsidR="00C21E01" w:rsidRPr="00FC7F1E">
        <w:t>re</w:t>
      </w:r>
      <w:r w:rsidR="00620C25" w:rsidRPr="00FC7F1E">
        <w:t>submission</w:t>
      </w:r>
      <w:r w:rsidR="000A70C7" w:rsidRPr="00FC7F1E">
        <w:t>, and Table 4.4.1 November 2017 PBAC commentary for nusinersen.</w:t>
      </w:r>
    </w:p>
    <w:p w14:paraId="054ADF5B" w14:textId="77777777" w:rsidR="00E466F3" w:rsidRDefault="00E466F3" w:rsidP="00C21E01">
      <w:pPr>
        <w:pStyle w:val="TableFigureFooter"/>
        <w:tabs>
          <w:tab w:val="left" w:pos="284"/>
        </w:tabs>
        <w:ind w:left="284" w:hanging="284"/>
      </w:pPr>
      <w:r w:rsidRPr="00FC7F1E">
        <w:rPr>
          <w:vertAlign w:val="superscript"/>
        </w:rPr>
        <w:t>a</w:t>
      </w:r>
      <w:r w:rsidR="00C21E01" w:rsidRPr="00FC7F1E">
        <w:tab/>
      </w:r>
      <w:r w:rsidR="00880268" w:rsidRPr="00FC7F1E">
        <w:t xml:space="preserve">Assuming 3 loading doses and then one script every 4 months, with no discontinuation </w:t>
      </w:r>
      <w:r w:rsidRPr="00FC7F1E">
        <w:t xml:space="preserve">as estimated by the </w:t>
      </w:r>
      <w:r w:rsidR="00F61FEB" w:rsidRPr="00FC7F1E">
        <w:t>re</w:t>
      </w:r>
      <w:r w:rsidRPr="00FC7F1E">
        <w:t>submission</w:t>
      </w:r>
      <w:r w:rsidR="00880268" w:rsidRPr="00FC7F1E">
        <w:t>, and no co-payments</w:t>
      </w:r>
      <w:r w:rsidRPr="00FC7F1E">
        <w:t>.</w:t>
      </w:r>
    </w:p>
    <w:p w14:paraId="2467502C" w14:textId="77777777" w:rsidR="003808E5" w:rsidRPr="003808E5" w:rsidRDefault="003808E5" w:rsidP="00C21E01">
      <w:pPr>
        <w:pStyle w:val="TableFigureFooter"/>
        <w:tabs>
          <w:tab w:val="left" w:pos="284"/>
        </w:tabs>
        <w:ind w:left="284" w:hanging="284"/>
        <w:rPr>
          <w:i/>
        </w:rPr>
      </w:pPr>
      <w:r w:rsidRPr="003808E5">
        <w:rPr>
          <w:i/>
        </w:rPr>
        <w:t>The redacted values correspond to the following ranges:</w:t>
      </w:r>
    </w:p>
    <w:p w14:paraId="2A7B5E9C" w14:textId="77777777" w:rsidR="003808E5" w:rsidRPr="003808E5" w:rsidRDefault="003808E5" w:rsidP="00C21E01">
      <w:pPr>
        <w:pStyle w:val="TableFigureFooter"/>
        <w:tabs>
          <w:tab w:val="left" w:pos="284"/>
        </w:tabs>
        <w:ind w:left="284" w:hanging="284"/>
        <w:rPr>
          <w:i/>
        </w:rPr>
      </w:pPr>
      <w:r w:rsidRPr="003808E5">
        <w:rPr>
          <w:i/>
          <w:vertAlign w:val="superscript"/>
        </w:rPr>
        <w:lastRenderedPageBreak/>
        <w:t>1</w:t>
      </w:r>
      <w:r w:rsidRPr="003808E5">
        <w:rPr>
          <w:i/>
        </w:rPr>
        <w:t>&lt;500</w:t>
      </w:r>
    </w:p>
    <w:p w14:paraId="59E94A1B" w14:textId="77777777" w:rsidR="003808E5" w:rsidRPr="003808E5" w:rsidRDefault="003808E5" w:rsidP="00C21E01">
      <w:pPr>
        <w:pStyle w:val="TableFigureFooter"/>
        <w:tabs>
          <w:tab w:val="left" w:pos="284"/>
        </w:tabs>
        <w:ind w:left="284" w:hanging="284"/>
        <w:rPr>
          <w:i/>
        </w:rPr>
      </w:pPr>
      <w:r w:rsidRPr="003808E5">
        <w:rPr>
          <w:i/>
          <w:vertAlign w:val="superscript"/>
        </w:rPr>
        <w:t>2</w:t>
      </w:r>
      <w:r w:rsidRPr="003808E5">
        <w:rPr>
          <w:i/>
        </w:rPr>
        <w:t>$1</w:t>
      </w:r>
      <w:r w:rsidR="006B1856">
        <w:rPr>
          <w:i/>
        </w:rPr>
        <w:t>0</w:t>
      </w:r>
      <w:r w:rsidRPr="003808E5">
        <w:rPr>
          <w:i/>
        </w:rPr>
        <w:t xml:space="preserve"> million to &lt;$2</w:t>
      </w:r>
      <w:r w:rsidR="006B1856">
        <w:rPr>
          <w:i/>
        </w:rPr>
        <w:t>0</w:t>
      </w:r>
      <w:r w:rsidRPr="003808E5">
        <w:rPr>
          <w:i/>
        </w:rPr>
        <w:t xml:space="preserve"> million</w:t>
      </w:r>
    </w:p>
    <w:p w14:paraId="65CCD9EE" w14:textId="77777777" w:rsidR="003808E5" w:rsidRPr="003808E5" w:rsidRDefault="003808E5" w:rsidP="00C21E01">
      <w:pPr>
        <w:pStyle w:val="TableFigureFooter"/>
        <w:tabs>
          <w:tab w:val="left" w:pos="284"/>
        </w:tabs>
        <w:ind w:left="284" w:hanging="284"/>
        <w:rPr>
          <w:i/>
        </w:rPr>
      </w:pPr>
      <w:r w:rsidRPr="003808E5">
        <w:rPr>
          <w:i/>
          <w:vertAlign w:val="superscript"/>
        </w:rPr>
        <w:t>3</w:t>
      </w:r>
      <w:r w:rsidRPr="003808E5">
        <w:rPr>
          <w:i/>
        </w:rPr>
        <w:t>$20 million to &lt;$30 million</w:t>
      </w:r>
    </w:p>
    <w:p w14:paraId="7ED15D6B" w14:textId="77777777" w:rsidR="003808E5" w:rsidRPr="003808E5" w:rsidRDefault="003808E5" w:rsidP="00C21E01">
      <w:pPr>
        <w:pStyle w:val="TableFigureFooter"/>
        <w:tabs>
          <w:tab w:val="left" w:pos="284"/>
        </w:tabs>
        <w:ind w:left="284" w:hanging="284"/>
        <w:rPr>
          <w:i/>
        </w:rPr>
      </w:pPr>
      <w:r w:rsidRPr="003808E5">
        <w:rPr>
          <w:i/>
          <w:vertAlign w:val="superscript"/>
        </w:rPr>
        <w:t>4</w:t>
      </w:r>
      <w:r w:rsidRPr="003808E5">
        <w:rPr>
          <w:i/>
        </w:rPr>
        <w:t>$0 to &lt;$10 million</w:t>
      </w:r>
    </w:p>
    <w:p w14:paraId="40F9C988" w14:textId="77777777" w:rsidR="003808E5" w:rsidRPr="003808E5" w:rsidRDefault="003808E5" w:rsidP="00C21E01">
      <w:pPr>
        <w:pStyle w:val="TableFigureFooter"/>
        <w:tabs>
          <w:tab w:val="left" w:pos="284"/>
        </w:tabs>
        <w:ind w:left="284" w:hanging="284"/>
        <w:rPr>
          <w:i/>
        </w:rPr>
      </w:pPr>
      <w:r w:rsidRPr="003808E5">
        <w:rPr>
          <w:i/>
          <w:vertAlign w:val="superscript"/>
        </w:rPr>
        <w:t>5</w:t>
      </w:r>
      <w:r w:rsidRPr="003808E5">
        <w:rPr>
          <w:i/>
        </w:rPr>
        <w:t>$</w:t>
      </w:r>
      <w:r w:rsidR="006B1856">
        <w:rPr>
          <w:i/>
        </w:rPr>
        <w:t>30</w:t>
      </w:r>
      <w:r w:rsidRPr="003808E5">
        <w:rPr>
          <w:i/>
        </w:rPr>
        <w:t xml:space="preserve"> million to &lt;$</w:t>
      </w:r>
      <w:r w:rsidR="006B1856">
        <w:rPr>
          <w:i/>
        </w:rPr>
        <w:t>40</w:t>
      </w:r>
      <w:r w:rsidRPr="003808E5">
        <w:rPr>
          <w:i/>
        </w:rPr>
        <w:t xml:space="preserve"> million</w:t>
      </w:r>
    </w:p>
    <w:p w14:paraId="49B54364" w14:textId="77777777" w:rsidR="003808E5" w:rsidRPr="003808E5" w:rsidRDefault="003808E5" w:rsidP="00C21E01">
      <w:pPr>
        <w:pStyle w:val="TableFigureFooter"/>
        <w:tabs>
          <w:tab w:val="left" w:pos="284"/>
        </w:tabs>
        <w:ind w:left="284" w:hanging="284"/>
        <w:rPr>
          <w:i/>
        </w:rPr>
      </w:pPr>
      <w:r w:rsidRPr="003808E5">
        <w:rPr>
          <w:i/>
          <w:vertAlign w:val="superscript"/>
        </w:rPr>
        <w:t>6</w:t>
      </w:r>
      <w:r w:rsidRPr="003808E5">
        <w:rPr>
          <w:i/>
        </w:rPr>
        <w:t>$40 million to &lt;$50 million</w:t>
      </w:r>
    </w:p>
    <w:p w14:paraId="49E73D20" w14:textId="77777777" w:rsidR="003808E5" w:rsidRPr="003808E5" w:rsidRDefault="003808E5" w:rsidP="00C21E01">
      <w:pPr>
        <w:pStyle w:val="TableFigureFooter"/>
        <w:tabs>
          <w:tab w:val="left" w:pos="284"/>
        </w:tabs>
        <w:ind w:left="284" w:hanging="284"/>
        <w:rPr>
          <w:i/>
        </w:rPr>
      </w:pPr>
      <w:r w:rsidRPr="003808E5">
        <w:rPr>
          <w:i/>
          <w:vertAlign w:val="superscript"/>
        </w:rPr>
        <w:t>7</w:t>
      </w:r>
      <w:r w:rsidRPr="003808E5">
        <w:rPr>
          <w:i/>
        </w:rPr>
        <w:t>$50 million to &lt;$60 million</w:t>
      </w:r>
    </w:p>
    <w:p w14:paraId="4720E0BF" w14:textId="77777777" w:rsidR="003808E5" w:rsidRPr="003808E5" w:rsidRDefault="003808E5" w:rsidP="00C21E01">
      <w:pPr>
        <w:pStyle w:val="TableFigureFooter"/>
        <w:tabs>
          <w:tab w:val="left" w:pos="284"/>
        </w:tabs>
        <w:ind w:left="284" w:hanging="284"/>
        <w:rPr>
          <w:i/>
        </w:rPr>
      </w:pPr>
      <w:r w:rsidRPr="003808E5">
        <w:rPr>
          <w:i/>
          <w:vertAlign w:val="superscript"/>
        </w:rPr>
        <w:t>8</w:t>
      </w:r>
      <w:r w:rsidRPr="003808E5">
        <w:rPr>
          <w:i/>
        </w:rPr>
        <w:t>$</w:t>
      </w:r>
      <w:r w:rsidR="006B1856">
        <w:rPr>
          <w:i/>
        </w:rPr>
        <w:t>60</w:t>
      </w:r>
      <w:r w:rsidRPr="003808E5">
        <w:rPr>
          <w:i/>
        </w:rPr>
        <w:t xml:space="preserve"> million to &lt;$</w:t>
      </w:r>
      <w:r w:rsidR="006B1856">
        <w:rPr>
          <w:i/>
        </w:rPr>
        <w:t>70</w:t>
      </w:r>
      <w:r w:rsidRPr="003808E5">
        <w:rPr>
          <w:i/>
        </w:rPr>
        <w:t xml:space="preserve"> million</w:t>
      </w:r>
    </w:p>
    <w:p w14:paraId="535ADD59" w14:textId="77777777" w:rsidR="000902D9" w:rsidRPr="00FC7F1E" w:rsidRDefault="000902D9" w:rsidP="00732451">
      <w:pPr>
        <w:pStyle w:val="3-BodyText"/>
      </w:pPr>
      <w:r w:rsidRPr="00FC7F1E">
        <w:t xml:space="preserve">The </w:t>
      </w:r>
      <w:r w:rsidR="00696112" w:rsidRPr="00FC7F1E">
        <w:t xml:space="preserve">net </w:t>
      </w:r>
      <w:r w:rsidRPr="00FC7F1E">
        <w:t xml:space="preserve">cost to the PBS/RPBS of listing </w:t>
      </w:r>
      <w:r w:rsidR="00BB158A" w:rsidRPr="00FC7F1E">
        <w:t>nusinersen as requested</w:t>
      </w:r>
      <w:r w:rsidRPr="00FC7F1E">
        <w:t xml:space="preserve"> was estimated </w:t>
      </w:r>
      <w:r w:rsidR="00A05C32" w:rsidRPr="00FC7F1E">
        <w:t>to be</w:t>
      </w:r>
      <w:r w:rsidRPr="00FC7F1E">
        <w:t xml:space="preserve"> $</w:t>
      </w:r>
      <w:r w:rsidR="00BB158A" w:rsidRPr="00FC7F1E">
        <w:t>2</w:t>
      </w:r>
      <w:r w:rsidR="00382D83">
        <w:t>0</w:t>
      </w:r>
      <w:r w:rsidR="002260DB">
        <w:t xml:space="preserve"> to &lt;$3</w:t>
      </w:r>
      <w:r w:rsidR="00382D83">
        <w:t>0</w:t>
      </w:r>
      <w:r w:rsidRPr="00FC7F1E">
        <w:t xml:space="preserve"> million in Year 6, and a total of $</w:t>
      </w:r>
      <w:r w:rsidR="00CF4948">
        <w:t>100 to &lt;$200</w:t>
      </w:r>
      <w:r w:rsidRPr="00FC7F1E">
        <w:t xml:space="preserve"> million in the first 6 years of listing. </w:t>
      </w:r>
    </w:p>
    <w:p w14:paraId="5FEA70A1" w14:textId="77777777" w:rsidR="00DC27ED" w:rsidRPr="00FC7F1E" w:rsidRDefault="00D74F6E" w:rsidP="00696112">
      <w:pPr>
        <w:pStyle w:val="3-BodyText"/>
      </w:pPr>
      <w:r w:rsidRPr="00FC7F1E">
        <w:t xml:space="preserve">The estimates did not include </w:t>
      </w:r>
      <w:r w:rsidR="00A745A7" w:rsidRPr="00FC7F1E">
        <w:t xml:space="preserve">the likely of use of nusinersen </w:t>
      </w:r>
      <w:r w:rsidRPr="00FC7F1E">
        <w:t>in</w:t>
      </w:r>
      <w:r w:rsidR="000946D6" w:rsidRPr="00FC7F1E">
        <w:t xml:space="preserve"> patients aged 18 years or less </w:t>
      </w:r>
      <w:r w:rsidRPr="00FC7F1E">
        <w:t>not covered by the current restriction</w:t>
      </w:r>
      <w:r w:rsidR="00D066C3" w:rsidRPr="00FC7F1E">
        <w:t xml:space="preserve"> (noting the resubmission proposed a higher price and </w:t>
      </w:r>
      <w:r w:rsidR="008E2DDA">
        <w:rPr>
          <w:noProof/>
          <w:color w:val="000000"/>
          <w:highlight w:val="black"/>
        </w:rPr>
        <w:t>''''' '''''''''''''' ''''' '''''' ''''''''''''' '''''''''</w:t>
      </w:r>
      <w:r w:rsidR="00D066C3" w:rsidRPr="00FC7F1E">
        <w:t xml:space="preserve"> for these patients). The PSCR stated the size of this population was estimated to be very small and unlikely to have a significant financial impact.</w:t>
      </w:r>
      <w:r w:rsidRPr="00FC7F1E">
        <w:t xml:space="preserve"> </w:t>
      </w:r>
      <w:r w:rsidR="00D066C3" w:rsidRPr="00FC7F1E">
        <w:t>Further</w:t>
      </w:r>
      <w:r w:rsidR="00696112" w:rsidRPr="00FC7F1E">
        <w:t>, the PBAC noted that th</w:t>
      </w:r>
      <w:r w:rsidR="00D066C3" w:rsidRPr="00FC7F1E">
        <w:t>e</w:t>
      </w:r>
      <w:r w:rsidR="00696112" w:rsidRPr="00FC7F1E">
        <w:t xml:space="preserve"> risk </w:t>
      </w:r>
      <w:r w:rsidR="00D066C3" w:rsidRPr="00FC7F1E">
        <w:t xml:space="preserve">of not specifically including this population in the financial estimates </w:t>
      </w:r>
      <w:r w:rsidR="00696112" w:rsidRPr="00FC7F1E">
        <w:t>may be somewhat mitigated through the proposed Risk Sharing Arrangement (RSA).</w:t>
      </w:r>
    </w:p>
    <w:p w14:paraId="3FEFAD66" w14:textId="77777777" w:rsidR="00AB1B45" w:rsidRPr="00FC7F1E" w:rsidRDefault="000946D6" w:rsidP="00AB1B45">
      <w:pPr>
        <w:pStyle w:val="3-BodyText"/>
      </w:pPr>
      <w:r w:rsidRPr="00FC7F1E">
        <w:t>Overall, t</w:t>
      </w:r>
      <w:r w:rsidR="00D74F6E" w:rsidRPr="00FC7F1E">
        <w:t xml:space="preserve">he </w:t>
      </w:r>
      <w:r w:rsidR="00696112" w:rsidRPr="00FC7F1E">
        <w:t xml:space="preserve">evaluation considered the </w:t>
      </w:r>
      <w:r w:rsidR="00D74F6E" w:rsidRPr="00FC7F1E">
        <w:t>estimates wer</w:t>
      </w:r>
      <w:r w:rsidRPr="00FC7F1E">
        <w:t xml:space="preserve">e </w:t>
      </w:r>
      <w:r w:rsidR="001729CF" w:rsidRPr="00FC7F1E">
        <w:t xml:space="preserve">highly </w:t>
      </w:r>
      <w:r w:rsidRPr="00FC7F1E">
        <w:t>uncertain given the</w:t>
      </w:r>
      <w:r w:rsidR="00D74F6E" w:rsidRPr="00FC7F1E">
        <w:t xml:space="preserve"> uncertainty surrounding the likely</w:t>
      </w:r>
      <w:r w:rsidR="00AB1B45" w:rsidRPr="00FC7F1E">
        <w:t>:</w:t>
      </w:r>
    </w:p>
    <w:p w14:paraId="68DC04E2" w14:textId="77777777" w:rsidR="00AB1B45" w:rsidRPr="00FC7F1E" w:rsidRDefault="00D74F6E" w:rsidP="00D066C3">
      <w:pPr>
        <w:pStyle w:val="3-BodyText"/>
        <w:numPr>
          <w:ilvl w:val="0"/>
          <w:numId w:val="5"/>
        </w:numPr>
        <w:spacing w:after="0"/>
        <w:ind w:left="993" w:hanging="284"/>
      </w:pPr>
      <w:r w:rsidRPr="00FC7F1E">
        <w:t>uptake rate</w:t>
      </w:r>
      <w:r w:rsidR="00AB1B45" w:rsidRPr="00FC7F1E">
        <w:t>. The resubmission assumed uptake rates of 20% in Year 1 increasing by 5% per year up to Year 6 based on clinical opinion</w:t>
      </w:r>
      <w:r w:rsidR="00D066C3" w:rsidRPr="00FC7F1E">
        <w:t>;</w:t>
      </w:r>
      <w:r w:rsidR="007740C8" w:rsidRPr="00FC7F1E">
        <w:t xml:space="preserve"> </w:t>
      </w:r>
    </w:p>
    <w:p w14:paraId="5BB44258" w14:textId="77777777" w:rsidR="00AB1B45" w:rsidRPr="00FC7F1E" w:rsidRDefault="007740C8" w:rsidP="00D066C3">
      <w:pPr>
        <w:pStyle w:val="3-BodyText"/>
        <w:numPr>
          <w:ilvl w:val="0"/>
          <w:numId w:val="5"/>
        </w:numPr>
        <w:spacing w:after="0"/>
        <w:ind w:left="993" w:hanging="284"/>
      </w:pPr>
      <w:r w:rsidRPr="00FC7F1E">
        <w:t xml:space="preserve">rates of </w:t>
      </w:r>
      <w:r w:rsidR="00DC27ED" w:rsidRPr="00FC7F1E">
        <w:t>discontinuation</w:t>
      </w:r>
      <w:r w:rsidR="00D066C3" w:rsidRPr="00FC7F1E">
        <w:t>, given the resubmission assumed there would be no discontinuation;</w:t>
      </w:r>
      <w:r w:rsidR="00B4267D" w:rsidRPr="00FC7F1E">
        <w:t xml:space="preserve"> and</w:t>
      </w:r>
      <w:r w:rsidR="00D74F6E" w:rsidRPr="00FC7F1E">
        <w:t xml:space="preserve"> </w:t>
      </w:r>
    </w:p>
    <w:p w14:paraId="2D62078E" w14:textId="77777777" w:rsidR="00D244B6" w:rsidRPr="00FC7F1E" w:rsidRDefault="00D74F6E" w:rsidP="00D066C3">
      <w:pPr>
        <w:pStyle w:val="3-BodyText"/>
        <w:numPr>
          <w:ilvl w:val="0"/>
          <w:numId w:val="5"/>
        </w:numPr>
        <w:ind w:left="993" w:hanging="284"/>
      </w:pPr>
      <w:r w:rsidRPr="00FC7F1E">
        <w:t xml:space="preserve">the prevalence of the disease in adult patients. </w:t>
      </w:r>
      <w:r w:rsidR="00AB1B45" w:rsidRPr="00FC7F1E">
        <w:t xml:space="preserve">The PBAC previously </w:t>
      </w:r>
      <w:r w:rsidR="00CB0F11" w:rsidRPr="00FC7F1E">
        <w:t>considered the estimated number of patients with Type II and III SMA to be uncertain and likely underestimated noting these were based on overseas data due to a lack of Australian data (</w:t>
      </w:r>
      <w:r w:rsidR="00CB0F11" w:rsidRPr="00FC7F1E">
        <w:rPr>
          <w:snapToGrid/>
        </w:rPr>
        <w:t xml:space="preserve">Nusinersen PSD, PBAC meeting November 2017, </w:t>
      </w:r>
      <w:r w:rsidR="00CB0F11" w:rsidRPr="00FC7F1E">
        <w:t xml:space="preserve">para 7.23). </w:t>
      </w:r>
    </w:p>
    <w:p w14:paraId="24C8A768" w14:textId="77777777" w:rsidR="000918E7" w:rsidRPr="00FC7F1E" w:rsidRDefault="000918E7" w:rsidP="00B5522C">
      <w:pPr>
        <w:pStyle w:val="3-BodyText"/>
      </w:pPr>
      <w:r w:rsidRPr="00FC7F1E">
        <w:t>Given the average life expectancy of Type II patients is into adulthood and Type III patients have a normal lifespan, the ESC considered that the cost of this treatment will escalate beyond Year 6 as patients will remain on treatment long term and the treated prevalent population will grow. In November 2017, the PBAC considered that Type II and III patients would account for the majority of treatment costs (</w:t>
      </w:r>
      <w:r w:rsidRPr="00FC7F1E">
        <w:rPr>
          <w:snapToGrid/>
        </w:rPr>
        <w:t xml:space="preserve">Nusinersen PSD, PBAC meeting November 2017, </w:t>
      </w:r>
      <w:r w:rsidRPr="00FC7F1E">
        <w:t>para 7.26).</w:t>
      </w:r>
    </w:p>
    <w:p w14:paraId="40CB0BEF" w14:textId="77777777" w:rsidR="00ED04A8" w:rsidRPr="00FC7F1E" w:rsidRDefault="00C663D7" w:rsidP="00C5418F">
      <w:pPr>
        <w:pStyle w:val="3-BodyText"/>
      </w:pPr>
      <w:r w:rsidRPr="00FC7F1E">
        <w:t xml:space="preserve">The ESC </w:t>
      </w:r>
      <w:r w:rsidR="00696112" w:rsidRPr="00FC7F1E">
        <w:t>considered</w:t>
      </w:r>
      <w:r w:rsidRPr="00FC7F1E">
        <w:t xml:space="preserve"> that the age distribution of patients likely to access nusinersen under the requested listing and the likely distribution of patients with Type IIIa or IIIb SMA was uncertain. The ESC noted that the</w:t>
      </w:r>
      <w:r w:rsidRPr="00FC7F1E">
        <w:rPr>
          <w:rFonts w:ascii="Calibri" w:hAnsi="Calibri"/>
        </w:rPr>
        <w:t xml:space="preserve"> </w:t>
      </w:r>
      <w:r w:rsidRPr="00FC7F1E">
        <w:t>average age of patients in Hagenacker 2020 was 36 years (n = 139), compared with 45 years in the SMA Australian member database, 2020 (n = 181). The resubmission estimated 27% with Type II SMA and 73% with Type III compared with 42% and 47%, respectively, in the SMA Australia member database (n = 182).</w:t>
      </w:r>
      <w:r w:rsidR="00ED04A8" w:rsidRPr="00FC7F1E">
        <w:t xml:space="preserve"> </w:t>
      </w:r>
    </w:p>
    <w:p w14:paraId="4895B0C8" w14:textId="77777777" w:rsidR="00576972" w:rsidRPr="00FC7F1E" w:rsidRDefault="00576972" w:rsidP="00606FBA">
      <w:pPr>
        <w:pStyle w:val="4-SubsectionHeading"/>
      </w:pPr>
      <w:bookmarkStart w:id="46" w:name="_Toc22897649"/>
      <w:bookmarkStart w:id="47" w:name="_Toc50701426"/>
      <w:r w:rsidRPr="00FC7F1E">
        <w:lastRenderedPageBreak/>
        <w:t>Financial Management – Risk Sharing Arrangements</w:t>
      </w:r>
      <w:bookmarkEnd w:id="46"/>
      <w:bookmarkEnd w:id="47"/>
    </w:p>
    <w:p w14:paraId="31ABC425" w14:textId="77777777" w:rsidR="00C060FF" w:rsidRPr="00FC7F1E" w:rsidRDefault="007D1CCB" w:rsidP="00F55976">
      <w:pPr>
        <w:pStyle w:val="3-BodyText"/>
      </w:pPr>
      <w:r w:rsidRPr="00FC7F1E">
        <w:t>T</w:t>
      </w:r>
      <w:r w:rsidR="00576972" w:rsidRPr="00FC7F1E">
        <w:t xml:space="preserve">he sponsor </w:t>
      </w:r>
      <w:r w:rsidRPr="00FC7F1E">
        <w:t xml:space="preserve">stated that </w:t>
      </w:r>
      <w:r w:rsidR="0099404B" w:rsidRPr="00FC7F1E">
        <w:t>it was</w:t>
      </w:r>
      <w:r w:rsidR="00576972" w:rsidRPr="00FC7F1E">
        <w:t xml:space="preserve"> willing to </w:t>
      </w:r>
      <w:r w:rsidR="00B93241" w:rsidRPr="00FC7F1E">
        <w:t xml:space="preserve">enter </w:t>
      </w:r>
      <w:r w:rsidR="00576972" w:rsidRPr="00FC7F1E">
        <w:t xml:space="preserve">a </w:t>
      </w:r>
      <w:r w:rsidR="0072093C" w:rsidRPr="00FC7F1E">
        <w:t>RSA</w:t>
      </w:r>
      <w:r w:rsidRPr="00FC7F1E">
        <w:t xml:space="preserve"> to manage uncertainty</w:t>
      </w:r>
      <w:r w:rsidR="00C060FF" w:rsidRPr="00FC7F1E">
        <w:t xml:space="preserve"> associated with the size of the adult SMA population and the uptake rate</w:t>
      </w:r>
      <w:r w:rsidR="00E51979" w:rsidRPr="00FC7F1E">
        <w:t>. The RSA proposed was a revision of</w:t>
      </w:r>
      <w:r w:rsidRPr="00FC7F1E">
        <w:t xml:space="preserve"> </w:t>
      </w:r>
      <w:r w:rsidR="0072093C" w:rsidRPr="00FC7F1E">
        <w:t xml:space="preserve">the existing </w:t>
      </w:r>
      <w:r w:rsidR="008E2DDA">
        <w:rPr>
          <w:noProof/>
          <w:color w:val="000000"/>
          <w:highlight w:val="black"/>
        </w:rPr>
        <w:t>'''''''''''''''''''' '''''''''' ''''''' ''''' '''''''''''' ''''''' ''''''''''''''' '''''''''</w:t>
      </w:r>
      <w:r w:rsidRPr="00FC7F1E">
        <w:t xml:space="preserve"> for adul</w:t>
      </w:r>
      <w:r w:rsidR="00E51979" w:rsidRPr="00FC7F1E">
        <w:t xml:space="preserve">t patients initiating treatment. </w:t>
      </w:r>
      <w:r w:rsidRPr="00FC7F1E">
        <w:t xml:space="preserve">The </w:t>
      </w:r>
      <w:r w:rsidR="008E2DDA">
        <w:rPr>
          <w:noProof/>
          <w:color w:val="000000"/>
          <w:highlight w:val="black"/>
        </w:rPr>
        <w:t>'''''''''''''''' ''''''''''''' ''''''''''</w:t>
      </w:r>
      <w:r w:rsidRPr="00FC7F1E">
        <w:t xml:space="preserve"> </w:t>
      </w:r>
      <w:r w:rsidR="0072093C" w:rsidRPr="00FC7F1E">
        <w:t>was</w:t>
      </w:r>
      <w:r w:rsidRPr="00FC7F1E">
        <w:t xml:space="preserve"> </w:t>
      </w:r>
      <w:r w:rsidR="0072093C" w:rsidRPr="00FC7F1E">
        <w:t xml:space="preserve">applied </w:t>
      </w:r>
      <w:r w:rsidRPr="00FC7F1E">
        <w:t xml:space="preserve">in the economic and financial analysis presented by the </w:t>
      </w:r>
      <w:r w:rsidR="00C21E01" w:rsidRPr="00FC7F1E">
        <w:t>re</w:t>
      </w:r>
      <w:r w:rsidRPr="00FC7F1E">
        <w:t>submission</w:t>
      </w:r>
      <w:r w:rsidR="00F55976" w:rsidRPr="00FC7F1E">
        <w:t xml:space="preserve"> (i.e. the </w:t>
      </w:r>
      <w:r w:rsidR="00710035" w:rsidRPr="00FC7F1E">
        <w:t xml:space="preserve">economic model and </w:t>
      </w:r>
      <w:r w:rsidR="00F55976" w:rsidRPr="00FC7F1E">
        <w:t xml:space="preserve">financial estimates were based on patients requiring </w:t>
      </w:r>
      <w:r w:rsidR="008E2DDA">
        <w:rPr>
          <w:noProof/>
          <w:color w:val="000000"/>
          <w:highlight w:val="black"/>
        </w:rPr>
        <w:t>'''''''''''' ''''''''''' ''''''''' '''''''''</w:t>
      </w:r>
      <w:r w:rsidR="00F55976" w:rsidRPr="00FC7F1E">
        <w:t>, loading doses)</w:t>
      </w:r>
      <w:r w:rsidR="00971D40" w:rsidRPr="00FC7F1E">
        <w:t xml:space="preserve"> and was proposed to be achieved by tracking initiating patients, as occurs for the existing listing</w:t>
      </w:r>
      <w:r w:rsidRPr="00FC7F1E">
        <w:t xml:space="preserve">. </w:t>
      </w:r>
    </w:p>
    <w:p w14:paraId="259090F7" w14:textId="77777777" w:rsidR="0099404B" w:rsidRPr="00FC7F1E" w:rsidRDefault="0099404B" w:rsidP="00F14AE9">
      <w:pPr>
        <w:spacing w:after="120"/>
        <w:ind w:left="255" w:hanging="255"/>
        <w:outlineLvl w:val="1"/>
        <w:rPr>
          <w:rFonts w:asciiTheme="minorHAnsi" w:eastAsiaTheme="majorEastAsia" w:hAnsiTheme="minorHAnsi" w:cstheme="majorBidi"/>
          <w:b/>
          <w:i/>
          <w:spacing w:val="5"/>
          <w:kern w:val="28"/>
          <w:sz w:val="28"/>
          <w:szCs w:val="36"/>
        </w:rPr>
      </w:pPr>
      <w:r w:rsidRPr="00FC7F1E">
        <w:rPr>
          <w:rFonts w:asciiTheme="minorHAnsi" w:eastAsiaTheme="majorEastAsia" w:hAnsiTheme="minorHAnsi" w:cstheme="majorBidi"/>
          <w:b/>
          <w:i/>
          <w:spacing w:val="5"/>
          <w:kern w:val="28"/>
          <w:sz w:val="28"/>
          <w:szCs w:val="36"/>
        </w:rPr>
        <w:t>Other relevant factors</w:t>
      </w:r>
    </w:p>
    <w:p w14:paraId="36161F2F" w14:textId="77777777" w:rsidR="00CC4192" w:rsidRPr="00FC7F1E" w:rsidRDefault="0099404B" w:rsidP="00947A90">
      <w:pPr>
        <w:pStyle w:val="3-BodyText"/>
        <w:rPr>
          <w:color w:val="000000" w:themeColor="text1"/>
        </w:rPr>
      </w:pPr>
      <w:r w:rsidRPr="00FC7F1E">
        <w:rPr>
          <w:color w:val="000000" w:themeColor="text1"/>
        </w:rPr>
        <w:t xml:space="preserve">The resubmission </w:t>
      </w:r>
      <w:r w:rsidR="003F3BAD" w:rsidRPr="00FC7F1E">
        <w:rPr>
          <w:color w:val="000000" w:themeColor="text1"/>
        </w:rPr>
        <w:t>state</w:t>
      </w:r>
      <w:r w:rsidRPr="00FC7F1E">
        <w:rPr>
          <w:color w:val="000000" w:themeColor="text1"/>
        </w:rPr>
        <w:t>d there is an inequity of access issue with the current listing since it precludes initiation of nusinersen in patients &gt;18 years in those with SMA symptom onset prior to 3 years of age (Type I, II or IIIa). The PSCR</w:t>
      </w:r>
      <w:r w:rsidR="00382D83">
        <w:rPr>
          <w:color w:val="000000" w:themeColor="text1"/>
        </w:rPr>
        <w:t xml:space="preserve"> </w:t>
      </w:r>
      <w:r w:rsidRPr="00FC7F1E">
        <w:rPr>
          <w:color w:val="000000" w:themeColor="text1"/>
        </w:rPr>
        <w:t>re-iterated this</w:t>
      </w:r>
      <w:r w:rsidR="00CF34DE" w:rsidRPr="00FC7F1E">
        <w:rPr>
          <w:color w:val="000000" w:themeColor="text1"/>
        </w:rPr>
        <w:t xml:space="preserve">, arguing </w:t>
      </w:r>
      <w:r w:rsidRPr="00FC7F1E">
        <w:rPr>
          <w:color w:val="000000" w:themeColor="text1"/>
        </w:rPr>
        <w:t>that</w:t>
      </w:r>
      <w:r w:rsidR="00CF34DE" w:rsidRPr="00FC7F1E">
        <w:rPr>
          <w:color w:val="000000" w:themeColor="text1"/>
        </w:rPr>
        <w:t xml:space="preserve"> the current restriction ‘is not equitable because the current age restriction is a barrier to access for SMA patients with the exact same clinical features born even just one day apart. It is not necessarily efficient because there are adult patients who have the capacity to benefit from treatment with nusinersen being denied access simply because of their date of birth.’ </w:t>
      </w:r>
      <w:r w:rsidR="00C9343F" w:rsidRPr="00FC7F1E">
        <w:rPr>
          <w:color w:val="000000" w:themeColor="text1"/>
        </w:rPr>
        <w:t>The ESC noted the equity issue raised by the PSCR. However, the ESC also noted that the strength of data and cost-effectiveness of an intervention can differ by sub-groups, which necessarily have specific thresholds defining membership of those sub-groups.</w:t>
      </w:r>
    </w:p>
    <w:p w14:paraId="09B7248C" w14:textId="77777777" w:rsidR="00987B69" w:rsidRPr="00FC7F1E" w:rsidRDefault="00987B69" w:rsidP="00987B69">
      <w:pPr>
        <w:rPr>
          <w:rFonts w:asciiTheme="minorHAnsi" w:hAnsiTheme="minorHAnsi"/>
          <w:i/>
          <w:snapToGrid w:val="0"/>
        </w:rPr>
      </w:pPr>
      <w:r w:rsidRPr="00FC7F1E">
        <w:rPr>
          <w:rFonts w:asciiTheme="minorHAnsi" w:hAnsiTheme="minorHAnsi"/>
          <w:i/>
          <w:snapToGrid w:val="0"/>
        </w:rPr>
        <w:t>For more detail on PBAC’s view, see section 7 PBAC outcome.</w:t>
      </w:r>
    </w:p>
    <w:p w14:paraId="5201B380" w14:textId="77777777" w:rsidR="00987B69" w:rsidRPr="00FC7F1E" w:rsidRDefault="000A1EFA" w:rsidP="00987B69">
      <w:pPr>
        <w:keepNext/>
        <w:widowControl w:val="0"/>
        <w:numPr>
          <w:ilvl w:val="0"/>
          <w:numId w:val="3"/>
        </w:numPr>
        <w:spacing w:before="240" w:after="120"/>
        <w:jc w:val="left"/>
        <w:outlineLvl w:val="0"/>
        <w:rPr>
          <w:rFonts w:asciiTheme="minorHAnsi" w:hAnsiTheme="minorHAnsi"/>
          <w:b/>
          <w:bCs/>
          <w:snapToGrid w:val="0"/>
          <w:sz w:val="32"/>
          <w:lang w:eastAsia="en-US"/>
        </w:rPr>
      </w:pPr>
      <w:r w:rsidRPr="00FC7F1E">
        <w:rPr>
          <w:rFonts w:asciiTheme="minorHAnsi" w:hAnsiTheme="minorHAnsi"/>
          <w:b/>
          <w:bCs/>
          <w:snapToGrid w:val="0"/>
          <w:sz w:val="32"/>
          <w:lang w:eastAsia="en-US"/>
        </w:rPr>
        <w:t>P</w:t>
      </w:r>
      <w:r w:rsidR="00987B69" w:rsidRPr="00FC7F1E">
        <w:rPr>
          <w:rFonts w:asciiTheme="minorHAnsi" w:hAnsiTheme="minorHAnsi"/>
          <w:b/>
          <w:bCs/>
          <w:snapToGrid w:val="0"/>
          <w:sz w:val="32"/>
          <w:lang w:eastAsia="en-US"/>
        </w:rPr>
        <w:t>BAC Outcome</w:t>
      </w:r>
    </w:p>
    <w:p w14:paraId="26500886" w14:textId="77777777" w:rsidR="00A457E1" w:rsidRPr="00FC7F1E" w:rsidRDefault="00A457E1" w:rsidP="00A457E1">
      <w:pPr>
        <w:pStyle w:val="3-BodyText"/>
        <w:rPr>
          <w:bCs/>
          <w:lang w:eastAsia="en-US"/>
        </w:rPr>
      </w:pPr>
      <w:r w:rsidRPr="00FC7F1E">
        <w:rPr>
          <w:bCs/>
          <w:lang w:eastAsia="en-US"/>
        </w:rPr>
        <w:t xml:space="preserve">The PBAC did not recommend extending the listing of nusinersen to include the treatment of spinal muscular atrophy (SMA) in patients with symptom onset prior to 19 years of age, and removal of the age limit of 18 years for initiation of treatment. The PBAC recognised the high clinical need for effective treatments for </w:t>
      </w:r>
      <w:r w:rsidR="0071603B" w:rsidRPr="00FC7F1E">
        <w:rPr>
          <w:bCs/>
          <w:lang w:eastAsia="en-US"/>
        </w:rPr>
        <w:t xml:space="preserve">adults with </w:t>
      </w:r>
      <w:r w:rsidRPr="00FC7F1E">
        <w:rPr>
          <w:bCs/>
          <w:lang w:eastAsia="en-US"/>
        </w:rPr>
        <w:t xml:space="preserve">SMA. However, the PBAC considered that the </w:t>
      </w:r>
      <w:r w:rsidR="00C72B36" w:rsidRPr="00FC7F1E">
        <w:rPr>
          <w:bCs/>
          <w:lang w:eastAsia="en-US"/>
        </w:rPr>
        <w:t>re</w:t>
      </w:r>
      <w:r w:rsidRPr="00FC7F1E">
        <w:rPr>
          <w:bCs/>
          <w:lang w:eastAsia="en-US"/>
        </w:rPr>
        <w:t xml:space="preserve">submission had not adequately defined the appropriate adult population for nusinersen and proposed convening a consultation with experts in the clinical management of adult SMA to help </w:t>
      </w:r>
      <w:r w:rsidR="0003288B" w:rsidRPr="00FC7F1E">
        <w:rPr>
          <w:bCs/>
          <w:lang w:eastAsia="en-US"/>
        </w:rPr>
        <w:t>resolve the specific issues associated with use of nusinersen in adult patients</w:t>
      </w:r>
      <w:r w:rsidRPr="00FC7F1E">
        <w:rPr>
          <w:bCs/>
          <w:lang w:eastAsia="en-US"/>
        </w:rPr>
        <w:t xml:space="preserve">. The PBAC considered the magnitude of the effect was difficult to quantify and the incremental cost effectiveness ratio (ICER) was </w:t>
      </w:r>
      <w:r w:rsidR="00CF4948">
        <w:rPr>
          <w:bCs/>
          <w:lang w:eastAsia="en-US"/>
        </w:rPr>
        <w:t xml:space="preserve">&gt;$1,055,000 </w:t>
      </w:r>
      <w:r w:rsidR="002F47E5">
        <w:rPr>
          <w:bCs/>
          <w:lang w:eastAsia="en-US"/>
        </w:rPr>
        <w:t xml:space="preserve">per QALY </w:t>
      </w:r>
      <w:r w:rsidRPr="00FC7F1E">
        <w:rPr>
          <w:bCs/>
          <w:lang w:eastAsia="en-US"/>
        </w:rPr>
        <w:t xml:space="preserve">and likely underestimated. </w:t>
      </w:r>
      <w:r w:rsidR="002F47E5">
        <w:rPr>
          <w:bCs/>
          <w:lang w:eastAsia="en-US"/>
        </w:rPr>
        <w:t>T</w:t>
      </w:r>
      <w:r w:rsidR="009560FB" w:rsidRPr="00FC7F1E">
        <w:rPr>
          <w:bCs/>
          <w:lang w:eastAsia="en-US"/>
        </w:rPr>
        <w:t xml:space="preserve">he PBAC considered there was a need for </w:t>
      </w:r>
      <w:r w:rsidR="009560FB" w:rsidRPr="00FC7F1E">
        <w:t xml:space="preserve">work to be progressed on a Decision Support Analysis as described below. </w:t>
      </w:r>
    </w:p>
    <w:p w14:paraId="6763BA0B" w14:textId="77777777" w:rsidR="0071603B" w:rsidRPr="00FC7F1E" w:rsidRDefault="0071603B" w:rsidP="0071603B">
      <w:pPr>
        <w:pStyle w:val="3-BodyText"/>
        <w:rPr>
          <w:bCs/>
          <w:lang w:eastAsia="en-US"/>
        </w:rPr>
      </w:pPr>
      <w:r w:rsidRPr="00FC7F1E">
        <w:rPr>
          <w:bCs/>
          <w:lang w:eastAsia="en-US"/>
        </w:rPr>
        <w:t>The PBAC considered that, rather than removing criteria around age, alternative criteria could be considered that identify patients most likely to benefit (e.g. based on level or type of disability). Specialist clinical input would be required to help determine such criteria and thus define the appropriate patient population.</w:t>
      </w:r>
    </w:p>
    <w:p w14:paraId="77E52F21" w14:textId="77777777" w:rsidR="0071603B" w:rsidRPr="00FC7F1E" w:rsidRDefault="000A1EFA" w:rsidP="001F0106">
      <w:pPr>
        <w:pStyle w:val="3-BodyText"/>
        <w:rPr>
          <w:bCs/>
          <w:lang w:eastAsia="en-US"/>
        </w:rPr>
      </w:pPr>
      <w:r w:rsidRPr="00FC7F1E">
        <w:rPr>
          <w:bCs/>
          <w:lang w:eastAsia="en-US"/>
        </w:rPr>
        <w:lastRenderedPageBreak/>
        <w:t>The PBAC agreed with the ESC that s</w:t>
      </w:r>
      <w:r w:rsidR="0071603B" w:rsidRPr="00FC7F1E">
        <w:rPr>
          <w:bCs/>
          <w:lang w:eastAsia="en-US"/>
        </w:rPr>
        <w:t xml:space="preserve">pecialist clinical input will also be required for a number of other aspects of the restriction, including to help determine: </w:t>
      </w:r>
    </w:p>
    <w:p w14:paraId="2E4DFDD9" w14:textId="77777777" w:rsidR="0071603B" w:rsidRPr="00FC7F1E" w:rsidRDefault="0071603B" w:rsidP="001F0106">
      <w:pPr>
        <w:pStyle w:val="3-BodyText"/>
        <w:numPr>
          <w:ilvl w:val="0"/>
          <w:numId w:val="5"/>
        </w:numPr>
        <w:spacing w:after="0"/>
        <w:ind w:left="993" w:hanging="284"/>
        <w:rPr>
          <w:bCs/>
          <w:lang w:eastAsia="en-US"/>
        </w:rPr>
      </w:pPr>
      <w:r w:rsidRPr="00FC7F1E">
        <w:rPr>
          <w:bCs/>
          <w:lang w:eastAsia="en-US"/>
        </w:rPr>
        <w:t xml:space="preserve">continuation criteria, given that 3.5% to 13% of patients may still experience </w:t>
      </w:r>
      <w:r w:rsidR="002F47E5">
        <w:rPr>
          <w:bCs/>
          <w:lang w:eastAsia="en-US"/>
        </w:rPr>
        <w:t xml:space="preserve">a </w:t>
      </w:r>
      <w:r w:rsidRPr="00FC7F1E">
        <w:rPr>
          <w:bCs/>
          <w:lang w:eastAsia="en-US"/>
        </w:rPr>
        <w:t>decline in motor function, upper limb strength or in distance walked in the six-</w:t>
      </w:r>
      <w:r w:rsidRPr="00FC7F1E">
        <w:t>minute</w:t>
      </w:r>
      <w:r w:rsidRPr="00FC7F1E">
        <w:rPr>
          <w:bCs/>
          <w:lang w:eastAsia="en-US"/>
        </w:rPr>
        <w:t xml:space="preserve"> walk test (6MWT) despite being treated with nusinersen; </w:t>
      </w:r>
    </w:p>
    <w:p w14:paraId="0110473A" w14:textId="77777777" w:rsidR="0071603B" w:rsidRPr="00FC7F1E" w:rsidRDefault="0071603B" w:rsidP="001F0106">
      <w:pPr>
        <w:pStyle w:val="3-BodyText"/>
        <w:numPr>
          <w:ilvl w:val="0"/>
          <w:numId w:val="5"/>
        </w:numPr>
        <w:spacing w:after="0"/>
        <w:ind w:left="993" w:hanging="284"/>
        <w:rPr>
          <w:bCs/>
          <w:lang w:eastAsia="en-US"/>
        </w:rPr>
      </w:pPr>
      <w:r w:rsidRPr="00FC7F1E">
        <w:t>the</w:t>
      </w:r>
      <w:r w:rsidRPr="00FC7F1E">
        <w:rPr>
          <w:bCs/>
          <w:lang w:eastAsia="en-US"/>
        </w:rPr>
        <w:t xml:space="preserve"> appropriate prescriber/treatment setting for adult patients; and</w:t>
      </w:r>
    </w:p>
    <w:p w14:paraId="688923EE" w14:textId="77777777" w:rsidR="0071603B" w:rsidRPr="00FC7F1E" w:rsidRDefault="0071603B" w:rsidP="001F0106">
      <w:pPr>
        <w:pStyle w:val="3-BodyText"/>
        <w:numPr>
          <w:ilvl w:val="0"/>
          <w:numId w:val="5"/>
        </w:numPr>
        <w:ind w:left="993" w:hanging="284"/>
        <w:rPr>
          <w:bCs/>
          <w:lang w:eastAsia="en-US"/>
        </w:rPr>
      </w:pPr>
      <w:r w:rsidRPr="00FC7F1E">
        <w:rPr>
          <w:bCs/>
          <w:lang w:eastAsia="en-US"/>
        </w:rPr>
        <w:t>issues around combination therapy with other treatments for SMA.</w:t>
      </w:r>
    </w:p>
    <w:p w14:paraId="70345393" w14:textId="77777777" w:rsidR="0071603B" w:rsidRPr="00FC7F1E" w:rsidRDefault="0071603B" w:rsidP="00410F1E">
      <w:pPr>
        <w:pStyle w:val="3-BodyText"/>
        <w:rPr>
          <w:bCs/>
          <w:lang w:eastAsia="en-US"/>
        </w:rPr>
      </w:pPr>
      <w:r w:rsidRPr="00FC7F1E">
        <w:rPr>
          <w:bCs/>
          <w:lang w:eastAsia="en-US"/>
        </w:rPr>
        <w:t>As such, the PBAC considered that further clarity on the clinical place of nusinersen in a broader population of patients with Types I, II or III SMA is required to inform the appropriate initial and continuing restriction criteria, appropriate population, cost-effectiveness and financial implications of broadening the listing of nusinersen.</w:t>
      </w:r>
    </w:p>
    <w:p w14:paraId="22772C36" w14:textId="77777777" w:rsidR="0071603B" w:rsidRPr="00FC7F1E" w:rsidRDefault="0071603B" w:rsidP="001F0106">
      <w:pPr>
        <w:widowControl w:val="0"/>
        <w:numPr>
          <w:ilvl w:val="1"/>
          <w:numId w:val="3"/>
        </w:numPr>
        <w:spacing w:after="120"/>
        <w:rPr>
          <w:rFonts w:asciiTheme="minorHAnsi" w:hAnsiTheme="minorHAnsi"/>
          <w:bCs/>
          <w:snapToGrid w:val="0"/>
          <w:lang w:eastAsia="en-US"/>
        </w:rPr>
      </w:pPr>
      <w:r w:rsidRPr="00FC7F1E">
        <w:rPr>
          <w:rFonts w:asciiTheme="minorHAnsi" w:hAnsiTheme="minorHAnsi"/>
          <w:bCs/>
          <w:snapToGrid w:val="0"/>
          <w:lang w:eastAsia="en-US"/>
        </w:rPr>
        <w:t xml:space="preserve">The PBAC considered that the nominated comparator, standard care, was appropriate. The PBAC also </w:t>
      </w:r>
      <w:r w:rsidR="008B5C6C" w:rsidRPr="00FC7F1E">
        <w:rPr>
          <w:rFonts w:asciiTheme="minorHAnsi" w:hAnsiTheme="minorHAnsi"/>
          <w:bCs/>
          <w:snapToGrid w:val="0"/>
          <w:lang w:eastAsia="en-US"/>
        </w:rPr>
        <w:t>not</w:t>
      </w:r>
      <w:r w:rsidRPr="00FC7F1E">
        <w:rPr>
          <w:rFonts w:asciiTheme="minorHAnsi" w:hAnsiTheme="minorHAnsi"/>
          <w:bCs/>
          <w:snapToGrid w:val="0"/>
          <w:lang w:eastAsia="en-US"/>
        </w:rPr>
        <w:t xml:space="preserve">ed that </w:t>
      </w:r>
      <w:r w:rsidR="008B5C6C" w:rsidRPr="00FC7F1E">
        <w:rPr>
          <w:rFonts w:asciiTheme="minorHAnsi" w:hAnsiTheme="minorHAnsi"/>
          <w:bCs/>
          <w:snapToGrid w:val="0"/>
          <w:lang w:eastAsia="en-US"/>
        </w:rPr>
        <w:t xml:space="preserve">risdiplam was </w:t>
      </w:r>
      <w:r w:rsidR="008B5C6C" w:rsidRPr="00FC7F1E">
        <w:t>registered by the FDA on 7 August 2020 for use in patients 2 months of age and older</w:t>
      </w:r>
      <w:r w:rsidR="008B5C6C" w:rsidRPr="00FC7F1E">
        <w:rPr>
          <w:rFonts w:asciiTheme="minorHAnsi" w:hAnsiTheme="minorHAnsi"/>
          <w:bCs/>
          <w:snapToGrid w:val="0"/>
          <w:lang w:eastAsia="en-US"/>
        </w:rPr>
        <w:t>.</w:t>
      </w:r>
    </w:p>
    <w:p w14:paraId="50E7C631" w14:textId="77777777" w:rsidR="008B5C6C" w:rsidRPr="00FC7F1E" w:rsidRDefault="0071603B" w:rsidP="001F0106">
      <w:pPr>
        <w:widowControl w:val="0"/>
        <w:numPr>
          <w:ilvl w:val="1"/>
          <w:numId w:val="3"/>
        </w:numPr>
        <w:spacing w:after="120"/>
        <w:rPr>
          <w:color w:val="000000" w:themeColor="text1"/>
        </w:rPr>
      </w:pPr>
      <w:r w:rsidRPr="00FC7F1E">
        <w:rPr>
          <w:color w:val="000000" w:themeColor="text1"/>
        </w:rPr>
        <w:t xml:space="preserve">The </w:t>
      </w:r>
      <w:r w:rsidR="008B5C6C" w:rsidRPr="00FC7F1E">
        <w:rPr>
          <w:color w:val="000000" w:themeColor="text1"/>
        </w:rPr>
        <w:t xml:space="preserve">PBAC noted that the </w:t>
      </w:r>
      <w:r w:rsidRPr="00FC7F1E">
        <w:rPr>
          <w:color w:val="000000" w:themeColor="text1"/>
        </w:rPr>
        <w:t xml:space="preserve">proposed restriction includes initiation of nusinersen in three new patient populations: </w:t>
      </w:r>
    </w:p>
    <w:p w14:paraId="66AB36F1" w14:textId="77777777" w:rsidR="008B5C6C" w:rsidRPr="00FC7F1E" w:rsidRDefault="0071603B" w:rsidP="001F0106">
      <w:pPr>
        <w:pStyle w:val="ListParagraph"/>
        <w:widowControl w:val="0"/>
        <w:numPr>
          <w:ilvl w:val="1"/>
          <w:numId w:val="12"/>
        </w:numPr>
        <w:ind w:left="1559" w:hanging="567"/>
        <w:contextualSpacing/>
        <w:rPr>
          <w:color w:val="000000" w:themeColor="text1"/>
        </w:rPr>
      </w:pPr>
      <w:r w:rsidRPr="00FC7F1E">
        <w:rPr>
          <w:color w:val="000000" w:themeColor="text1"/>
        </w:rPr>
        <w:t xml:space="preserve">patients &gt;18 years with SMA symptom onset prior to 3 years of age (Type I, II or IIIa); </w:t>
      </w:r>
    </w:p>
    <w:p w14:paraId="5167A007" w14:textId="77777777" w:rsidR="008B5C6C" w:rsidRPr="00FC7F1E" w:rsidRDefault="0071603B" w:rsidP="000A1EFA">
      <w:pPr>
        <w:pStyle w:val="ListParagraph"/>
        <w:widowControl w:val="0"/>
        <w:numPr>
          <w:ilvl w:val="1"/>
          <w:numId w:val="12"/>
        </w:numPr>
        <w:ind w:left="1559" w:hanging="567"/>
        <w:contextualSpacing/>
        <w:rPr>
          <w:color w:val="000000" w:themeColor="text1"/>
        </w:rPr>
      </w:pPr>
      <w:r w:rsidRPr="00FC7F1E">
        <w:rPr>
          <w:color w:val="000000" w:themeColor="text1"/>
        </w:rPr>
        <w:t xml:space="preserve">patients &gt;18 years with SMA symptom onset between 3 and 18 years of age (Type IIIb); and </w:t>
      </w:r>
    </w:p>
    <w:p w14:paraId="0F731CA4" w14:textId="77777777" w:rsidR="008B5C6C" w:rsidRPr="00FC7F1E" w:rsidRDefault="0071603B" w:rsidP="000A1EFA">
      <w:pPr>
        <w:pStyle w:val="ListParagraph"/>
        <w:widowControl w:val="0"/>
        <w:numPr>
          <w:ilvl w:val="1"/>
          <w:numId w:val="12"/>
        </w:numPr>
        <w:ind w:left="1559" w:hanging="567"/>
        <w:contextualSpacing/>
        <w:rPr>
          <w:color w:val="000000" w:themeColor="text1"/>
        </w:rPr>
      </w:pPr>
      <w:r w:rsidRPr="00FC7F1E">
        <w:rPr>
          <w:color w:val="000000" w:themeColor="text1"/>
        </w:rPr>
        <w:t xml:space="preserve">patients </w:t>
      </w:r>
      <w:r w:rsidRPr="00FC7F1E">
        <w:rPr>
          <w:rFonts w:cstheme="minorHAnsi"/>
          <w:color w:val="000000" w:themeColor="text1"/>
        </w:rPr>
        <w:t>≤</w:t>
      </w:r>
      <w:r w:rsidRPr="00FC7F1E">
        <w:rPr>
          <w:color w:val="000000" w:themeColor="text1"/>
        </w:rPr>
        <w:t xml:space="preserve">18 years with SMA symptom onset between 3 and 18 years of age (Type IIIb). </w:t>
      </w:r>
    </w:p>
    <w:p w14:paraId="4E1E68DD" w14:textId="77777777" w:rsidR="0071603B" w:rsidRPr="00FC7F1E" w:rsidRDefault="0071603B" w:rsidP="008B5C6C">
      <w:pPr>
        <w:widowControl w:val="0"/>
        <w:spacing w:after="120"/>
        <w:ind w:left="720"/>
        <w:rPr>
          <w:color w:val="000000" w:themeColor="text1"/>
        </w:rPr>
      </w:pPr>
      <w:r w:rsidRPr="00FC7F1E">
        <w:rPr>
          <w:color w:val="000000" w:themeColor="text1"/>
        </w:rPr>
        <w:t xml:space="preserve">Clinical evidence in the form of non-comparative single arm studies was only provided for the first two patient populations. </w:t>
      </w:r>
    </w:p>
    <w:p w14:paraId="7FA9C358" w14:textId="77777777" w:rsidR="003468B0" w:rsidRPr="00FC7F1E" w:rsidRDefault="008B5C6C" w:rsidP="003468B0">
      <w:pPr>
        <w:pStyle w:val="3-BodyText"/>
      </w:pPr>
      <w:r w:rsidRPr="00FC7F1E">
        <w:t xml:space="preserve">The PBAC considered that </w:t>
      </w:r>
      <w:r w:rsidR="001F0106" w:rsidRPr="00FC7F1E">
        <w:rPr>
          <w:rFonts w:eastAsia="Calibri"/>
        </w:rPr>
        <w:t xml:space="preserve">the incremental benefit of nusinersen in the requested population was unclear </w:t>
      </w:r>
      <w:r w:rsidR="001F0106" w:rsidRPr="00FC7F1E">
        <w:t>due to the:</w:t>
      </w:r>
      <w:r w:rsidR="0071603B" w:rsidRPr="00FC7F1E">
        <w:t xml:space="preserve"> </w:t>
      </w:r>
      <w:r w:rsidR="003468B0" w:rsidRPr="00FC7F1E">
        <w:t xml:space="preserve">lack of randomised comparative data </w:t>
      </w:r>
      <w:r w:rsidR="002B5843" w:rsidRPr="00FC7F1E">
        <w:t>and lack of</w:t>
      </w:r>
      <w:r w:rsidR="003468B0" w:rsidRPr="00FC7F1E">
        <w:t xml:space="preserve"> statistical analyses for the indirect naïve comparisons presented; </w:t>
      </w:r>
      <w:r w:rsidR="0071603B" w:rsidRPr="00FC7F1E">
        <w:t>lack of transitivity</w:t>
      </w:r>
      <w:r w:rsidR="003468B0" w:rsidRPr="00FC7F1E">
        <w:t xml:space="preserve"> between studies,</w:t>
      </w:r>
      <w:r w:rsidR="0071603B" w:rsidRPr="00FC7F1E">
        <w:t xml:space="preserve"> particularly for the studies used to support the outcome of HFMSE</w:t>
      </w:r>
      <w:r w:rsidR="002B5843" w:rsidRPr="00FC7F1E">
        <w:rPr>
          <w:rFonts w:ascii="Calibri" w:hAnsi="Calibri"/>
          <w:snapToGrid/>
          <w:color w:val="000000" w:themeColor="text1"/>
        </w:rPr>
        <w:t xml:space="preserve"> </w:t>
      </w:r>
      <w:r w:rsidR="00FC1118" w:rsidRPr="00FC7F1E">
        <w:rPr>
          <w:rFonts w:ascii="Calibri" w:hAnsi="Calibri"/>
          <w:snapToGrid/>
          <w:color w:val="000000" w:themeColor="text1"/>
        </w:rPr>
        <w:t xml:space="preserve">noting </w:t>
      </w:r>
      <w:r w:rsidR="002B5843" w:rsidRPr="00FC7F1E">
        <w:rPr>
          <w:rFonts w:ascii="Calibri" w:hAnsi="Calibri"/>
          <w:snapToGrid/>
          <w:color w:val="000000" w:themeColor="text1"/>
        </w:rPr>
        <w:t>the unknown impact of variables such as ambulant / non ambulant status, age of patient and rate of decline across types of SMA</w:t>
      </w:r>
      <w:r w:rsidR="0071603B" w:rsidRPr="00FC7F1E">
        <w:t xml:space="preserve">; </w:t>
      </w:r>
      <w:r w:rsidR="003468B0" w:rsidRPr="00FC7F1E">
        <w:t xml:space="preserve">the potential for a placebo effect; </w:t>
      </w:r>
      <w:r w:rsidR="0071603B" w:rsidRPr="00FC7F1E">
        <w:t>and</w:t>
      </w:r>
      <w:r w:rsidR="003468B0" w:rsidRPr="00FC7F1E">
        <w:t xml:space="preserve"> the</w:t>
      </w:r>
      <w:r w:rsidR="0071603B" w:rsidRPr="00FC7F1E">
        <w:t xml:space="preserve"> </w:t>
      </w:r>
      <w:r w:rsidR="003468B0" w:rsidRPr="00FC7F1E">
        <w:t>inappropriate exclusion of studies</w:t>
      </w:r>
      <w:r w:rsidR="00FC7F1E">
        <w:t xml:space="preserve">. </w:t>
      </w:r>
    </w:p>
    <w:p w14:paraId="2EB7F7BD" w14:textId="77777777" w:rsidR="0071603B" w:rsidRPr="00FC7F1E" w:rsidRDefault="003468B0" w:rsidP="003468B0">
      <w:pPr>
        <w:pStyle w:val="3-BodyText"/>
      </w:pPr>
      <w:r w:rsidRPr="00FC7F1E">
        <w:t xml:space="preserve">The PBAC noted the short duration of follow-up in the included studies in the context of long-term treatment and </w:t>
      </w:r>
      <w:r w:rsidRPr="00FC7F1E">
        <w:rPr>
          <w:rFonts w:eastAsia="Calibri"/>
        </w:rPr>
        <w:t xml:space="preserve">considered that the durability of response with nusinersen in adults with SMA was unknown. While additional </w:t>
      </w:r>
      <w:r w:rsidR="002772A5" w:rsidRPr="00FC7F1E">
        <w:rPr>
          <w:rFonts w:eastAsia="Calibri"/>
        </w:rPr>
        <w:t>information</w:t>
      </w:r>
      <w:r w:rsidRPr="00FC7F1E">
        <w:rPr>
          <w:rFonts w:eastAsia="Calibri"/>
        </w:rPr>
        <w:t xml:space="preserve"> regarding longer-term follow-up from </w:t>
      </w:r>
      <w:r w:rsidRPr="00FC7F1E">
        <w:t xml:space="preserve">Hagenacker 2020 were </w:t>
      </w:r>
      <w:r w:rsidR="002772A5" w:rsidRPr="00FC7F1E">
        <w:t>stated</w:t>
      </w:r>
      <w:r w:rsidRPr="00FC7F1E">
        <w:t xml:space="preserve"> in the pre-PBAC response (and at the </w:t>
      </w:r>
      <w:r w:rsidR="002F47E5">
        <w:t xml:space="preserve">sponsor </w:t>
      </w:r>
      <w:r w:rsidRPr="00FC7F1E">
        <w:t>hearing), the PBAC noted that these data were not provided and could not be analysed.</w:t>
      </w:r>
    </w:p>
    <w:p w14:paraId="62A7CF5F" w14:textId="77777777" w:rsidR="0071603B" w:rsidRPr="00FC7F1E" w:rsidRDefault="0071603B" w:rsidP="008B5C6C">
      <w:pPr>
        <w:widowControl w:val="0"/>
        <w:numPr>
          <w:ilvl w:val="1"/>
          <w:numId w:val="3"/>
        </w:numPr>
        <w:spacing w:after="120"/>
      </w:pPr>
      <w:r w:rsidRPr="00FC7F1E">
        <w:t xml:space="preserve">Further, the </w:t>
      </w:r>
      <w:r w:rsidR="008B5C6C" w:rsidRPr="00FC7F1E">
        <w:t xml:space="preserve">PBAC </w:t>
      </w:r>
      <w:r w:rsidRPr="00FC7F1E">
        <w:t xml:space="preserve">considered that the importance of the outcomes relied on in the submission, in terms of clinically meaningful benefits for adult patients with SMA, was </w:t>
      </w:r>
      <w:r w:rsidRPr="00FC7F1E">
        <w:lastRenderedPageBreak/>
        <w:t xml:space="preserve">unclear and that specialist clinical input may be required to better understand the clinical significance of the outcomes in adults. </w:t>
      </w:r>
    </w:p>
    <w:p w14:paraId="5ACB54D0" w14:textId="77777777" w:rsidR="001F0106" w:rsidRPr="00FC7F1E" w:rsidRDefault="001F0106" w:rsidP="001F0106">
      <w:pPr>
        <w:pStyle w:val="3-BodyText"/>
        <w:rPr>
          <w:rFonts w:eastAsia="Calibri"/>
        </w:rPr>
      </w:pPr>
      <w:r w:rsidRPr="00FC7F1E">
        <w:rPr>
          <w:rFonts w:eastAsia="Calibri"/>
        </w:rPr>
        <w:t xml:space="preserve">The PBAC considered that, while the claim of superior comparative effectiveness </w:t>
      </w:r>
      <w:r w:rsidRPr="00FC7F1E">
        <w:rPr>
          <w:color w:val="000000" w:themeColor="text1"/>
        </w:rPr>
        <w:t xml:space="preserve">compared to standard of care </w:t>
      </w:r>
      <w:r w:rsidRPr="00FC7F1E">
        <w:rPr>
          <w:rFonts w:eastAsia="Calibri"/>
        </w:rPr>
        <w:t xml:space="preserve">was reasonable, the magnitude </w:t>
      </w:r>
      <w:r w:rsidR="00D11873" w:rsidRPr="00FC7F1E">
        <w:rPr>
          <w:rFonts w:eastAsia="Calibri"/>
        </w:rPr>
        <w:t>and</w:t>
      </w:r>
      <w:r w:rsidRPr="00FC7F1E">
        <w:rPr>
          <w:rFonts w:eastAsia="Calibri"/>
        </w:rPr>
        <w:t xml:space="preserve"> durability of benefit was not able to be quantified based on the data presented. </w:t>
      </w:r>
    </w:p>
    <w:p w14:paraId="45819F95" w14:textId="77777777" w:rsidR="001F0106" w:rsidRPr="00FC7F1E" w:rsidRDefault="001F0106" w:rsidP="001F0106">
      <w:pPr>
        <w:pStyle w:val="3-BodyText"/>
        <w:rPr>
          <w:rFonts w:eastAsia="Calibri"/>
        </w:rPr>
      </w:pPr>
      <w:r w:rsidRPr="00FC7F1E">
        <w:rPr>
          <w:rFonts w:eastAsia="Calibri"/>
        </w:rPr>
        <w:t xml:space="preserve">The PBAC considered that the claim of non-inferior comparative safety was not adequately supported by the data, reiterating its previous consideration that </w:t>
      </w:r>
      <w:r w:rsidRPr="00FC7F1E">
        <w:t>there may be long term implications from repeated lumbar puncture administrations</w:t>
      </w:r>
      <w:r w:rsidRPr="00FC7F1E">
        <w:rPr>
          <w:rFonts w:eastAsia="Calibri"/>
        </w:rPr>
        <w:t>.</w:t>
      </w:r>
    </w:p>
    <w:p w14:paraId="18D3DFD0" w14:textId="77777777" w:rsidR="00FC1118" w:rsidRPr="00FC7F1E" w:rsidRDefault="00FC1118" w:rsidP="00FC1118">
      <w:pPr>
        <w:widowControl w:val="0"/>
        <w:numPr>
          <w:ilvl w:val="1"/>
          <w:numId w:val="3"/>
        </w:numPr>
        <w:spacing w:after="120"/>
      </w:pPr>
      <w:r w:rsidRPr="00FC7F1E">
        <w:t xml:space="preserve">The resubmission stated that it intended to submit data from </w:t>
      </w:r>
      <w:r w:rsidRPr="00FC7F1E">
        <w:rPr>
          <w:szCs w:val="32"/>
        </w:rPr>
        <w:t>a planned analysis of three prospective, multi-centre, non-randomised registries that are designed to collect longitudinal data on SMA patients irrespective of the treatment received. However, this information remained unavailable at the time of the pre-PBAC response. Overall, t</w:t>
      </w:r>
      <w:r w:rsidRPr="00FC7F1E">
        <w:t xml:space="preserve">he PBAC noted that further data may become available in the </w:t>
      </w:r>
      <w:r w:rsidR="00984FD8" w:rsidRPr="00FC7F1E">
        <w:t xml:space="preserve">near </w:t>
      </w:r>
      <w:r w:rsidRPr="00FC7F1E">
        <w:t xml:space="preserve">future which may help address some of the aforementioned issues. </w:t>
      </w:r>
    </w:p>
    <w:p w14:paraId="133DE962" w14:textId="77777777" w:rsidR="00D609BD" w:rsidRPr="00FC7F1E" w:rsidRDefault="00D609BD" w:rsidP="00D609BD">
      <w:pPr>
        <w:pStyle w:val="3-BodyText"/>
        <w:rPr>
          <w:rFonts w:eastAsia="Calibri"/>
        </w:rPr>
      </w:pPr>
      <w:r w:rsidRPr="00FC7F1E">
        <w:rPr>
          <w:rFonts w:eastAsia="Calibri"/>
        </w:rPr>
        <w:t xml:space="preserve">The PBAC agreed with the </w:t>
      </w:r>
      <w:r w:rsidR="003E7FC1" w:rsidRPr="00FC7F1E">
        <w:rPr>
          <w:rFonts w:eastAsia="Calibri"/>
        </w:rPr>
        <w:t xml:space="preserve">evaluation and </w:t>
      </w:r>
      <w:r w:rsidRPr="00FC7F1E">
        <w:rPr>
          <w:rFonts w:eastAsia="Calibri"/>
        </w:rPr>
        <w:t xml:space="preserve">ESC that the economic model was highly uncertain </w:t>
      </w:r>
      <w:r w:rsidR="004B5A8A" w:rsidRPr="00FC7F1E">
        <w:rPr>
          <w:rFonts w:eastAsia="Calibri"/>
        </w:rPr>
        <w:t>as outlined in the ‘economic analysis</w:t>
      </w:r>
      <w:r w:rsidR="003E7FC1" w:rsidRPr="00FC7F1E">
        <w:rPr>
          <w:rFonts w:eastAsia="Calibri"/>
        </w:rPr>
        <w:t>’</w:t>
      </w:r>
      <w:r w:rsidR="004B5A8A" w:rsidRPr="00FC7F1E">
        <w:rPr>
          <w:rFonts w:eastAsia="Calibri"/>
        </w:rPr>
        <w:t xml:space="preserve"> section. The PBAC considered the key issues included</w:t>
      </w:r>
      <w:r w:rsidRPr="00FC7F1E">
        <w:rPr>
          <w:rFonts w:eastAsia="Calibri"/>
        </w:rPr>
        <w:t>:</w:t>
      </w:r>
    </w:p>
    <w:p w14:paraId="492F1EA1" w14:textId="77777777" w:rsidR="00D609BD" w:rsidRPr="00FC7F1E" w:rsidRDefault="005B073E" w:rsidP="00D609BD">
      <w:pPr>
        <w:pStyle w:val="3-BodyText"/>
        <w:numPr>
          <w:ilvl w:val="0"/>
          <w:numId w:val="5"/>
        </w:numPr>
        <w:spacing w:after="0"/>
        <w:ind w:left="993" w:hanging="284"/>
        <w:rPr>
          <w:rFonts w:eastAsia="Calibri"/>
        </w:rPr>
      </w:pPr>
      <w:r w:rsidRPr="00FC7F1E">
        <w:rPr>
          <w:rFonts w:eastAsia="Calibri"/>
        </w:rPr>
        <w:t>T</w:t>
      </w:r>
      <w:r w:rsidR="00D609BD" w:rsidRPr="00FC7F1E">
        <w:rPr>
          <w:rFonts w:eastAsia="Calibri"/>
        </w:rPr>
        <w:t xml:space="preserve">he transition probabilities, the estimates of resource use, and the expected duration of benefit of nusinersen were not derived from the clinical data presented in the comparative effectiveness section. The resubmission’s estimated values for these favoured nusinersen and therefore the </w:t>
      </w:r>
      <w:r w:rsidRPr="00FC7F1E">
        <w:rPr>
          <w:rFonts w:eastAsia="Calibri"/>
        </w:rPr>
        <w:t xml:space="preserve">PBAC considered the </w:t>
      </w:r>
      <w:r w:rsidR="00D609BD" w:rsidRPr="00FC7F1E">
        <w:rPr>
          <w:rFonts w:eastAsia="Calibri"/>
        </w:rPr>
        <w:t xml:space="preserve">ICER was </w:t>
      </w:r>
      <w:r w:rsidR="00A42268">
        <w:rPr>
          <w:rFonts w:eastAsia="Calibri"/>
        </w:rPr>
        <w:t xml:space="preserve">likely to have been </w:t>
      </w:r>
      <w:r w:rsidR="00D609BD" w:rsidRPr="00FC7F1E">
        <w:rPr>
          <w:rFonts w:eastAsia="Calibri"/>
        </w:rPr>
        <w:t xml:space="preserve">significantly underestimated. In particular, the resubmission’s estimation of the rate of progression in the standard of care arm contained calculation errors and </w:t>
      </w:r>
      <w:r w:rsidR="003E7FC1" w:rsidRPr="00FC7F1E">
        <w:rPr>
          <w:rFonts w:eastAsia="Calibri"/>
        </w:rPr>
        <w:t>appeared to</w:t>
      </w:r>
      <w:r w:rsidR="00D609BD" w:rsidRPr="00FC7F1E">
        <w:rPr>
          <w:rFonts w:eastAsia="Calibri"/>
        </w:rPr>
        <w:t xml:space="preserve"> have been substantially overestimated. </w:t>
      </w:r>
    </w:p>
    <w:p w14:paraId="2FB6F203" w14:textId="77777777" w:rsidR="00D609BD" w:rsidRPr="00FC7F1E" w:rsidRDefault="005B073E" w:rsidP="00D609BD">
      <w:pPr>
        <w:pStyle w:val="3-BodyText"/>
        <w:numPr>
          <w:ilvl w:val="0"/>
          <w:numId w:val="5"/>
        </w:numPr>
        <w:spacing w:after="0"/>
        <w:ind w:left="993" w:hanging="284"/>
        <w:rPr>
          <w:rFonts w:eastAsia="Calibri"/>
        </w:rPr>
      </w:pPr>
      <w:r w:rsidRPr="00FC7F1E">
        <w:rPr>
          <w:rFonts w:eastAsia="Calibri"/>
        </w:rPr>
        <w:t>T</w:t>
      </w:r>
      <w:r w:rsidR="00D609BD" w:rsidRPr="00FC7F1E">
        <w:rPr>
          <w:rFonts w:eastAsia="Calibri"/>
        </w:rPr>
        <w:t xml:space="preserve">he assumption that the benefit of nusinersen would continue indefinitely for patients remaining on treatment and that all patients who progress on treatment would cease treatment were not </w:t>
      </w:r>
      <w:r w:rsidR="00336B21" w:rsidRPr="00FC7F1E">
        <w:rPr>
          <w:rFonts w:eastAsia="Calibri"/>
        </w:rPr>
        <w:t xml:space="preserve">adequately </w:t>
      </w:r>
      <w:r w:rsidR="00D609BD" w:rsidRPr="00FC7F1E">
        <w:rPr>
          <w:rFonts w:eastAsia="Calibri"/>
        </w:rPr>
        <w:t xml:space="preserve">substantiated. </w:t>
      </w:r>
    </w:p>
    <w:p w14:paraId="186F29AB" w14:textId="77777777" w:rsidR="00D609BD" w:rsidRPr="00FC7F1E" w:rsidRDefault="00D609BD" w:rsidP="00D32494">
      <w:pPr>
        <w:pStyle w:val="3-BodyText"/>
        <w:numPr>
          <w:ilvl w:val="0"/>
          <w:numId w:val="5"/>
        </w:numPr>
        <w:spacing w:after="0"/>
        <w:ind w:left="993" w:hanging="284"/>
        <w:rPr>
          <w:rFonts w:eastAsia="Calibri"/>
        </w:rPr>
      </w:pPr>
      <w:r w:rsidRPr="00FC7F1E">
        <w:rPr>
          <w:rFonts w:eastAsia="Calibri"/>
        </w:rPr>
        <w:t xml:space="preserve">The appropriateness of the utility weights </w:t>
      </w:r>
      <w:r w:rsidR="00A42268">
        <w:rPr>
          <w:rFonts w:eastAsia="Calibri"/>
        </w:rPr>
        <w:t>for</w:t>
      </w:r>
      <w:r w:rsidRPr="00FC7F1E">
        <w:rPr>
          <w:rFonts w:eastAsia="Calibri"/>
        </w:rPr>
        <w:t xml:space="preserve"> the requested population was highly uncertain, as they were based on a small survey of clinicians (n=5) valuing vignettes that were unlikely to capture the health-related quality of life of the patient population. </w:t>
      </w:r>
    </w:p>
    <w:p w14:paraId="7B9E5105" w14:textId="77777777" w:rsidR="00D609BD" w:rsidRPr="00FC7F1E" w:rsidRDefault="00D609BD" w:rsidP="00EB2A63">
      <w:pPr>
        <w:pStyle w:val="3-BodyText"/>
        <w:numPr>
          <w:ilvl w:val="0"/>
          <w:numId w:val="5"/>
        </w:numPr>
        <w:ind w:left="993" w:hanging="284"/>
        <w:rPr>
          <w:rFonts w:eastAsia="Calibri"/>
        </w:rPr>
      </w:pPr>
      <w:r w:rsidRPr="00FC7F1E">
        <w:rPr>
          <w:rFonts w:eastAsia="Calibri"/>
        </w:rPr>
        <w:t xml:space="preserve">The cost-effectiveness </w:t>
      </w:r>
      <w:r w:rsidR="005B073E" w:rsidRPr="00FC7F1E">
        <w:rPr>
          <w:rFonts w:eastAsia="Calibri"/>
        </w:rPr>
        <w:t xml:space="preserve">of nusinersen in the group of </w:t>
      </w:r>
      <w:r w:rsidR="000B71DC" w:rsidRPr="00FC7F1E">
        <w:rPr>
          <w:rFonts w:eastAsia="Calibri"/>
        </w:rPr>
        <w:t xml:space="preserve">non-adult </w:t>
      </w:r>
      <w:r w:rsidR="005B073E" w:rsidRPr="00FC7F1E">
        <w:rPr>
          <w:color w:val="000000" w:themeColor="text1"/>
        </w:rPr>
        <w:t xml:space="preserve">patients with symptom onset between 3 and 18 years of age </w:t>
      </w:r>
      <w:r w:rsidRPr="00FC7F1E">
        <w:rPr>
          <w:rFonts w:eastAsia="Calibri"/>
        </w:rPr>
        <w:t>is unclear given this patient population w</w:t>
      </w:r>
      <w:r w:rsidR="00A42268">
        <w:rPr>
          <w:rFonts w:eastAsia="Calibri"/>
        </w:rPr>
        <w:t>ere</w:t>
      </w:r>
      <w:r w:rsidRPr="00FC7F1E">
        <w:rPr>
          <w:rFonts w:eastAsia="Calibri"/>
        </w:rPr>
        <w:t xml:space="preserve"> not included in the model, and given that a higher price and </w:t>
      </w:r>
      <w:r w:rsidR="008E2DDA">
        <w:rPr>
          <w:rFonts w:eastAsia="Calibri"/>
          <w:noProof/>
          <w:color w:val="000000"/>
          <w:highlight w:val="black"/>
        </w:rPr>
        <w:t>''''' '''''''''''' '''''' '''''' ''''''''''''' '''''''''</w:t>
      </w:r>
      <w:r w:rsidRPr="00FC7F1E">
        <w:rPr>
          <w:rFonts w:eastAsia="Calibri"/>
        </w:rPr>
        <w:t xml:space="preserve"> was inferred for these patients.</w:t>
      </w:r>
    </w:p>
    <w:p w14:paraId="03972D19" w14:textId="77777777" w:rsidR="00EB2A63" w:rsidRPr="00FC7F1E" w:rsidRDefault="00EB2A63" w:rsidP="00EB2A63">
      <w:pPr>
        <w:pStyle w:val="3-BodyText"/>
        <w:rPr>
          <w:rFonts w:eastAsia="Calibri"/>
        </w:rPr>
      </w:pPr>
      <w:r w:rsidRPr="00FC7F1E">
        <w:rPr>
          <w:rFonts w:eastAsia="Calibri"/>
        </w:rPr>
        <w:t xml:space="preserve">The PBAC considered that while many model parameters were optimistic, the </w:t>
      </w:r>
      <w:r w:rsidR="005E6908" w:rsidRPr="00FC7F1E">
        <w:rPr>
          <w:rFonts w:eastAsia="Calibri"/>
        </w:rPr>
        <w:t>ICER</w:t>
      </w:r>
      <w:r w:rsidRPr="00FC7F1E">
        <w:rPr>
          <w:rFonts w:eastAsia="Calibri"/>
        </w:rPr>
        <w:t xml:space="preserve"> </w:t>
      </w:r>
      <w:r w:rsidR="005E6908" w:rsidRPr="00FC7F1E">
        <w:rPr>
          <w:rFonts w:eastAsia="Calibri"/>
        </w:rPr>
        <w:t>was ex</w:t>
      </w:r>
      <w:r w:rsidR="00A42268">
        <w:rPr>
          <w:rFonts w:eastAsia="Calibri"/>
        </w:rPr>
        <w:t>ceptionally</w:t>
      </w:r>
      <w:r w:rsidRPr="00FC7F1E">
        <w:rPr>
          <w:rFonts w:eastAsia="Calibri"/>
        </w:rPr>
        <w:t xml:space="preserve"> high</w:t>
      </w:r>
      <w:r w:rsidR="005E6908" w:rsidRPr="00FC7F1E">
        <w:rPr>
          <w:rFonts w:eastAsia="Calibri"/>
        </w:rPr>
        <w:t xml:space="preserve"> at </w:t>
      </w:r>
      <w:r w:rsidR="00CF4948">
        <w:rPr>
          <w:rFonts w:eastAsia="Calibri"/>
        </w:rPr>
        <w:t>&gt;$1,055,000</w:t>
      </w:r>
      <w:r w:rsidR="005E6908" w:rsidRPr="00FC7F1E">
        <w:rPr>
          <w:rFonts w:eastAsia="Calibri"/>
        </w:rPr>
        <w:t xml:space="preserve">per QALY for the resubmission base case, or </w:t>
      </w:r>
      <w:r w:rsidR="00CF4948">
        <w:rPr>
          <w:rFonts w:eastAsia="Calibri"/>
        </w:rPr>
        <w:t>&gt;</w:t>
      </w:r>
      <w:r w:rsidR="005E6908" w:rsidRPr="00FC7F1E">
        <w:rPr>
          <w:rFonts w:eastAsia="Calibri"/>
        </w:rPr>
        <w:t>$</w:t>
      </w:r>
      <w:r w:rsidR="00CF4948">
        <w:rPr>
          <w:rFonts w:eastAsia="Calibri"/>
        </w:rPr>
        <w:t xml:space="preserve">1,055,000 </w:t>
      </w:r>
      <w:r w:rsidR="005E6908" w:rsidRPr="00FC7F1E">
        <w:rPr>
          <w:rFonts w:eastAsia="Calibri"/>
        </w:rPr>
        <w:t>per QALY after correcting for an error in the application of utilities</w:t>
      </w:r>
      <w:r w:rsidRPr="00FC7F1E">
        <w:rPr>
          <w:rFonts w:eastAsia="Calibri"/>
        </w:rPr>
        <w:t>. The PBAC</w:t>
      </w:r>
      <w:r w:rsidR="005E6908" w:rsidRPr="00FC7F1E">
        <w:rPr>
          <w:rFonts w:eastAsia="Calibri"/>
        </w:rPr>
        <w:t xml:space="preserve"> considered that an ICER of this magnitude was not reasonable, noting for context that</w:t>
      </w:r>
      <w:r w:rsidR="005E6908" w:rsidRPr="00FC7F1E">
        <w:t xml:space="preserve"> in March 2018 an indicative ICER of $</w:t>
      </w:r>
      <w:r w:rsidR="00CF4948">
        <w:t>300,000 to &lt;$400,000</w:t>
      </w:r>
      <w:r w:rsidR="005E6908" w:rsidRPr="00FC7F1E">
        <w:t xml:space="preserve"> per QALY gained was estimated for patients with Type II/IIIa SMA (</w:t>
      </w:r>
      <w:r w:rsidR="003E7FC1" w:rsidRPr="00FC7F1E">
        <w:t>at the time,</w:t>
      </w:r>
      <w:r w:rsidR="005E6908" w:rsidRPr="00FC7F1E">
        <w:t xml:space="preserve"> this ICER was </w:t>
      </w:r>
      <w:r w:rsidR="005E6908" w:rsidRPr="00FC7F1E">
        <w:lastRenderedPageBreak/>
        <w:t>considered uncertain and the PBAC advised that a price reduction would be appropriate)</w:t>
      </w:r>
      <w:r w:rsidRPr="00FC7F1E">
        <w:rPr>
          <w:rFonts w:eastAsia="Calibri"/>
        </w:rPr>
        <w:t>.</w:t>
      </w:r>
    </w:p>
    <w:p w14:paraId="59A9CA5C" w14:textId="77777777" w:rsidR="00D066C3" w:rsidRPr="00FC7F1E" w:rsidRDefault="00D609BD" w:rsidP="00D609BD">
      <w:pPr>
        <w:pStyle w:val="3-BodyText"/>
        <w:rPr>
          <w:rFonts w:eastAsia="Calibri"/>
        </w:rPr>
      </w:pPr>
      <w:r w:rsidRPr="00FC7F1E">
        <w:rPr>
          <w:rFonts w:eastAsia="Calibri"/>
        </w:rPr>
        <w:t>The</w:t>
      </w:r>
      <w:r w:rsidR="003E7FC1" w:rsidRPr="00FC7F1E">
        <w:rPr>
          <w:rFonts w:eastAsia="Calibri"/>
        </w:rPr>
        <w:t xml:space="preserve"> PBAC considered that the financial estimates were </w:t>
      </w:r>
      <w:r w:rsidRPr="00FC7F1E">
        <w:rPr>
          <w:rFonts w:eastAsia="Calibri"/>
        </w:rPr>
        <w:t xml:space="preserve">uncertain due to the resubmission’s assumptions about the uptake and discontinuation rates for nusinersen. </w:t>
      </w:r>
      <w:r w:rsidR="00D066C3" w:rsidRPr="00FC7F1E">
        <w:rPr>
          <w:rFonts w:eastAsia="Calibri"/>
        </w:rPr>
        <w:t xml:space="preserve">Further, the PBAC reiterated its previous consideration that the </w:t>
      </w:r>
      <w:r w:rsidR="00D066C3" w:rsidRPr="00FC7F1E">
        <w:t xml:space="preserve">estimated number of patients with Type II and III SMA was uncertain noting these were based on overseas data due to a lack of Australian data. </w:t>
      </w:r>
    </w:p>
    <w:p w14:paraId="61C500B0" w14:textId="77777777" w:rsidR="00D066C3" w:rsidRPr="00FC7F1E" w:rsidRDefault="00D066C3" w:rsidP="00D066C3">
      <w:pPr>
        <w:pStyle w:val="3-BodyText"/>
      </w:pPr>
      <w:r w:rsidRPr="00FC7F1E">
        <w:t xml:space="preserve">The PBAC considered that the </w:t>
      </w:r>
      <w:r w:rsidR="00E43BC1" w:rsidRPr="00FC7F1E">
        <w:t xml:space="preserve">average </w:t>
      </w:r>
      <w:r w:rsidRPr="00FC7F1E">
        <w:t>age of patients likely to access nusinersen under the requested listing and the likely distribution of patients with Type IIIa or IIIb SMA w</w:t>
      </w:r>
      <w:r w:rsidR="00A42268">
        <w:t>ere</w:t>
      </w:r>
      <w:r w:rsidRPr="00FC7F1E">
        <w:t xml:space="preserve"> </w:t>
      </w:r>
      <w:r w:rsidR="00536046" w:rsidRPr="00FC7F1E">
        <w:t>not adequately defined</w:t>
      </w:r>
      <w:r w:rsidRPr="00FC7F1E">
        <w:t>, noting differences in these patient characteristics between data provided in the resubmission and data provided from the SMA Au</w:t>
      </w:r>
      <w:r w:rsidR="00E43BC1" w:rsidRPr="00FC7F1E">
        <w:t>stralian member database, 2020</w:t>
      </w:r>
      <w:r w:rsidRPr="00FC7F1E">
        <w:t>.</w:t>
      </w:r>
    </w:p>
    <w:p w14:paraId="5DB854E6" w14:textId="77777777" w:rsidR="00D609BD" w:rsidRPr="00FC7F1E" w:rsidRDefault="00D066C3" w:rsidP="00D609BD">
      <w:pPr>
        <w:pStyle w:val="3-BodyText"/>
        <w:rPr>
          <w:rFonts w:eastAsia="Calibri"/>
        </w:rPr>
      </w:pPr>
      <w:r w:rsidRPr="00FC7F1E">
        <w:rPr>
          <w:rFonts w:eastAsia="Calibri"/>
        </w:rPr>
        <w:t>The PBAC</w:t>
      </w:r>
      <w:r w:rsidR="00D609BD" w:rsidRPr="00FC7F1E">
        <w:rPr>
          <w:rFonts w:eastAsia="Calibri"/>
        </w:rPr>
        <w:t xml:space="preserve"> considered </w:t>
      </w:r>
      <w:r w:rsidRPr="00FC7F1E">
        <w:rPr>
          <w:rFonts w:eastAsia="Calibri"/>
        </w:rPr>
        <w:t>there was</w:t>
      </w:r>
      <w:r w:rsidR="00D609BD" w:rsidRPr="00FC7F1E">
        <w:rPr>
          <w:rFonts w:eastAsia="Calibri"/>
        </w:rPr>
        <w:t xml:space="preserve"> significant potential for use outside the requested restriction in adult patients with Type IV SMA.</w:t>
      </w:r>
    </w:p>
    <w:p w14:paraId="039DEA27" w14:textId="77777777" w:rsidR="00696112" w:rsidRPr="00FC7F1E" w:rsidRDefault="002C16B1" w:rsidP="009560FB">
      <w:pPr>
        <w:pStyle w:val="3-BodyText"/>
        <w:rPr>
          <w:bCs/>
          <w:lang w:eastAsia="en-US"/>
        </w:rPr>
      </w:pPr>
      <w:r w:rsidRPr="00FC7F1E">
        <w:t xml:space="preserve">The PBAC considered that any resubmission would need to be a major </w:t>
      </w:r>
      <w:r w:rsidR="00336B21" w:rsidRPr="00FC7F1E">
        <w:t>re</w:t>
      </w:r>
      <w:r w:rsidRPr="00FC7F1E">
        <w:t>submission</w:t>
      </w:r>
      <w:r w:rsidRPr="00FC7F1E">
        <w:rPr>
          <w:bCs/>
          <w:lang w:eastAsia="en-US"/>
        </w:rPr>
        <w:t xml:space="preserve">. </w:t>
      </w:r>
    </w:p>
    <w:p w14:paraId="5C2C918A" w14:textId="77777777" w:rsidR="0003288B" w:rsidRPr="00FC7F1E" w:rsidRDefault="0003288B" w:rsidP="0003288B">
      <w:pPr>
        <w:pStyle w:val="3-BodyText"/>
      </w:pPr>
      <w:r w:rsidRPr="00FC7F1E">
        <w:t>The PBAC noted that this submission is eligible for an Independent Review.</w:t>
      </w:r>
    </w:p>
    <w:p w14:paraId="34D83DE4" w14:textId="77777777" w:rsidR="009560FB" w:rsidRPr="00FC7F1E" w:rsidRDefault="009560FB" w:rsidP="0003288B">
      <w:pPr>
        <w:widowControl w:val="0"/>
        <w:spacing w:after="120"/>
        <w:jc w:val="left"/>
        <w:outlineLvl w:val="1"/>
        <w:rPr>
          <w:rFonts w:asciiTheme="minorHAnsi" w:hAnsiTheme="minorHAnsi"/>
          <w:b/>
          <w:bCs/>
          <w:i/>
          <w:snapToGrid w:val="0"/>
          <w:lang w:eastAsia="en-US"/>
        </w:rPr>
      </w:pPr>
      <w:r w:rsidRPr="00FC7F1E">
        <w:rPr>
          <w:rFonts w:asciiTheme="minorHAnsi" w:hAnsiTheme="minorHAnsi"/>
          <w:b/>
          <w:bCs/>
          <w:i/>
          <w:snapToGrid w:val="0"/>
          <w:lang w:eastAsia="en-US"/>
        </w:rPr>
        <w:t>Decision Support Analysis</w:t>
      </w:r>
    </w:p>
    <w:p w14:paraId="66CB16BD" w14:textId="77777777" w:rsidR="0055317C" w:rsidRPr="00917415" w:rsidRDefault="0055317C" w:rsidP="0055317C">
      <w:pPr>
        <w:pStyle w:val="3-BodyText"/>
      </w:pPr>
      <w:r w:rsidRPr="00917415">
        <w:t xml:space="preserve">The PBAC noted that there are now a number of therapies available for the treatment of SMA internationally, one of which is currently registered and subsidised in Australia for a defined group of patients. Others are either in development, or being considered for registration by the TGA and for public subsidy by the PBAC. These therapies include </w:t>
      </w:r>
      <w:r>
        <w:t xml:space="preserve">nusinersen </w:t>
      </w:r>
      <w:r w:rsidRPr="00917415">
        <w:t xml:space="preserve">(sponsored by Biogen), </w:t>
      </w:r>
      <w:r w:rsidRPr="0055317C">
        <w:rPr>
          <w:bCs/>
        </w:rPr>
        <w:t xml:space="preserve">onasemnogene abeparvovec (ONA) </w:t>
      </w:r>
      <w:r w:rsidRPr="00917415">
        <w:t>and branaplam (sponsored by Novartis) and risdiplam (sponsored by Roche)</w:t>
      </w:r>
      <w:r>
        <w:t xml:space="preserve">. </w:t>
      </w:r>
    </w:p>
    <w:p w14:paraId="1834325F" w14:textId="77777777" w:rsidR="0055317C" w:rsidRPr="00917415" w:rsidRDefault="0055317C" w:rsidP="0055317C">
      <w:pPr>
        <w:pStyle w:val="3-BodyText"/>
        <w:rPr>
          <w:bCs/>
        </w:rPr>
      </w:pPr>
      <w:r w:rsidRPr="00917415">
        <w:rPr>
          <w:bCs/>
        </w:rPr>
        <w:t xml:space="preserve">The PBAC further noted that up to now, PBAC has been presented with subsidy applications for therapies for SMA sequentially with evidence based on sub-populations and stages of treatment. Submissions for </w:t>
      </w:r>
      <w:r>
        <w:rPr>
          <w:bCs/>
        </w:rPr>
        <w:t xml:space="preserve">nusinersen </w:t>
      </w:r>
      <w:r w:rsidRPr="00917415">
        <w:rPr>
          <w:bCs/>
        </w:rPr>
        <w:t xml:space="preserve">were considered at the November 2017, March 2018, July 2018, July 2019, November 2019 and July 2020 PBAC meetings, submissions for </w:t>
      </w:r>
      <w:r>
        <w:rPr>
          <w:bCs/>
        </w:rPr>
        <w:t>nusinersen</w:t>
      </w:r>
      <w:r w:rsidRPr="00917415">
        <w:rPr>
          <w:bCs/>
        </w:rPr>
        <w:t>, and for ONA were considered at the November 2020 PBAC meeting, and further PBAC submissions are expected in 2021.</w:t>
      </w:r>
    </w:p>
    <w:p w14:paraId="257D1498" w14:textId="77777777" w:rsidR="0055317C" w:rsidRPr="00917415" w:rsidRDefault="0055317C" w:rsidP="0055317C">
      <w:pPr>
        <w:pStyle w:val="3-BodyText"/>
        <w:rPr>
          <w:bCs/>
        </w:rPr>
      </w:pPr>
      <w:r w:rsidRPr="00917415">
        <w:rPr>
          <w:bCs/>
        </w:rPr>
        <w:t xml:space="preserve">The PBAC noted that whilst this approach reasonably reflects the different timeframes in which these therapies and/or new clinical data have become available, it means that it has not been in a position to conduct an overall assessment of all available therapies across the whole of this comparatively rare disease for which direct treatments have only become available in the past 5-years. </w:t>
      </w:r>
    </w:p>
    <w:p w14:paraId="4A8BD9E5" w14:textId="77777777" w:rsidR="0055317C" w:rsidRPr="00917415" w:rsidRDefault="0055317C" w:rsidP="0055317C">
      <w:pPr>
        <w:pStyle w:val="3-BodyText"/>
        <w:rPr>
          <w:bCs/>
        </w:rPr>
      </w:pPr>
      <w:r w:rsidRPr="00917415">
        <w:rPr>
          <w:bCs/>
        </w:rPr>
        <w:t xml:space="preserve">The PBAC noted this submission-by-submission approach is further complicated because </w:t>
      </w:r>
      <w:r>
        <w:rPr>
          <w:bCs/>
        </w:rPr>
        <w:t>nusinersen</w:t>
      </w:r>
      <w:r w:rsidRPr="00917415">
        <w:rPr>
          <w:bCs/>
        </w:rPr>
        <w:t xml:space="preserve">, ONA and risdiplam/branaplam have different mechanisms of action or routes of administration. However, at present there is very little information on how these three types of therapies could best be, or are being, used in SMA </w:t>
      </w:r>
      <w:r w:rsidRPr="00917415">
        <w:rPr>
          <w:bCs/>
        </w:rPr>
        <w:lastRenderedPageBreak/>
        <w:t xml:space="preserve">patients in clinical practice, for example, as monotherapy, or sequential monotherapy (on failure of prior therapy), or concomitantly in all or certain patients. </w:t>
      </w:r>
    </w:p>
    <w:p w14:paraId="7232F563" w14:textId="77777777" w:rsidR="0055317C" w:rsidRPr="00917415" w:rsidRDefault="0055317C" w:rsidP="0055317C">
      <w:pPr>
        <w:pStyle w:val="3-BodyText"/>
        <w:rPr>
          <w:bCs/>
        </w:rPr>
      </w:pPr>
      <w:r w:rsidRPr="00917415">
        <w:rPr>
          <w:bCs/>
        </w:rPr>
        <w:t xml:space="preserve">The PBAC considered an overall and holistic approach to consideration of the entire treatment algorithm and the strength of all available evidence would better support its decision making, particularly given that only short-term clinical data are available but the claims from each sponsor make varying predictions about the benefits of each treatment into the future which cannot be reconciled by an assessment of individual submissions independently from each other. </w:t>
      </w:r>
    </w:p>
    <w:p w14:paraId="27FCD6F2" w14:textId="77777777" w:rsidR="0055317C" w:rsidRPr="00917415" w:rsidRDefault="0055317C" w:rsidP="0055317C">
      <w:pPr>
        <w:pStyle w:val="3-BodyText"/>
        <w:rPr>
          <w:bCs/>
        </w:rPr>
      </w:pPr>
      <w:r>
        <w:t>F</w:t>
      </w:r>
      <w:r w:rsidRPr="00917415">
        <w:t xml:space="preserve">or the reasons given above, the PBAC considered it was in the interests of patients and families, prescribers and payers for a decision support analysis </w:t>
      </w:r>
      <w:r w:rsidRPr="00FE17C9">
        <w:rPr>
          <w:lang w:val="en-GB"/>
        </w:rPr>
        <w:t xml:space="preserve">for SMA </w:t>
      </w:r>
      <w:r>
        <w:rPr>
          <w:lang w:val="en-GB"/>
        </w:rPr>
        <w:t xml:space="preserve">treatment </w:t>
      </w:r>
      <w:r w:rsidRPr="00FE17C9">
        <w:rPr>
          <w:lang w:val="en-GB"/>
        </w:rPr>
        <w:t xml:space="preserve">that takes into account all the currently available clinical data and </w:t>
      </w:r>
      <w:r>
        <w:rPr>
          <w:lang w:val="en-GB"/>
        </w:rPr>
        <w:t xml:space="preserve">informs a broader </w:t>
      </w:r>
      <w:r w:rsidRPr="00FE17C9">
        <w:rPr>
          <w:lang w:val="en-GB"/>
        </w:rPr>
        <w:t>“whole of disease” economic and financial analyses.</w:t>
      </w:r>
      <w:r>
        <w:rPr>
          <w:lang w:val="en-GB"/>
        </w:rPr>
        <w:t xml:space="preserve"> </w:t>
      </w:r>
    </w:p>
    <w:p w14:paraId="29CEBEAF" w14:textId="77777777" w:rsidR="0055317C" w:rsidRPr="00917415" w:rsidRDefault="00BC24C4" w:rsidP="0055317C">
      <w:pPr>
        <w:pStyle w:val="3-BodyText"/>
        <w:widowControl w:val="0"/>
      </w:pPr>
      <w:r>
        <w:rPr>
          <w:lang w:val="en-GB"/>
        </w:rPr>
        <w:t>T</w:t>
      </w:r>
      <w:r w:rsidR="0055317C" w:rsidRPr="00917415">
        <w:t xml:space="preserve">he PBAC requested the Department convene a stakeholder meeting including clinical experts, consumer representatives and relevant sponsors with </w:t>
      </w:r>
      <w:r w:rsidR="0055317C" w:rsidRPr="00917415">
        <w:rPr>
          <w:bCs/>
        </w:rPr>
        <w:t xml:space="preserve">the intention of progressing work </w:t>
      </w:r>
      <w:r w:rsidR="0055317C">
        <w:rPr>
          <w:bCs/>
        </w:rPr>
        <w:t>towards</w:t>
      </w:r>
      <w:r w:rsidR="0055317C" w:rsidRPr="00917415">
        <w:rPr>
          <w:bCs/>
        </w:rPr>
        <w:t xml:space="preserve"> a decision support analysis</w:t>
      </w:r>
      <w:r w:rsidR="0055317C" w:rsidRPr="00917415">
        <w:t xml:space="preserve"> for SMA. The PBAC considered an appropriate starting point would be for the stakeholder meeting to consider the following issues for each of the two broad groups of patients, pre</w:t>
      </w:r>
      <w:r w:rsidR="00A42268">
        <w:t>-</w:t>
      </w:r>
      <w:r w:rsidR="0055317C" w:rsidRPr="00917415">
        <w:t>symptomatic and symptomatic for whom treatment with one, or more, SMA therapies may be considered</w:t>
      </w:r>
      <w:r w:rsidR="0055317C">
        <w:t xml:space="preserve">. </w:t>
      </w:r>
      <w:r w:rsidR="0055317C" w:rsidRPr="00917415">
        <w:t>The PBAC noted these issues are intended to be a starting point for discussion and further matters may arise</w:t>
      </w:r>
      <w:r w:rsidR="0055317C">
        <w:t xml:space="preserve">. </w:t>
      </w:r>
      <w:r w:rsidR="0055317C" w:rsidRPr="00917415">
        <w:t xml:space="preserve"> </w:t>
      </w:r>
    </w:p>
    <w:p w14:paraId="7B75FEF6" w14:textId="77777777" w:rsidR="0055317C" w:rsidRPr="00917415" w:rsidRDefault="0055317C" w:rsidP="0055317C">
      <w:pPr>
        <w:ind w:left="510" w:firstLine="170"/>
        <w:jc w:val="left"/>
      </w:pPr>
      <w:r w:rsidRPr="00917415">
        <w:rPr>
          <w:b/>
          <w:bCs/>
        </w:rPr>
        <w:t>Pre</w:t>
      </w:r>
      <w:r>
        <w:rPr>
          <w:b/>
          <w:bCs/>
        </w:rPr>
        <w:t>-</w:t>
      </w:r>
      <w:r w:rsidRPr="00917415">
        <w:rPr>
          <w:b/>
          <w:bCs/>
        </w:rPr>
        <w:t xml:space="preserve">symptomatic </w:t>
      </w:r>
    </w:p>
    <w:p w14:paraId="78C316D4" w14:textId="77777777" w:rsidR="0055317C" w:rsidRPr="00917415" w:rsidRDefault="0055317C" w:rsidP="0055317C">
      <w:pPr>
        <w:numPr>
          <w:ilvl w:val="1"/>
          <w:numId w:val="37"/>
        </w:numPr>
        <w:tabs>
          <w:tab w:val="clear" w:pos="1440"/>
          <w:tab w:val="num" w:pos="993"/>
        </w:tabs>
        <w:ind w:left="1134" w:hanging="425"/>
        <w:jc w:val="left"/>
      </w:pPr>
      <w:r w:rsidRPr="00917415">
        <w:t xml:space="preserve">For diagnosis by genotype alone – </w:t>
      </w:r>
    </w:p>
    <w:p w14:paraId="6F4FBFC5" w14:textId="77777777" w:rsidR="0055317C" w:rsidRPr="00917415" w:rsidRDefault="0055317C" w:rsidP="0055317C">
      <w:pPr>
        <w:numPr>
          <w:ilvl w:val="2"/>
          <w:numId w:val="37"/>
        </w:numPr>
        <w:tabs>
          <w:tab w:val="clear" w:pos="2160"/>
          <w:tab w:val="num" w:pos="1418"/>
        </w:tabs>
        <w:ind w:hanging="1026"/>
        <w:jc w:val="left"/>
      </w:pPr>
      <w:r w:rsidRPr="00917415">
        <w:t xml:space="preserve">What SMN2 copy numbers should be eligible to initiate treatment </w:t>
      </w:r>
    </w:p>
    <w:p w14:paraId="617CD30A" w14:textId="77777777" w:rsidR="0055317C" w:rsidRPr="00917415" w:rsidRDefault="0055317C" w:rsidP="0055317C">
      <w:pPr>
        <w:numPr>
          <w:ilvl w:val="2"/>
          <w:numId w:val="37"/>
        </w:numPr>
        <w:tabs>
          <w:tab w:val="clear" w:pos="2160"/>
          <w:tab w:val="num" w:pos="1418"/>
        </w:tabs>
        <w:ind w:hanging="1026"/>
        <w:jc w:val="left"/>
      </w:pPr>
      <w:r w:rsidRPr="00917415">
        <w:t>Should antenatal genetic diagnosis be confirmed by post-natal genetic testing</w:t>
      </w:r>
    </w:p>
    <w:p w14:paraId="0CB904D2" w14:textId="77777777" w:rsidR="0055317C" w:rsidRPr="00917415" w:rsidRDefault="0055317C" w:rsidP="0055317C">
      <w:pPr>
        <w:numPr>
          <w:ilvl w:val="1"/>
          <w:numId w:val="37"/>
        </w:numPr>
        <w:tabs>
          <w:tab w:val="clear" w:pos="1440"/>
          <w:tab w:val="num" w:pos="993"/>
        </w:tabs>
        <w:ind w:hanging="731"/>
        <w:jc w:val="left"/>
      </w:pPr>
      <w:r w:rsidRPr="00917415">
        <w:t>First, second and subsequent line treatment options</w:t>
      </w:r>
    </w:p>
    <w:p w14:paraId="30FAAC21" w14:textId="77777777" w:rsidR="0055317C" w:rsidRPr="00917415" w:rsidRDefault="0055317C" w:rsidP="0055317C">
      <w:pPr>
        <w:numPr>
          <w:ilvl w:val="1"/>
          <w:numId w:val="37"/>
        </w:numPr>
        <w:tabs>
          <w:tab w:val="clear" w:pos="1440"/>
          <w:tab w:val="num" w:pos="993"/>
        </w:tabs>
        <w:ind w:left="1418" w:hanging="731"/>
        <w:jc w:val="left"/>
      </w:pPr>
      <w:r w:rsidRPr="00917415">
        <w:t xml:space="preserve">Criteria to determine when to move to second or subsequent options </w:t>
      </w:r>
    </w:p>
    <w:p w14:paraId="1BAA3E8A" w14:textId="77777777" w:rsidR="0055317C" w:rsidRPr="00917415" w:rsidRDefault="0055317C" w:rsidP="0055317C">
      <w:pPr>
        <w:numPr>
          <w:ilvl w:val="1"/>
          <w:numId w:val="37"/>
        </w:numPr>
        <w:tabs>
          <w:tab w:val="clear" w:pos="1440"/>
          <w:tab w:val="num" w:pos="993"/>
        </w:tabs>
        <w:ind w:hanging="731"/>
        <w:jc w:val="left"/>
      </w:pPr>
      <w:r w:rsidRPr="00917415">
        <w:t xml:space="preserve">Concomitant therapy </w:t>
      </w:r>
    </w:p>
    <w:p w14:paraId="6D2DF1B9" w14:textId="77777777" w:rsidR="0055317C" w:rsidRPr="00917415" w:rsidRDefault="0055317C" w:rsidP="0055317C">
      <w:pPr>
        <w:numPr>
          <w:ilvl w:val="1"/>
          <w:numId w:val="37"/>
        </w:numPr>
        <w:tabs>
          <w:tab w:val="clear" w:pos="1440"/>
          <w:tab w:val="num" w:pos="993"/>
        </w:tabs>
        <w:ind w:hanging="731"/>
        <w:jc w:val="left"/>
      </w:pPr>
      <w:r w:rsidRPr="00917415">
        <w:t xml:space="preserve">Therapy continuation rules </w:t>
      </w:r>
    </w:p>
    <w:p w14:paraId="169F2BE3" w14:textId="77777777" w:rsidR="0055317C" w:rsidRPr="00917415" w:rsidRDefault="0055317C" w:rsidP="009167A6">
      <w:pPr>
        <w:numPr>
          <w:ilvl w:val="1"/>
          <w:numId w:val="37"/>
        </w:numPr>
        <w:tabs>
          <w:tab w:val="clear" w:pos="1440"/>
          <w:tab w:val="num" w:pos="993"/>
        </w:tabs>
        <w:spacing w:after="120"/>
        <w:ind w:hanging="731"/>
        <w:jc w:val="left"/>
      </w:pPr>
      <w:r w:rsidRPr="00917415">
        <w:t>When to stop therapy</w:t>
      </w:r>
    </w:p>
    <w:p w14:paraId="736369AB" w14:textId="77777777" w:rsidR="0055317C" w:rsidRPr="00917415" w:rsidRDefault="0055317C" w:rsidP="0055317C">
      <w:pPr>
        <w:ind w:left="680"/>
        <w:jc w:val="left"/>
      </w:pPr>
      <w:r w:rsidRPr="00917415">
        <w:rPr>
          <w:b/>
          <w:bCs/>
        </w:rPr>
        <w:t>Symptomatic</w:t>
      </w:r>
    </w:p>
    <w:p w14:paraId="47D9CCE4" w14:textId="77777777" w:rsidR="0055317C" w:rsidRPr="00917415" w:rsidRDefault="0055317C" w:rsidP="0055317C">
      <w:pPr>
        <w:numPr>
          <w:ilvl w:val="1"/>
          <w:numId w:val="38"/>
        </w:numPr>
        <w:tabs>
          <w:tab w:val="clear" w:pos="1440"/>
          <w:tab w:val="num" w:pos="993"/>
        </w:tabs>
        <w:ind w:hanging="731"/>
        <w:jc w:val="left"/>
      </w:pPr>
      <w:r w:rsidRPr="00917415">
        <w:t>Who should be treated: some patients can access now, some not.</w:t>
      </w:r>
    </w:p>
    <w:p w14:paraId="099625C4" w14:textId="77777777" w:rsidR="0055317C" w:rsidRPr="00917415" w:rsidRDefault="0055317C" w:rsidP="0055317C">
      <w:pPr>
        <w:numPr>
          <w:ilvl w:val="1"/>
          <w:numId w:val="38"/>
        </w:numPr>
        <w:tabs>
          <w:tab w:val="clear" w:pos="1440"/>
          <w:tab w:val="num" w:pos="993"/>
        </w:tabs>
        <w:ind w:hanging="731"/>
        <w:jc w:val="left"/>
      </w:pPr>
      <w:r w:rsidRPr="00917415">
        <w:t>First line treatment options (if not treated while pre</w:t>
      </w:r>
      <w:r w:rsidR="00A42268">
        <w:t>-</w:t>
      </w:r>
      <w:r w:rsidRPr="00917415">
        <w:t>symptomatic)</w:t>
      </w:r>
    </w:p>
    <w:p w14:paraId="603388FF" w14:textId="77777777" w:rsidR="0055317C" w:rsidRPr="00917415" w:rsidRDefault="0055317C" w:rsidP="0055317C">
      <w:pPr>
        <w:numPr>
          <w:ilvl w:val="1"/>
          <w:numId w:val="38"/>
        </w:numPr>
        <w:tabs>
          <w:tab w:val="clear" w:pos="1440"/>
          <w:tab w:val="num" w:pos="993"/>
        </w:tabs>
        <w:ind w:hanging="731"/>
        <w:jc w:val="left"/>
      </w:pPr>
      <w:r w:rsidRPr="00917415">
        <w:t xml:space="preserve">Criteria to determine when to move to second or subsequent options </w:t>
      </w:r>
    </w:p>
    <w:p w14:paraId="341B92B4" w14:textId="77777777" w:rsidR="0055317C" w:rsidRPr="00917415" w:rsidRDefault="0055317C" w:rsidP="0055317C">
      <w:pPr>
        <w:numPr>
          <w:ilvl w:val="1"/>
          <w:numId w:val="38"/>
        </w:numPr>
        <w:tabs>
          <w:tab w:val="clear" w:pos="1440"/>
          <w:tab w:val="num" w:pos="993"/>
        </w:tabs>
        <w:ind w:hanging="731"/>
        <w:jc w:val="left"/>
      </w:pPr>
      <w:r w:rsidRPr="00917415">
        <w:t xml:space="preserve">Concomitant therapy </w:t>
      </w:r>
    </w:p>
    <w:p w14:paraId="20D7C4BB" w14:textId="77777777" w:rsidR="0055317C" w:rsidRPr="00917415" w:rsidRDefault="0055317C" w:rsidP="0055317C">
      <w:pPr>
        <w:numPr>
          <w:ilvl w:val="1"/>
          <w:numId w:val="38"/>
        </w:numPr>
        <w:tabs>
          <w:tab w:val="clear" w:pos="1440"/>
          <w:tab w:val="num" w:pos="993"/>
        </w:tabs>
        <w:ind w:hanging="731"/>
        <w:jc w:val="left"/>
        <w:rPr>
          <w:rFonts w:asciiTheme="minorHAnsi" w:hAnsiTheme="minorHAnsi"/>
          <w:snapToGrid w:val="0"/>
        </w:rPr>
      </w:pPr>
      <w:r w:rsidRPr="00917415">
        <w:t xml:space="preserve">Therapy continuation rules </w:t>
      </w:r>
    </w:p>
    <w:p w14:paraId="10A2FC66" w14:textId="77777777" w:rsidR="0055317C" w:rsidRPr="00917415" w:rsidRDefault="0055317C" w:rsidP="009167A6">
      <w:pPr>
        <w:numPr>
          <w:ilvl w:val="1"/>
          <w:numId w:val="38"/>
        </w:numPr>
        <w:tabs>
          <w:tab w:val="clear" w:pos="1440"/>
          <w:tab w:val="num" w:pos="993"/>
        </w:tabs>
        <w:spacing w:after="120"/>
        <w:ind w:hanging="731"/>
        <w:jc w:val="left"/>
        <w:rPr>
          <w:rFonts w:asciiTheme="minorHAnsi" w:hAnsiTheme="minorHAnsi"/>
          <w:snapToGrid w:val="0"/>
        </w:rPr>
      </w:pPr>
      <w:r w:rsidRPr="00917415">
        <w:t>When to stop therapy</w:t>
      </w:r>
    </w:p>
    <w:p w14:paraId="57B98CF3" w14:textId="77777777" w:rsidR="0055317C" w:rsidRPr="00917415" w:rsidRDefault="0055317C" w:rsidP="0055317C">
      <w:pPr>
        <w:widowControl w:val="0"/>
        <w:numPr>
          <w:ilvl w:val="1"/>
          <w:numId w:val="3"/>
        </w:numPr>
        <w:spacing w:after="120"/>
      </w:pPr>
      <w:r w:rsidRPr="00917415">
        <w:t>The PBAC noted that the limited clinical data available may make it more difficult to conduct robust economic and financial analyses that reflect the preferred treatment algorithm(s). However</w:t>
      </w:r>
      <w:r>
        <w:t>,</w:t>
      </w:r>
      <w:r w:rsidRPr="00917415">
        <w:t xml:space="preserve"> </w:t>
      </w:r>
      <w:r>
        <w:t xml:space="preserve">the PBAC </w:t>
      </w:r>
      <w:r w:rsidRPr="00917415">
        <w:t>considered this does not, of itself, justify continuing the current piecemeal approach.</w:t>
      </w:r>
    </w:p>
    <w:p w14:paraId="04613374" w14:textId="77777777" w:rsidR="0055317C" w:rsidRPr="00917415" w:rsidRDefault="0055317C" w:rsidP="0055317C">
      <w:pPr>
        <w:widowControl w:val="0"/>
        <w:numPr>
          <w:ilvl w:val="1"/>
          <w:numId w:val="3"/>
        </w:numPr>
        <w:spacing w:after="120"/>
        <w:rPr>
          <w:rFonts w:asciiTheme="minorHAnsi" w:hAnsiTheme="minorHAnsi"/>
          <w:bCs/>
          <w:snapToGrid w:val="0"/>
          <w:color w:val="000000" w:themeColor="text1"/>
        </w:rPr>
      </w:pPr>
      <w:r w:rsidRPr="00917415">
        <w:lastRenderedPageBreak/>
        <w:t>The PBAC noted a disease-based registry, rather than therapy</w:t>
      </w:r>
      <w:r>
        <w:t>-</w:t>
      </w:r>
      <w:r w:rsidRPr="00917415">
        <w:t>based registries, may be appropriate for informing the cost-effectiveness of all SMA therapies.</w:t>
      </w:r>
    </w:p>
    <w:p w14:paraId="1FFF8F35" w14:textId="77777777" w:rsidR="00987B69" w:rsidRPr="00FC7F1E" w:rsidRDefault="00987B69" w:rsidP="00987B69">
      <w:pPr>
        <w:spacing w:before="240"/>
        <w:rPr>
          <w:rFonts w:asciiTheme="minorHAnsi" w:hAnsiTheme="minorHAnsi"/>
          <w:b/>
          <w:bCs/>
          <w:snapToGrid w:val="0"/>
          <w:lang w:eastAsia="en-US"/>
        </w:rPr>
      </w:pPr>
      <w:r w:rsidRPr="00FC7F1E">
        <w:rPr>
          <w:rFonts w:asciiTheme="minorHAnsi" w:hAnsiTheme="minorHAnsi"/>
          <w:b/>
          <w:bCs/>
          <w:snapToGrid w:val="0"/>
          <w:lang w:eastAsia="en-US"/>
        </w:rPr>
        <w:t>Outcome:</w:t>
      </w:r>
    </w:p>
    <w:p w14:paraId="2A25A239" w14:textId="77777777" w:rsidR="002C16B1" w:rsidRDefault="00987B69" w:rsidP="00F30AD9">
      <w:pPr>
        <w:spacing w:after="120"/>
        <w:rPr>
          <w:rFonts w:asciiTheme="minorHAnsi" w:hAnsiTheme="minorHAnsi"/>
          <w:bCs/>
          <w:snapToGrid w:val="0"/>
          <w:lang w:eastAsia="en-US"/>
        </w:rPr>
      </w:pPr>
      <w:r w:rsidRPr="00FC7F1E">
        <w:rPr>
          <w:rFonts w:asciiTheme="minorHAnsi" w:hAnsiTheme="minorHAnsi"/>
          <w:bCs/>
          <w:snapToGrid w:val="0"/>
          <w:lang w:eastAsia="en-US"/>
        </w:rPr>
        <w:t xml:space="preserve">Rejected </w:t>
      </w:r>
    </w:p>
    <w:p w14:paraId="00CD2081" w14:textId="77777777" w:rsidR="00182BE7" w:rsidRPr="00182BE7" w:rsidRDefault="00182BE7" w:rsidP="00182BE7">
      <w:pPr>
        <w:keepNext/>
        <w:widowControl w:val="0"/>
        <w:numPr>
          <w:ilvl w:val="0"/>
          <w:numId w:val="3"/>
        </w:numPr>
        <w:spacing w:before="240" w:after="120"/>
        <w:jc w:val="left"/>
        <w:outlineLvl w:val="0"/>
        <w:rPr>
          <w:rFonts w:asciiTheme="minorHAnsi" w:hAnsiTheme="minorHAnsi"/>
          <w:b/>
          <w:bCs/>
          <w:snapToGrid w:val="0"/>
          <w:sz w:val="32"/>
          <w:lang w:eastAsia="en-US"/>
        </w:rPr>
      </w:pPr>
      <w:r w:rsidRPr="00182BE7">
        <w:rPr>
          <w:rFonts w:asciiTheme="minorHAnsi" w:hAnsiTheme="minorHAnsi"/>
          <w:b/>
          <w:bCs/>
          <w:snapToGrid w:val="0"/>
          <w:sz w:val="32"/>
          <w:lang w:eastAsia="en-US"/>
        </w:rPr>
        <w:t>Context for Decision</w:t>
      </w:r>
    </w:p>
    <w:p w14:paraId="5864A664" w14:textId="77777777" w:rsidR="00182BE7" w:rsidRPr="007129F2" w:rsidRDefault="00182BE7" w:rsidP="00343579">
      <w:pPr>
        <w:widowControl w:val="0"/>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w:t>
      </w:r>
      <w:r w:rsidRPr="00182BE7">
        <w:t>PBS</w:t>
      </w:r>
      <w:r w:rsidRPr="007129F2">
        <w:rPr>
          <w:rFonts w:asciiTheme="minorHAnsi" w:hAnsiTheme="minorHAnsi"/>
          <w:bCs/>
          <w:lang w:val="en-GB"/>
        </w:rPr>
        <w:t xml:space="preserve"> listings does not necessarily represent a final PBAC view about the merits of the medicine or the circumstances in which it should be made available through the PBS. The PBAC welcomes applications containing new information at any time.</w:t>
      </w:r>
    </w:p>
    <w:p w14:paraId="285026A5" w14:textId="77777777" w:rsidR="00182BE7" w:rsidRPr="00182BE7" w:rsidRDefault="00182BE7" w:rsidP="00182BE7">
      <w:pPr>
        <w:keepNext/>
        <w:widowControl w:val="0"/>
        <w:numPr>
          <w:ilvl w:val="0"/>
          <w:numId w:val="3"/>
        </w:numPr>
        <w:spacing w:before="240" w:after="120"/>
        <w:jc w:val="left"/>
        <w:outlineLvl w:val="0"/>
        <w:rPr>
          <w:rFonts w:asciiTheme="minorHAnsi" w:hAnsiTheme="minorHAnsi"/>
          <w:b/>
          <w:bCs/>
          <w:snapToGrid w:val="0"/>
          <w:sz w:val="32"/>
          <w:lang w:eastAsia="en-US"/>
        </w:rPr>
      </w:pPr>
      <w:r w:rsidRPr="00182BE7">
        <w:rPr>
          <w:rFonts w:asciiTheme="minorHAnsi" w:hAnsiTheme="minorHAnsi"/>
          <w:b/>
          <w:bCs/>
          <w:snapToGrid w:val="0"/>
          <w:sz w:val="32"/>
          <w:lang w:eastAsia="en-US"/>
        </w:rPr>
        <w:t>Sponsor’s Comment</w:t>
      </w:r>
    </w:p>
    <w:p w14:paraId="25E73E7E" w14:textId="77777777" w:rsidR="00CC3124" w:rsidRPr="00BF299C" w:rsidRDefault="00CC3124" w:rsidP="00CC3124">
      <w:pPr>
        <w:spacing w:after="120"/>
        <w:ind w:left="720"/>
      </w:pPr>
      <w:r>
        <w:t xml:space="preserve">Biogen welcomes the PBAC acknowledgement of the high clinical need for adults living with SMA. Our resubmission for SPINRAZA treatment in adults living with SMA has shown clinically meaningful benefit for these individuals. Biogen will work as swiftly as possible to address the PBAC </w:t>
      </w:r>
      <w:r w:rsidRPr="00422346">
        <w:t>feedback on the resubmission to enable timely access for this deserving population of adults with SMA.</w:t>
      </w:r>
    </w:p>
    <w:p w14:paraId="3355243E" w14:textId="77777777" w:rsidR="00CC3124" w:rsidRPr="001179AC" w:rsidRDefault="00CC3124" w:rsidP="00860D1E">
      <w:pPr>
        <w:widowControl w:val="0"/>
        <w:spacing w:after="120"/>
        <w:ind w:firstLine="720"/>
        <w:rPr>
          <w:rFonts w:asciiTheme="minorHAnsi" w:hAnsiTheme="minorHAnsi"/>
          <w:bCs/>
        </w:rPr>
      </w:pPr>
    </w:p>
    <w:p w14:paraId="645C2867" w14:textId="77777777" w:rsidR="00182BE7" w:rsidRPr="00FC7F1E" w:rsidRDefault="00182BE7" w:rsidP="00F30AD9">
      <w:pPr>
        <w:spacing w:after="120"/>
        <w:rPr>
          <w:rFonts w:cs="Calibri"/>
        </w:rPr>
      </w:pPr>
    </w:p>
    <w:sectPr w:rsidR="00182BE7" w:rsidRPr="00FC7F1E" w:rsidSect="00F30AD9">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E4DE" w16cex:dateUtc="2020-12-03T11:27:00Z"/>
  <w16cex:commentExtensible w16cex:durableId="2373E7F6" w16cex:dateUtc="2020-12-03T11:40:00Z"/>
  <w16cex:commentExtensible w16cex:durableId="2373E952" w16cex:dateUtc="2020-12-03T11:46:00Z"/>
  <w16cex:commentExtensible w16cex:durableId="2373EAA8" w16cex:dateUtc="2020-12-03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8AD7F5" w16cid:durableId="2373E278"/>
  <w16cid:commentId w16cid:paraId="0C550A46" w16cid:durableId="2373E4DE"/>
  <w16cid:commentId w16cid:paraId="3522785C" w16cid:durableId="2373E279"/>
  <w16cid:commentId w16cid:paraId="757C0A96" w16cid:durableId="2373E7F6"/>
  <w16cid:commentId w16cid:paraId="5DDE5392" w16cid:durableId="2373E952"/>
  <w16cid:commentId w16cid:paraId="7A23FE43" w16cid:durableId="2373EA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0E82C" w14:textId="77777777" w:rsidR="00422346" w:rsidRDefault="00422346" w:rsidP="00124A51">
      <w:r>
        <w:separator/>
      </w:r>
    </w:p>
    <w:p w14:paraId="6447E8F4" w14:textId="77777777" w:rsidR="00422346" w:rsidRDefault="00422346"/>
  </w:endnote>
  <w:endnote w:type="continuationSeparator" w:id="0">
    <w:p w14:paraId="3CC567C5" w14:textId="77777777" w:rsidR="00422346" w:rsidRDefault="00422346" w:rsidP="00124A51">
      <w:r>
        <w:continuationSeparator/>
      </w:r>
    </w:p>
    <w:p w14:paraId="7C2AC442" w14:textId="77777777" w:rsidR="00422346" w:rsidRDefault="00422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7C3F" w14:textId="77777777" w:rsidR="00422346" w:rsidRDefault="00422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16A79" w14:textId="77777777" w:rsidR="00422346" w:rsidRDefault="00422346">
    <w:pPr>
      <w:pStyle w:val="Footer"/>
      <w:jc w:val="center"/>
    </w:pPr>
  </w:p>
  <w:p w14:paraId="5F9E84FD" w14:textId="6C9F2628" w:rsidR="00422346" w:rsidRPr="00DE6413" w:rsidRDefault="00575675" w:rsidP="00987B69">
    <w:pPr>
      <w:pStyle w:val="Footer"/>
      <w:jc w:val="center"/>
      <w:rPr>
        <w:b/>
      </w:rPr>
    </w:pPr>
    <w:sdt>
      <w:sdtPr>
        <w:rPr>
          <w:b/>
        </w:rPr>
        <w:id w:val="-1302922257"/>
        <w:docPartObj>
          <w:docPartGallery w:val="Page Numbers (Bottom of Page)"/>
          <w:docPartUnique/>
        </w:docPartObj>
      </w:sdtPr>
      <w:sdtEndPr>
        <w:rPr>
          <w:noProof/>
        </w:rPr>
      </w:sdtEndPr>
      <w:sdtContent>
        <w:r w:rsidR="00422346" w:rsidRPr="00DE6413">
          <w:rPr>
            <w:b/>
          </w:rPr>
          <w:fldChar w:fldCharType="begin"/>
        </w:r>
        <w:r w:rsidR="00422346" w:rsidRPr="00DE6413">
          <w:rPr>
            <w:b/>
          </w:rPr>
          <w:instrText xml:space="preserve"> PAGE   \* MERGEFORMAT </w:instrText>
        </w:r>
        <w:r w:rsidR="00422346" w:rsidRPr="00DE6413">
          <w:rPr>
            <w:b/>
          </w:rPr>
          <w:fldChar w:fldCharType="separate"/>
        </w:r>
        <w:r>
          <w:rPr>
            <w:b/>
            <w:noProof/>
          </w:rPr>
          <w:t>30</w:t>
        </w:r>
        <w:r w:rsidR="00422346" w:rsidRPr="00DE6413">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6D9AB" w14:textId="77777777" w:rsidR="00422346" w:rsidRDefault="00422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FCFB3" w14:textId="77777777" w:rsidR="00422346" w:rsidRDefault="00422346" w:rsidP="00124A51">
      <w:r>
        <w:separator/>
      </w:r>
    </w:p>
    <w:p w14:paraId="2F1FCA70" w14:textId="77777777" w:rsidR="00422346" w:rsidRDefault="00422346"/>
  </w:footnote>
  <w:footnote w:type="continuationSeparator" w:id="0">
    <w:p w14:paraId="0819EB74" w14:textId="77777777" w:rsidR="00422346" w:rsidRDefault="00422346" w:rsidP="00124A51">
      <w:r>
        <w:continuationSeparator/>
      </w:r>
    </w:p>
    <w:p w14:paraId="656A7105" w14:textId="77777777" w:rsidR="00422346" w:rsidRDefault="00422346"/>
  </w:footnote>
  <w:footnote w:id="1">
    <w:p w14:paraId="79732C7B" w14:textId="3B717E21" w:rsidR="00422346" w:rsidRDefault="00422346">
      <w:pPr>
        <w:pStyle w:val="FootnoteText"/>
      </w:pPr>
      <w:r>
        <w:rPr>
          <w:rStyle w:val="FootnoteReference"/>
        </w:rPr>
        <w:footnoteRef/>
      </w:r>
      <w:r>
        <w:t xml:space="preserve"> Elshafay A, et al 2019. Efficacy and safety of valproic acid for spinal muscular atrophy: A systematic review and meta-analysis. CNS Drugs 33(3): 239-250.</w:t>
      </w:r>
    </w:p>
  </w:footnote>
  <w:footnote w:id="2">
    <w:p w14:paraId="6113713E" w14:textId="1DE29EEF" w:rsidR="00422346" w:rsidRDefault="00422346">
      <w:pPr>
        <w:pStyle w:val="FootnoteText"/>
      </w:pPr>
      <w:r>
        <w:rPr>
          <w:rStyle w:val="FootnoteReference"/>
        </w:rPr>
        <w:footnoteRef/>
      </w:r>
      <w:r>
        <w:t xml:space="preserve"> Sivo et al, 2015. Upper limb module in non-ambulant patients with spinal muscular atrophy: 12 month changes. Neuromuscular disorders 25: 212-215.</w:t>
      </w:r>
    </w:p>
  </w:footnote>
  <w:footnote w:id="3">
    <w:p w14:paraId="4961271E" w14:textId="7DC428BC" w:rsidR="00422346" w:rsidRDefault="00422346">
      <w:pPr>
        <w:pStyle w:val="FootnoteText"/>
      </w:pPr>
      <w:r>
        <w:rPr>
          <w:rStyle w:val="FootnoteReference"/>
        </w:rPr>
        <w:footnoteRef/>
      </w:r>
      <w:r>
        <w:t xml:space="preserve"> </w:t>
      </w:r>
      <w:r w:rsidRPr="00890C51">
        <w:rPr>
          <w:rFonts w:ascii="Arial Narrow" w:hAnsi="Arial Narrow"/>
          <w:bCs/>
        </w:rPr>
        <w:t>Yeo</w:t>
      </w:r>
      <w:r w:rsidRPr="00890C51">
        <w:rPr>
          <w:rFonts w:ascii="Arial Narrow" w:hAnsi="Arial Narrow"/>
        </w:rPr>
        <w:t xml:space="preserve"> C, et al 2020. Prospective Cohort Study of Nusinersen Treatment in Adults with Spinal Muscular Atrophy.</w:t>
      </w:r>
      <w:r w:rsidRPr="00890C51">
        <w:rPr>
          <w:rFonts w:ascii="Arial Narrow" w:hAnsi="Arial Narrow"/>
          <w:i/>
          <w:iCs/>
        </w:rPr>
        <w:t>Journal of Neuromuscular Diseases</w:t>
      </w:r>
      <w:r w:rsidRPr="00890C51">
        <w:rPr>
          <w:rFonts w:ascii="Arial Narrow" w:hAnsi="Arial Narrow"/>
        </w:rPr>
        <w:t>, 7(3), pp.257-268.</w:t>
      </w:r>
    </w:p>
  </w:footnote>
  <w:footnote w:id="4">
    <w:p w14:paraId="13D2CFF1" w14:textId="74CB1B39" w:rsidR="00422346" w:rsidRDefault="00422346">
      <w:pPr>
        <w:pStyle w:val="FootnoteText"/>
      </w:pPr>
      <w:r>
        <w:rPr>
          <w:rStyle w:val="FootnoteReference"/>
        </w:rPr>
        <w:footnoteRef/>
      </w:r>
      <w:r>
        <w:t xml:space="preserve"> </w:t>
      </w:r>
      <w:r w:rsidRPr="008A77CA">
        <w:rPr>
          <w:rFonts w:ascii="Arial Narrow" w:hAnsi="Arial Narrow"/>
        </w:rPr>
        <w:t>Jochmann E,</w:t>
      </w:r>
      <w:r>
        <w:rPr>
          <w:rFonts w:ascii="Arial Narrow" w:hAnsi="Arial Narrow"/>
        </w:rPr>
        <w:t xml:space="preserve"> et al 2020.</w:t>
      </w:r>
      <w:r w:rsidRPr="008A77CA">
        <w:rPr>
          <w:rFonts w:ascii="Arial Narrow" w:hAnsi="Arial Narrow"/>
        </w:rPr>
        <w:t xml:space="preserve"> Experiences from treating seven adult 5q spinal muscular atrophy patients with Nusinersen. </w:t>
      </w:r>
      <w:r w:rsidRPr="008A77CA">
        <w:rPr>
          <w:rFonts w:ascii="Arial Narrow" w:hAnsi="Arial Narrow"/>
          <w:i/>
        </w:rPr>
        <w:t>Therapeutic Advances in Neurological Disorders</w:t>
      </w:r>
      <w:r w:rsidRPr="008A77CA">
        <w:rPr>
          <w:rFonts w:ascii="Arial Narrow" w:hAnsi="Arial Narrow"/>
        </w:rPr>
        <w:t>, 13, p.175628642090780.</w:t>
      </w:r>
    </w:p>
  </w:footnote>
  <w:footnote w:id="5">
    <w:p w14:paraId="3500FCB8" w14:textId="26A2EA51" w:rsidR="00422346" w:rsidRDefault="00422346">
      <w:pPr>
        <w:pStyle w:val="FootnoteText"/>
      </w:pPr>
      <w:r>
        <w:rPr>
          <w:rStyle w:val="FootnoteReference"/>
        </w:rPr>
        <w:footnoteRef/>
      </w:r>
      <w:r>
        <w:t xml:space="preserve"> </w:t>
      </w:r>
      <w:r w:rsidRPr="000745BC">
        <w:rPr>
          <w:rFonts w:ascii="Arial Narrow" w:hAnsi="Arial Narrow"/>
          <w:bCs/>
        </w:rPr>
        <w:t>Veerapandiyan</w:t>
      </w:r>
      <w:r w:rsidRPr="000745BC">
        <w:rPr>
          <w:rFonts w:ascii="Arial Narrow" w:hAnsi="Arial Narrow"/>
        </w:rPr>
        <w:t xml:space="preserve"> A</w:t>
      </w:r>
      <w:r>
        <w:rPr>
          <w:rFonts w:ascii="Arial Narrow" w:hAnsi="Arial Narrow"/>
        </w:rPr>
        <w:t xml:space="preserve">, et al </w:t>
      </w:r>
      <w:r w:rsidRPr="000745BC">
        <w:rPr>
          <w:rFonts w:ascii="Arial Narrow" w:hAnsi="Arial Narrow"/>
        </w:rPr>
        <w:t>2019. Nusinersen for older patients with spinal muscular atrophy: A real</w:t>
      </w:r>
      <w:r w:rsidRPr="000745BC">
        <w:rPr>
          <w:rFonts w:ascii="Cambria Math" w:hAnsi="Cambria Math" w:cs="Cambria Math"/>
        </w:rPr>
        <w:t>‐</w:t>
      </w:r>
      <w:r w:rsidRPr="000745BC">
        <w:rPr>
          <w:rFonts w:ascii="Arial Narrow" w:hAnsi="Arial Narrow"/>
        </w:rPr>
        <w:t>world clinical setting experience.</w:t>
      </w:r>
      <w:r>
        <w:rPr>
          <w:rFonts w:ascii="Arial Narrow" w:hAnsi="Arial Narrow"/>
        </w:rPr>
        <w:t xml:space="preserve"> </w:t>
      </w:r>
      <w:r w:rsidRPr="000745BC">
        <w:rPr>
          <w:rFonts w:ascii="Arial Narrow" w:hAnsi="Arial Narrow"/>
          <w:i/>
          <w:iCs/>
        </w:rPr>
        <w:t>Muscle &amp; Nerve</w:t>
      </w:r>
      <w:r w:rsidRPr="000745BC">
        <w:rPr>
          <w:rFonts w:ascii="Arial Narrow" w:hAnsi="Arial Narrow"/>
        </w:rPr>
        <w:t>, 61(2), pp.222-226.</w:t>
      </w:r>
    </w:p>
  </w:footnote>
  <w:footnote w:id="6">
    <w:p w14:paraId="37795A7D" w14:textId="40F0E752" w:rsidR="00422346" w:rsidRDefault="00422346">
      <w:pPr>
        <w:pStyle w:val="FootnoteText"/>
      </w:pPr>
      <w:r>
        <w:rPr>
          <w:rStyle w:val="FootnoteReference"/>
        </w:rPr>
        <w:footnoteRef/>
      </w:r>
      <w:r>
        <w:t xml:space="preserve"> </w:t>
      </w:r>
      <w:r w:rsidRPr="00EA048E">
        <w:rPr>
          <w:rFonts w:ascii="Arial Narrow" w:hAnsi="Arial Narrow"/>
          <w:bCs/>
        </w:rPr>
        <w:t>Mazzone</w:t>
      </w:r>
      <w:r w:rsidRPr="00EA048E">
        <w:rPr>
          <w:rFonts w:ascii="Arial Narrow" w:hAnsi="Arial Narrow"/>
        </w:rPr>
        <w:t xml:space="preserve"> E, et al 2013. Six minute walk test in type III spinal muscular atrophy: A 12</w:t>
      </w:r>
      <w:r>
        <w:rPr>
          <w:rFonts w:ascii="Arial Narrow" w:hAnsi="Arial Narrow"/>
        </w:rPr>
        <w:t xml:space="preserve"> month longitudinal study. </w:t>
      </w:r>
      <w:r w:rsidRPr="00EA048E">
        <w:rPr>
          <w:rFonts w:ascii="Arial Narrow" w:hAnsi="Arial Narrow"/>
          <w:i/>
          <w:iCs/>
        </w:rPr>
        <w:t>Neuromuscular Disorders</w:t>
      </w:r>
      <w:r w:rsidRPr="00EA048E">
        <w:rPr>
          <w:rFonts w:ascii="Arial Narrow" w:hAnsi="Arial Narrow"/>
        </w:rPr>
        <w:t>, 23(8), pp.624-628.</w:t>
      </w:r>
    </w:p>
  </w:footnote>
  <w:footnote w:id="7">
    <w:p w14:paraId="10ECFD98" w14:textId="78A3BA83" w:rsidR="00422346" w:rsidRDefault="00422346">
      <w:pPr>
        <w:pStyle w:val="FootnoteText"/>
      </w:pPr>
      <w:r>
        <w:rPr>
          <w:rStyle w:val="FootnoteReference"/>
        </w:rPr>
        <w:footnoteRef/>
      </w:r>
      <w:r>
        <w:t xml:space="preserve"> </w:t>
      </w:r>
      <w:r w:rsidRPr="00440CF2">
        <w:rPr>
          <w:rFonts w:ascii="Arial Narrow" w:hAnsi="Arial Narrow"/>
          <w:bCs/>
        </w:rPr>
        <w:t>Bonati</w:t>
      </w:r>
      <w:r w:rsidRPr="00440CF2">
        <w:rPr>
          <w:rFonts w:ascii="Arial Narrow" w:hAnsi="Arial Narrow"/>
        </w:rPr>
        <w:t xml:space="preserve"> U, et al 2017. Longitudinal characterization of biomarkers for spinal muscular atrophy. </w:t>
      </w:r>
      <w:r w:rsidRPr="00440CF2">
        <w:rPr>
          <w:rFonts w:ascii="Arial Narrow" w:hAnsi="Arial Narrow"/>
          <w:i/>
          <w:iCs/>
        </w:rPr>
        <w:t>Annals of Clinical and Translational Neurology</w:t>
      </w:r>
      <w:r w:rsidRPr="00440CF2">
        <w:rPr>
          <w:rFonts w:ascii="Arial Narrow" w:hAnsi="Arial Narrow"/>
        </w:rPr>
        <w:t>, 4(5), pp.292-304.</w:t>
      </w:r>
    </w:p>
  </w:footnote>
  <w:footnote w:id="8">
    <w:p w14:paraId="5873647A" w14:textId="63E775B3" w:rsidR="00422346" w:rsidRDefault="00422346">
      <w:pPr>
        <w:pStyle w:val="FootnoteText"/>
      </w:pPr>
      <w:r>
        <w:rPr>
          <w:rStyle w:val="FootnoteReference"/>
        </w:rPr>
        <w:footnoteRef/>
      </w:r>
      <w:r>
        <w:t xml:space="preserve"> </w:t>
      </w:r>
      <w:r w:rsidRPr="00964741">
        <w:rPr>
          <w:rFonts w:ascii="Arial Narrow" w:hAnsi="Arial Narrow"/>
        </w:rPr>
        <w:t xml:space="preserve">Sivo </w:t>
      </w:r>
      <w:r>
        <w:rPr>
          <w:rFonts w:ascii="Arial Narrow" w:hAnsi="Arial Narrow"/>
        </w:rPr>
        <w:t xml:space="preserve">S, </w:t>
      </w:r>
      <w:r w:rsidRPr="00964741">
        <w:rPr>
          <w:rFonts w:ascii="Arial Narrow" w:hAnsi="Arial Narrow"/>
        </w:rPr>
        <w:t>et al 2015. Upper limb module in non-ambulant patients with spinal muscular atrophy: 12 month changes. Neuromuscular disorders 25: 212-215.</w:t>
      </w:r>
    </w:p>
  </w:footnote>
  <w:footnote w:id="9">
    <w:p w14:paraId="3771D6A5" w14:textId="77777777" w:rsidR="00422346" w:rsidRPr="003E7FC1" w:rsidRDefault="00422346" w:rsidP="00422346">
      <w:pPr>
        <w:pStyle w:val="FootnoteText"/>
        <w:rPr>
          <w:rFonts w:ascii="Arial Narrow" w:hAnsi="Arial Narrow"/>
        </w:rPr>
      </w:pPr>
      <w:r>
        <w:rPr>
          <w:rStyle w:val="FootnoteReference"/>
        </w:rPr>
        <w:footnoteRef/>
      </w:r>
      <w:r>
        <w:t xml:space="preserve"> </w:t>
      </w:r>
      <w:r w:rsidRPr="002E55D6">
        <w:rPr>
          <w:rFonts w:ascii="Arial Narrow" w:hAnsi="Arial Narrow"/>
        </w:rPr>
        <w:t xml:space="preserve">Zerres K, et al </w:t>
      </w:r>
      <w:r w:rsidRPr="003E7FC1">
        <w:rPr>
          <w:rFonts w:ascii="Arial Narrow" w:hAnsi="Arial Narrow"/>
        </w:rPr>
        <w:t xml:space="preserve">1997. A collaborative study on the natural history of childhood and juvenile onset proximal spinal muscular atrophy (type II and III SMA): 569 patients. </w:t>
      </w:r>
      <w:r w:rsidRPr="003E7FC1">
        <w:rPr>
          <w:rFonts w:ascii="Arial Narrow" w:hAnsi="Arial Narrow"/>
          <w:i/>
        </w:rPr>
        <w:t>Journal of the Neurological Sciences</w:t>
      </w:r>
      <w:r w:rsidRPr="003E7FC1">
        <w:rPr>
          <w:rFonts w:ascii="Arial Narrow" w:hAnsi="Arial Narrow"/>
        </w:rPr>
        <w:t>, 146(1), pp.67-72.</w:t>
      </w:r>
    </w:p>
    <w:p w14:paraId="643EDD6B" w14:textId="428B1633" w:rsidR="00422346" w:rsidRDefault="00422346">
      <w:pPr>
        <w:pStyle w:val="FootnoteText"/>
      </w:pPr>
    </w:p>
  </w:footnote>
  <w:footnote w:id="10">
    <w:p w14:paraId="6F2E6E37" w14:textId="5A17597B" w:rsidR="00422346" w:rsidRDefault="00422346">
      <w:pPr>
        <w:pStyle w:val="FootnoteText"/>
      </w:pPr>
      <w:r>
        <w:rPr>
          <w:rStyle w:val="FootnoteReference"/>
        </w:rPr>
        <w:footnoteRef/>
      </w:r>
      <w:r>
        <w:t xml:space="preserve"> </w:t>
      </w:r>
      <w:r w:rsidRPr="003E7FC1">
        <w:rPr>
          <w:rFonts w:ascii="Arial Narrow" w:hAnsi="Arial Narrow"/>
        </w:rPr>
        <w:t xml:space="preserve">NICE: Nusinersen for treating spinal muscular atrophy. Technology appraisal guidance [TA588]. 24 July 2019: Available at: </w:t>
      </w:r>
      <w:hyperlink r:id="rId1" w:history="1">
        <w:r w:rsidRPr="003E7FC1">
          <w:rPr>
            <w:rFonts w:ascii="Arial Narrow" w:hAnsi="Arial Narrow"/>
            <w:u w:val="single"/>
          </w:rPr>
          <w:t>https://www.nice.org.uk/guidance/ta588/evidence</w:t>
        </w:r>
      </w:hyperlink>
    </w:p>
  </w:footnote>
  <w:footnote w:id="11">
    <w:p w14:paraId="412B8E98" w14:textId="77C7ABBA" w:rsidR="00422346" w:rsidRDefault="00422346">
      <w:pPr>
        <w:pStyle w:val="FootnoteText"/>
      </w:pPr>
      <w:r>
        <w:rPr>
          <w:rStyle w:val="FootnoteReference"/>
        </w:rPr>
        <w:footnoteRef/>
      </w:r>
      <w:r>
        <w:t xml:space="preserve"> </w:t>
      </w:r>
      <w:r w:rsidRPr="006C6C78">
        <w:rPr>
          <w:rFonts w:ascii="Arial Narrow" w:hAnsi="Arial Narrow"/>
          <w:bCs/>
        </w:rPr>
        <w:t>Shafrin</w:t>
      </w:r>
      <w:r w:rsidRPr="006C6C78">
        <w:rPr>
          <w:rFonts w:ascii="Arial Narrow" w:hAnsi="Arial Narrow"/>
        </w:rPr>
        <w:t xml:space="preserve"> J, et al 2017. The association between observed mobility and quality of life in the near elderly. </w:t>
      </w:r>
      <w:r w:rsidRPr="006C6C78">
        <w:rPr>
          <w:rFonts w:ascii="Arial Narrow" w:hAnsi="Arial Narrow"/>
          <w:i/>
          <w:iCs/>
        </w:rPr>
        <w:t>PLOS ONE</w:t>
      </w:r>
      <w:r w:rsidRPr="006C6C78">
        <w:rPr>
          <w:rFonts w:ascii="Arial Narrow" w:hAnsi="Arial Narrow"/>
        </w:rPr>
        <w:t>, 12(8), p.e0182920.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557F" w14:textId="77777777" w:rsidR="00422346" w:rsidRDefault="00422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E6958" w14:textId="77777777" w:rsidR="00422346" w:rsidRPr="00056684" w:rsidRDefault="00422346" w:rsidP="00987B69">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w:t>
    </w:r>
    <w:r>
      <w:rPr>
        <w:rFonts w:asciiTheme="minorHAnsi" w:hAnsiTheme="minorHAnsi"/>
        <w:i/>
        <w:color w:val="808080"/>
      </w:rPr>
      <w:t>November 2020</w:t>
    </w:r>
    <w:r w:rsidRPr="00056684">
      <w:rPr>
        <w:rFonts w:asciiTheme="minorHAnsi" w:hAnsiTheme="minorHAnsi"/>
        <w:i/>
        <w:color w:val="808080"/>
      </w:rPr>
      <w:t xml:space="preserve"> PBAC Meeting</w:t>
    </w:r>
  </w:p>
  <w:p w14:paraId="078C48F6" w14:textId="77777777" w:rsidR="00422346" w:rsidRPr="008C7ECB" w:rsidRDefault="00422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0A38D" w14:textId="77777777" w:rsidR="00422346" w:rsidRDefault="00422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9006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E4944"/>
    <w:multiLevelType w:val="hybridMultilevel"/>
    <w:tmpl w:val="CFF6BCBE"/>
    <w:lvl w:ilvl="0" w:tplc="463821CC">
      <w:start w:val="1"/>
      <w:numFmt w:val="bullet"/>
      <w:lvlText w:val="o"/>
      <w:lvlJc w:val="left"/>
      <w:pPr>
        <w:tabs>
          <w:tab w:val="num" w:pos="720"/>
        </w:tabs>
        <w:ind w:left="720" w:hanging="360"/>
      </w:pPr>
      <w:rPr>
        <w:rFonts w:ascii="Courier New" w:hAnsi="Courier New" w:hint="default"/>
      </w:rPr>
    </w:lvl>
    <w:lvl w:ilvl="1" w:tplc="F71CA0BC">
      <w:start w:val="1"/>
      <w:numFmt w:val="bullet"/>
      <w:lvlText w:val="o"/>
      <w:lvlJc w:val="left"/>
      <w:pPr>
        <w:tabs>
          <w:tab w:val="num" w:pos="1440"/>
        </w:tabs>
        <w:ind w:left="1440" w:hanging="360"/>
      </w:pPr>
      <w:rPr>
        <w:rFonts w:ascii="Courier New" w:hAnsi="Courier New" w:hint="default"/>
      </w:rPr>
    </w:lvl>
    <w:lvl w:ilvl="2" w:tplc="F432A862">
      <w:start w:val="242"/>
      <w:numFmt w:val="bullet"/>
      <w:lvlText w:val="o"/>
      <w:lvlJc w:val="left"/>
      <w:pPr>
        <w:tabs>
          <w:tab w:val="num" w:pos="2160"/>
        </w:tabs>
        <w:ind w:left="2160" w:hanging="360"/>
      </w:pPr>
      <w:rPr>
        <w:rFonts w:ascii="Courier New" w:hAnsi="Courier New" w:hint="default"/>
      </w:rPr>
    </w:lvl>
    <w:lvl w:ilvl="3" w:tplc="4ABEA920">
      <w:start w:val="1"/>
      <w:numFmt w:val="bullet"/>
      <w:lvlText w:val="o"/>
      <w:lvlJc w:val="left"/>
      <w:pPr>
        <w:tabs>
          <w:tab w:val="num" w:pos="2880"/>
        </w:tabs>
        <w:ind w:left="2880" w:hanging="360"/>
      </w:pPr>
      <w:rPr>
        <w:rFonts w:ascii="Courier New" w:hAnsi="Courier New" w:hint="default"/>
      </w:rPr>
    </w:lvl>
    <w:lvl w:ilvl="4" w:tplc="C2605970" w:tentative="1">
      <w:start w:val="1"/>
      <w:numFmt w:val="bullet"/>
      <w:lvlText w:val="o"/>
      <w:lvlJc w:val="left"/>
      <w:pPr>
        <w:tabs>
          <w:tab w:val="num" w:pos="3600"/>
        </w:tabs>
        <w:ind w:left="3600" w:hanging="360"/>
      </w:pPr>
      <w:rPr>
        <w:rFonts w:ascii="Courier New" w:hAnsi="Courier New" w:hint="default"/>
      </w:rPr>
    </w:lvl>
    <w:lvl w:ilvl="5" w:tplc="AA38BF8A" w:tentative="1">
      <w:start w:val="1"/>
      <w:numFmt w:val="bullet"/>
      <w:lvlText w:val="o"/>
      <w:lvlJc w:val="left"/>
      <w:pPr>
        <w:tabs>
          <w:tab w:val="num" w:pos="4320"/>
        </w:tabs>
        <w:ind w:left="4320" w:hanging="360"/>
      </w:pPr>
      <w:rPr>
        <w:rFonts w:ascii="Courier New" w:hAnsi="Courier New" w:hint="default"/>
      </w:rPr>
    </w:lvl>
    <w:lvl w:ilvl="6" w:tplc="A3185DCC" w:tentative="1">
      <w:start w:val="1"/>
      <w:numFmt w:val="bullet"/>
      <w:lvlText w:val="o"/>
      <w:lvlJc w:val="left"/>
      <w:pPr>
        <w:tabs>
          <w:tab w:val="num" w:pos="5040"/>
        </w:tabs>
        <w:ind w:left="5040" w:hanging="360"/>
      </w:pPr>
      <w:rPr>
        <w:rFonts w:ascii="Courier New" w:hAnsi="Courier New" w:hint="default"/>
      </w:rPr>
    </w:lvl>
    <w:lvl w:ilvl="7" w:tplc="C19AB126" w:tentative="1">
      <w:start w:val="1"/>
      <w:numFmt w:val="bullet"/>
      <w:lvlText w:val="o"/>
      <w:lvlJc w:val="left"/>
      <w:pPr>
        <w:tabs>
          <w:tab w:val="num" w:pos="5760"/>
        </w:tabs>
        <w:ind w:left="5760" w:hanging="360"/>
      </w:pPr>
      <w:rPr>
        <w:rFonts w:ascii="Courier New" w:hAnsi="Courier New" w:hint="default"/>
      </w:rPr>
    </w:lvl>
    <w:lvl w:ilvl="8" w:tplc="8BA83FC8"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18231BEE"/>
    <w:multiLevelType w:val="hybridMultilevel"/>
    <w:tmpl w:val="61709FD0"/>
    <w:lvl w:ilvl="0" w:tplc="9D88D830">
      <w:start w:val="1"/>
      <w:numFmt w:val="bullet"/>
      <w:lvlText w:val="•"/>
      <w:lvlJc w:val="left"/>
      <w:pPr>
        <w:tabs>
          <w:tab w:val="num" w:pos="720"/>
        </w:tabs>
        <w:ind w:left="720" w:hanging="360"/>
      </w:pPr>
      <w:rPr>
        <w:rFonts w:ascii="Arial" w:hAnsi="Arial" w:hint="default"/>
      </w:rPr>
    </w:lvl>
    <w:lvl w:ilvl="1" w:tplc="21A63678" w:tentative="1">
      <w:start w:val="1"/>
      <w:numFmt w:val="bullet"/>
      <w:lvlText w:val="•"/>
      <w:lvlJc w:val="left"/>
      <w:pPr>
        <w:tabs>
          <w:tab w:val="num" w:pos="1440"/>
        </w:tabs>
        <w:ind w:left="1440" w:hanging="360"/>
      </w:pPr>
      <w:rPr>
        <w:rFonts w:ascii="Arial" w:hAnsi="Arial" w:hint="default"/>
      </w:rPr>
    </w:lvl>
    <w:lvl w:ilvl="2" w:tplc="FBFA4376" w:tentative="1">
      <w:start w:val="1"/>
      <w:numFmt w:val="bullet"/>
      <w:lvlText w:val="•"/>
      <w:lvlJc w:val="left"/>
      <w:pPr>
        <w:tabs>
          <w:tab w:val="num" w:pos="2160"/>
        </w:tabs>
        <w:ind w:left="2160" w:hanging="360"/>
      </w:pPr>
      <w:rPr>
        <w:rFonts w:ascii="Arial" w:hAnsi="Arial" w:hint="default"/>
      </w:rPr>
    </w:lvl>
    <w:lvl w:ilvl="3" w:tplc="862A8210" w:tentative="1">
      <w:start w:val="1"/>
      <w:numFmt w:val="bullet"/>
      <w:lvlText w:val="•"/>
      <w:lvlJc w:val="left"/>
      <w:pPr>
        <w:tabs>
          <w:tab w:val="num" w:pos="2880"/>
        </w:tabs>
        <w:ind w:left="2880" w:hanging="360"/>
      </w:pPr>
      <w:rPr>
        <w:rFonts w:ascii="Arial" w:hAnsi="Arial" w:hint="default"/>
      </w:rPr>
    </w:lvl>
    <w:lvl w:ilvl="4" w:tplc="33E09A3E" w:tentative="1">
      <w:start w:val="1"/>
      <w:numFmt w:val="bullet"/>
      <w:lvlText w:val="•"/>
      <w:lvlJc w:val="left"/>
      <w:pPr>
        <w:tabs>
          <w:tab w:val="num" w:pos="3600"/>
        </w:tabs>
        <w:ind w:left="3600" w:hanging="360"/>
      </w:pPr>
      <w:rPr>
        <w:rFonts w:ascii="Arial" w:hAnsi="Arial" w:hint="default"/>
      </w:rPr>
    </w:lvl>
    <w:lvl w:ilvl="5" w:tplc="DB2A6B28" w:tentative="1">
      <w:start w:val="1"/>
      <w:numFmt w:val="bullet"/>
      <w:lvlText w:val="•"/>
      <w:lvlJc w:val="left"/>
      <w:pPr>
        <w:tabs>
          <w:tab w:val="num" w:pos="4320"/>
        </w:tabs>
        <w:ind w:left="4320" w:hanging="360"/>
      </w:pPr>
      <w:rPr>
        <w:rFonts w:ascii="Arial" w:hAnsi="Arial" w:hint="default"/>
      </w:rPr>
    </w:lvl>
    <w:lvl w:ilvl="6" w:tplc="4F3C3D8C" w:tentative="1">
      <w:start w:val="1"/>
      <w:numFmt w:val="bullet"/>
      <w:lvlText w:val="•"/>
      <w:lvlJc w:val="left"/>
      <w:pPr>
        <w:tabs>
          <w:tab w:val="num" w:pos="5040"/>
        </w:tabs>
        <w:ind w:left="5040" w:hanging="360"/>
      </w:pPr>
      <w:rPr>
        <w:rFonts w:ascii="Arial" w:hAnsi="Arial" w:hint="default"/>
      </w:rPr>
    </w:lvl>
    <w:lvl w:ilvl="7" w:tplc="83CC9B40" w:tentative="1">
      <w:start w:val="1"/>
      <w:numFmt w:val="bullet"/>
      <w:lvlText w:val="•"/>
      <w:lvlJc w:val="left"/>
      <w:pPr>
        <w:tabs>
          <w:tab w:val="num" w:pos="5760"/>
        </w:tabs>
        <w:ind w:left="5760" w:hanging="360"/>
      </w:pPr>
      <w:rPr>
        <w:rFonts w:ascii="Arial" w:hAnsi="Arial" w:hint="default"/>
      </w:rPr>
    </w:lvl>
    <w:lvl w:ilvl="8" w:tplc="5A48F1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2376C72"/>
    <w:multiLevelType w:val="hybridMultilevel"/>
    <w:tmpl w:val="99F845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BCAB6E2">
      <w:numFmt w:val="bullet"/>
      <w:lvlText w:val="-"/>
      <w:lvlJc w:val="left"/>
      <w:pPr>
        <w:ind w:left="2520" w:hanging="720"/>
      </w:pPr>
      <w:rPr>
        <w:rFonts w:ascii="Calibri" w:eastAsia="Times New Roman"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72B4A"/>
    <w:multiLevelType w:val="hybridMultilevel"/>
    <w:tmpl w:val="657A685A"/>
    <w:lvl w:ilvl="0" w:tplc="5A063152">
      <w:start w:val="3"/>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CCE4D2A"/>
    <w:multiLevelType w:val="hybridMultilevel"/>
    <w:tmpl w:val="A2E81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33443FB"/>
    <w:multiLevelType w:val="hybridMultilevel"/>
    <w:tmpl w:val="8550AC7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6332AF"/>
    <w:multiLevelType w:val="hybridMultilevel"/>
    <w:tmpl w:val="47285D50"/>
    <w:lvl w:ilvl="0" w:tplc="1A52FD5C">
      <w:start w:val="1"/>
      <w:numFmt w:val="bullet"/>
      <w:pStyle w:val="Tablebullet"/>
      <w:lvlText w:val=""/>
      <w:lvlJc w:val="left"/>
      <w:pPr>
        <w:ind w:left="473" w:hanging="360"/>
      </w:pPr>
      <w:rPr>
        <w:rFonts w:ascii="Symbol" w:hAnsi="Symbol" w:hint="default"/>
      </w:rPr>
    </w:lvl>
    <w:lvl w:ilvl="1" w:tplc="0C090003">
      <w:start w:val="1"/>
      <w:numFmt w:val="bullet"/>
      <w:lvlText w:val="o"/>
      <w:lvlJc w:val="left"/>
      <w:pPr>
        <w:ind w:left="1193" w:hanging="360"/>
      </w:pPr>
      <w:rPr>
        <w:rFonts w:ascii="Courier New" w:hAnsi="Courier New" w:cs="Courier New" w:hint="default"/>
      </w:rPr>
    </w:lvl>
    <w:lvl w:ilvl="2" w:tplc="0C090005">
      <w:start w:val="1"/>
      <w:numFmt w:val="bullet"/>
      <w:lvlText w:val=""/>
      <w:lvlJc w:val="left"/>
      <w:pPr>
        <w:ind w:left="1913" w:hanging="360"/>
      </w:pPr>
      <w:rPr>
        <w:rFonts w:ascii="Wingdings" w:hAnsi="Wingdings" w:hint="default"/>
      </w:rPr>
    </w:lvl>
    <w:lvl w:ilvl="3" w:tplc="0C090001">
      <w:start w:val="1"/>
      <w:numFmt w:val="bullet"/>
      <w:lvlText w:val=""/>
      <w:lvlJc w:val="left"/>
      <w:pPr>
        <w:ind w:left="2633" w:hanging="360"/>
      </w:pPr>
      <w:rPr>
        <w:rFonts w:ascii="Symbol" w:hAnsi="Symbol" w:hint="default"/>
      </w:rPr>
    </w:lvl>
    <w:lvl w:ilvl="4" w:tplc="0C090003">
      <w:start w:val="1"/>
      <w:numFmt w:val="bullet"/>
      <w:lvlText w:val="o"/>
      <w:lvlJc w:val="left"/>
      <w:pPr>
        <w:ind w:left="3353" w:hanging="360"/>
      </w:pPr>
      <w:rPr>
        <w:rFonts w:ascii="Courier New" w:hAnsi="Courier New" w:cs="Courier New" w:hint="default"/>
      </w:rPr>
    </w:lvl>
    <w:lvl w:ilvl="5" w:tplc="0C090005">
      <w:start w:val="1"/>
      <w:numFmt w:val="bullet"/>
      <w:lvlText w:val=""/>
      <w:lvlJc w:val="left"/>
      <w:pPr>
        <w:ind w:left="4073" w:hanging="360"/>
      </w:pPr>
      <w:rPr>
        <w:rFonts w:ascii="Wingdings" w:hAnsi="Wingdings" w:hint="default"/>
      </w:rPr>
    </w:lvl>
    <w:lvl w:ilvl="6" w:tplc="0C090001">
      <w:start w:val="1"/>
      <w:numFmt w:val="bullet"/>
      <w:lvlText w:val=""/>
      <w:lvlJc w:val="left"/>
      <w:pPr>
        <w:ind w:left="4793" w:hanging="360"/>
      </w:pPr>
      <w:rPr>
        <w:rFonts w:ascii="Symbol" w:hAnsi="Symbol" w:hint="default"/>
      </w:rPr>
    </w:lvl>
    <w:lvl w:ilvl="7" w:tplc="0C090003">
      <w:start w:val="1"/>
      <w:numFmt w:val="bullet"/>
      <w:lvlText w:val="o"/>
      <w:lvlJc w:val="left"/>
      <w:pPr>
        <w:ind w:left="5513" w:hanging="360"/>
      </w:pPr>
      <w:rPr>
        <w:rFonts w:ascii="Courier New" w:hAnsi="Courier New" w:cs="Courier New" w:hint="default"/>
      </w:rPr>
    </w:lvl>
    <w:lvl w:ilvl="8" w:tplc="0C090005">
      <w:start w:val="1"/>
      <w:numFmt w:val="bullet"/>
      <w:lvlText w:val=""/>
      <w:lvlJc w:val="left"/>
      <w:pPr>
        <w:ind w:left="6233" w:hanging="360"/>
      </w:pPr>
      <w:rPr>
        <w:rFonts w:ascii="Wingdings" w:hAnsi="Wingdings" w:hint="default"/>
      </w:r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FF3D19"/>
    <w:multiLevelType w:val="hybridMultilevel"/>
    <w:tmpl w:val="2D9AC0A2"/>
    <w:lvl w:ilvl="0" w:tplc="A182984E">
      <w:start w:val="1"/>
      <w:numFmt w:val="bullet"/>
      <w:lvlText w:val="o"/>
      <w:lvlJc w:val="left"/>
      <w:pPr>
        <w:tabs>
          <w:tab w:val="num" w:pos="720"/>
        </w:tabs>
        <w:ind w:left="720" w:hanging="360"/>
      </w:pPr>
      <w:rPr>
        <w:rFonts w:ascii="Courier New" w:hAnsi="Courier New" w:hint="default"/>
      </w:rPr>
    </w:lvl>
    <w:lvl w:ilvl="1" w:tplc="8D242A2E">
      <w:start w:val="1"/>
      <w:numFmt w:val="bullet"/>
      <w:lvlText w:val="o"/>
      <w:lvlJc w:val="left"/>
      <w:pPr>
        <w:tabs>
          <w:tab w:val="num" w:pos="1440"/>
        </w:tabs>
        <w:ind w:left="1440" w:hanging="360"/>
      </w:pPr>
      <w:rPr>
        <w:rFonts w:ascii="Courier New" w:hAnsi="Courier New" w:hint="default"/>
      </w:rPr>
    </w:lvl>
    <w:lvl w:ilvl="2" w:tplc="88E401B0" w:tentative="1">
      <w:start w:val="1"/>
      <w:numFmt w:val="bullet"/>
      <w:lvlText w:val="o"/>
      <w:lvlJc w:val="left"/>
      <w:pPr>
        <w:tabs>
          <w:tab w:val="num" w:pos="2160"/>
        </w:tabs>
        <w:ind w:left="2160" w:hanging="360"/>
      </w:pPr>
      <w:rPr>
        <w:rFonts w:ascii="Courier New" w:hAnsi="Courier New" w:hint="default"/>
      </w:rPr>
    </w:lvl>
    <w:lvl w:ilvl="3" w:tplc="07CA2654" w:tentative="1">
      <w:start w:val="1"/>
      <w:numFmt w:val="bullet"/>
      <w:lvlText w:val="o"/>
      <w:lvlJc w:val="left"/>
      <w:pPr>
        <w:tabs>
          <w:tab w:val="num" w:pos="2880"/>
        </w:tabs>
        <w:ind w:left="2880" w:hanging="360"/>
      </w:pPr>
      <w:rPr>
        <w:rFonts w:ascii="Courier New" w:hAnsi="Courier New" w:hint="default"/>
      </w:rPr>
    </w:lvl>
    <w:lvl w:ilvl="4" w:tplc="B986DA58" w:tentative="1">
      <w:start w:val="1"/>
      <w:numFmt w:val="bullet"/>
      <w:lvlText w:val="o"/>
      <w:lvlJc w:val="left"/>
      <w:pPr>
        <w:tabs>
          <w:tab w:val="num" w:pos="3600"/>
        </w:tabs>
        <w:ind w:left="3600" w:hanging="360"/>
      </w:pPr>
      <w:rPr>
        <w:rFonts w:ascii="Courier New" w:hAnsi="Courier New" w:hint="default"/>
      </w:rPr>
    </w:lvl>
    <w:lvl w:ilvl="5" w:tplc="F1E461D6" w:tentative="1">
      <w:start w:val="1"/>
      <w:numFmt w:val="bullet"/>
      <w:lvlText w:val="o"/>
      <w:lvlJc w:val="left"/>
      <w:pPr>
        <w:tabs>
          <w:tab w:val="num" w:pos="4320"/>
        </w:tabs>
        <w:ind w:left="4320" w:hanging="360"/>
      </w:pPr>
      <w:rPr>
        <w:rFonts w:ascii="Courier New" w:hAnsi="Courier New" w:hint="default"/>
      </w:rPr>
    </w:lvl>
    <w:lvl w:ilvl="6" w:tplc="B3D0C3F4" w:tentative="1">
      <w:start w:val="1"/>
      <w:numFmt w:val="bullet"/>
      <w:lvlText w:val="o"/>
      <w:lvlJc w:val="left"/>
      <w:pPr>
        <w:tabs>
          <w:tab w:val="num" w:pos="5040"/>
        </w:tabs>
        <w:ind w:left="5040" w:hanging="360"/>
      </w:pPr>
      <w:rPr>
        <w:rFonts w:ascii="Courier New" w:hAnsi="Courier New" w:hint="default"/>
      </w:rPr>
    </w:lvl>
    <w:lvl w:ilvl="7" w:tplc="E0E431DA" w:tentative="1">
      <w:start w:val="1"/>
      <w:numFmt w:val="bullet"/>
      <w:lvlText w:val="o"/>
      <w:lvlJc w:val="left"/>
      <w:pPr>
        <w:tabs>
          <w:tab w:val="num" w:pos="5760"/>
        </w:tabs>
        <w:ind w:left="5760" w:hanging="360"/>
      </w:pPr>
      <w:rPr>
        <w:rFonts w:ascii="Courier New" w:hAnsi="Courier New" w:hint="default"/>
      </w:rPr>
    </w:lvl>
    <w:lvl w:ilvl="8" w:tplc="F2C8AB5A"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74720FE2"/>
    <w:multiLevelType w:val="hybridMultilevel"/>
    <w:tmpl w:val="D7BA97C2"/>
    <w:lvl w:ilvl="0" w:tplc="0C090001">
      <w:start w:val="1"/>
      <w:numFmt w:val="bullet"/>
      <w:lvlText w:val=""/>
      <w:lvlJc w:val="left"/>
      <w:pPr>
        <w:ind w:left="720" w:hanging="360"/>
      </w:pPr>
      <w:rPr>
        <w:rFonts w:ascii="Symbol" w:hAnsi="Symbol" w:hint="default"/>
      </w:rPr>
    </w:lvl>
    <w:lvl w:ilvl="1" w:tplc="5BCAB6E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9845C5"/>
    <w:multiLevelType w:val="hybridMultilevel"/>
    <w:tmpl w:val="95B25FAC"/>
    <w:lvl w:ilvl="0" w:tplc="E6805764">
      <w:start w:val="1"/>
      <w:numFmt w:val="bullet"/>
      <w:lvlText w:val="•"/>
      <w:lvlJc w:val="left"/>
      <w:pPr>
        <w:tabs>
          <w:tab w:val="num" w:pos="720"/>
        </w:tabs>
        <w:ind w:left="720" w:hanging="360"/>
      </w:pPr>
      <w:rPr>
        <w:rFonts w:ascii="Arial" w:hAnsi="Arial" w:hint="default"/>
      </w:rPr>
    </w:lvl>
    <w:lvl w:ilvl="1" w:tplc="F8522E0C" w:tentative="1">
      <w:start w:val="1"/>
      <w:numFmt w:val="bullet"/>
      <w:lvlText w:val="•"/>
      <w:lvlJc w:val="left"/>
      <w:pPr>
        <w:tabs>
          <w:tab w:val="num" w:pos="1440"/>
        </w:tabs>
        <w:ind w:left="1440" w:hanging="360"/>
      </w:pPr>
      <w:rPr>
        <w:rFonts w:ascii="Arial" w:hAnsi="Arial" w:hint="default"/>
      </w:rPr>
    </w:lvl>
    <w:lvl w:ilvl="2" w:tplc="06C4DDEA" w:tentative="1">
      <w:start w:val="1"/>
      <w:numFmt w:val="bullet"/>
      <w:lvlText w:val="•"/>
      <w:lvlJc w:val="left"/>
      <w:pPr>
        <w:tabs>
          <w:tab w:val="num" w:pos="2160"/>
        </w:tabs>
        <w:ind w:left="2160" w:hanging="360"/>
      </w:pPr>
      <w:rPr>
        <w:rFonts w:ascii="Arial" w:hAnsi="Arial" w:hint="default"/>
      </w:rPr>
    </w:lvl>
    <w:lvl w:ilvl="3" w:tplc="F8AEB92E" w:tentative="1">
      <w:start w:val="1"/>
      <w:numFmt w:val="bullet"/>
      <w:lvlText w:val="•"/>
      <w:lvlJc w:val="left"/>
      <w:pPr>
        <w:tabs>
          <w:tab w:val="num" w:pos="2880"/>
        </w:tabs>
        <w:ind w:left="2880" w:hanging="360"/>
      </w:pPr>
      <w:rPr>
        <w:rFonts w:ascii="Arial" w:hAnsi="Arial" w:hint="default"/>
      </w:rPr>
    </w:lvl>
    <w:lvl w:ilvl="4" w:tplc="97DC53AC" w:tentative="1">
      <w:start w:val="1"/>
      <w:numFmt w:val="bullet"/>
      <w:lvlText w:val="•"/>
      <w:lvlJc w:val="left"/>
      <w:pPr>
        <w:tabs>
          <w:tab w:val="num" w:pos="3600"/>
        </w:tabs>
        <w:ind w:left="3600" w:hanging="360"/>
      </w:pPr>
      <w:rPr>
        <w:rFonts w:ascii="Arial" w:hAnsi="Arial" w:hint="default"/>
      </w:rPr>
    </w:lvl>
    <w:lvl w:ilvl="5" w:tplc="4E24490A" w:tentative="1">
      <w:start w:val="1"/>
      <w:numFmt w:val="bullet"/>
      <w:lvlText w:val="•"/>
      <w:lvlJc w:val="left"/>
      <w:pPr>
        <w:tabs>
          <w:tab w:val="num" w:pos="4320"/>
        </w:tabs>
        <w:ind w:left="4320" w:hanging="360"/>
      </w:pPr>
      <w:rPr>
        <w:rFonts w:ascii="Arial" w:hAnsi="Arial" w:hint="default"/>
      </w:rPr>
    </w:lvl>
    <w:lvl w:ilvl="6" w:tplc="6BD2E106" w:tentative="1">
      <w:start w:val="1"/>
      <w:numFmt w:val="bullet"/>
      <w:lvlText w:val="•"/>
      <w:lvlJc w:val="left"/>
      <w:pPr>
        <w:tabs>
          <w:tab w:val="num" w:pos="5040"/>
        </w:tabs>
        <w:ind w:left="5040" w:hanging="360"/>
      </w:pPr>
      <w:rPr>
        <w:rFonts w:ascii="Arial" w:hAnsi="Arial" w:hint="default"/>
      </w:rPr>
    </w:lvl>
    <w:lvl w:ilvl="7" w:tplc="50682AC2" w:tentative="1">
      <w:start w:val="1"/>
      <w:numFmt w:val="bullet"/>
      <w:lvlText w:val="•"/>
      <w:lvlJc w:val="left"/>
      <w:pPr>
        <w:tabs>
          <w:tab w:val="num" w:pos="5760"/>
        </w:tabs>
        <w:ind w:left="5760" w:hanging="360"/>
      </w:pPr>
      <w:rPr>
        <w:rFonts w:ascii="Arial" w:hAnsi="Arial" w:hint="default"/>
      </w:rPr>
    </w:lvl>
    <w:lvl w:ilvl="8" w:tplc="CCB82F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DD2BF4"/>
    <w:multiLevelType w:val="hybridMultilevel"/>
    <w:tmpl w:val="E71A8970"/>
    <w:lvl w:ilvl="0" w:tplc="0C090011">
      <w:start w:val="1"/>
      <w:numFmt w:val="decimal"/>
      <w:lvlText w:val="%1)"/>
      <w:lvlJc w:val="left"/>
      <w:pPr>
        <w:ind w:left="1440" w:hanging="360"/>
      </w:pPr>
    </w:lvl>
    <w:lvl w:ilvl="1" w:tplc="0C090011">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4"/>
  </w:num>
  <w:num w:numId="2">
    <w:abstractNumId w:val="0"/>
  </w:num>
  <w:num w:numId="3">
    <w:abstractNumId w:val="15"/>
  </w:num>
  <w:num w:numId="4">
    <w:abstractNumId w:val="11"/>
  </w:num>
  <w:num w:numId="5">
    <w:abstractNumId w:val="3"/>
  </w:num>
  <w:num w:numId="6">
    <w:abstractNumId w:val="7"/>
  </w:num>
  <w:num w:numId="7">
    <w:abstractNumId w:val="9"/>
  </w:num>
  <w:num w:numId="8">
    <w:abstractNumId w:val="8"/>
  </w:num>
  <w:num w:numId="9">
    <w:abstractNumId w:val="13"/>
  </w:num>
  <w:num w:numId="10">
    <w:abstractNumId w:val="17"/>
  </w:num>
  <w:num w:numId="11">
    <w:abstractNumId w:val="10"/>
  </w:num>
  <w:num w:numId="12">
    <w:abstractNumId w:val="16"/>
  </w:num>
  <w:num w:numId="13">
    <w:abstractNumId w:val="14"/>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6"/>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2"/>
  </w:num>
  <w:num w:numId="33">
    <w:abstractNumId w:val="15"/>
  </w:num>
  <w:num w:numId="34">
    <w:abstractNumId w:val="15"/>
  </w:num>
  <w:num w:numId="35">
    <w:abstractNumId w:val="15"/>
  </w:num>
  <w:num w:numId="36">
    <w:abstractNumId w:val="5"/>
  </w:num>
  <w:num w:numId="37">
    <w:abstractNumId w:val="1"/>
  </w:num>
  <w:num w:numId="3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7A1"/>
    <w:rsid w:val="00001B53"/>
    <w:rsid w:val="00002086"/>
    <w:rsid w:val="000028F7"/>
    <w:rsid w:val="0000330E"/>
    <w:rsid w:val="00003499"/>
    <w:rsid w:val="000039B7"/>
    <w:rsid w:val="00003C53"/>
    <w:rsid w:val="00003FE9"/>
    <w:rsid w:val="00004D5C"/>
    <w:rsid w:val="00005746"/>
    <w:rsid w:val="00005F0D"/>
    <w:rsid w:val="0000639A"/>
    <w:rsid w:val="00006C0E"/>
    <w:rsid w:val="00007153"/>
    <w:rsid w:val="0000746D"/>
    <w:rsid w:val="0000755D"/>
    <w:rsid w:val="00007E28"/>
    <w:rsid w:val="00010A1B"/>
    <w:rsid w:val="00010CBA"/>
    <w:rsid w:val="00010E09"/>
    <w:rsid w:val="00011161"/>
    <w:rsid w:val="000112D9"/>
    <w:rsid w:val="0001265A"/>
    <w:rsid w:val="00012DE8"/>
    <w:rsid w:val="00013156"/>
    <w:rsid w:val="00013247"/>
    <w:rsid w:val="00014609"/>
    <w:rsid w:val="00014A43"/>
    <w:rsid w:val="00015886"/>
    <w:rsid w:val="000162EF"/>
    <w:rsid w:val="0001672B"/>
    <w:rsid w:val="00020203"/>
    <w:rsid w:val="000207C9"/>
    <w:rsid w:val="0002225F"/>
    <w:rsid w:val="00023763"/>
    <w:rsid w:val="00023872"/>
    <w:rsid w:val="000247AA"/>
    <w:rsid w:val="000248E8"/>
    <w:rsid w:val="00025DBB"/>
    <w:rsid w:val="00026920"/>
    <w:rsid w:val="00026C7F"/>
    <w:rsid w:val="00027060"/>
    <w:rsid w:val="000270B5"/>
    <w:rsid w:val="000274B8"/>
    <w:rsid w:val="00030A8A"/>
    <w:rsid w:val="0003177F"/>
    <w:rsid w:val="0003288B"/>
    <w:rsid w:val="00032E00"/>
    <w:rsid w:val="000330B6"/>
    <w:rsid w:val="000336D2"/>
    <w:rsid w:val="00033863"/>
    <w:rsid w:val="00033B50"/>
    <w:rsid w:val="000344B0"/>
    <w:rsid w:val="00034EBD"/>
    <w:rsid w:val="00035BE9"/>
    <w:rsid w:val="00035DC0"/>
    <w:rsid w:val="000364E7"/>
    <w:rsid w:val="000365E6"/>
    <w:rsid w:val="000365F3"/>
    <w:rsid w:val="00036829"/>
    <w:rsid w:val="000379E2"/>
    <w:rsid w:val="00040895"/>
    <w:rsid w:val="0004255B"/>
    <w:rsid w:val="00042571"/>
    <w:rsid w:val="000435EE"/>
    <w:rsid w:val="00043C37"/>
    <w:rsid w:val="00044B7D"/>
    <w:rsid w:val="00045017"/>
    <w:rsid w:val="000457E6"/>
    <w:rsid w:val="00045A2B"/>
    <w:rsid w:val="00045A90"/>
    <w:rsid w:val="00045C4A"/>
    <w:rsid w:val="00046366"/>
    <w:rsid w:val="0004698F"/>
    <w:rsid w:val="00051E9C"/>
    <w:rsid w:val="00052FD1"/>
    <w:rsid w:val="00053240"/>
    <w:rsid w:val="000539D0"/>
    <w:rsid w:val="00053E96"/>
    <w:rsid w:val="0005450D"/>
    <w:rsid w:val="00054621"/>
    <w:rsid w:val="000546D7"/>
    <w:rsid w:val="00055AE7"/>
    <w:rsid w:val="00055E16"/>
    <w:rsid w:val="0005656E"/>
    <w:rsid w:val="0005665E"/>
    <w:rsid w:val="00056ECF"/>
    <w:rsid w:val="000572EA"/>
    <w:rsid w:val="00057F24"/>
    <w:rsid w:val="000604DF"/>
    <w:rsid w:val="00062576"/>
    <w:rsid w:val="000628B5"/>
    <w:rsid w:val="00062B0E"/>
    <w:rsid w:val="00064388"/>
    <w:rsid w:val="000653B5"/>
    <w:rsid w:val="00066360"/>
    <w:rsid w:val="00066AF8"/>
    <w:rsid w:val="00066E7D"/>
    <w:rsid w:val="00067AA3"/>
    <w:rsid w:val="00071248"/>
    <w:rsid w:val="000720B9"/>
    <w:rsid w:val="000737F7"/>
    <w:rsid w:val="00073A65"/>
    <w:rsid w:val="000740CD"/>
    <w:rsid w:val="000745BC"/>
    <w:rsid w:val="00074D0B"/>
    <w:rsid w:val="00074D5E"/>
    <w:rsid w:val="0007672F"/>
    <w:rsid w:val="00076B54"/>
    <w:rsid w:val="00076E83"/>
    <w:rsid w:val="000774F0"/>
    <w:rsid w:val="00077B0E"/>
    <w:rsid w:val="000806B0"/>
    <w:rsid w:val="00080909"/>
    <w:rsid w:val="000812CA"/>
    <w:rsid w:val="00081352"/>
    <w:rsid w:val="00081D66"/>
    <w:rsid w:val="00081E63"/>
    <w:rsid w:val="0008258D"/>
    <w:rsid w:val="00082C7F"/>
    <w:rsid w:val="00083131"/>
    <w:rsid w:val="00083E99"/>
    <w:rsid w:val="00084708"/>
    <w:rsid w:val="00084F8E"/>
    <w:rsid w:val="00084FA8"/>
    <w:rsid w:val="000856C5"/>
    <w:rsid w:val="00085C31"/>
    <w:rsid w:val="00086B57"/>
    <w:rsid w:val="00086FF3"/>
    <w:rsid w:val="000872EA"/>
    <w:rsid w:val="00087980"/>
    <w:rsid w:val="000902D9"/>
    <w:rsid w:val="000909E7"/>
    <w:rsid w:val="00090AA5"/>
    <w:rsid w:val="00090C7E"/>
    <w:rsid w:val="0009144A"/>
    <w:rsid w:val="000918E7"/>
    <w:rsid w:val="00091E83"/>
    <w:rsid w:val="00092600"/>
    <w:rsid w:val="0009262B"/>
    <w:rsid w:val="00093310"/>
    <w:rsid w:val="0009342C"/>
    <w:rsid w:val="00093FC4"/>
    <w:rsid w:val="0009445C"/>
    <w:rsid w:val="000946D6"/>
    <w:rsid w:val="000950B5"/>
    <w:rsid w:val="00095200"/>
    <w:rsid w:val="0009591B"/>
    <w:rsid w:val="00095969"/>
    <w:rsid w:val="00095F9A"/>
    <w:rsid w:val="00095FE5"/>
    <w:rsid w:val="00096284"/>
    <w:rsid w:val="000A1BC0"/>
    <w:rsid w:val="000A1E77"/>
    <w:rsid w:val="000A1EFA"/>
    <w:rsid w:val="000A27CA"/>
    <w:rsid w:val="000A2EFE"/>
    <w:rsid w:val="000A388A"/>
    <w:rsid w:val="000A5E40"/>
    <w:rsid w:val="000A6039"/>
    <w:rsid w:val="000A6A1C"/>
    <w:rsid w:val="000A70C7"/>
    <w:rsid w:val="000A7453"/>
    <w:rsid w:val="000A7775"/>
    <w:rsid w:val="000A7D08"/>
    <w:rsid w:val="000B0121"/>
    <w:rsid w:val="000B0670"/>
    <w:rsid w:val="000B0C11"/>
    <w:rsid w:val="000B0E75"/>
    <w:rsid w:val="000B0EC8"/>
    <w:rsid w:val="000B177D"/>
    <w:rsid w:val="000B1E8A"/>
    <w:rsid w:val="000B2111"/>
    <w:rsid w:val="000B25C8"/>
    <w:rsid w:val="000B2DCB"/>
    <w:rsid w:val="000B38B1"/>
    <w:rsid w:val="000B3C84"/>
    <w:rsid w:val="000B595A"/>
    <w:rsid w:val="000B5AD4"/>
    <w:rsid w:val="000B5B62"/>
    <w:rsid w:val="000B5CE0"/>
    <w:rsid w:val="000B5E33"/>
    <w:rsid w:val="000B5E82"/>
    <w:rsid w:val="000B61FB"/>
    <w:rsid w:val="000B6C72"/>
    <w:rsid w:val="000B6CAC"/>
    <w:rsid w:val="000B71DC"/>
    <w:rsid w:val="000B7612"/>
    <w:rsid w:val="000B78AE"/>
    <w:rsid w:val="000B78F7"/>
    <w:rsid w:val="000B7CD6"/>
    <w:rsid w:val="000B7FF7"/>
    <w:rsid w:val="000C0D70"/>
    <w:rsid w:val="000C1C7E"/>
    <w:rsid w:val="000C23B5"/>
    <w:rsid w:val="000C27BE"/>
    <w:rsid w:val="000C3DF9"/>
    <w:rsid w:val="000C48F8"/>
    <w:rsid w:val="000C4C6B"/>
    <w:rsid w:val="000C4D67"/>
    <w:rsid w:val="000C4E90"/>
    <w:rsid w:val="000C6713"/>
    <w:rsid w:val="000C68E0"/>
    <w:rsid w:val="000D15B1"/>
    <w:rsid w:val="000D1BFC"/>
    <w:rsid w:val="000D1D5D"/>
    <w:rsid w:val="000D20E4"/>
    <w:rsid w:val="000D281A"/>
    <w:rsid w:val="000D2848"/>
    <w:rsid w:val="000D326A"/>
    <w:rsid w:val="000D3935"/>
    <w:rsid w:val="000D51FB"/>
    <w:rsid w:val="000D63BF"/>
    <w:rsid w:val="000D6B9C"/>
    <w:rsid w:val="000E0640"/>
    <w:rsid w:val="000E0BFA"/>
    <w:rsid w:val="000E0DA0"/>
    <w:rsid w:val="000E135D"/>
    <w:rsid w:val="000E186E"/>
    <w:rsid w:val="000E1ACE"/>
    <w:rsid w:val="000E2B79"/>
    <w:rsid w:val="000E383F"/>
    <w:rsid w:val="000E4B0C"/>
    <w:rsid w:val="000E4C99"/>
    <w:rsid w:val="000E4D38"/>
    <w:rsid w:val="000E584E"/>
    <w:rsid w:val="000E5FF9"/>
    <w:rsid w:val="000E7744"/>
    <w:rsid w:val="000E79A5"/>
    <w:rsid w:val="000F00BA"/>
    <w:rsid w:val="000F0F8A"/>
    <w:rsid w:val="000F316A"/>
    <w:rsid w:val="000F3695"/>
    <w:rsid w:val="000F3C74"/>
    <w:rsid w:val="000F3DF1"/>
    <w:rsid w:val="000F41AD"/>
    <w:rsid w:val="000F4BB8"/>
    <w:rsid w:val="000F4FA9"/>
    <w:rsid w:val="000F53FB"/>
    <w:rsid w:val="000F59C9"/>
    <w:rsid w:val="000F5B71"/>
    <w:rsid w:val="000F61E9"/>
    <w:rsid w:val="000F6708"/>
    <w:rsid w:val="000F7127"/>
    <w:rsid w:val="000F75D7"/>
    <w:rsid w:val="000F7B54"/>
    <w:rsid w:val="000F7F53"/>
    <w:rsid w:val="00100335"/>
    <w:rsid w:val="001005AB"/>
    <w:rsid w:val="00100F8A"/>
    <w:rsid w:val="001016A9"/>
    <w:rsid w:val="00102305"/>
    <w:rsid w:val="001033D4"/>
    <w:rsid w:val="0010367C"/>
    <w:rsid w:val="0010452E"/>
    <w:rsid w:val="001048CA"/>
    <w:rsid w:val="00105692"/>
    <w:rsid w:val="00105AE2"/>
    <w:rsid w:val="00105F0F"/>
    <w:rsid w:val="001060C6"/>
    <w:rsid w:val="00106B80"/>
    <w:rsid w:val="0010790D"/>
    <w:rsid w:val="0011032E"/>
    <w:rsid w:val="00111296"/>
    <w:rsid w:val="0011136B"/>
    <w:rsid w:val="00111980"/>
    <w:rsid w:val="0011348B"/>
    <w:rsid w:val="001142F9"/>
    <w:rsid w:val="001147BF"/>
    <w:rsid w:val="001149C6"/>
    <w:rsid w:val="001151DE"/>
    <w:rsid w:val="00115982"/>
    <w:rsid w:val="001166C9"/>
    <w:rsid w:val="00116C53"/>
    <w:rsid w:val="001178EA"/>
    <w:rsid w:val="00117F5A"/>
    <w:rsid w:val="00121799"/>
    <w:rsid w:val="001222FC"/>
    <w:rsid w:val="001224C3"/>
    <w:rsid w:val="00122C1F"/>
    <w:rsid w:val="00122D5D"/>
    <w:rsid w:val="00123902"/>
    <w:rsid w:val="00124A51"/>
    <w:rsid w:val="00124C7E"/>
    <w:rsid w:val="00125A1D"/>
    <w:rsid w:val="00126621"/>
    <w:rsid w:val="00126B1D"/>
    <w:rsid w:val="00126CF1"/>
    <w:rsid w:val="0012714F"/>
    <w:rsid w:val="001301E9"/>
    <w:rsid w:val="00130386"/>
    <w:rsid w:val="00130611"/>
    <w:rsid w:val="0013084C"/>
    <w:rsid w:val="00130FE6"/>
    <w:rsid w:val="00131D82"/>
    <w:rsid w:val="00132B22"/>
    <w:rsid w:val="0013391B"/>
    <w:rsid w:val="00133D36"/>
    <w:rsid w:val="0013509A"/>
    <w:rsid w:val="001371C0"/>
    <w:rsid w:val="00137645"/>
    <w:rsid w:val="00137C3B"/>
    <w:rsid w:val="0014015A"/>
    <w:rsid w:val="00140C1C"/>
    <w:rsid w:val="00140E99"/>
    <w:rsid w:val="00141595"/>
    <w:rsid w:val="0014179A"/>
    <w:rsid w:val="00142A47"/>
    <w:rsid w:val="00142E0B"/>
    <w:rsid w:val="00142E56"/>
    <w:rsid w:val="00143803"/>
    <w:rsid w:val="0014394B"/>
    <w:rsid w:val="00143F67"/>
    <w:rsid w:val="001448AD"/>
    <w:rsid w:val="00145540"/>
    <w:rsid w:val="001456B0"/>
    <w:rsid w:val="001477BB"/>
    <w:rsid w:val="0015032B"/>
    <w:rsid w:val="00151F5A"/>
    <w:rsid w:val="00151F89"/>
    <w:rsid w:val="0015214F"/>
    <w:rsid w:val="00153E41"/>
    <w:rsid w:val="00154703"/>
    <w:rsid w:val="0015557E"/>
    <w:rsid w:val="00156836"/>
    <w:rsid w:val="00156BF8"/>
    <w:rsid w:val="00156C93"/>
    <w:rsid w:val="00156F8F"/>
    <w:rsid w:val="00157130"/>
    <w:rsid w:val="0015741D"/>
    <w:rsid w:val="001576B1"/>
    <w:rsid w:val="00157ABB"/>
    <w:rsid w:val="001600A2"/>
    <w:rsid w:val="0016047B"/>
    <w:rsid w:val="00160A4C"/>
    <w:rsid w:val="00160D65"/>
    <w:rsid w:val="00161515"/>
    <w:rsid w:val="0016218B"/>
    <w:rsid w:val="00162913"/>
    <w:rsid w:val="00162E30"/>
    <w:rsid w:val="00163846"/>
    <w:rsid w:val="00163DFB"/>
    <w:rsid w:val="00163EFF"/>
    <w:rsid w:val="00163F66"/>
    <w:rsid w:val="00164623"/>
    <w:rsid w:val="00165520"/>
    <w:rsid w:val="0016558A"/>
    <w:rsid w:val="0016593E"/>
    <w:rsid w:val="001661FB"/>
    <w:rsid w:val="001666F8"/>
    <w:rsid w:val="001671A0"/>
    <w:rsid w:val="0016767F"/>
    <w:rsid w:val="00167737"/>
    <w:rsid w:val="00167B67"/>
    <w:rsid w:val="00167CEF"/>
    <w:rsid w:val="00167DDD"/>
    <w:rsid w:val="001729CF"/>
    <w:rsid w:val="00173565"/>
    <w:rsid w:val="0017371E"/>
    <w:rsid w:val="00173B07"/>
    <w:rsid w:val="00174F98"/>
    <w:rsid w:val="001751FA"/>
    <w:rsid w:val="00176BBB"/>
    <w:rsid w:val="00177115"/>
    <w:rsid w:val="00177713"/>
    <w:rsid w:val="0017794A"/>
    <w:rsid w:val="00180B5A"/>
    <w:rsid w:val="00180BFF"/>
    <w:rsid w:val="00181BE9"/>
    <w:rsid w:val="00181D9C"/>
    <w:rsid w:val="00182BE7"/>
    <w:rsid w:val="001839A6"/>
    <w:rsid w:val="00184B0E"/>
    <w:rsid w:val="00185334"/>
    <w:rsid w:val="00185685"/>
    <w:rsid w:val="0018752F"/>
    <w:rsid w:val="0019300B"/>
    <w:rsid w:val="00193838"/>
    <w:rsid w:val="00193CFD"/>
    <w:rsid w:val="00194AD8"/>
    <w:rsid w:val="00195222"/>
    <w:rsid w:val="00196642"/>
    <w:rsid w:val="00197183"/>
    <w:rsid w:val="001975D8"/>
    <w:rsid w:val="001A178E"/>
    <w:rsid w:val="001A2144"/>
    <w:rsid w:val="001A272B"/>
    <w:rsid w:val="001A2CA6"/>
    <w:rsid w:val="001A3CE1"/>
    <w:rsid w:val="001A4070"/>
    <w:rsid w:val="001A43FA"/>
    <w:rsid w:val="001A47C5"/>
    <w:rsid w:val="001A59FB"/>
    <w:rsid w:val="001A5E9E"/>
    <w:rsid w:val="001A6354"/>
    <w:rsid w:val="001A6366"/>
    <w:rsid w:val="001A6656"/>
    <w:rsid w:val="001A71CE"/>
    <w:rsid w:val="001A72EC"/>
    <w:rsid w:val="001A7AE8"/>
    <w:rsid w:val="001A7F77"/>
    <w:rsid w:val="001B0915"/>
    <w:rsid w:val="001B0A10"/>
    <w:rsid w:val="001B1148"/>
    <w:rsid w:val="001B204E"/>
    <w:rsid w:val="001B2372"/>
    <w:rsid w:val="001B23C8"/>
    <w:rsid w:val="001B3443"/>
    <w:rsid w:val="001B4271"/>
    <w:rsid w:val="001B483E"/>
    <w:rsid w:val="001B4BD7"/>
    <w:rsid w:val="001B4D20"/>
    <w:rsid w:val="001B4E50"/>
    <w:rsid w:val="001B57EA"/>
    <w:rsid w:val="001B6D1F"/>
    <w:rsid w:val="001C0108"/>
    <w:rsid w:val="001C0916"/>
    <w:rsid w:val="001C18E4"/>
    <w:rsid w:val="001C278E"/>
    <w:rsid w:val="001C2A9B"/>
    <w:rsid w:val="001C3A7C"/>
    <w:rsid w:val="001C3B70"/>
    <w:rsid w:val="001C3E1A"/>
    <w:rsid w:val="001C4299"/>
    <w:rsid w:val="001C4874"/>
    <w:rsid w:val="001C5F94"/>
    <w:rsid w:val="001C655A"/>
    <w:rsid w:val="001C6E66"/>
    <w:rsid w:val="001C70AC"/>
    <w:rsid w:val="001C7637"/>
    <w:rsid w:val="001D1100"/>
    <w:rsid w:val="001D1294"/>
    <w:rsid w:val="001D1391"/>
    <w:rsid w:val="001D1875"/>
    <w:rsid w:val="001D1A42"/>
    <w:rsid w:val="001D25D7"/>
    <w:rsid w:val="001D264E"/>
    <w:rsid w:val="001D340C"/>
    <w:rsid w:val="001D4033"/>
    <w:rsid w:val="001D428E"/>
    <w:rsid w:val="001D46A5"/>
    <w:rsid w:val="001D50B2"/>
    <w:rsid w:val="001D69D0"/>
    <w:rsid w:val="001D6D34"/>
    <w:rsid w:val="001D7645"/>
    <w:rsid w:val="001D76EF"/>
    <w:rsid w:val="001D7ABE"/>
    <w:rsid w:val="001E00B7"/>
    <w:rsid w:val="001E11E4"/>
    <w:rsid w:val="001E1E86"/>
    <w:rsid w:val="001E21A6"/>
    <w:rsid w:val="001E238E"/>
    <w:rsid w:val="001E2483"/>
    <w:rsid w:val="001E2614"/>
    <w:rsid w:val="001E2B1E"/>
    <w:rsid w:val="001E2CFF"/>
    <w:rsid w:val="001E2F24"/>
    <w:rsid w:val="001E30D4"/>
    <w:rsid w:val="001E34DF"/>
    <w:rsid w:val="001E3925"/>
    <w:rsid w:val="001E3C89"/>
    <w:rsid w:val="001E3EAA"/>
    <w:rsid w:val="001E41DF"/>
    <w:rsid w:val="001E52EB"/>
    <w:rsid w:val="001E5429"/>
    <w:rsid w:val="001E61D2"/>
    <w:rsid w:val="001E6F2E"/>
    <w:rsid w:val="001E740C"/>
    <w:rsid w:val="001F0106"/>
    <w:rsid w:val="001F018C"/>
    <w:rsid w:val="001F1235"/>
    <w:rsid w:val="001F1CB3"/>
    <w:rsid w:val="001F2FA1"/>
    <w:rsid w:val="001F38B5"/>
    <w:rsid w:val="001F3FD0"/>
    <w:rsid w:val="001F4081"/>
    <w:rsid w:val="001F479D"/>
    <w:rsid w:val="001F675A"/>
    <w:rsid w:val="001F6C94"/>
    <w:rsid w:val="001F7361"/>
    <w:rsid w:val="001F7551"/>
    <w:rsid w:val="001F7960"/>
    <w:rsid w:val="0020095C"/>
    <w:rsid w:val="002011B0"/>
    <w:rsid w:val="00203181"/>
    <w:rsid w:val="00203783"/>
    <w:rsid w:val="0020385F"/>
    <w:rsid w:val="00204029"/>
    <w:rsid w:val="002045CB"/>
    <w:rsid w:val="00204DF5"/>
    <w:rsid w:val="002068A0"/>
    <w:rsid w:val="00207021"/>
    <w:rsid w:val="0020732F"/>
    <w:rsid w:val="0020778C"/>
    <w:rsid w:val="00207879"/>
    <w:rsid w:val="00207D00"/>
    <w:rsid w:val="00210161"/>
    <w:rsid w:val="002105C1"/>
    <w:rsid w:val="0021123A"/>
    <w:rsid w:val="002124B6"/>
    <w:rsid w:val="002126D0"/>
    <w:rsid w:val="00212D59"/>
    <w:rsid w:val="00212F1D"/>
    <w:rsid w:val="00213094"/>
    <w:rsid w:val="002136E7"/>
    <w:rsid w:val="00213D98"/>
    <w:rsid w:val="00213EF5"/>
    <w:rsid w:val="002148FD"/>
    <w:rsid w:val="0021602D"/>
    <w:rsid w:val="00216BF5"/>
    <w:rsid w:val="00217514"/>
    <w:rsid w:val="002177AB"/>
    <w:rsid w:val="002202FE"/>
    <w:rsid w:val="00220455"/>
    <w:rsid w:val="00220D05"/>
    <w:rsid w:val="002213AD"/>
    <w:rsid w:val="002216B8"/>
    <w:rsid w:val="002219EE"/>
    <w:rsid w:val="00221A9B"/>
    <w:rsid w:val="002233D0"/>
    <w:rsid w:val="00223B49"/>
    <w:rsid w:val="00223D5A"/>
    <w:rsid w:val="00224DD4"/>
    <w:rsid w:val="00225834"/>
    <w:rsid w:val="00225EDB"/>
    <w:rsid w:val="002260DB"/>
    <w:rsid w:val="002278A0"/>
    <w:rsid w:val="00227DDF"/>
    <w:rsid w:val="00227F37"/>
    <w:rsid w:val="00230780"/>
    <w:rsid w:val="002309CC"/>
    <w:rsid w:val="00230C64"/>
    <w:rsid w:val="0023209F"/>
    <w:rsid w:val="00232D30"/>
    <w:rsid w:val="00233C01"/>
    <w:rsid w:val="0023413C"/>
    <w:rsid w:val="002346AC"/>
    <w:rsid w:val="002346F0"/>
    <w:rsid w:val="00235F54"/>
    <w:rsid w:val="0023629D"/>
    <w:rsid w:val="00237255"/>
    <w:rsid w:val="002376E3"/>
    <w:rsid w:val="00237769"/>
    <w:rsid w:val="002409A5"/>
    <w:rsid w:val="002416E2"/>
    <w:rsid w:val="002424AF"/>
    <w:rsid w:val="00242D9F"/>
    <w:rsid w:val="002439DC"/>
    <w:rsid w:val="002440E2"/>
    <w:rsid w:val="002441D2"/>
    <w:rsid w:val="00244DC8"/>
    <w:rsid w:val="002458BA"/>
    <w:rsid w:val="00245CE9"/>
    <w:rsid w:val="0024636C"/>
    <w:rsid w:val="00246773"/>
    <w:rsid w:val="002477A9"/>
    <w:rsid w:val="00247925"/>
    <w:rsid w:val="0025090A"/>
    <w:rsid w:val="00250C1E"/>
    <w:rsid w:val="00251006"/>
    <w:rsid w:val="002514EB"/>
    <w:rsid w:val="00251DAC"/>
    <w:rsid w:val="002524D5"/>
    <w:rsid w:val="00253B1D"/>
    <w:rsid w:val="00253C30"/>
    <w:rsid w:val="002544F7"/>
    <w:rsid w:val="002545C0"/>
    <w:rsid w:val="00254BF4"/>
    <w:rsid w:val="00254DCF"/>
    <w:rsid w:val="0025534B"/>
    <w:rsid w:val="00255BB7"/>
    <w:rsid w:val="00255F5F"/>
    <w:rsid w:val="00256E4F"/>
    <w:rsid w:val="00257541"/>
    <w:rsid w:val="0025768D"/>
    <w:rsid w:val="00257A39"/>
    <w:rsid w:val="00257AC4"/>
    <w:rsid w:val="0026069F"/>
    <w:rsid w:val="002609AD"/>
    <w:rsid w:val="00261E67"/>
    <w:rsid w:val="00261EEF"/>
    <w:rsid w:val="002620E2"/>
    <w:rsid w:val="00262A1A"/>
    <w:rsid w:val="00262A87"/>
    <w:rsid w:val="00262CAA"/>
    <w:rsid w:val="00263523"/>
    <w:rsid w:val="00264660"/>
    <w:rsid w:val="0026475E"/>
    <w:rsid w:val="00264CB2"/>
    <w:rsid w:val="00264D26"/>
    <w:rsid w:val="002659E0"/>
    <w:rsid w:val="00265B63"/>
    <w:rsid w:val="00266FEC"/>
    <w:rsid w:val="00267642"/>
    <w:rsid w:val="00267AEA"/>
    <w:rsid w:val="002700E6"/>
    <w:rsid w:val="0027099D"/>
    <w:rsid w:val="00271ABD"/>
    <w:rsid w:val="00271E58"/>
    <w:rsid w:val="0027294B"/>
    <w:rsid w:val="00273EB4"/>
    <w:rsid w:val="00273FE1"/>
    <w:rsid w:val="00274682"/>
    <w:rsid w:val="00274880"/>
    <w:rsid w:val="00274A4C"/>
    <w:rsid w:val="00274EA3"/>
    <w:rsid w:val="002757B2"/>
    <w:rsid w:val="00275C5A"/>
    <w:rsid w:val="002772A5"/>
    <w:rsid w:val="00281014"/>
    <w:rsid w:val="00281E12"/>
    <w:rsid w:val="00282342"/>
    <w:rsid w:val="00282871"/>
    <w:rsid w:val="002828BE"/>
    <w:rsid w:val="00282D00"/>
    <w:rsid w:val="00284215"/>
    <w:rsid w:val="00284D6B"/>
    <w:rsid w:val="00284E38"/>
    <w:rsid w:val="0028665D"/>
    <w:rsid w:val="00286BAD"/>
    <w:rsid w:val="00286DB8"/>
    <w:rsid w:val="002872BF"/>
    <w:rsid w:val="00287808"/>
    <w:rsid w:val="00287B9B"/>
    <w:rsid w:val="002905B2"/>
    <w:rsid w:val="0029099F"/>
    <w:rsid w:val="00290CC0"/>
    <w:rsid w:val="0029360C"/>
    <w:rsid w:val="002937E9"/>
    <w:rsid w:val="00295A81"/>
    <w:rsid w:val="00295C95"/>
    <w:rsid w:val="00296C61"/>
    <w:rsid w:val="0029704A"/>
    <w:rsid w:val="00297265"/>
    <w:rsid w:val="00297329"/>
    <w:rsid w:val="002A055B"/>
    <w:rsid w:val="002A0FE3"/>
    <w:rsid w:val="002A14AB"/>
    <w:rsid w:val="002A1F0B"/>
    <w:rsid w:val="002A23E3"/>
    <w:rsid w:val="002A25DC"/>
    <w:rsid w:val="002A2ADE"/>
    <w:rsid w:val="002A2F50"/>
    <w:rsid w:val="002A321F"/>
    <w:rsid w:val="002A334A"/>
    <w:rsid w:val="002A3508"/>
    <w:rsid w:val="002A6808"/>
    <w:rsid w:val="002A7687"/>
    <w:rsid w:val="002A7AA4"/>
    <w:rsid w:val="002B05A1"/>
    <w:rsid w:val="002B09A4"/>
    <w:rsid w:val="002B1C1F"/>
    <w:rsid w:val="002B2ADB"/>
    <w:rsid w:val="002B4180"/>
    <w:rsid w:val="002B432F"/>
    <w:rsid w:val="002B4563"/>
    <w:rsid w:val="002B5843"/>
    <w:rsid w:val="002B6106"/>
    <w:rsid w:val="002B6138"/>
    <w:rsid w:val="002B62B3"/>
    <w:rsid w:val="002B6469"/>
    <w:rsid w:val="002B6754"/>
    <w:rsid w:val="002B68FF"/>
    <w:rsid w:val="002B6CCE"/>
    <w:rsid w:val="002B7603"/>
    <w:rsid w:val="002C0209"/>
    <w:rsid w:val="002C16B1"/>
    <w:rsid w:val="002C2510"/>
    <w:rsid w:val="002C2775"/>
    <w:rsid w:val="002C27C1"/>
    <w:rsid w:val="002C5099"/>
    <w:rsid w:val="002C5547"/>
    <w:rsid w:val="002C5889"/>
    <w:rsid w:val="002C61E8"/>
    <w:rsid w:val="002C6D7D"/>
    <w:rsid w:val="002C712C"/>
    <w:rsid w:val="002C71CE"/>
    <w:rsid w:val="002C7217"/>
    <w:rsid w:val="002C7621"/>
    <w:rsid w:val="002C7857"/>
    <w:rsid w:val="002C7993"/>
    <w:rsid w:val="002D08F8"/>
    <w:rsid w:val="002D1A67"/>
    <w:rsid w:val="002D3A16"/>
    <w:rsid w:val="002D4B4C"/>
    <w:rsid w:val="002D538F"/>
    <w:rsid w:val="002D5432"/>
    <w:rsid w:val="002D577C"/>
    <w:rsid w:val="002D5F58"/>
    <w:rsid w:val="002D5F9C"/>
    <w:rsid w:val="002E07FA"/>
    <w:rsid w:val="002E0842"/>
    <w:rsid w:val="002E0CE3"/>
    <w:rsid w:val="002E1071"/>
    <w:rsid w:val="002E1103"/>
    <w:rsid w:val="002E147A"/>
    <w:rsid w:val="002E15B9"/>
    <w:rsid w:val="002E2158"/>
    <w:rsid w:val="002E237D"/>
    <w:rsid w:val="002E274B"/>
    <w:rsid w:val="002E44ED"/>
    <w:rsid w:val="002E4F02"/>
    <w:rsid w:val="002E55D6"/>
    <w:rsid w:val="002E5EB9"/>
    <w:rsid w:val="002E670D"/>
    <w:rsid w:val="002E738E"/>
    <w:rsid w:val="002E7722"/>
    <w:rsid w:val="002E798E"/>
    <w:rsid w:val="002F022B"/>
    <w:rsid w:val="002F07BA"/>
    <w:rsid w:val="002F0DA9"/>
    <w:rsid w:val="002F1014"/>
    <w:rsid w:val="002F263F"/>
    <w:rsid w:val="002F2B55"/>
    <w:rsid w:val="002F3C6B"/>
    <w:rsid w:val="002F409B"/>
    <w:rsid w:val="002F47D8"/>
    <w:rsid w:val="002F47E5"/>
    <w:rsid w:val="002F5A31"/>
    <w:rsid w:val="002F5A35"/>
    <w:rsid w:val="002F643C"/>
    <w:rsid w:val="002F6A16"/>
    <w:rsid w:val="002F6B54"/>
    <w:rsid w:val="002F6BB6"/>
    <w:rsid w:val="002F71C0"/>
    <w:rsid w:val="002F749B"/>
    <w:rsid w:val="002F74F1"/>
    <w:rsid w:val="002F7EF2"/>
    <w:rsid w:val="00301017"/>
    <w:rsid w:val="0030155F"/>
    <w:rsid w:val="003023A6"/>
    <w:rsid w:val="00302BAE"/>
    <w:rsid w:val="00303597"/>
    <w:rsid w:val="003036D2"/>
    <w:rsid w:val="00304552"/>
    <w:rsid w:val="0030564A"/>
    <w:rsid w:val="0030587B"/>
    <w:rsid w:val="00305AF7"/>
    <w:rsid w:val="00306D98"/>
    <w:rsid w:val="0030741E"/>
    <w:rsid w:val="0030786C"/>
    <w:rsid w:val="00307C0C"/>
    <w:rsid w:val="00307C7E"/>
    <w:rsid w:val="00307FE3"/>
    <w:rsid w:val="0031031A"/>
    <w:rsid w:val="00310981"/>
    <w:rsid w:val="00311BC4"/>
    <w:rsid w:val="00312099"/>
    <w:rsid w:val="003121D7"/>
    <w:rsid w:val="00312401"/>
    <w:rsid w:val="003124D9"/>
    <w:rsid w:val="00312594"/>
    <w:rsid w:val="0031366E"/>
    <w:rsid w:val="003138B0"/>
    <w:rsid w:val="00313C5F"/>
    <w:rsid w:val="00313DDB"/>
    <w:rsid w:val="00313F6F"/>
    <w:rsid w:val="00315498"/>
    <w:rsid w:val="0031554B"/>
    <w:rsid w:val="00316474"/>
    <w:rsid w:val="00316D3F"/>
    <w:rsid w:val="003174DA"/>
    <w:rsid w:val="003178EF"/>
    <w:rsid w:val="0032001E"/>
    <w:rsid w:val="00320F7A"/>
    <w:rsid w:val="00321120"/>
    <w:rsid w:val="00321AA2"/>
    <w:rsid w:val="00321DBF"/>
    <w:rsid w:val="00321F2C"/>
    <w:rsid w:val="00322107"/>
    <w:rsid w:val="00322355"/>
    <w:rsid w:val="00322846"/>
    <w:rsid w:val="003228AE"/>
    <w:rsid w:val="00322C02"/>
    <w:rsid w:val="00323186"/>
    <w:rsid w:val="00323FA0"/>
    <w:rsid w:val="00324A23"/>
    <w:rsid w:val="003250AA"/>
    <w:rsid w:val="003252F0"/>
    <w:rsid w:val="00326DA7"/>
    <w:rsid w:val="003270E4"/>
    <w:rsid w:val="003275E4"/>
    <w:rsid w:val="00327B85"/>
    <w:rsid w:val="00330640"/>
    <w:rsid w:val="003306F7"/>
    <w:rsid w:val="003308FF"/>
    <w:rsid w:val="00330DAA"/>
    <w:rsid w:val="00330F5C"/>
    <w:rsid w:val="0033210F"/>
    <w:rsid w:val="003321EB"/>
    <w:rsid w:val="00334D20"/>
    <w:rsid w:val="003366C9"/>
    <w:rsid w:val="00336824"/>
    <w:rsid w:val="00336B21"/>
    <w:rsid w:val="003371B0"/>
    <w:rsid w:val="00340DF1"/>
    <w:rsid w:val="00343579"/>
    <w:rsid w:val="00343AB6"/>
    <w:rsid w:val="00344BB0"/>
    <w:rsid w:val="0034559E"/>
    <w:rsid w:val="00345FBA"/>
    <w:rsid w:val="003468B0"/>
    <w:rsid w:val="003478B0"/>
    <w:rsid w:val="003517F9"/>
    <w:rsid w:val="00351BA9"/>
    <w:rsid w:val="00354589"/>
    <w:rsid w:val="00354D52"/>
    <w:rsid w:val="00354F64"/>
    <w:rsid w:val="00355AAF"/>
    <w:rsid w:val="0035620E"/>
    <w:rsid w:val="00357404"/>
    <w:rsid w:val="00357FF1"/>
    <w:rsid w:val="00360345"/>
    <w:rsid w:val="00360393"/>
    <w:rsid w:val="00361A05"/>
    <w:rsid w:val="003624C4"/>
    <w:rsid w:val="00362BCE"/>
    <w:rsid w:val="00363B00"/>
    <w:rsid w:val="0036486C"/>
    <w:rsid w:val="00365432"/>
    <w:rsid w:val="0036548A"/>
    <w:rsid w:val="003654AC"/>
    <w:rsid w:val="00367359"/>
    <w:rsid w:val="00367459"/>
    <w:rsid w:val="00367FE5"/>
    <w:rsid w:val="003710CF"/>
    <w:rsid w:val="003712A2"/>
    <w:rsid w:val="0037145C"/>
    <w:rsid w:val="003722D2"/>
    <w:rsid w:val="0037358A"/>
    <w:rsid w:val="00373DFD"/>
    <w:rsid w:val="00373EA5"/>
    <w:rsid w:val="003748CD"/>
    <w:rsid w:val="00374EFE"/>
    <w:rsid w:val="003750F6"/>
    <w:rsid w:val="003760FC"/>
    <w:rsid w:val="003764F8"/>
    <w:rsid w:val="003766FC"/>
    <w:rsid w:val="00376778"/>
    <w:rsid w:val="00380350"/>
    <w:rsid w:val="003808E5"/>
    <w:rsid w:val="003809E4"/>
    <w:rsid w:val="00380EBF"/>
    <w:rsid w:val="00381E1A"/>
    <w:rsid w:val="00382D83"/>
    <w:rsid w:val="0038365C"/>
    <w:rsid w:val="0038369B"/>
    <w:rsid w:val="00383B78"/>
    <w:rsid w:val="00385A9D"/>
    <w:rsid w:val="003865F5"/>
    <w:rsid w:val="00386785"/>
    <w:rsid w:val="00386901"/>
    <w:rsid w:val="003875E7"/>
    <w:rsid w:val="00387E49"/>
    <w:rsid w:val="0039026E"/>
    <w:rsid w:val="003902B1"/>
    <w:rsid w:val="003904A2"/>
    <w:rsid w:val="00390B64"/>
    <w:rsid w:val="00390BDC"/>
    <w:rsid w:val="0039179C"/>
    <w:rsid w:val="00392A21"/>
    <w:rsid w:val="00393B1B"/>
    <w:rsid w:val="0039400F"/>
    <w:rsid w:val="003940BF"/>
    <w:rsid w:val="003940E0"/>
    <w:rsid w:val="003943C7"/>
    <w:rsid w:val="00395147"/>
    <w:rsid w:val="00396896"/>
    <w:rsid w:val="00396940"/>
    <w:rsid w:val="00396FD0"/>
    <w:rsid w:val="0039754B"/>
    <w:rsid w:val="003A0665"/>
    <w:rsid w:val="003A1A7A"/>
    <w:rsid w:val="003A1EB7"/>
    <w:rsid w:val="003A224A"/>
    <w:rsid w:val="003A2392"/>
    <w:rsid w:val="003A2831"/>
    <w:rsid w:val="003A2ABB"/>
    <w:rsid w:val="003A2B54"/>
    <w:rsid w:val="003A3A2E"/>
    <w:rsid w:val="003A3CB6"/>
    <w:rsid w:val="003A3ED1"/>
    <w:rsid w:val="003A4202"/>
    <w:rsid w:val="003A44DB"/>
    <w:rsid w:val="003A4E69"/>
    <w:rsid w:val="003A6950"/>
    <w:rsid w:val="003A7877"/>
    <w:rsid w:val="003B2B71"/>
    <w:rsid w:val="003B3971"/>
    <w:rsid w:val="003B4659"/>
    <w:rsid w:val="003B55D1"/>
    <w:rsid w:val="003B5B61"/>
    <w:rsid w:val="003B63CD"/>
    <w:rsid w:val="003B7BF8"/>
    <w:rsid w:val="003C02DC"/>
    <w:rsid w:val="003C14CC"/>
    <w:rsid w:val="003C1654"/>
    <w:rsid w:val="003C1E2A"/>
    <w:rsid w:val="003C1FF8"/>
    <w:rsid w:val="003C38BD"/>
    <w:rsid w:val="003C497A"/>
    <w:rsid w:val="003C4ADC"/>
    <w:rsid w:val="003C4B00"/>
    <w:rsid w:val="003C4C7A"/>
    <w:rsid w:val="003C4C93"/>
    <w:rsid w:val="003C4F9F"/>
    <w:rsid w:val="003C5542"/>
    <w:rsid w:val="003C6DC0"/>
    <w:rsid w:val="003C7D19"/>
    <w:rsid w:val="003C7D2F"/>
    <w:rsid w:val="003D0F8F"/>
    <w:rsid w:val="003D1828"/>
    <w:rsid w:val="003D1DE4"/>
    <w:rsid w:val="003D1E9A"/>
    <w:rsid w:val="003D2030"/>
    <w:rsid w:val="003D20A3"/>
    <w:rsid w:val="003D2422"/>
    <w:rsid w:val="003D2B42"/>
    <w:rsid w:val="003D39A1"/>
    <w:rsid w:val="003D3FBF"/>
    <w:rsid w:val="003D45A6"/>
    <w:rsid w:val="003D4A30"/>
    <w:rsid w:val="003D5120"/>
    <w:rsid w:val="003D5544"/>
    <w:rsid w:val="003D58CE"/>
    <w:rsid w:val="003D7097"/>
    <w:rsid w:val="003D7452"/>
    <w:rsid w:val="003D77E1"/>
    <w:rsid w:val="003D79BB"/>
    <w:rsid w:val="003D7C98"/>
    <w:rsid w:val="003D7D9D"/>
    <w:rsid w:val="003E0543"/>
    <w:rsid w:val="003E2121"/>
    <w:rsid w:val="003E2C8D"/>
    <w:rsid w:val="003E33BC"/>
    <w:rsid w:val="003E379A"/>
    <w:rsid w:val="003E44C1"/>
    <w:rsid w:val="003E5CC9"/>
    <w:rsid w:val="003E6026"/>
    <w:rsid w:val="003E6B7D"/>
    <w:rsid w:val="003E749E"/>
    <w:rsid w:val="003E7FC1"/>
    <w:rsid w:val="003F01A2"/>
    <w:rsid w:val="003F2165"/>
    <w:rsid w:val="003F3774"/>
    <w:rsid w:val="003F37ED"/>
    <w:rsid w:val="003F3BAD"/>
    <w:rsid w:val="003F3FFB"/>
    <w:rsid w:val="003F4156"/>
    <w:rsid w:val="003F4554"/>
    <w:rsid w:val="003F4D79"/>
    <w:rsid w:val="003F5307"/>
    <w:rsid w:val="003F5999"/>
    <w:rsid w:val="003F5ADF"/>
    <w:rsid w:val="003F6E80"/>
    <w:rsid w:val="003F6F94"/>
    <w:rsid w:val="00400613"/>
    <w:rsid w:val="00400875"/>
    <w:rsid w:val="00400B29"/>
    <w:rsid w:val="00400EAC"/>
    <w:rsid w:val="0040128D"/>
    <w:rsid w:val="004018F2"/>
    <w:rsid w:val="004037B9"/>
    <w:rsid w:val="00403FAB"/>
    <w:rsid w:val="0040504B"/>
    <w:rsid w:val="004059F4"/>
    <w:rsid w:val="00405E0A"/>
    <w:rsid w:val="0040649D"/>
    <w:rsid w:val="00407FE5"/>
    <w:rsid w:val="004101B0"/>
    <w:rsid w:val="00410326"/>
    <w:rsid w:val="00410708"/>
    <w:rsid w:val="00410EC7"/>
    <w:rsid w:val="00410F1E"/>
    <w:rsid w:val="004118A2"/>
    <w:rsid w:val="004119D5"/>
    <w:rsid w:val="00411B39"/>
    <w:rsid w:val="00411D3B"/>
    <w:rsid w:val="00411E8A"/>
    <w:rsid w:val="004127A7"/>
    <w:rsid w:val="0041362B"/>
    <w:rsid w:val="004137A8"/>
    <w:rsid w:val="00413A0B"/>
    <w:rsid w:val="00413A1E"/>
    <w:rsid w:val="00414344"/>
    <w:rsid w:val="00414476"/>
    <w:rsid w:val="00414C2E"/>
    <w:rsid w:val="004151CF"/>
    <w:rsid w:val="004158F4"/>
    <w:rsid w:val="00416364"/>
    <w:rsid w:val="00416461"/>
    <w:rsid w:val="00416D30"/>
    <w:rsid w:val="0042047F"/>
    <w:rsid w:val="00420AA6"/>
    <w:rsid w:val="00420B9F"/>
    <w:rsid w:val="0042114C"/>
    <w:rsid w:val="00421273"/>
    <w:rsid w:val="004214FE"/>
    <w:rsid w:val="0042192C"/>
    <w:rsid w:val="00422130"/>
    <w:rsid w:val="00422260"/>
    <w:rsid w:val="00422346"/>
    <w:rsid w:val="004225A4"/>
    <w:rsid w:val="00422F76"/>
    <w:rsid w:val="0042413F"/>
    <w:rsid w:val="004253A3"/>
    <w:rsid w:val="00425823"/>
    <w:rsid w:val="00425C6D"/>
    <w:rsid w:val="00425DDE"/>
    <w:rsid w:val="00425E5A"/>
    <w:rsid w:val="0042606A"/>
    <w:rsid w:val="004304C3"/>
    <w:rsid w:val="00430FFD"/>
    <w:rsid w:val="004319F8"/>
    <w:rsid w:val="00431AD6"/>
    <w:rsid w:val="00431CCA"/>
    <w:rsid w:val="00431E55"/>
    <w:rsid w:val="004321F6"/>
    <w:rsid w:val="00433044"/>
    <w:rsid w:val="00434088"/>
    <w:rsid w:val="0043561E"/>
    <w:rsid w:val="004375B9"/>
    <w:rsid w:val="00437D08"/>
    <w:rsid w:val="00437FE8"/>
    <w:rsid w:val="00440CF2"/>
    <w:rsid w:val="00441D3F"/>
    <w:rsid w:val="004428D0"/>
    <w:rsid w:val="00442C79"/>
    <w:rsid w:val="00444185"/>
    <w:rsid w:val="004443A7"/>
    <w:rsid w:val="0044442C"/>
    <w:rsid w:val="00444699"/>
    <w:rsid w:val="00445941"/>
    <w:rsid w:val="00445DA2"/>
    <w:rsid w:val="004464EB"/>
    <w:rsid w:val="004467EC"/>
    <w:rsid w:val="00447CFE"/>
    <w:rsid w:val="00447D26"/>
    <w:rsid w:val="00447DFC"/>
    <w:rsid w:val="0045179F"/>
    <w:rsid w:val="00451C61"/>
    <w:rsid w:val="00451EB8"/>
    <w:rsid w:val="0045471C"/>
    <w:rsid w:val="00454EC9"/>
    <w:rsid w:val="00455D45"/>
    <w:rsid w:val="004572B2"/>
    <w:rsid w:val="0045766D"/>
    <w:rsid w:val="004610AD"/>
    <w:rsid w:val="0046156E"/>
    <w:rsid w:val="00461BC9"/>
    <w:rsid w:val="0046339A"/>
    <w:rsid w:val="00464595"/>
    <w:rsid w:val="00464814"/>
    <w:rsid w:val="00464F96"/>
    <w:rsid w:val="00464FB5"/>
    <w:rsid w:val="004658B5"/>
    <w:rsid w:val="00470843"/>
    <w:rsid w:val="004716FC"/>
    <w:rsid w:val="00471EA5"/>
    <w:rsid w:val="00472251"/>
    <w:rsid w:val="00472A79"/>
    <w:rsid w:val="00473A0C"/>
    <w:rsid w:val="00473F19"/>
    <w:rsid w:val="00475476"/>
    <w:rsid w:val="00475E22"/>
    <w:rsid w:val="00476AFF"/>
    <w:rsid w:val="004802DD"/>
    <w:rsid w:val="0048088E"/>
    <w:rsid w:val="00480F2B"/>
    <w:rsid w:val="004813D2"/>
    <w:rsid w:val="004817C7"/>
    <w:rsid w:val="004825A0"/>
    <w:rsid w:val="00482720"/>
    <w:rsid w:val="004835E7"/>
    <w:rsid w:val="00483945"/>
    <w:rsid w:val="004867E2"/>
    <w:rsid w:val="004874C0"/>
    <w:rsid w:val="00487CC8"/>
    <w:rsid w:val="00490B17"/>
    <w:rsid w:val="00491178"/>
    <w:rsid w:val="004911A6"/>
    <w:rsid w:val="00491879"/>
    <w:rsid w:val="004918DB"/>
    <w:rsid w:val="00491B3A"/>
    <w:rsid w:val="00492202"/>
    <w:rsid w:val="00492CFD"/>
    <w:rsid w:val="00493826"/>
    <w:rsid w:val="00494207"/>
    <w:rsid w:val="00494DD5"/>
    <w:rsid w:val="004954D1"/>
    <w:rsid w:val="00495656"/>
    <w:rsid w:val="004962D2"/>
    <w:rsid w:val="0049690D"/>
    <w:rsid w:val="00496F03"/>
    <w:rsid w:val="004A0A73"/>
    <w:rsid w:val="004A0DA1"/>
    <w:rsid w:val="004A0E55"/>
    <w:rsid w:val="004A13D6"/>
    <w:rsid w:val="004A1C69"/>
    <w:rsid w:val="004A1D0B"/>
    <w:rsid w:val="004A2B86"/>
    <w:rsid w:val="004A52E9"/>
    <w:rsid w:val="004A6040"/>
    <w:rsid w:val="004A6597"/>
    <w:rsid w:val="004A7848"/>
    <w:rsid w:val="004B0C62"/>
    <w:rsid w:val="004B1CB4"/>
    <w:rsid w:val="004B1D3E"/>
    <w:rsid w:val="004B2D5C"/>
    <w:rsid w:val="004B2F18"/>
    <w:rsid w:val="004B353B"/>
    <w:rsid w:val="004B3DDB"/>
    <w:rsid w:val="004B41F9"/>
    <w:rsid w:val="004B44FD"/>
    <w:rsid w:val="004B5A8A"/>
    <w:rsid w:val="004B5CFC"/>
    <w:rsid w:val="004B6C3C"/>
    <w:rsid w:val="004B6F79"/>
    <w:rsid w:val="004B7405"/>
    <w:rsid w:val="004B774D"/>
    <w:rsid w:val="004C1055"/>
    <w:rsid w:val="004C3110"/>
    <w:rsid w:val="004C4471"/>
    <w:rsid w:val="004C4AED"/>
    <w:rsid w:val="004C5F0D"/>
    <w:rsid w:val="004D057D"/>
    <w:rsid w:val="004D0D4C"/>
    <w:rsid w:val="004D17AD"/>
    <w:rsid w:val="004D1E0A"/>
    <w:rsid w:val="004D2C2D"/>
    <w:rsid w:val="004D2C76"/>
    <w:rsid w:val="004D3A0F"/>
    <w:rsid w:val="004D3F7A"/>
    <w:rsid w:val="004D486A"/>
    <w:rsid w:val="004D4914"/>
    <w:rsid w:val="004D4956"/>
    <w:rsid w:val="004D50BD"/>
    <w:rsid w:val="004D59AE"/>
    <w:rsid w:val="004D5CFC"/>
    <w:rsid w:val="004D69B5"/>
    <w:rsid w:val="004D7227"/>
    <w:rsid w:val="004D7FDB"/>
    <w:rsid w:val="004E0E7F"/>
    <w:rsid w:val="004E0EA0"/>
    <w:rsid w:val="004E0EB8"/>
    <w:rsid w:val="004E18E9"/>
    <w:rsid w:val="004E24D6"/>
    <w:rsid w:val="004E2ADC"/>
    <w:rsid w:val="004E3980"/>
    <w:rsid w:val="004E40B1"/>
    <w:rsid w:val="004E43B2"/>
    <w:rsid w:val="004E5333"/>
    <w:rsid w:val="004E5FFD"/>
    <w:rsid w:val="004F066B"/>
    <w:rsid w:val="004F086A"/>
    <w:rsid w:val="004F171F"/>
    <w:rsid w:val="004F1D02"/>
    <w:rsid w:val="004F1F01"/>
    <w:rsid w:val="004F2552"/>
    <w:rsid w:val="004F2679"/>
    <w:rsid w:val="004F26BD"/>
    <w:rsid w:val="004F2F21"/>
    <w:rsid w:val="004F35DB"/>
    <w:rsid w:val="004F3DE5"/>
    <w:rsid w:val="004F4310"/>
    <w:rsid w:val="004F4B3F"/>
    <w:rsid w:val="004F5ADC"/>
    <w:rsid w:val="004F6913"/>
    <w:rsid w:val="004F766B"/>
    <w:rsid w:val="004F7865"/>
    <w:rsid w:val="0050174E"/>
    <w:rsid w:val="005017DB"/>
    <w:rsid w:val="00501854"/>
    <w:rsid w:val="0050219B"/>
    <w:rsid w:val="005024F7"/>
    <w:rsid w:val="00502AB7"/>
    <w:rsid w:val="00503A20"/>
    <w:rsid w:val="00503F17"/>
    <w:rsid w:val="00504B50"/>
    <w:rsid w:val="00505243"/>
    <w:rsid w:val="00506928"/>
    <w:rsid w:val="00506C91"/>
    <w:rsid w:val="005077EF"/>
    <w:rsid w:val="0051059A"/>
    <w:rsid w:val="00510A1F"/>
    <w:rsid w:val="0051100C"/>
    <w:rsid w:val="00511AD5"/>
    <w:rsid w:val="00511B6F"/>
    <w:rsid w:val="00511DC7"/>
    <w:rsid w:val="0051241C"/>
    <w:rsid w:val="00512CE0"/>
    <w:rsid w:val="005142C5"/>
    <w:rsid w:val="0051501B"/>
    <w:rsid w:val="005152B5"/>
    <w:rsid w:val="005156F5"/>
    <w:rsid w:val="00515BBA"/>
    <w:rsid w:val="00516C17"/>
    <w:rsid w:val="0051725A"/>
    <w:rsid w:val="005172FB"/>
    <w:rsid w:val="00520057"/>
    <w:rsid w:val="00520355"/>
    <w:rsid w:val="0052123C"/>
    <w:rsid w:val="00521319"/>
    <w:rsid w:val="00521F6D"/>
    <w:rsid w:val="00522BC8"/>
    <w:rsid w:val="00523C28"/>
    <w:rsid w:val="00523E53"/>
    <w:rsid w:val="00524143"/>
    <w:rsid w:val="005250C5"/>
    <w:rsid w:val="005252BE"/>
    <w:rsid w:val="005270B3"/>
    <w:rsid w:val="00530BD7"/>
    <w:rsid w:val="0053176B"/>
    <w:rsid w:val="00531C32"/>
    <w:rsid w:val="005324D5"/>
    <w:rsid w:val="00532A82"/>
    <w:rsid w:val="0053374E"/>
    <w:rsid w:val="005340D0"/>
    <w:rsid w:val="0053424D"/>
    <w:rsid w:val="005343C9"/>
    <w:rsid w:val="00534DF5"/>
    <w:rsid w:val="0053545E"/>
    <w:rsid w:val="00535972"/>
    <w:rsid w:val="00536046"/>
    <w:rsid w:val="0053606E"/>
    <w:rsid w:val="00536185"/>
    <w:rsid w:val="0053655F"/>
    <w:rsid w:val="00536F42"/>
    <w:rsid w:val="00537182"/>
    <w:rsid w:val="00537B50"/>
    <w:rsid w:val="00537BC6"/>
    <w:rsid w:val="00541E83"/>
    <w:rsid w:val="00541EDD"/>
    <w:rsid w:val="0054252A"/>
    <w:rsid w:val="00542743"/>
    <w:rsid w:val="00542C2D"/>
    <w:rsid w:val="00545BF3"/>
    <w:rsid w:val="00546665"/>
    <w:rsid w:val="00546F62"/>
    <w:rsid w:val="005478BD"/>
    <w:rsid w:val="005479E3"/>
    <w:rsid w:val="00547B97"/>
    <w:rsid w:val="00551506"/>
    <w:rsid w:val="00551985"/>
    <w:rsid w:val="00551E26"/>
    <w:rsid w:val="00551E86"/>
    <w:rsid w:val="005524E7"/>
    <w:rsid w:val="00552BD3"/>
    <w:rsid w:val="0055317C"/>
    <w:rsid w:val="005532A0"/>
    <w:rsid w:val="00553EA6"/>
    <w:rsid w:val="005542E3"/>
    <w:rsid w:val="0055461A"/>
    <w:rsid w:val="00554BC6"/>
    <w:rsid w:val="00555109"/>
    <w:rsid w:val="00555D8F"/>
    <w:rsid w:val="00556B35"/>
    <w:rsid w:val="00556C93"/>
    <w:rsid w:val="00556F8E"/>
    <w:rsid w:val="00557092"/>
    <w:rsid w:val="0055741A"/>
    <w:rsid w:val="0055745B"/>
    <w:rsid w:val="00557A1F"/>
    <w:rsid w:val="005611B7"/>
    <w:rsid w:val="005614BF"/>
    <w:rsid w:val="00561713"/>
    <w:rsid w:val="005618D4"/>
    <w:rsid w:val="00561A1B"/>
    <w:rsid w:val="00561C06"/>
    <w:rsid w:val="00561C13"/>
    <w:rsid w:val="00562012"/>
    <w:rsid w:val="00562C7A"/>
    <w:rsid w:val="00563CFD"/>
    <w:rsid w:val="00564362"/>
    <w:rsid w:val="00564A11"/>
    <w:rsid w:val="00565DF0"/>
    <w:rsid w:val="0056696F"/>
    <w:rsid w:val="00567652"/>
    <w:rsid w:val="005707FD"/>
    <w:rsid w:val="00570F05"/>
    <w:rsid w:val="005712DD"/>
    <w:rsid w:val="00571F92"/>
    <w:rsid w:val="00572269"/>
    <w:rsid w:val="0057244A"/>
    <w:rsid w:val="00572851"/>
    <w:rsid w:val="00572DDD"/>
    <w:rsid w:val="00572DEE"/>
    <w:rsid w:val="00572F26"/>
    <w:rsid w:val="00573FC5"/>
    <w:rsid w:val="00574740"/>
    <w:rsid w:val="005750C5"/>
    <w:rsid w:val="005752DE"/>
    <w:rsid w:val="00575675"/>
    <w:rsid w:val="00575991"/>
    <w:rsid w:val="00575D8D"/>
    <w:rsid w:val="00575E79"/>
    <w:rsid w:val="00576972"/>
    <w:rsid w:val="00576BB9"/>
    <w:rsid w:val="00577E9C"/>
    <w:rsid w:val="005811BE"/>
    <w:rsid w:val="00582AD0"/>
    <w:rsid w:val="00582C0B"/>
    <w:rsid w:val="00583699"/>
    <w:rsid w:val="00585CDD"/>
    <w:rsid w:val="00586362"/>
    <w:rsid w:val="005865C8"/>
    <w:rsid w:val="00586829"/>
    <w:rsid w:val="0058691B"/>
    <w:rsid w:val="00587058"/>
    <w:rsid w:val="00587526"/>
    <w:rsid w:val="005900C6"/>
    <w:rsid w:val="005904AF"/>
    <w:rsid w:val="0059114F"/>
    <w:rsid w:val="0059134C"/>
    <w:rsid w:val="00591957"/>
    <w:rsid w:val="00592695"/>
    <w:rsid w:val="00592C0C"/>
    <w:rsid w:val="0059306B"/>
    <w:rsid w:val="005933A6"/>
    <w:rsid w:val="00593785"/>
    <w:rsid w:val="00593E28"/>
    <w:rsid w:val="005942A7"/>
    <w:rsid w:val="00594434"/>
    <w:rsid w:val="0059481F"/>
    <w:rsid w:val="00594FBB"/>
    <w:rsid w:val="00595915"/>
    <w:rsid w:val="00595D77"/>
    <w:rsid w:val="005975E6"/>
    <w:rsid w:val="00597BF9"/>
    <w:rsid w:val="00597FE5"/>
    <w:rsid w:val="005A131C"/>
    <w:rsid w:val="005A309A"/>
    <w:rsid w:val="005A3674"/>
    <w:rsid w:val="005A373D"/>
    <w:rsid w:val="005A4417"/>
    <w:rsid w:val="005A49CC"/>
    <w:rsid w:val="005A58F7"/>
    <w:rsid w:val="005A68C9"/>
    <w:rsid w:val="005B0575"/>
    <w:rsid w:val="005B073E"/>
    <w:rsid w:val="005B0B58"/>
    <w:rsid w:val="005B16DE"/>
    <w:rsid w:val="005B1D57"/>
    <w:rsid w:val="005B2D68"/>
    <w:rsid w:val="005B2DE5"/>
    <w:rsid w:val="005B301D"/>
    <w:rsid w:val="005B3A19"/>
    <w:rsid w:val="005B4CD0"/>
    <w:rsid w:val="005B4E53"/>
    <w:rsid w:val="005B5857"/>
    <w:rsid w:val="005B7CBE"/>
    <w:rsid w:val="005C07FD"/>
    <w:rsid w:val="005C13E6"/>
    <w:rsid w:val="005C1B83"/>
    <w:rsid w:val="005C25FF"/>
    <w:rsid w:val="005C2949"/>
    <w:rsid w:val="005C2D55"/>
    <w:rsid w:val="005C2F1E"/>
    <w:rsid w:val="005C346B"/>
    <w:rsid w:val="005C39E3"/>
    <w:rsid w:val="005C4B98"/>
    <w:rsid w:val="005C4BCF"/>
    <w:rsid w:val="005C5FBB"/>
    <w:rsid w:val="005C6A05"/>
    <w:rsid w:val="005C6CA2"/>
    <w:rsid w:val="005C7097"/>
    <w:rsid w:val="005D044D"/>
    <w:rsid w:val="005D0ABD"/>
    <w:rsid w:val="005D0E6D"/>
    <w:rsid w:val="005D120C"/>
    <w:rsid w:val="005D18AD"/>
    <w:rsid w:val="005D1F77"/>
    <w:rsid w:val="005D22A5"/>
    <w:rsid w:val="005D26B4"/>
    <w:rsid w:val="005D2B2A"/>
    <w:rsid w:val="005D3D1C"/>
    <w:rsid w:val="005D4F7F"/>
    <w:rsid w:val="005D5E29"/>
    <w:rsid w:val="005D6452"/>
    <w:rsid w:val="005D6D0B"/>
    <w:rsid w:val="005D7BCF"/>
    <w:rsid w:val="005E0333"/>
    <w:rsid w:val="005E20C1"/>
    <w:rsid w:val="005E4B44"/>
    <w:rsid w:val="005E4C53"/>
    <w:rsid w:val="005E54CC"/>
    <w:rsid w:val="005E6908"/>
    <w:rsid w:val="005E6CBC"/>
    <w:rsid w:val="005E6DF4"/>
    <w:rsid w:val="005E72FF"/>
    <w:rsid w:val="005E73C0"/>
    <w:rsid w:val="005E7D36"/>
    <w:rsid w:val="005F0AE1"/>
    <w:rsid w:val="005F0BFF"/>
    <w:rsid w:val="005F0EC8"/>
    <w:rsid w:val="005F13C8"/>
    <w:rsid w:val="005F1F62"/>
    <w:rsid w:val="005F2706"/>
    <w:rsid w:val="005F4646"/>
    <w:rsid w:val="005F5EB7"/>
    <w:rsid w:val="005F6A8F"/>
    <w:rsid w:val="005F6BB7"/>
    <w:rsid w:val="005F7441"/>
    <w:rsid w:val="005F7588"/>
    <w:rsid w:val="005F7A03"/>
    <w:rsid w:val="00600082"/>
    <w:rsid w:val="00600091"/>
    <w:rsid w:val="00600B3F"/>
    <w:rsid w:val="006019BA"/>
    <w:rsid w:val="00603DB9"/>
    <w:rsid w:val="00605005"/>
    <w:rsid w:val="00606B4C"/>
    <w:rsid w:val="00606FBA"/>
    <w:rsid w:val="00607669"/>
    <w:rsid w:val="006076F4"/>
    <w:rsid w:val="00607AFD"/>
    <w:rsid w:val="00610DCB"/>
    <w:rsid w:val="00611733"/>
    <w:rsid w:val="00611EE5"/>
    <w:rsid w:val="00612F97"/>
    <w:rsid w:val="00613009"/>
    <w:rsid w:val="0061345D"/>
    <w:rsid w:val="0061549B"/>
    <w:rsid w:val="00615AC2"/>
    <w:rsid w:val="00616802"/>
    <w:rsid w:val="00617E12"/>
    <w:rsid w:val="00620C25"/>
    <w:rsid w:val="00620D99"/>
    <w:rsid w:val="00621477"/>
    <w:rsid w:val="00621ADA"/>
    <w:rsid w:val="00621D22"/>
    <w:rsid w:val="00622217"/>
    <w:rsid w:val="00622306"/>
    <w:rsid w:val="006223EB"/>
    <w:rsid w:val="006234EA"/>
    <w:rsid w:val="00623671"/>
    <w:rsid w:val="00623F7B"/>
    <w:rsid w:val="00626617"/>
    <w:rsid w:val="00627877"/>
    <w:rsid w:val="00627E9E"/>
    <w:rsid w:val="00630888"/>
    <w:rsid w:val="0063158F"/>
    <w:rsid w:val="00631D6B"/>
    <w:rsid w:val="00632183"/>
    <w:rsid w:val="00632799"/>
    <w:rsid w:val="006330A1"/>
    <w:rsid w:val="0063335E"/>
    <w:rsid w:val="00633F30"/>
    <w:rsid w:val="0063400E"/>
    <w:rsid w:val="0063479F"/>
    <w:rsid w:val="00634BB8"/>
    <w:rsid w:val="00635084"/>
    <w:rsid w:val="006353F0"/>
    <w:rsid w:val="00635599"/>
    <w:rsid w:val="006357B5"/>
    <w:rsid w:val="006364A1"/>
    <w:rsid w:val="0063678E"/>
    <w:rsid w:val="00637B7F"/>
    <w:rsid w:val="00637BFD"/>
    <w:rsid w:val="00640EE5"/>
    <w:rsid w:val="006412F8"/>
    <w:rsid w:val="006416C6"/>
    <w:rsid w:val="00641C4E"/>
    <w:rsid w:val="00641FB3"/>
    <w:rsid w:val="006420F9"/>
    <w:rsid w:val="00642F29"/>
    <w:rsid w:val="00643E3A"/>
    <w:rsid w:val="0064434C"/>
    <w:rsid w:val="00644DA2"/>
    <w:rsid w:val="0064588D"/>
    <w:rsid w:val="00645B55"/>
    <w:rsid w:val="00646089"/>
    <w:rsid w:val="00646584"/>
    <w:rsid w:val="00646647"/>
    <w:rsid w:val="00646C72"/>
    <w:rsid w:val="00646F1C"/>
    <w:rsid w:val="006471CC"/>
    <w:rsid w:val="006478FE"/>
    <w:rsid w:val="00647A29"/>
    <w:rsid w:val="006503F2"/>
    <w:rsid w:val="00650497"/>
    <w:rsid w:val="0065079F"/>
    <w:rsid w:val="00650818"/>
    <w:rsid w:val="0065099C"/>
    <w:rsid w:val="006519A6"/>
    <w:rsid w:val="00651A14"/>
    <w:rsid w:val="00652677"/>
    <w:rsid w:val="0065298A"/>
    <w:rsid w:val="006529E0"/>
    <w:rsid w:val="00652A28"/>
    <w:rsid w:val="00652AC7"/>
    <w:rsid w:val="006530C4"/>
    <w:rsid w:val="0065379F"/>
    <w:rsid w:val="00654E2E"/>
    <w:rsid w:val="00656188"/>
    <w:rsid w:val="00656633"/>
    <w:rsid w:val="0065715A"/>
    <w:rsid w:val="006574C4"/>
    <w:rsid w:val="00657DA9"/>
    <w:rsid w:val="006610F1"/>
    <w:rsid w:val="00661C6B"/>
    <w:rsid w:val="00662319"/>
    <w:rsid w:val="00662FF8"/>
    <w:rsid w:val="00664C88"/>
    <w:rsid w:val="00664E8C"/>
    <w:rsid w:val="00665C86"/>
    <w:rsid w:val="0066674A"/>
    <w:rsid w:val="006669B7"/>
    <w:rsid w:val="00667DD8"/>
    <w:rsid w:val="00671004"/>
    <w:rsid w:val="00671189"/>
    <w:rsid w:val="0067164D"/>
    <w:rsid w:val="00672646"/>
    <w:rsid w:val="00674B54"/>
    <w:rsid w:val="00674E42"/>
    <w:rsid w:val="006752F4"/>
    <w:rsid w:val="0067644C"/>
    <w:rsid w:val="00676992"/>
    <w:rsid w:val="00676E86"/>
    <w:rsid w:val="00677746"/>
    <w:rsid w:val="0068018C"/>
    <w:rsid w:val="00680BEA"/>
    <w:rsid w:val="006813F8"/>
    <w:rsid w:val="00682112"/>
    <w:rsid w:val="0068272E"/>
    <w:rsid w:val="00682736"/>
    <w:rsid w:val="00682BA6"/>
    <w:rsid w:val="00682E97"/>
    <w:rsid w:val="006844AA"/>
    <w:rsid w:val="00684C83"/>
    <w:rsid w:val="006864F3"/>
    <w:rsid w:val="00686957"/>
    <w:rsid w:val="006872BA"/>
    <w:rsid w:val="006874D8"/>
    <w:rsid w:val="00687587"/>
    <w:rsid w:val="00690795"/>
    <w:rsid w:val="006907FC"/>
    <w:rsid w:val="00690D1E"/>
    <w:rsid w:val="00691648"/>
    <w:rsid w:val="006917D7"/>
    <w:rsid w:val="00692A7B"/>
    <w:rsid w:val="00692F0E"/>
    <w:rsid w:val="00693477"/>
    <w:rsid w:val="00693DFB"/>
    <w:rsid w:val="0069434C"/>
    <w:rsid w:val="00694C38"/>
    <w:rsid w:val="00694DDC"/>
    <w:rsid w:val="00694F44"/>
    <w:rsid w:val="00695955"/>
    <w:rsid w:val="00696112"/>
    <w:rsid w:val="0069689A"/>
    <w:rsid w:val="00696F51"/>
    <w:rsid w:val="0069748B"/>
    <w:rsid w:val="006979A5"/>
    <w:rsid w:val="006A0271"/>
    <w:rsid w:val="006A04A0"/>
    <w:rsid w:val="006A12B2"/>
    <w:rsid w:val="006A171E"/>
    <w:rsid w:val="006A1883"/>
    <w:rsid w:val="006A1C84"/>
    <w:rsid w:val="006A4E54"/>
    <w:rsid w:val="006A51E0"/>
    <w:rsid w:val="006A5E6C"/>
    <w:rsid w:val="006A6B99"/>
    <w:rsid w:val="006A6FB5"/>
    <w:rsid w:val="006A731B"/>
    <w:rsid w:val="006A745A"/>
    <w:rsid w:val="006A7E5F"/>
    <w:rsid w:val="006A7FD9"/>
    <w:rsid w:val="006B1856"/>
    <w:rsid w:val="006B261B"/>
    <w:rsid w:val="006B2645"/>
    <w:rsid w:val="006B2C90"/>
    <w:rsid w:val="006B35E6"/>
    <w:rsid w:val="006B3D72"/>
    <w:rsid w:val="006B465A"/>
    <w:rsid w:val="006B4BF9"/>
    <w:rsid w:val="006B5D03"/>
    <w:rsid w:val="006B6528"/>
    <w:rsid w:val="006B6DD0"/>
    <w:rsid w:val="006C0399"/>
    <w:rsid w:val="006C16AF"/>
    <w:rsid w:val="006C27C1"/>
    <w:rsid w:val="006C2A8E"/>
    <w:rsid w:val="006C2DF7"/>
    <w:rsid w:val="006C3255"/>
    <w:rsid w:val="006C3F26"/>
    <w:rsid w:val="006C4D42"/>
    <w:rsid w:val="006C4E80"/>
    <w:rsid w:val="006C5148"/>
    <w:rsid w:val="006C6C78"/>
    <w:rsid w:val="006D0A25"/>
    <w:rsid w:val="006D0CE0"/>
    <w:rsid w:val="006D0D17"/>
    <w:rsid w:val="006D1957"/>
    <w:rsid w:val="006D33B5"/>
    <w:rsid w:val="006D35FB"/>
    <w:rsid w:val="006D3C7D"/>
    <w:rsid w:val="006D3E35"/>
    <w:rsid w:val="006D4507"/>
    <w:rsid w:val="006D4659"/>
    <w:rsid w:val="006D54B7"/>
    <w:rsid w:val="006D57FD"/>
    <w:rsid w:val="006D5D5F"/>
    <w:rsid w:val="006D5EB3"/>
    <w:rsid w:val="006D61C1"/>
    <w:rsid w:val="006D6440"/>
    <w:rsid w:val="006D68FB"/>
    <w:rsid w:val="006D70DB"/>
    <w:rsid w:val="006D7DCD"/>
    <w:rsid w:val="006E07CE"/>
    <w:rsid w:val="006E0F69"/>
    <w:rsid w:val="006E1009"/>
    <w:rsid w:val="006E1965"/>
    <w:rsid w:val="006E2172"/>
    <w:rsid w:val="006E21AB"/>
    <w:rsid w:val="006E2868"/>
    <w:rsid w:val="006E2B73"/>
    <w:rsid w:val="006E31B3"/>
    <w:rsid w:val="006E3604"/>
    <w:rsid w:val="006E3CF5"/>
    <w:rsid w:val="006E415C"/>
    <w:rsid w:val="006E4CD0"/>
    <w:rsid w:val="006E4E64"/>
    <w:rsid w:val="006E71F0"/>
    <w:rsid w:val="006E79B7"/>
    <w:rsid w:val="006F021C"/>
    <w:rsid w:val="006F2361"/>
    <w:rsid w:val="006F2959"/>
    <w:rsid w:val="006F306C"/>
    <w:rsid w:val="006F3083"/>
    <w:rsid w:val="006F31EB"/>
    <w:rsid w:val="006F63A5"/>
    <w:rsid w:val="006F64D8"/>
    <w:rsid w:val="006F758B"/>
    <w:rsid w:val="006F7A28"/>
    <w:rsid w:val="0070142B"/>
    <w:rsid w:val="0070276E"/>
    <w:rsid w:val="00702F8F"/>
    <w:rsid w:val="00703758"/>
    <w:rsid w:val="00703E32"/>
    <w:rsid w:val="00704175"/>
    <w:rsid w:val="007042B7"/>
    <w:rsid w:val="0070582E"/>
    <w:rsid w:val="00706044"/>
    <w:rsid w:val="00706B6A"/>
    <w:rsid w:val="007079FC"/>
    <w:rsid w:val="00707FBD"/>
    <w:rsid w:val="00710035"/>
    <w:rsid w:val="0071024A"/>
    <w:rsid w:val="00711A36"/>
    <w:rsid w:val="00713B44"/>
    <w:rsid w:val="00714C26"/>
    <w:rsid w:val="00714E27"/>
    <w:rsid w:val="0071529C"/>
    <w:rsid w:val="00715715"/>
    <w:rsid w:val="0071603B"/>
    <w:rsid w:val="00716924"/>
    <w:rsid w:val="007170DA"/>
    <w:rsid w:val="007172AD"/>
    <w:rsid w:val="00720516"/>
    <w:rsid w:val="00720801"/>
    <w:rsid w:val="00720810"/>
    <w:rsid w:val="0072093C"/>
    <w:rsid w:val="00722259"/>
    <w:rsid w:val="00722B1B"/>
    <w:rsid w:val="007238C6"/>
    <w:rsid w:val="00723AAC"/>
    <w:rsid w:val="00723D98"/>
    <w:rsid w:val="00723DB6"/>
    <w:rsid w:val="0072416F"/>
    <w:rsid w:val="007254DD"/>
    <w:rsid w:val="00725EA9"/>
    <w:rsid w:val="0072648C"/>
    <w:rsid w:val="00727957"/>
    <w:rsid w:val="00727C94"/>
    <w:rsid w:val="00727DB6"/>
    <w:rsid w:val="0073035A"/>
    <w:rsid w:val="00730FB5"/>
    <w:rsid w:val="00731B0A"/>
    <w:rsid w:val="00731EAE"/>
    <w:rsid w:val="00732451"/>
    <w:rsid w:val="00733073"/>
    <w:rsid w:val="00733229"/>
    <w:rsid w:val="007332CD"/>
    <w:rsid w:val="00734442"/>
    <w:rsid w:val="00734DC6"/>
    <w:rsid w:val="00734E8F"/>
    <w:rsid w:val="00735033"/>
    <w:rsid w:val="00735328"/>
    <w:rsid w:val="00735FB7"/>
    <w:rsid w:val="0073685B"/>
    <w:rsid w:val="00742151"/>
    <w:rsid w:val="007425C4"/>
    <w:rsid w:val="00742F1D"/>
    <w:rsid w:val="0074490D"/>
    <w:rsid w:val="007449BF"/>
    <w:rsid w:val="00745A84"/>
    <w:rsid w:val="007461D8"/>
    <w:rsid w:val="00746BC0"/>
    <w:rsid w:val="00747213"/>
    <w:rsid w:val="007510B4"/>
    <w:rsid w:val="007519EA"/>
    <w:rsid w:val="00751BFC"/>
    <w:rsid w:val="00751DDC"/>
    <w:rsid w:val="00751E32"/>
    <w:rsid w:val="00752142"/>
    <w:rsid w:val="007523F9"/>
    <w:rsid w:val="0075357E"/>
    <w:rsid w:val="00753DEB"/>
    <w:rsid w:val="007548D5"/>
    <w:rsid w:val="00756666"/>
    <w:rsid w:val="007573E8"/>
    <w:rsid w:val="00760258"/>
    <w:rsid w:val="00760C4E"/>
    <w:rsid w:val="00760F9E"/>
    <w:rsid w:val="00761527"/>
    <w:rsid w:val="00761641"/>
    <w:rsid w:val="00761B54"/>
    <w:rsid w:val="007627BE"/>
    <w:rsid w:val="00763489"/>
    <w:rsid w:val="007645B5"/>
    <w:rsid w:val="00764D7C"/>
    <w:rsid w:val="00764F03"/>
    <w:rsid w:val="00765326"/>
    <w:rsid w:val="0076599A"/>
    <w:rsid w:val="00765B1A"/>
    <w:rsid w:val="00770A66"/>
    <w:rsid w:val="00770EA0"/>
    <w:rsid w:val="007714B0"/>
    <w:rsid w:val="00772259"/>
    <w:rsid w:val="007740C8"/>
    <w:rsid w:val="007742E2"/>
    <w:rsid w:val="00776354"/>
    <w:rsid w:val="007764B0"/>
    <w:rsid w:val="00776621"/>
    <w:rsid w:val="00777335"/>
    <w:rsid w:val="00780245"/>
    <w:rsid w:val="007808E8"/>
    <w:rsid w:val="00781022"/>
    <w:rsid w:val="007843D1"/>
    <w:rsid w:val="007843F2"/>
    <w:rsid w:val="00785A9F"/>
    <w:rsid w:val="007865E1"/>
    <w:rsid w:val="00786833"/>
    <w:rsid w:val="0078715D"/>
    <w:rsid w:val="0079014A"/>
    <w:rsid w:val="00791647"/>
    <w:rsid w:val="007925DF"/>
    <w:rsid w:val="007937AE"/>
    <w:rsid w:val="00793DE6"/>
    <w:rsid w:val="00795E70"/>
    <w:rsid w:val="007A008E"/>
    <w:rsid w:val="007A08AA"/>
    <w:rsid w:val="007A0A12"/>
    <w:rsid w:val="007A132D"/>
    <w:rsid w:val="007A1345"/>
    <w:rsid w:val="007A2BDB"/>
    <w:rsid w:val="007A2DDB"/>
    <w:rsid w:val="007A3508"/>
    <w:rsid w:val="007A38F2"/>
    <w:rsid w:val="007A3E55"/>
    <w:rsid w:val="007A4300"/>
    <w:rsid w:val="007A6C98"/>
    <w:rsid w:val="007A70BA"/>
    <w:rsid w:val="007A737D"/>
    <w:rsid w:val="007A75D1"/>
    <w:rsid w:val="007A7A74"/>
    <w:rsid w:val="007B01D9"/>
    <w:rsid w:val="007B0D68"/>
    <w:rsid w:val="007B1D0A"/>
    <w:rsid w:val="007B251D"/>
    <w:rsid w:val="007B290A"/>
    <w:rsid w:val="007B4F58"/>
    <w:rsid w:val="007B528D"/>
    <w:rsid w:val="007B5308"/>
    <w:rsid w:val="007B536F"/>
    <w:rsid w:val="007B55ED"/>
    <w:rsid w:val="007B56B1"/>
    <w:rsid w:val="007B63CA"/>
    <w:rsid w:val="007B72AC"/>
    <w:rsid w:val="007B7497"/>
    <w:rsid w:val="007B77D1"/>
    <w:rsid w:val="007C07C7"/>
    <w:rsid w:val="007C0B96"/>
    <w:rsid w:val="007C1546"/>
    <w:rsid w:val="007C182D"/>
    <w:rsid w:val="007C1B8B"/>
    <w:rsid w:val="007C1CD9"/>
    <w:rsid w:val="007C1D95"/>
    <w:rsid w:val="007C1DAD"/>
    <w:rsid w:val="007C32EF"/>
    <w:rsid w:val="007C361D"/>
    <w:rsid w:val="007C3701"/>
    <w:rsid w:val="007C3828"/>
    <w:rsid w:val="007C4B84"/>
    <w:rsid w:val="007C5E0C"/>
    <w:rsid w:val="007C6875"/>
    <w:rsid w:val="007C70FF"/>
    <w:rsid w:val="007C7A17"/>
    <w:rsid w:val="007C7C25"/>
    <w:rsid w:val="007D004F"/>
    <w:rsid w:val="007D0B38"/>
    <w:rsid w:val="007D1A19"/>
    <w:rsid w:val="007D1A1D"/>
    <w:rsid w:val="007D1CCB"/>
    <w:rsid w:val="007D2C22"/>
    <w:rsid w:val="007D336F"/>
    <w:rsid w:val="007D3392"/>
    <w:rsid w:val="007D358A"/>
    <w:rsid w:val="007D5440"/>
    <w:rsid w:val="007D5B69"/>
    <w:rsid w:val="007D5E5A"/>
    <w:rsid w:val="007D6264"/>
    <w:rsid w:val="007D69EB"/>
    <w:rsid w:val="007D6B2E"/>
    <w:rsid w:val="007D7A7B"/>
    <w:rsid w:val="007D7EE2"/>
    <w:rsid w:val="007D7FF2"/>
    <w:rsid w:val="007E047D"/>
    <w:rsid w:val="007E1249"/>
    <w:rsid w:val="007E128F"/>
    <w:rsid w:val="007E1296"/>
    <w:rsid w:val="007E3A4F"/>
    <w:rsid w:val="007E5794"/>
    <w:rsid w:val="007E6FE2"/>
    <w:rsid w:val="007E73FC"/>
    <w:rsid w:val="007E7AEA"/>
    <w:rsid w:val="007F02E7"/>
    <w:rsid w:val="007F0552"/>
    <w:rsid w:val="007F08BF"/>
    <w:rsid w:val="007F1017"/>
    <w:rsid w:val="007F28FD"/>
    <w:rsid w:val="007F363A"/>
    <w:rsid w:val="007F44AB"/>
    <w:rsid w:val="007F4A3F"/>
    <w:rsid w:val="007F4A61"/>
    <w:rsid w:val="007F50AC"/>
    <w:rsid w:val="007F5255"/>
    <w:rsid w:val="007F56CC"/>
    <w:rsid w:val="007F58D7"/>
    <w:rsid w:val="007F61C2"/>
    <w:rsid w:val="007F77B2"/>
    <w:rsid w:val="00800018"/>
    <w:rsid w:val="00800BE4"/>
    <w:rsid w:val="008032AB"/>
    <w:rsid w:val="00803DBC"/>
    <w:rsid w:val="00805142"/>
    <w:rsid w:val="00805FCE"/>
    <w:rsid w:val="00806763"/>
    <w:rsid w:val="00807A8B"/>
    <w:rsid w:val="00807DE2"/>
    <w:rsid w:val="0081063D"/>
    <w:rsid w:val="008106CB"/>
    <w:rsid w:val="00811383"/>
    <w:rsid w:val="00811CA2"/>
    <w:rsid w:val="00812149"/>
    <w:rsid w:val="00812CAC"/>
    <w:rsid w:val="00812DDD"/>
    <w:rsid w:val="008132EF"/>
    <w:rsid w:val="00816361"/>
    <w:rsid w:val="008166EF"/>
    <w:rsid w:val="00816BC2"/>
    <w:rsid w:val="00816FEF"/>
    <w:rsid w:val="00820A8C"/>
    <w:rsid w:val="00820E12"/>
    <w:rsid w:val="008215FB"/>
    <w:rsid w:val="00823065"/>
    <w:rsid w:val="00823174"/>
    <w:rsid w:val="008241BD"/>
    <w:rsid w:val="00825751"/>
    <w:rsid w:val="008264EB"/>
    <w:rsid w:val="00827F9D"/>
    <w:rsid w:val="00830205"/>
    <w:rsid w:val="0083101B"/>
    <w:rsid w:val="008311BE"/>
    <w:rsid w:val="00832F2F"/>
    <w:rsid w:val="008331A2"/>
    <w:rsid w:val="008332B5"/>
    <w:rsid w:val="008332F7"/>
    <w:rsid w:val="008337D2"/>
    <w:rsid w:val="008338AC"/>
    <w:rsid w:val="00833B05"/>
    <w:rsid w:val="008342FC"/>
    <w:rsid w:val="0083468C"/>
    <w:rsid w:val="00834DA1"/>
    <w:rsid w:val="00835094"/>
    <w:rsid w:val="008362B4"/>
    <w:rsid w:val="00837885"/>
    <w:rsid w:val="00840CA2"/>
    <w:rsid w:val="0084149A"/>
    <w:rsid w:val="0084374F"/>
    <w:rsid w:val="0084432C"/>
    <w:rsid w:val="00844A22"/>
    <w:rsid w:val="008462D7"/>
    <w:rsid w:val="00846717"/>
    <w:rsid w:val="0084676E"/>
    <w:rsid w:val="00847263"/>
    <w:rsid w:val="00847703"/>
    <w:rsid w:val="00847754"/>
    <w:rsid w:val="00847925"/>
    <w:rsid w:val="00847DF5"/>
    <w:rsid w:val="0085133E"/>
    <w:rsid w:val="008521D1"/>
    <w:rsid w:val="0085309D"/>
    <w:rsid w:val="008536E9"/>
    <w:rsid w:val="00853BDB"/>
    <w:rsid w:val="0085401D"/>
    <w:rsid w:val="008542B9"/>
    <w:rsid w:val="008545CB"/>
    <w:rsid w:val="0085483A"/>
    <w:rsid w:val="00856897"/>
    <w:rsid w:val="00856E9A"/>
    <w:rsid w:val="00857073"/>
    <w:rsid w:val="008572E8"/>
    <w:rsid w:val="008574B6"/>
    <w:rsid w:val="00857789"/>
    <w:rsid w:val="008601FD"/>
    <w:rsid w:val="0086075D"/>
    <w:rsid w:val="00860D1E"/>
    <w:rsid w:val="00860F94"/>
    <w:rsid w:val="00861A49"/>
    <w:rsid w:val="00862502"/>
    <w:rsid w:val="00862CC1"/>
    <w:rsid w:val="008638F1"/>
    <w:rsid w:val="00863BDE"/>
    <w:rsid w:val="00865D3A"/>
    <w:rsid w:val="00866022"/>
    <w:rsid w:val="008660D4"/>
    <w:rsid w:val="008678A5"/>
    <w:rsid w:val="008707E9"/>
    <w:rsid w:val="008708E6"/>
    <w:rsid w:val="00871B11"/>
    <w:rsid w:val="00871CB8"/>
    <w:rsid w:val="00871FA9"/>
    <w:rsid w:val="008728E9"/>
    <w:rsid w:val="00872B5C"/>
    <w:rsid w:val="008730D7"/>
    <w:rsid w:val="008734E9"/>
    <w:rsid w:val="00873D1F"/>
    <w:rsid w:val="00874373"/>
    <w:rsid w:val="008751B6"/>
    <w:rsid w:val="008752E6"/>
    <w:rsid w:val="00880268"/>
    <w:rsid w:val="00881801"/>
    <w:rsid w:val="00881AC8"/>
    <w:rsid w:val="008821DE"/>
    <w:rsid w:val="00882874"/>
    <w:rsid w:val="00882E3C"/>
    <w:rsid w:val="00883787"/>
    <w:rsid w:val="00883945"/>
    <w:rsid w:val="00883AD0"/>
    <w:rsid w:val="00883B45"/>
    <w:rsid w:val="00883B8C"/>
    <w:rsid w:val="0088488C"/>
    <w:rsid w:val="008855E4"/>
    <w:rsid w:val="00885D1C"/>
    <w:rsid w:val="00886115"/>
    <w:rsid w:val="00886B8B"/>
    <w:rsid w:val="00886CD2"/>
    <w:rsid w:val="00890C51"/>
    <w:rsid w:val="00891E6F"/>
    <w:rsid w:val="0089275D"/>
    <w:rsid w:val="00892A36"/>
    <w:rsid w:val="008931E8"/>
    <w:rsid w:val="00893239"/>
    <w:rsid w:val="00894489"/>
    <w:rsid w:val="00894501"/>
    <w:rsid w:val="008949E7"/>
    <w:rsid w:val="008958ED"/>
    <w:rsid w:val="008963A5"/>
    <w:rsid w:val="00896AD6"/>
    <w:rsid w:val="00896BE3"/>
    <w:rsid w:val="00896D5D"/>
    <w:rsid w:val="00896D8C"/>
    <w:rsid w:val="00897C2E"/>
    <w:rsid w:val="008A3363"/>
    <w:rsid w:val="008A3371"/>
    <w:rsid w:val="008A3C3E"/>
    <w:rsid w:val="008A4DEA"/>
    <w:rsid w:val="008A51DD"/>
    <w:rsid w:val="008A5FCB"/>
    <w:rsid w:val="008A6EA5"/>
    <w:rsid w:val="008A77CA"/>
    <w:rsid w:val="008A79DE"/>
    <w:rsid w:val="008B0B7F"/>
    <w:rsid w:val="008B1757"/>
    <w:rsid w:val="008B2256"/>
    <w:rsid w:val="008B4463"/>
    <w:rsid w:val="008B461E"/>
    <w:rsid w:val="008B57B6"/>
    <w:rsid w:val="008B5A74"/>
    <w:rsid w:val="008B5C6C"/>
    <w:rsid w:val="008B6B71"/>
    <w:rsid w:val="008B7992"/>
    <w:rsid w:val="008B7D7E"/>
    <w:rsid w:val="008C1171"/>
    <w:rsid w:val="008C214D"/>
    <w:rsid w:val="008C25D7"/>
    <w:rsid w:val="008C3842"/>
    <w:rsid w:val="008C4E0B"/>
    <w:rsid w:val="008C5610"/>
    <w:rsid w:val="008C5739"/>
    <w:rsid w:val="008C66A9"/>
    <w:rsid w:val="008C695A"/>
    <w:rsid w:val="008C6BD7"/>
    <w:rsid w:val="008C76D0"/>
    <w:rsid w:val="008C7C9F"/>
    <w:rsid w:val="008C7CAB"/>
    <w:rsid w:val="008C7ECB"/>
    <w:rsid w:val="008C7F71"/>
    <w:rsid w:val="008D08B6"/>
    <w:rsid w:val="008D1920"/>
    <w:rsid w:val="008D1E5D"/>
    <w:rsid w:val="008D1EA7"/>
    <w:rsid w:val="008D25C7"/>
    <w:rsid w:val="008D2E8C"/>
    <w:rsid w:val="008D3701"/>
    <w:rsid w:val="008D37DB"/>
    <w:rsid w:val="008D3B86"/>
    <w:rsid w:val="008D41D0"/>
    <w:rsid w:val="008D4755"/>
    <w:rsid w:val="008D4C3D"/>
    <w:rsid w:val="008D4E14"/>
    <w:rsid w:val="008D6734"/>
    <w:rsid w:val="008D6DCA"/>
    <w:rsid w:val="008D743C"/>
    <w:rsid w:val="008E03F4"/>
    <w:rsid w:val="008E0A0B"/>
    <w:rsid w:val="008E0D3C"/>
    <w:rsid w:val="008E0E65"/>
    <w:rsid w:val="008E1B9E"/>
    <w:rsid w:val="008E1EF7"/>
    <w:rsid w:val="008E2DDA"/>
    <w:rsid w:val="008E40AA"/>
    <w:rsid w:val="008E451E"/>
    <w:rsid w:val="008E55AB"/>
    <w:rsid w:val="008E5E7D"/>
    <w:rsid w:val="008E6616"/>
    <w:rsid w:val="008E6B12"/>
    <w:rsid w:val="008F1152"/>
    <w:rsid w:val="008F120A"/>
    <w:rsid w:val="008F1B22"/>
    <w:rsid w:val="008F2249"/>
    <w:rsid w:val="008F27E0"/>
    <w:rsid w:val="008F2846"/>
    <w:rsid w:val="008F3C5C"/>
    <w:rsid w:val="008F3E3F"/>
    <w:rsid w:val="008F4340"/>
    <w:rsid w:val="008F48EB"/>
    <w:rsid w:val="008F4E3E"/>
    <w:rsid w:val="008F4F0B"/>
    <w:rsid w:val="008F6D59"/>
    <w:rsid w:val="0090049D"/>
    <w:rsid w:val="00900709"/>
    <w:rsid w:val="0090124E"/>
    <w:rsid w:val="00902EA3"/>
    <w:rsid w:val="0090303B"/>
    <w:rsid w:val="009035F0"/>
    <w:rsid w:val="00903952"/>
    <w:rsid w:val="00904314"/>
    <w:rsid w:val="009046C4"/>
    <w:rsid w:val="00905013"/>
    <w:rsid w:val="009062A5"/>
    <w:rsid w:val="00906F4C"/>
    <w:rsid w:val="009072BE"/>
    <w:rsid w:val="00910AA2"/>
    <w:rsid w:val="00910D56"/>
    <w:rsid w:val="00910FA7"/>
    <w:rsid w:val="00911272"/>
    <w:rsid w:val="00911A16"/>
    <w:rsid w:val="009135D6"/>
    <w:rsid w:val="0091453B"/>
    <w:rsid w:val="00914C77"/>
    <w:rsid w:val="009167A6"/>
    <w:rsid w:val="00917FF9"/>
    <w:rsid w:val="00921975"/>
    <w:rsid w:val="00921ACB"/>
    <w:rsid w:val="009224BE"/>
    <w:rsid w:val="00922525"/>
    <w:rsid w:val="0092330D"/>
    <w:rsid w:val="0092369B"/>
    <w:rsid w:val="00924B04"/>
    <w:rsid w:val="0092506A"/>
    <w:rsid w:val="0092539C"/>
    <w:rsid w:val="0092539E"/>
    <w:rsid w:val="00925403"/>
    <w:rsid w:val="009257FF"/>
    <w:rsid w:val="00925C4F"/>
    <w:rsid w:val="009308B8"/>
    <w:rsid w:val="009322C1"/>
    <w:rsid w:val="009333A8"/>
    <w:rsid w:val="009338FD"/>
    <w:rsid w:val="00934378"/>
    <w:rsid w:val="00934988"/>
    <w:rsid w:val="0093643A"/>
    <w:rsid w:val="00936D80"/>
    <w:rsid w:val="0093703C"/>
    <w:rsid w:val="00937089"/>
    <w:rsid w:val="009370CD"/>
    <w:rsid w:val="00937807"/>
    <w:rsid w:val="0093784E"/>
    <w:rsid w:val="00937D26"/>
    <w:rsid w:val="0094061B"/>
    <w:rsid w:val="0094067C"/>
    <w:rsid w:val="0094147D"/>
    <w:rsid w:val="00941921"/>
    <w:rsid w:val="0094246F"/>
    <w:rsid w:val="009424F8"/>
    <w:rsid w:val="00943025"/>
    <w:rsid w:val="0094410A"/>
    <w:rsid w:val="009443DA"/>
    <w:rsid w:val="00944F8A"/>
    <w:rsid w:val="0094588D"/>
    <w:rsid w:val="00945CF4"/>
    <w:rsid w:val="0094663A"/>
    <w:rsid w:val="009471D9"/>
    <w:rsid w:val="009474AD"/>
    <w:rsid w:val="00947961"/>
    <w:rsid w:val="00947A90"/>
    <w:rsid w:val="009506B8"/>
    <w:rsid w:val="009510A2"/>
    <w:rsid w:val="0095139E"/>
    <w:rsid w:val="00952A6A"/>
    <w:rsid w:val="00953257"/>
    <w:rsid w:val="00954302"/>
    <w:rsid w:val="0095474C"/>
    <w:rsid w:val="00954E3E"/>
    <w:rsid w:val="00955261"/>
    <w:rsid w:val="009560FB"/>
    <w:rsid w:val="0095681A"/>
    <w:rsid w:val="009569FE"/>
    <w:rsid w:val="0095704E"/>
    <w:rsid w:val="009627A6"/>
    <w:rsid w:val="0096298B"/>
    <w:rsid w:val="00962CB9"/>
    <w:rsid w:val="009634A9"/>
    <w:rsid w:val="0096364D"/>
    <w:rsid w:val="00963D17"/>
    <w:rsid w:val="00964312"/>
    <w:rsid w:val="00964741"/>
    <w:rsid w:val="00965B8A"/>
    <w:rsid w:val="009672B8"/>
    <w:rsid w:val="0096789E"/>
    <w:rsid w:val="0097071F"/>
    <w:rsid w:val="009711B8"/>
    <w:rsid w:val="009717AC"/>
    <w:rsid w:val="00971D40"/>
    <w:rsid w:val="00972AAC"/>
    <w:rsid w:val="00973A6C"/>
    <w:rsid w:val="0097460A"/>
    <w:rsid w:val="00974DA6"/>
    <w:rsid w:val="009751C1"/>
    <w:rsid w:val="00976367"/>
    <w:rsid w:val="00977C29"/>
    <w:rsid w:val="00980529"/>
    <w:rsid w:val="009808CD"/>
    <w:rsid w:val="009811F1"/>
    <w:rsid w:val="0098142E"/>
    <w:rsid w:val="00982822"/>
    <w:rsid w:val="00982D1A"/>
    <w:rsid w:val="0098369B"/>
    <w:rsid w:val="00983E57"/>
    <w:rsid w:val="00984CB9"/>
    <w:rsid w:val="00984FD8"/>
    <w:rsid w:val="00985D90"/>
    <w:rsid w:val="00985DE2"/>
    <w:rsid w:val="00986100"/>
    <w:rsid w:val="0098675D"/>
    <w:rsid w:val="00987B69"/>
    <w:rsid w:val="00990519"/>
    <w:rsid w:val="009914D4"/>
    <w:rsid w:val="00991867"/>
    <w:rsid w:val="009918C6"/>
    <w:rsid w:val="00991D8A"/>
    <w:rsid w:val="00992159"/>
    <w:rsid w:val="009926E0"/>
    <w:rsid w:val="00992B60"/>
    <w:rsid w:val="0099350B"/>
    <w:rsid w:val="00993ACC"/>
    <w:rsid w:val="00993F3D"/>
    <w:rsid w:val="0099404B"/>
    <w:rsid w:val="0099451E"/>
    <w:rsid w:val="009956D8"/>
    <w:rsid w:val="0099612A"/>
    <w:rsid w:val="009962B2"/>
    <w:rsid w:val="00996B1A"/>
    <w:rsid w:val="009971C5"/>
    <w:rsid w:val="00997B9D"/>
    <w:rsid w:val="00997C0F"/>
    <w:rsid w:val="009A0188"/>
    <w:rsid w:val="009A2664"/>
    <w:rsid w:val="009A2DCC"/>
    <w:rsid w:val="009A4328"/>
    <w:rsid w:val="009A4992"/>
    <w:rsid w:val="009A5689"/>
    <w:rsid w:val="009A5ABC"/>
    <w:rsid w:val="009A6F9F"/>
    <w:rsid w:val="009A7F10"/>
    <w:rsid w:val="009B16FE"/>
    <w:rsid w:val="009B22AE"/>
    <w:rsid w:val="009B2610"/>
    <w:rsid w:val="009B3E26"/>
    <w:rsid w:val="009B6BC4"/>
    <w:rsid w:val="009B7673"/>
    <w:rsid w:val="009C116C"/>
    <w:rsid w:val="009C303D"/>
    <w:rsid w:val="009C3383"/>
    <w:rsid w:val="009C3706"/>
    <w:rsid w:val="009C3A3A"/>
    <w:rsid w:val="009C56BC"/>
    <w:rsid w:val="009C56FA"/>
    <w:rsid w:val="009C5FF9"/>
    <w:rsid w:val="009C6CEA"/>
    <w:rsid w:val="009C7116"/>
    <w:rsid w:val="009C7988"/>
    <w:rsid w:val="009C7B85"/>
    <w:rsid w:val="009D0254"/>
    <w:rsid w:val="009D07D9"/>
    <w:rsid w:val="009D1381"/>
    <w:rsid w:val="009D191E"/>
    <w:rsid w:val="009D1A64"/>
    <w:rsid w:val="009D1C6B"/>
    <w:rsid w:val="009D27AF"/>
    <w:rsid w:val="009D2D78"/>
    <w:rsid w:val="009D2DF5"/>
    <w:rsid w:val="009D3526"/>
    <w:rsid w:val="009D3A90"/>
    <w:rsid w:val="009D4820"/>
    <w:rsid w:val="009D5B91"/>
    <w:rsid w:val="009D6367"/>
    <w:rsid w:val="009D6CF3"/>
    <w:rsid w:val="009D792E"/>
    <w:rsid w:val="009D79DF"/>
    <w:rsid w:val="009E0DFE"/>
    <w:rsid w:val="009E12D9"/>
    <w:rsid w:val="009E1D57"/>
    <w:rsid w:val="009E1D7D"/>
    <w:rsid w:val="009E2D72"/>
    <w:rsid w:val="009E31F6"/>
    <w:rsid w:val="009E331D"/>
    <w:rsid w:val="009E4665"/>
    <w:rsid w:val="009E4C07"/>
    <w:rsid w:val="009E55F4"/>
    <w:rsid w:val="009E59F3"/>
    <w:rsid w:val="009E7335"/>
    <w:rsid w:val="009E75FE"/>
    <w:rsid w:val="009F083A"/>
    <w:rsid w:val="009F14E9"/>
    <w:rsid w:val="009F1F48"/>
    <w:rsid w:val="009F2085"/>
    <w:rsid w:val="009F368E"/>
    <w:rsid w:val="009F4ABB"/>
    <w:rsid w:val="009F7862"/>
    <w:rsid w:val="00A01184"/>
    <w:rsid w:val="00A013CD"/>
    <w:rsid w:val="00A02BFA"/>
    <w:rsid w:val="00A02DDA"/>
    <w:rsid w:val="00A02EB0"/>
    <w:rsid w:val="00A036F6"/>
    <w:rsid w:val="00A037C2"/>
    <w:rsid w:val="00A03D43"/>
    <w:rsid w:val="00A04380"/>
    <w:rsid w:val="00A04638"/>
    <w:rsid w:val="00A050FF"/>
    <w:rsid w:val="00A05472"/>
    <w:rsid w:val="00A05C32"/>
    <w:rsid w:val="00A0653F"/>
    <w:rsid w:val="00A07091"/>
    <w:rsid w:val="00A0793A"/>
    <w:rsid w:val="00A1052C"/>
    <w:rsid w:val="00A106A5"/>
    <w:rsid w:val="00A11512"/>
    <w:rsid w:val="00A11CD0"/>
    <w:rsid w:val="00A12B1C"/>
    <w:rsid w:val="00A13090"/>
    <w:rsid w:val="00A130FE"/>
    <w:rsid w:val="00A13948"/>
    <w:rsid w:val="00A1555B"/>
    <w:rsid w:val="00A155C5"/>
    <w:rsid w:val="00A16259"/>
    <w:rsid w:val="00A16AD8"/>
    <w:rsid w:val="00A16B93"/>
    <w:rsid w:val="00A17984"/>
    <w:rsid w:val="00A17DEB"/>
    <w:rsid w:val="00A17E6E"/>
    <w:rsid w:val="00A201B6"/>
    <w:rsid w:val="00A201DB"/>
    <w:rsid w:val="00A21C95"/>
    <w:rsid w:val="00A21CF3"/>
    <w:rsid w:val="00A224F0"/>
    <w:rsid w:val="00A2406B"/>
    <w:rsid w:val="00A24813"/>
    <w:rsid w:val="00A249ED"/>
    <w:rsid w:val="00A25E12"/>
    <w:rsid w:val="00A25F4E"/>
    <w:rsid w:val="00A26E5A"/>
    <w:rsid w:val="00A27831"/>
    <w:rsid w:val="00A27AEC"/>
    <w:rsid w:val="00A27D05"/>
    <w:rsid w:val="00A3135C"/>
    <w:rsid w:val="00A320DB"/>
    <w:rsid w:val="00A32794"/>
    <w:rsid w:val="00A327D2"/>
    <w:rsid w:val="00A332DB"/>
    <w:rsid w:val="00A33AB8"/>
    <w:rsid w:val="00A343AF"/>
    <w:rsid w:val="00A3441F"/>
    <w:rsid w:val="00A345CC"/>
    <w:rsid w:val="00A34933"/>
    <w:rsid w:val="00A3564A"/>
    <w:rsid w:val="00A356D1"/>
    <w:rsid w:val="00A35D16"/>
    <w:rsid w:val="00A36098"/>
    <w:rsid w:val="00A37BCD"/>
    <w:rsid w:val="00A37D80"/>
    <w:rsid w:val="00A407FF"/>
    <w:rsid w:val="00A41689"/>
    <w:rsid w:val="00A42268"/>
    <w:rsid w:val="00A42592"/>
    <w:rsid w:val="00A43783"/>
    <w:rsid w:val="00A43C59"/>
    <w:rsid w:val="00A44297"/>
    <w:rsid w:val="00A44DBF"/>
    <w:rsid w:val="00A457E1"/>
    <w:rsid w:val="00A45B79"/>
    <w:rsid w:val="00A46885"/>
    <w:rsid w:val="00A471B7"/>
    <w:rsid w:val="00A4774F"/>
    <w:rsid w:val="00A47D3C"/>
    <w:rsid w:val="00A50D0E"/>
    <w:rsid w:val="00A50ECD"/>
    <w:rsid w:val="00A5184F"/>
    <w:rsid w:val="00A518F3"/>
    <w:rsid w:val="00A51C48"/>
    <w:rsid w:val="00A52401"/>
    <w:rsid w:val="00A52729"/>
    <w:rsid w:val="00A53675"/>
    <w:rsid w:val="00A5375C"/>
    <w:rsid w:val="00A544AD"/>
    <w:rsid w:val="00A558B6"/>
    <w:rsid w:val="00A55AEF"/>
    <w:rsid w:val="00A564D7"/>
    <w:rsid w:val="00A56ADE"/>
    <w:rsid w:val="00A56B6A"/>
    <w:rsid w:val="00A578DC"/>
    <w:rsid w:val="00A60558"/>
    <w:rsid w:val="00A60AAC"/>
    <w:rsid w:val="00A60C16"/>
    <w:rsid w:val="00A60F93"/>
    <w:rsid w:val="00A619AF"/>
    <w:rsid w:val="00A62BF7"/>
    <w:rsid w:val="00A632C5"/>
    <w:rsid w:val="00A6355E"/>
    <w:rsid w:val="00A64030"/>
    <w:rsid w:val="00A640E2"/>
    <w:rsid w:val="00A6444B"/>
    <w:rsid w:val="00A64D65"/>
    <w:rsid w:val="00A65204"/>
    <w:rsid w:val="00A66BCE"/>
    <w:rsid w:val="00A6725B"/>
    <w:rsid w:val="00A700C0"/>
    <w:rsid w:val="00A70605"/>
    <w:rsid w:val="00A70730"/>
    <w:rsid w:val="00A71ADA"/>
    <w:rsid w:val="00A73134"/>
    <w:rsid w:val="00A73865"/>
    <w:rsid w:val="00A745A7"/>
    <w:rsid w:val="00A76001"/>
    <w:rsid w:val="00A76769"/>
    <w:rsid w:val="00A777B2"/>
    <w:rsid w:val="00A81314"/>
    <w:rsid w:val="00A81369"/>
    <w:rsid w:val="00A8201A"/>
    <w:rsid w:val="00A820E0"/>
    <w:rsid w:val="00A825D4"/>
    <w:rsid w:val="00A82626"/>
    <w:rsid w:val="00A828F6"/>
    <w:rsid w:val="00A82B73"/>
    <w:rsid w:val="00A84062"/>
    <w:rsid w:val="00A840E6"/>
    <w:rsid w:val="00A86E8B"/>
    <w:rsid w:val="00A8700E"/>
    <w:rsid w:val="00A87164"/>
    <w:rsid w:val="00A87979"/>
    <w:rsid w:val="00A87F13"/>
    <w:rsid w:val="00A900CE"/>
    <w:rsid w:val="00A912D6"/>
    <w:rsid w:val="00A9137F"/>
    <w:rsid w:val="00A91887"/>
    <w:rsid w:val="00A921EA"/>
    <w:rsid w:val="00A93072"/>
    <w:rsid w:val="00A9318F"/>
    <w:rsid w:val="00A938BD"/>
    <w:rsid w:val="00A93953"/>
    <w:rsid w:val="00A9457A"/>
    <w:rsid w:val="00A959D8"/>
    <w:rsid w:val="00A96958"/>
    <w:rsid w:val="00A96DBB"/>
    <w:rsid w:val="00A96E6B"/>
    <w:rsid w:val="00AA0918"/>
    <w:rsid w:val="00AA0EF9"/>
    <w:rsid w:val="00AA113D"/>
    <w:rsid w:val="00AA1372"/>
    <w:rsid w:val="00AA16F0"/>
    <w:rsid w:val="00AA1C52"/>
    <w:rsid w:val="00AA1CC4"/>
    <w:rsid w:val="00AA21E0"/>
    <w:rsid w:val="00AA23BE"/>
    <w:rsid w:val="00AA3C67"/>
    <w:rsid w:val="00AA3F5F"/>
    <w:rsid w:val="00AA46DC"/>
    <w:rsid w:val="00AA4BF6"/>
    <w:rsid w:val="00AA4C3F"/>
    <w:rsid w:val="00AA50AC"/>
    <w:rsid w:val="00AA6BD5"/>
    <w:rsid w:val="00AA6BD8"/>
    <w:rsid w:val="00AA6C7D"/>
    <w:rsid w:val="00AA74C5"/>
    <w:rsid w:val="00AA7614"/>
    <w:rsid w:val="00AA7FD6"/>
    <w:rsid w:val="00AB042A"/>
    <w:rsid w:val="00AB14AB"/>
    <w:rsid w:val="00AB158A"/>
    <w:rsid w:val="00AB19EF"/>
    <w:rsid w:val="00AB1AAC"/>
    <w:rsid w:val="00AB1B45"/>
    <w:rsid w:val="00AB2D34"/>
    <w:rsid w:val="00AB2D87"/>
    <w:rsid w:val="00AB3430"/>
    <w:rsid w:val="00AB37B9"/>
    <w:rsid w:val="00AB426E"/>
    <w:rsid w:val="00AB4814"/>
    <w:rsid w:val="00AB4AD1"/>
    <w:rsid w:val="00AB4C39"/>
    <w:rsid w:val="00AB5A1F"/>
    <w:rsid w:val="00AB5E07"/>
    <w:rsid w:val="00AB6C7B"/>
    <w:rsid w:val="00AB7CFA"/>
    <w:rsid w:val="00AB7DC3"/>
    <w:rsid w:val="00AC04B5"/>
    <w:rsid w:val="00AC0B41"/>
    <w:rsid w:val="00AC298D"/>
    <w:rsid w:val="00AC2ACA"/>
    <w:rsid w:val="00AC3709"/>
    <w:rsid w:val="00AC371C"/>
    <w:rsid w:val="00AC37BE"/>
    <w:rsid w:val="00AC3E72"/>
    <w:rsid w:val="00AC3FFD"/>
    <w:rsid w:val="00AC537D"/>
    <w:rsid w:val="00AC54B6"/>
    <w:rsid w:val="00AC5B48"/>
    <w:rsid w:val="00AC6F6F"/>
    <w:rsid w:val="00AC7DB4"/>
    <w:rsid w:val="00AC7EDF"/>
    <w:rsid w:val="00AD126F"/>
    <w:rsid w:val="00AD1450"/>
    <w:rsid w:val="00AD202D"/>
    <w:rsid w:val="00AD2BC8"/>
    <w:rsid w:val="00AD5121"/>
    <w:rsid w:val="00AD5FA0"/>
    <w:rsid w:val="00AD6502"/>
    <w:rsid w:val="00AE0695"/>
    <w:rsid w:val="00AE14F7"/>
    <w:rsid w:val="00AE1808"/>
    <w:rsid w:val="00AE19E9"/>
    <w:rsid w:val="00AE1AEF"/>
    <w:rsid w:val="00AE1FF5"/>
    <w:rsid w:val="00AE3E7E"/>
    <w:rsid w:val="00AE46C3"/>
    <w:rsid w:val="00AE5763"/>
    <w:rsid w:val="00AE7CDD"/>
    <w:rsid w:val="00AF0766"/>
    <w:rsid w:val="00AF1315"/>
    <w:rsid w:val="00AF15A0"/>
    <w:rsid w:val="00AF19BF"/>
    <w:rsid w:val="00AF225D"/>
    <w:rsid w:val="00AF29F5"/>
    <w:rsid w:val="00AF2DC3"/>
    <w:rsid w:val="00AF2E60"/>
    <w:rsid w:val="00AF3941"/>
    <w:rsid w:val="00AF4256"/>
    <w:rsid w:val="00AF4E22"/>
    <w:rsid w:val="00AF4FE5"/>
    <w:rsid w:val="00AF56EC"/>
    <w:rsid w:val="00AF5E38"/>
    <w:rsid w:val="00AF6719"/>
    <w:rsid w:val="00AF6EF2"/>
    <w:rsid w:val="00AF7D90"/>
    <w:rsid w:val="00B00849"/>
    <w:rsid w:val="00B0099E"/>
    <w:rsid w:val="00B009D6"/>
    <w:rsid w:val="00B00EC9"/>
    <w:rsid w:val="00B02D19"/>
    <w:rsid w:val="00B02DF3"/>
    <w:rsid w:val="00B033E5"/>
    <w:rsid w:val="00B03A63"/>
    <w:rsid w:val="00B050C2"/>
    <w:rsid w:val="00B05AFB"/>
    <w:rsid w:val="00B10F8F"/>
    <w:rsid w:val="00B116C3"/>
    <w:rsid w:val="00B1360B"/>
    <w:rsid w:val="00B16219"/>
    <w:rsid w:val="00B16E79"/>
    <w:rsid w:val="00B201A4"/>
    <w:rsid w:val="00B201D1"/>
    <w:rsid w:val="00B20351"/>
    <w:rsid w:val="00B204AD"/>
    <w:rsid w:val="00B209C4"/>
    <w:rsid w:val="00B20BA2"/>
    <w:rsid w:val="00B213A6"/>
    <w:rsid w:val="00B21CD9"/>
    <w:rsid w:val="00B2226D"/>
    <w:rsid w:val="00B235B0"/>
    <w:rsid w:val="00B23F94"/>
    <w:rsid w:val="00B24AC8"/>
    <w:rsid w:val="00B24B6A"/>
    <w:rsid w:val="00B24DF6"/>
    <w:rsid w:val="00B25289"/>
    <w:rsid w:val="00B2570E"/>
    <w:rsid w:val="00B268B1"/>
    <w:rsid w:val="00B26D95"/>
    <w:rsid w:val="00B2765A"/>
    <w:rsid w:val="00B30534"/>
    <w:rsid w:val="00B30601"/>
    <w:rsid w:val="00B3196C"/>
    <w:rsid w:val="00B31C3E"/>
    <w:rsid w:val="00B326A5"/>
    <w:rsid w:val="00B343B8"/>
    <w:rsid w:val="00B34FE2"/>
    <w:rsid w:val="00B35139"/>
    <w:rsid w:val="00B35166"/>
    <w:rsid w:val="00B357D8"/>
    <w:rsid w:val="00B35BCC"/>
    <w:rsid w:val="00B36020"/>
    <w:rsid w:val="00B360F4"/>
    <w:rsid w:val="00B36A00"/>
    <w:rsid w:val="00B36CFC"/>
    <w:rsid w:val="00B375D3"/>
    <w:rsid w:val="00B37BFC"/>
    <w:rsid w:val="00B40187"/>
    <w:rsid w:val="00B40358"/>
    <w:rsid w:val="00B41614"/>
    <w:rsid w:val="00B41FB2"/>
    <w:rsid w:val="00B4267D"/>
    <w:rsid w:val="00B426FA"/>
    <w:rsid w:val="00B42851"/>
    <w:rsid w:val="00B42C57"/>
    <w:rsid w:val="00B42F80"/>
    <w:rsid w:val="00B435CB"/>
    <w:rsid w:val="00B44BBD"/>
    <w:rsid w:val="00B45A66"/>
    <w:rsid w:val="00B47538"/>
    <w:rsid w:val="00B50159"/>
    <w:rsid w:val="00B502AD"/>
    <w:rsid w:val="00B505C8"/>
    <w:rsid w:val="00B50DB8"/>
    <w:rsid w:val="00B50DD7"/>
    <w:rsid w:val="00B51475"/>
    <w:rsid w:val="00B53654"/>
    <w:rsid w:val="00B5369E"/>
    <w:rsid w:val="00B53905"/>
    <w:rsid w:val="00B53E72"/>
    <w:rsid w:val="00B54B5B"/>
    <w:rsid w:val="00B5522C"/>
    <w:rsid w:val="00B5562E"/>
    <w:rsid w:val="00B55D65"/>
    <w:rsid w:val="00B55E3A"/>
    <w:rsid w:val="00B56142"/>
    <w:rsid w:val="00B57000"/>
    <w:rsid w:val="00B57D48"/>
    <w:rsid w:val="00B57E89"/>
    <w:rsid w:val="00B600BD"/>
    <w:rsid w:val="00B60939"/>
    <w:rsid w:val="00B60AFD"/>
    <w:rsid w:val="00B60B0E"/>
    <w:rsid w:val="00B61969"/>
    <w:rsid w:val="00B61D52"/>
    <w:rsid w:val="00B62715"/>
    <w:rsid w:val="00B628ED"/>
    <w:rsid w:val="00B6297B"/>
    <w:rsid w:val="00B63520"/>
    <w:rsid w:val="00B64283"/>
    <w:rsid w:val="00B64483"/>
    <w:rsid w:val="00B65611"/>
    <w:rsid w:val="00B66578"/>
    <w:rsid w:val="00B668DF"/>
    <w:rsid w:val="00B7011F"/>
    <w:rsid w:val="00B704F5"/>
    <w:rsid w:val="00B70667"/>
    <w:rsid w:val="00B70E8E"/>
    <w:rsid w:val="00B71283"/>
    <w:rsid w:val="00B71A91"/>
    <w:rsid w:val="00B71D61"/>
    <w:rsid w:val="00B72B8A"/>
    <w:rsid w:val="00B735D2"/>
    <w:rsid w:val="00B74812"/>
    <w:rsid w:val="00B74F55"/>
    <w:rsid w:val="00B754BC"/>
    <w:rsid w:val="00B76799"/>
    <w:rsid w:val="00B76C92"/>
    <w:rsid w:val="00B77210"/>
    <w:rsid w:val="00B77C3D"/>
    <w:rsid w:val="00B806C1"/>
    <w:rsid w:val="00B818A4"/>
    <w:rsid w:val="00B81934"/>
    <w:rsid w:val="00B81B23"/>
    <w:rsid w:val="00B81FF2"/>
    <w:rsid w:val="00B83B22"/>
    <w:rsid w:val="00B84117"/>
    <w:rsid w:val="00B8435E"/>
    <w:rsid w:val="00B847BF"/>
    <w:rsid w:val="00B84D62"/>
    <w:rsid w:val="00B858F0"/>
    <w:rsid w:val="00B85AA2"/>
    <w:rsid w:val="00B8649C"/>
    <w:rsid w:val="00B8695D"/>
    <w:rsid w:val="00B86A29"/>
    <w:rsid w:val="00B87F0A"/>
    <w:rsid w:val="00B90330"/>
    <w:rsid w:val="00B90538"/>
    <w:rsid w:val="00B90F25"/>
    <w:rsid w:val="00B90F47"/>
    <w:rsid w:val="00B920B1"/>
    <w:rsid w:val="00B92D0B"/>
    <w:rsid w:val="00B93241"/>
    <w:rsid w:val="00B94166"/>
    <w:rsid w:val="00B94945"/>
    <w:rsid w:val="00B94DD6"/>
    <w:rsid w:val="00B951CD"/>
    <w:rsid w:val="00B952A6"/>
    <w:rsid w:val="00B95EF6"/>
    <w:rsid w:val="00B96121"/>
    <w:rsid w:val="00B963E9"/>
    <w:rsid w:val="00B96A26"/>
    <w:rsid w:val="00B97857"/>
    <w:rsid w:val="00B9798F"/>
    <w:rsid w:val="00BA0B4F"/>
    <w:rsid w:val="00BA0EE3"/>
    <w:rsid w:val="00BA1AB8"/>
    <w:rsid w:val="00BA322D"/>
    <w:rsid w:val="00BA39C1"/>
    <w:rsid w:val="00BA3A48"/>
    <w:rsid w:val="00BA42D8"/>
    <w:rsid w:val="00BA5DF0"/>
    <w:rsid w:val="00BA5FFC"/>
    <w:rsid w:val="00BA63FA"/>
    <w:rsid w:val="00BA6860"/>
    <w:rsid w:val="00BA6E00"/>
    <w:rsid w:val="00BB00B3"/>
    <w:rsid w:val="00BB0BDD"/>
    <w:rsid w:val="00BB158A"/>
    <w:rsid w:val="00BB176C"/>
    <w:rsid w:val="00BB1D74"/>
    <w:rsid w:val="00BB2A73"/>
    <w:rsid w:val="00BB2DC3"/>
    <w:rsid w:val="00BB30A3"/>
    <w:rsid w:val="00BB3A45"/>
    <w:rsid w:val="00BB476C"/>
    <w:rsid w:val="00BB4AC0"/>
    <w:rsid w:val="00BB4ACC"/>
    <w:rsid w:val="00BB5777"/>
    <w:rsid w:val="00BB5D48"/>
    <w:rsid w:val="00BB5EAE"/>
    <w:rsid w:val="00BB683A"/>
    <w:rsid w:val="00BB703E"/>
    <w:rsid w:val="00BB732D"/>
    <w:rsid w:val="00BB7405"/>
    <w:rsid w:val="00BB7D84"/>
    <w:rsid w:val="00BC10C3"/>
    <w:rsid w:val="00BC24C4"/>
    <w:rsid w:val="00BC3631"/>
    <w:rsid w:val="00BC3CE9"/>
    <w:rsid w:val="00BC41B5"/>
    <w:rsid w:val="00BC4F10"/>
    <w:rsid w:val="00BC591F"/>
    <w:rsid w:val="00BC5CD7"/>
    <w:rsid w:val="00BC7408"/>
    <w:rsid w:val="00BC7D6D"/>
    <w:rsid w:val="00BD075D"/>
    <w:rsid w:val="00BD0AA3"/>
    <w:rsid w:val="00BD10F4"/>
    <w:rsid w:val="00BD2108"/>
    <w:rsid w:val="00BD27CB"/>
    <w:rsid w:val="00BD39F8"/>
    <w:rsid w:val="00BD4436"/>
    <w:rsid w:val="00BD4EB7"/>
    <w:rsid w:val="00BD5784"/>
    <w:rsid w:val="00BD68A3"/>
    <w:rsid w:val="00BD6938"/>
    <w:rsid w:val="00BD6CF3"/>
    <w:rsid w:val="00BE045F"/>
    <w:rsid w:val="00BE0ECA"/>
    <w:rsid w:val="00BE143E"/>
    <w:rsid w:val="00BE1DEF"/>
    <w:rsid w:val="00BE2180"/>
    <w:rsid w:val="00BE21F2"/>
    <w:rsid w:val="00BE221C"/>
    <w:rsid w:val="00BE252B"/>
    <w:rsid w:val="00BE3DCC"/>
    <w:rsid w:val="00BE4275"/>
    <w:rsid w:val="00BE58F1"/>
    <w:rsid w:val="00BE5C3D"/>
    <w:rsid w:val="00BE5E36"/>
    <w:rsid w:val="00BE61A4"/>
    <w:rsid w:val="00BE6728"/>
    <w:rsid w:val="00BE6E10"/>
    <w:rsid w:val="00BE7694"/>
    <w:rsid w:val="00BE7E85"/>
    <w:rsid w:val="00BE7F3C"/>
    <w:rsid w:val="00BF00C9"/>
    <w:rsid w:val="00BF06AE"/>
    <w:rsid w:val="00BF0F95"/>
    <w:rsid w:val="00BF102A"/>
    <w:rsid w:val="00BF2141"/>
    <w:rsid w:val="00BF2433"/>
    <w:rsid w:val="00BF55D3"/>
    <w:rsid w:val="00BF61C9"/>
    <w:rsid w:val="00BF6422"/>
    <w:rsid w:val="00BF6AD1"/>
    <w:rsid w:val="00BF6C94"/>
    <w:rsid w:val="00BF74D0"/>
    <w:rsid w:val="00C00424"/>
    <w:rsid w:val="00C0540E"/>
    <w:rsid w:val="00C060FF"/>
    <w:rsid w:val="00C10687"/>
    <w:rsid w:val="00C1138C"/>
    <w:rsid w:val="00C1179F"/>
    <w:rsid w:val="00C12C14"/>
    <w:rsid w:val="00C13998"/>
    <w:rsid w:val="00C13C17"/>
    <w:rsid w:val="00C14466"/>
    <w:rsid w:val="00C144BB"/>
    <w:rsid w:val="00C15F04"/>
    <w:rsid w:val="00C16487"/>
    <w:rsid w:val="00C16B80"/>
    <w:rsid w:val="00C16D8A"/>
    <w:rsid w:val="00C16F82"/>
    <w:rsid w:val="00C17431"/>
    <w:rsid w:val="00C179B3"/>
    <w:rsid w:val="00C17BF1"/>
    <w:rsid w:val="00C17E3F"/>
    <w:rsid w:val="00C200AA"/>
    <w:rsid w:val="00C20581"/>
    <w:rsid w:val="00C210DC"/>
    <w:rsid w:val="00C21C57"/>
    <w:rsid w:val="00C21E01"/>
    <w:rsid w:val="00C224D9"/>
    <w:rsid w:val="00C22AFC"/>
    <w:rsid w:val="00C22BD3"/>
    <w:rsid w:val="00C22D65"/>
    <w:rsid w:val="00C23737"/>
    <w:rsid w:val="00C237ED"/>
    <w:rsid w:val="00C24632"/>
    <w:rsid w:val="00C25418"/>
    <w:rsid w:val="00C2584F"/>
    <w:rsid w:val="00C25D9C"/>
    <w:rsid w:val="00C26CD7"/>
    <w:rsid w:val="00C2778B"/>
    <w:rsid w:val="00C27B07"/>
    <w:rsid w:val="00C309F2"/>
    <w:rsid w:val="00C31649"/>
    <w:rsid w:val="00C3434C"/>
    <w:rsid w:val="00C349F6"/>
    <w:rsid w:val="00C34C1E"/>
    <w:rsid w:val="00C36EFA"/>
    <w:rsid w:val="00C37648"/>
    <w:rsid w:val="00C40385"/>
    <w:rsid w:val="00C404C1"/>
    <w:rsid w:val="00C40739"/>
    <w:rsid w:val="00C41768"/>
    <w:rsid w:val="00C41ADC"/>
    <w:rsid w:val="00C42969"/>
    <w:rsid w:val="00C43CB9"/>
    <w:rsid w:val="00C44147"/>
    <w:rsid w:val="00C443F6"/>
    <w:rsid w:val="00C44457"/>
    <w:rsid w:val="00C444CC"/>
    <w:rsid w:val="00C4465E"/>
    <w:rsid w:val="00C448E2"/>
    <w:rsid w:val="00C4490C"/>
    <w:rsid w:val="00C467C2"/>
    <w:rsid w:val="00C475AA"/>
    <w:rsid w:val="00C47DA3"/>
    <w:rsid w:val="00C50743"/>
    <w:rsid w:val="00C5340F"/>
    <w:rsid w:val="00C5388F"/>
    <w:rsid w:val="00C53C98"/>
    <w:rsid w:val="00C5418F"/>
    <w:rsid w:val="00C5443B"/>
    <w:rsid w:val="00C54E95"/>
    <w:rsid w:val="00C5598D"/>
    <w:rsid w:val="00C55DB6"/>
    <w:rsid w:val="00C56BCF"/>
    <w:rsid w:val="00C56C10"/>
    <w:rsid w:val="00C56E79"/>
    <w:rsid w:val="00C56FCF"/>
    <w:rsid w:val="00C578FE"/>
    <w:rsid w:val="00C57B6C"/>
    <w:rsid w:val="00C57F9C"/>
    <w:rsid w:val="00C60C11"/>
    <w:rsid w:val="00C61143"/>
    <w:rsid w:val="00C628A6"/>
    <w:rsid w:val="00C64344"/>
    <w:rsid w:val="00C6437C"/>
    <w:rsid w:val="00C64F0A"/>
    <w:rsid w:val="00C65108"/>
    <w:rsid w:val="00C65576"/>
    <w:rsid w:val="00C657A9"/>
    <w:rsid w:val="00C65A17"/>
    <w:rsid w:val="00C65C8A"/>
    <w:rsid w:val="00C65D15"/>
    <w:rsid w:val="00C66165"/>
    <w:rsid w:val="00C663D7"/>
    <w:rsid w:val="00C66535"/>
    <w:rsid w:val="00C6786F"/>
    <w:rsid w:val="00C7033A"/>
    <w:rsid w:val="00C7060A"/>
    <w:rsid w:val="00C70B92"/>
    <w:rsid w:val="00C70EAA"/>
    <w:rsid w:val="00C710B9"/>
    <w:rsid w:val="00C7151A"/>
    <w:rsid w:val="00C717E3"/>
    <w:rsid w:val="00C71F60"/>
    <w:rsid w:val="00C72241"/>
    <w:rsid w:val="00C72B36"/>
    <w:rsid w:val="00C750C8"/>
    <w:rsid w:val="00C7540D"/>
    <w:rsid w:val="00C7560F"/>
    <w:rsid w:val="00C763D9"/>
    <w:rsid w:val="00C80A0E"/>
    <w:rsid w:val="00C80D37"/>
    <w:rsid w:val="00C81483"/>
    <w:rsid w:val="00C8213F"/>
    <w:rsid w:val="00C821D6"/>
    <w:rsid w:val="00C822CB"/>
    <w:rsid w:val="00C82DE6"/>
    <w:rsid w:val="00C83383"/>
    <w:rsid w:val="00C83A1E"/>
    <w:rsid w:val="00C83E46"/>
    <w:rsid w:val="00C8402D"/>
    <w:rsid w:val="00C840B6"/>
    <w:rsid w:val="00C84D68"/>
    <w:rsid w:val="00C84E05"/>
    <w:rsid w:val="00C85154"/>
    <w:rsid w:val="00C85F88"/>
    <w:rsid w:val="00C86118"/>
    <w:rsid w:val="00C87104"/>
    <w:rsid w:val="00C8797A"/>
    <w:rsid w:val="00C87A45"/>
    <w:rsid w:val="00C900B8"/>
    <w:rsid w:val="00C9070A"/>
    <w:rsid w:val="00C90C71"/>
    <w:rsid w:val="00C9140C"/>
    <w:rsid w:val="00C91FD1"/>
    <w:rsid w:val="00C928FA"/>
    <w:rsid w:val="00C92A36"/>
    <w:rsid w:val="00C92B7E"/>
    <w:rsid w:val="00C92D69"/>
    <w:rsid w:val="00C931CF"/>
    <w:rsid w:val="00C9343F"/>
    <w:rsid w:val="00C938CF"/>
    <w:rsid w:val="00C94053"/>
    <w:rsid w:val="00C9455D"/>
    <w:rsid w:val="00C95158"/>
    <w:rsid w:val="00C9624D"/>
    <w:rsid w:val="00C96580"/>
    <w:rsid w:val="00C969DA"/>
    <w:rsid w:val="00C96BED"/>
    <w:rsid w:val="00C96F12"/>
    <w:rsid w:val="00C973A4"/>
    <w:rsid w:val="00C97ECF"/>
    <w:rsid w:val="00CA098E"/>
    <w:rsid w:val="00CA13BB"/>
    <w:rsid w:val="00CA1651"/>
    <w:rsid w:val="00CA1AA9"/>
    <w:rsid w:val="00CA1CB6"/>
    <w:rsid w:val="00CA2BD3"/>
    <w:rsid w:val="00CA2C77"/>
    <w:rsid w:val="00CA3522"/>
    <w:rsid w:val="00CA3EA6"/>
    <w:rsid w:val="00CA4218"/>
    <w:rsid w:val="00CA444F"/>
    <w:rsid w:val="00CA45E7"/>
    <w:rsid w:val="00CA47A8"/>
    <w:rsid w:val="00CA5245"/>
    <w:rsid w:val="00CA5CDA"/>
    <w:rsid w:val="00CA6EAA"/>
    <w:rsid w:val="00CA71F4"/>
    <w:rsid w:val="00CA7530"/>
    <w:rsid w:val="00CA7B09"/>
    <w:rsid w:val="00CB02BA"/>
    <w:rsid w:val="00CB0BAA"/>
    <w:rsid w:val="00CB0F11"/>
    <w:rsid w:val="00CB1081"/>
    <w:rsid w:val="00CB12A5"/>
    <w:rsid w:val="00CB1727"/>
    <w:rsid w:val="00CB193E"/>
    <w:rsid w:val="00CB1CAC"/>
    <w:rsid w:val="00CB2F2A"/>
    <w:rsid w:val="00CB3ED6"/>
    <w:rsid w:val="00CB5B1A"/>
    <w:rsid w:val="00CB6A13"/>
    <w:rsid w:val="00CB6B22"/>
    <w:rsid w:val="00CB6E07"/>
    <w:rsid w:val="00CB727E"/>
    <w:rsid w:val="00CB7F5F"/>
    <w:rsid w:val="00CC08F2"/>
    <w:rsid w:val="00CC0B2E"/>
    <w:rsid w:val="00CC1031"/>
    <w:rsid w:val="00CC14EA"/>
    <w:rsid w:val="00CC1B39"/>
    <w:rsid w:val="00CC2909"/>
    <w:rsid w:val="00CC2A81"/>
    <w:rsid w:val="00CC2F61"/>
    <w:rsid w:val="00CC3124"/>
    <w:rsid w:val="00CC35E1"/>
    <w:rsid w:val="00CC35EA"/>
    <w:rsid w:val="00CC3848"/>
    <w:rsid w:val="00CC3F57"/>
    <w:rsid w:val="00CC4192"/>
    <w:rsid w:val="00CC5BCB"/>
    <w:rsid w:val="00CC6BA5"/>
    <w:rsid w:val="00CC7268"/>
    <w:rsid w:val="00CC75AC"/>
    <w:rsid w:val="00CD092E"/>
    <w:rsid w:val="00CD1A0E"/>
    <w:rsid w:val="00CD2137"/>
    <w:rsid w:val="00CD272B"/>
    <w:rsid w:val="00CD38CA"/>
    <w:rsid w:val="00CD3C32"/>
    <w:rsid w:val="00CD3D48"/>
    <w:rsid w:val="00CD3F77"/>
    <w:rsid w:val="00CD578D"/>
    <w:rsid w:val="00CD5D60"/>
    <w:rsid w:val="00CD6ADC"/>
    <w:rsid w:val="00CD7193"/>
    <w:rsid w:val="00CD77A5"/>
    <w:rsid w:val="00CE03AE"/>
    <w:rsid w:val="00CE0F5A"/>
    <w:rsid w:val="00CE1004"/>
    <w:rsid w:val="00CE1384"/>
    <w:rsid w:val="00CE2049"/>
    <w:rsid w:val="00CE2E4A"/>
    <w:rsid w:val="00CE2E66"/>
    <w:rsid w:val="00CE2FD6"/>
    <w:rsid w:val="00CE38C8"/>
    <w:rsid w:val="00CE3A75"/>
    <w:rsid w:val="00CE3D2A"/>
    <w:rsid w:val="00CE6274"/>
    <w:rsid w:val="00CE627B"/>
    <w:rsid w:val="00CE7069"/>
    <w:rsid w:val="00CE77B6"/>
    <w:rsid w:val="00CF0C94"/>
    <w:rsid w:val="00CF1DA1"/>
    <w:rsid w:val="00CF2732"/>
    <w:rsid w:val="00CF2B8D"/>
    <w:rsid w:val="00CF2C25"/>
    <w:rsid w:val="00CF34DE"/>
    <w:rsid w:val="00CF3E00"/>
    <w:rsid w:val="00CF3EEC"/>
    <w:rsid w:val="00CF456B"/>
    <w:rsid w:val="00CF4948"/>
    <w:rsid w:val="00CF4CC6"/>
    <w:rsid w:val="00CF4D53"/>
    <w:rsid w:val="00CF5A22"/>
    <w:rsid w:val="00CF5FA3"/>
    <w:rsid w:val="00CF6108"/>
    <w:rsid w:val="00CF6420"/>
    <w:rsid w:val="00CF64D4"/>
    <w:rsid w:val="00CF6BB1"/>
    <w:rsid w:val="00D00717"/>
    <w:rsid w:val="00D0262E"/>
    <w:rsid w:val="00D03FCB"/>
    <w:rsid w:val="00D050A6"/>
    <w:rsid w:val="00D05E3D"/>
    <w:rsid w:val="00D06139"/>
    <w:rsid w:val="00D066C3"/>
    <w:rsid w:val="00D102ED"/>
    <w:rsid w:val="00D10B21"/>
    <w:rsid w:val="00D110BD"/>
    <w:rsid w:val="00D11873"/>
    <w:rsid w:val="00D11949"/>
    <w:rsid w:val="00D12C02"/>
    <w:rsid w:val="00D13388"/>
    <w:rsid w:val="00D13675"/>
    <w:rsid w:val="00D141E1"/>
    <w:rsid w:val="00D148D0"/>
    <w:rsid w:val="00D14F2A"/>
    <w:rsid w:val="00D15314"/>
    <w:rsid w:val="00D15580"/>
    <w:rsid w:val="00D17574"/>
    <w:rsid w:val="00D17D6C"/>
    <w:rsid w:val="00D20008"/>
    <w:rsid w:val="00D20484"/>
    <w:rsid w:val="00D205AC"/>
    <w:rsid w:val="00D208ED"/>
    <w:rsid w:val="00D2155B"/>
    <w:rsid w:val="00D22BE9"/>
    <w:rsid w:val="00D23D11"/>
    <w:rsid w:val="00D23E0C"/>
    <w:rsid w:val="00D244B6"/>
    <w:rsid w:val="00D245A5"/>
    <w:rsid w:val="00D24EEE"/>
    <w:rsid w:val="00D26004"/>
    <w:rsid w:val="00D2754D"/>
    <w:rsid w:val="00D27AB5"/>
    <w:rsid w:val="00D27ADB"/>
    <w:rsid w:val="00D27B27"/>
    <w:rsid w:val="00D309C2"/>
    <w:rsid w:val="00D31098"/>
    <w:rsid w:val="00D313E2"/>
    <w:rsid w:val="00D31A40"/>
    <w:rsid w:val="00D31CE6"/>
    <w:rsid w:val="00D31E44"/>
    <w:rsid w:val="00D32494"/>
    <w:rsid w:val="00D33B49"/>
    <w:rsid w:val="00D33BE9"/>
    <w:rsid w:val="00D33F93"/>
    <w:rsid w:val="00D34AD5"/>
    <w:rsid w:val="00D357FF"/>
    <w:rsid w:val="00D36663"/>
    <w:rsid w:val="00D370C5"/>
    <w:rsid w:val="00D37940"/>
    <w:rsid w:val="00D37D9F"/>
    <w:rsid w:val="00D41CA9"/>
    <w:rsid w:val="00D41D8F"/>
    <w:rsid w:val="00D424C7"/>
    <w:rsid w:val="00D42960"/>
    <w:rsid w:val="00D43B2A"/>
    <w:rsid w:val="00D43D83"/>
    <w:rsid w:val="00D44464"/>
    <w:rsid w:val="00D445AD"/>
    <w:rsid w:val="00D45CE8"/>
    <w:rsid w:val="00D45FC7"/>
    <w:rsid w:val="00D46310"/>
    <w:rsid w:val="00D46AF1"/>
    <w:rsid w:val="00D472D9"/>
    <w:rsid w:val="00D47575"/>
    <w:rsid w:val="00D47ADD"/>
    <w:rsid w:val="00D5083D"/>
    <w:rsid w:val="00D51514"/>
    <w:rsid w:val="00D516F6"/>
    <w:rsid w:val="00D51A5A"/>
    <w:rsid w:val="00D5243B"/>
    <w:rsid w:val="00D528E0"/>
    <w:rsid w:val="00D533EC"/>
    <w:rsid w:val="00D544B6"/>
    <w:rsid w:val="00D545F7"/>
    <w:rsid w:val="00D55D36"/>
    <w:rsid w:val="00D56A95"/>
    <w:rsid w:val="00D56D7D"/>
    <w:rsid w:val="00D57154"/>
    <w:rsid w:val="00D57DCD"/>
    <w:rsid w:val="00D609BD"/>
    <w:rsid w:val="00D61ADE"/>
    <w:rsid w:val="00D61E11"/>
    <w:rsid w:val="00D61E15"/>
    <w:rsid w:val="00D629D4"/>
    <w:rsid w:val="00D6373A"/>
    <w:rsid w:val="00D63A45"/>
    <w:rsid w:val="00D63CE4"/>
    <w:rsid w:val="00D65BA9"/>
    <w:rsid w:val="00D66D41"/>
    <w:rsid w:val="00D70F16"/>
    <w:rsid w:val="00D7191B"/>
    <w:rsid w:val="00D722FF"/>
    <w:rsid w:val="00D72486"/>
    <w:rsid w:val="00D72D07"/>
    <w:rsid w:val="00D72F57"/>
    <w:rsid w:val="00D74F6E"/>
    <w:rsid w:val="00D74FAB"/>
    <w:rsid w:val="00D74FEA"/>
    <w:rsid w:val="00D7521A"/>
    <w:rsid w:val="00D75BAC"/>
    <w:rsid w:val="00D7662C"/>
    <w:rsid w:val="00D76A44"/>
    <w:rsid w:val="00D76EE6"/>
    <w:rsid w:val="00D77774"/>
    <w:rsid w:val="00D80921"/>
    <w:rsid w:val="00D815EF"/>
    <w:rsid w:val="00D81F26"/>
    <w:rsid w:val="00D8203D"/>
    <w:rsid w:val="00D82FF0"/>
    <w:rsid w:val="00D83EEA"/>
    <w:rsid w:val="00D8460A"/>
    <w:rsid w:val="00D848D0"/>
    <w:rsid w:val="00D849D7"/>
    <w:rsid w:val="00D84B9A"/>
    <w:rsid w:val="00D84BBD"/>
    <w:rsid w:val="00D85F62"/>
    <w:rsid w:val="00D86231"/>
    <w:rsid w:val="00D8688B"/>
    <w:rsid w:val="00D91577"/>
    <w:rsid w:val="00D9170D"/>
    <w:rsid w:val="00D91923"/>
    <w:rsid w:val="00D92E34"/>
    <w:rsid w:val="00D93753"/>
    <w:rsid w:val="00D9390C"/>
    <w:rsid w:val="00D947C3"/>
    <w:rsid w:val="00D95053"/>
    <w:rsid w:val="00D953BB"/>
    <w:rsid w:val="00D95A35"/>
    <w:rsid w:val="00D9692A"/>
    <w:rsid w:val="00D96FEC"/>
    <w:rsid w:val="00D97195"/>
    <w:rsid w:val="00DA1DCF"/>
    <w:rsid w:val="00DA30B4"/>
    <w:rsid w:val="00DA3167"/>
    <w:rsid w:val="00DA3386"/>
    <w:rsid w:val="00DA47AE"/>
    <w:rsid w:val="00DA4DC3"/>
    <w:rsid w:val="00DA4E4A"/>
    <w:rsid w:val="00DA6AE8"/>
    <w:rsid w:val="00DA7255"/>
    <w:rsid w:val="00DA74CF"/>
    <w:rsid w:val="00DA7667"/>
    <w:rsid w:val="00DA77A5"/>
    <w:rsid w:val="00DB0E74"/>
    <w:rsid w:val="00DB1A71"/>
    <w:rsid w:val="00DB2152"/>
    <w:rsid w:val="00DB2498"/>
    <w:rsid w:val="00DB2933"/>
    <w:rsid w:val="00DB363A"/>
    <w:rsid w:val="00DB3DBF"/>
    <w:rsid w:val="00DB41B2"/>
    <w:rsid w:val="00DB484F"/>
    <w:rsid w:val="00DB5745"/>
    <w:rsid w:val="00DB57D5"/>
    <w:rsid w:val="00DB5EFB"/>
    <w:rsid w:val="00DB621D"/>
    <w:rsid w:val="00DB6309"/>
    <w:rsid w:val="00DB7EFA"/>
    <w:rsid w:val="00DC04F6"/>
    <w:rsid w:val="00DC0690"/>
    <w:rsid w:val="00DC0ECB"/>
    <w:rsid w:val="00DC1D65"/>
    <w:rsid w:val="00DC27ED"/>
    <w:rsid w:val="00DC310B"/>
    <w:rsid w:val="00DC378F"/>
    <w:rsid w:val="00DC3C57"/>
    <w:rsid w:val="00DC4A93"/>
    <w:rsid w:val="00DC4AD9"/>
    <w:rsid w:val="00DC5501"/>
    <w:rsid w:val="00DC6520"/>
    <w:rsid w:val="00DC69DC"/>
    <w:rsid w:val="00DC6BD2"/>
    <w:rsid w:val="00DC6C34"/>
    <w:rsid w:val="00DC7154"/>
    <w:rsid w:val="00DC723F"/>
    <w:rsid w:val="00DC75F5"/>
    <w:rsid w:val="00DC7E8A"/>
    <w:rsid w:val="00DD0F78"/>
    <w:rsid w:val="00DD1F92"/>
    <w:rsid w:val="00DD2553"/>
    <w:rsid w:val="00DD273C"/>
    <w:rsid w:val="00DD3F28"/>
    <w:rsid w:val="00DD4537"/>
    <w:rsid w:val="00DD4DCA"/>
    <w:rsid w:val="00DD4E15"/>
    <w:rsid w:val="00DD5168"/>
    <w:rsid w:val="00DD6A86"/>
    <w:rsid w:val="00DD6CF6"/>
    <w:rsid w:val="00DD7795"/>
    <w:rsid w:val="00DE10E7"/>
    <w:rsid w:val="00DE20EB"/>
    <w:rsid w:val="00DE22DC"/>
    <w:rsid w:val="00DE2304"/>
    <w:rsid w:val="00DE2948"/>
    <w:rsid w:val="00DE308D"/>
    <w:rsid w:val="00DE3138"/>
    <w:rsid w:val="00DE3581"/>
    <w:rsid w:val="00DE37F8"/>
    <w:rsid w:val="00DE43DA"/>
    <w:rsid w:val="00DE4FCB"/>
    <w:rsid w:val="00DE5D07"/>
    <w:rsid w:val="00DE6413"/>
    <w:rsid w:val="00DE677E"/>
    <w:rsid w:val="00DE6AF3"/>
    <w:rsid w:val="00DE72A7"/>
    <w:rsid w:val="00DE7832"/>
    <w:rsid w:val="00DF0DAB"/>
    <w:rsid w:val="00DF18FC"/>
    <w:rsid w:val="00DF1B53"/>
    <w:rsid w:val="00DF3CDB"/>
    <w:rsid w:val="00DF5D2B"/>
    <w:rsid w:val="00DF5DCF"/>
    <w:rsid w:val="00DF6423"/>
    <w:rsid w:val="00DF6FC5"/>
    <w:rsid w:val="00E00306"/>
    <w:rsid w:val="00E00E8E"/>
    <w:rsid w:val="00E03110"/>
    <w:rsid w:val="00E0318B"/>
    <w:rsid w:val="00E03464"/>
    <w:rsid w:val="00E050DA"/>
    <w:rsid w:val="00E05630"/>
    <w:rsid w:val="00E05BBD"/>
    <w:rsid w:val="00E05D05"/>
    <w:rsid w:val="00E05DB1"/>
    <w:rsid w:val="00E06DBB"/>
    <w:rsid w:val="00E07706"/>
    <w:rsid w:val="00E07E95"/>
    <w:rsid w:val="00E10149"/>
    <w:rsid w:val="00E10BC6"/>
    <w:rsid w:val="00E10FF9"/>
    <w:rsid w:val="00E11340"/>
    <w:rsid w:val="00E11891"/>
    <w:rsid w:val="00E122A1"/>
    <w:rsid w:val="00E1278B"/>
    <w:rsid w:val="00E127A9"/>
    <w:rsid w:val="00E12A4E"/>
    <w:rsid w:val="00E12CDC"/>
    <w:rsid w:val="00E12E3E"/>
    <w:rsid w:val="00E14C8C"/>
    <w:rsid w:val="00E14CAB"/>
    <w:rsid w:val="00E16372"/>
    <w:rsid w:val="00E17E5A"/>
    <w:rsid w:val="00E20C9B"/>
    <w:rsid w:val="00E20D2F"/>
    <w:rsid w:val="00E20E4D"/>
    <w:rsid w:val="00E20ED6"/>
    <w:rsid w:val="00E20EE7"/>
    <w:rsid w:val="00E21358"/>
    <w:rsid w:val="00E2190D"/>
    <w:rsid w:val="00E21D27"/>
    <w:rsid w:val="00E2249B"/>
    <w:rsid w:val="00E22A0D"/>
    <w:rsid w:val="00E22C88"/>
    <w:rsid w:val="00E23692"/>
    <w:rsid w:val="00E244F6"/>
    <w:rsid w:val="00E24A18"/>
    <w:rsid w:val="00E24E56"/>
    <w:rsid w:val="00E2525B"/>
    <w:rsid w:val="00E25FE0"/>
    <w:rsid w:val="00E2771E"/>
    <w:rsid w:val="00E311EF"/>
    <w:rsid w:val="00E31624"/>
    <w:rsid w:val="00E31D3C"/>
    <w:rsid w:val="00E32180"/>
    <w:rsid w:val="00E33179"/>
    <w:rsid w:val="00E33D43"/>
    <w:rsid w:val="00E34059"/>
    <w:rsid w:val="00E34948"/>
    <w:rsid w:val="00E34B76"/>
    <w:rsid w:val="00E3549D"/>
    <w:rsid w:val="00E36409"/>
    <w:rsid w:val="00E365B1"/>
    <w:rsid w:val="00E369EC"/>
    <w:rsid w:val="00E37569"/>
    <w:rsid w:val="00E375CB"/>
    <w:rsid w:val="00E37ACB"/>
    <w:rsid w:val="00E401B2"/>
    <w:rsid w:val="00E40293"/>
    <w:rsid w:val="00E4048F"/>
    <w:rsid w:val="00E40F79"/>
    <w:rsid w:val="00E41E30"/>
    <w:rsid w:val="00E42F73"/>
    <w:rsid w:val="00E43BC1"/>
    <w:rsid w:val="00E43D70"/>
    <w:rsid w:val="00E45469"/>
    <w:rsid w:val="00E45EF4"/>
    <w:rsid w:val="00E46445"/>
    <w:rsid w:val="00E4647C"/>
    <w:rsid w:val="00E466F3"/>
    <w:rsid w:val="00E46B1E"/>
    <w:rsid w:val="00E46DF4"/>
    <w:rsid w:val="00E47B2C"/>
    <w:rsid w:val="00E47EA0"/>
    <w:rsid w:val="00E51560"/>
    <w:rsid w:val="00E51979"/>
    <w:rsid w:val="00E51DC0"/>
    <w:rsid w:val="00E52235"/>
    <w:rsid w:val="00E53D91"/>
    <w:rsid w:val="00E53FC8"/>
    <w:rsid w:val="00E540C1"/>
    <w:rsid w:val="00E54347"/>
    <w:rsid w:val="00E55424"/>
    <w:rsid w:val="00E554DF"/>
    <w:rsid w:val="00E55915"/>
    <w:rsid w:val="00E55BB5"/>
    <w:rsid w:val="00E563EF"/>
    <w:rsid w:val="00E60F3F"/>
    <w:rsid w:val="00E6138C"/>
    <w:rsid w:val="00E63679"/>
    <w:rsid w:val="00E64DCB"/>
    <w:rsid w:val="00E6592F"/>
    <w:rsid w:val="00E65E79"/>
    <w:rsid w:val="00E66161"/>
    <w:rsid w:val="00E66BA2"/>
    <w:rsid w:val="00E66F49"/>
    <w:rsid w:val="00E67416"/>
    <w:rsid w:val="00E706F2"/>
    <w:rsid w:val="00E713F6"/>
    <w:rsid w:val="00E718B6"/>
    <w:rsid w:val="00E71AE7"/>
    <w:rsid w:val="00E723BA"/>
    <w:rsid w:val="00E729C8"/>
    <w:rsid w:val="00E73581"/>
    <w:rsid w:val="00E73750"/>
    <w:rsid w:val="00E746D0"/>
    <w:rsid w:val="00E759C6"/>
    <w:rsid w:val="00E771E2"/>
    <w:rsid w:val="00E77465"/>
    <w:rsid w:val="00E805F9"/>
    <w:rsid w:val="00E8060D"/>
    <w:rsid w:val="00E80897"/>
    <w:rsid w:val="00E8199E"/>
    <w:rsid w:val="00E82C3A"/>
    <w:rsid w:val="00E833F7"/>
    <w:rsid w:val="00E83B4D"/>
    <w:rsid w:val="00E83BDF"/>
    <w:rsid w:val="00E83D4B"/>
    <w:rsid w:val="00E859CD"/>
    <w:rsid w:val="00E8663F"/>
    <w:rsid w:val="00E87A1D"/>
    <w:rsid w:val="00E87B72"/>
    <w:rsid w:val="00E9094A"/>
    <w:rsid w:val="00E91D35"/>
    <w:rsid w:val="00E91E21"/>
    <w:rsid w:val="00E9229A"/>
    <w:rsid w:val="00E926A5"/>
    <w:rsid w:val="00E930D6"/>
    <w:rsid w:val="00E94875"/>
    <w:rsid w:val="00E94FB0"/>
    <w:rsid w:val="00E95052"/>
    <w:rsid w:val="00E96009"/>
    <w:rsid w:val="00E961A1"/>
    <w:rsid w:val="00E96A9D"/>
    <w:rsid w:val="00E979C9"/>
    <w:rsid w:val="00E97AED"/>
    <w:rsid w:val="00EA048E"/>
    <w:rsid w:val="00EA05CC"/>
    <w:rsid w:val="00EA078D"/>
    <w:rsid w:val="00EA0A57"/>
    <w:rsid w:val="00EA17C3"/>
    <w:rsid w:val="00EA1D92"/>
    <w:rsid w:val="00EA2CAA"/>
    <w:rsid w:val="00EA373A"/>
    <w:rsid w:val="00EA3864"/>
    <w:rsid w:val="00EA3DB3"/>
    <w:rsid w:val="00EA4B57"/>
    <w:rsid w:val="00EA50C1"/>
    <w:rsid w:val="00EA52E9"/>
    <w:rsid w:val="00EA6802"/>
    <w:rsid w:val="00EA7328"/>
    <w:rsid w:val="00EA7F1C"/>
    <w:rsid w:val="00EB11F4"/>
    <w:rsid w:val="00EB15B6"/>
    <w:rsid w:val="00EB2A63"/>
    <w:rsid w:val="00EB3D06"/>
    <w:rsid w:val="00EB413A"/>
    <w:rsid w:val="00EB4305"/>
    <w:rsid w:val="00EB4536"/>
    <w:rsid w:val="00EB4916"/>
    <w:rsid w:val="00EB505C"/>
    <w:rsid w:val="00EB565A"/>
    <w:rsid w:val="00EB56D5"/>
    <w:rsid w:val="00EB6CFA"/>
    <w:rsid w:val="00EB6D0A"/>
    <w:rsid w:val="00EB72E8"/>
    <w:rsid w:val="00EB7FE4"/>
    <w:rsid w:val="00EC0073"/>
    <w:rsid w:val="00EC00C9"/>
    <w:rsid w:val="00EC0DD9"/>
    <w:rsid w:val="00EC1862"/>
    <w:rsid w:val="00EC2036"/>
    <w:rsid w:val="00EC21CD"/>
    <w:rsid w:val="00EC2649"/>
    <w:rsid w:val="00EC2C5E"/>
    <w:rsid w:val="00EC2F2C"/>
    <w:rsid w:val="00EC31ED"/>
    <w:rsid w:val="00EC321D"/>
    <w:rsid w:val="00EC3D63"/>
    <w:rsid w:val="00EC56A0"/>
    <w:rsid w:val="00EC5836"/>
    <w:rsid w:val="00EC685A"/>
    <w:rsid w:val="00EC688C"/>
    <w:rsid w:val="00EC6C2A"/>
    <w:rsid w:val="00ED03FC"/>
    <w:rsid w:val="00ED04A8"/>
    <w:rsid w:val="00ED30C0"/>
    <w:rsid w:val="00ED318A"/>
    <w:rsid w:val="00ED370D"/>
    <w:rsid w:val="00ED57EA"/>
    <w:rsid w:val="00ED5BD4"/>
    <w:rsid w:val="00ED5EFA"/>
    <w:rsid w:val="00ED67F1"/>
    <w:rsid w:val="00ED6B50"/>
    <w:rsid w:val="00EE07D3"/>
    <w:rsid w:val="00EE0844"/>
    <w:rsid w:val="00EE0D5E"/>
    <w:rsid w:val="00EE1996"/>
    <w:rsid w:val="00EE1A9C"/>
    <w:rsid w:val="00EE1C01"/>
    <w:rsid w:val="00EE22AF"/>
    <w:rsid w:val="00EE2C3E"/>
    <w:rsid w:val="00EE303B"/>
    <w:rsid w:val="00EE4EA9"/>
    <w:rsid w:val="00EE6113"/>
    <w:rsid w:val="00EE65A2"/>
    <w:rsid w:val="00EE6686"/>
    <w:rsid w:val="00EF0171"/>
    <w:rsid w:val="00EF023E"/>
    <w:rsid w:val="00EF071D"/>
    <w:rsid w:val="00EF1007"/>
    <w:rsid w:val="00EF1490"/>
    <w:rsid w:val="00EF1B25"/>
    <w:rsid w:val="00EF1DA0"/>
    <w:rsid w:val="00EF1E7E"/>
    <w:rsid w:val="00EF2930"/>
    <w:rsid w:val="00EF3B9F"/>
    <w:rsid w:val="00EF4433"/>
    <w:rsid w:val="00EF4747"/>
    <w:rsid w:val="00EF4BF8"/>
    <w:rsid w:val="00EF4FD1"/>
    <w:rsid w:val="00EF63BA"/>
    <w:rsid w:val="00EF7652"/>
    <w:rsid w:val="00F01A40"/>
    <w:rsid w:val="00F02253"/>
    <w:rsid w:val="00F0260E"/>
    <w:rsid w:val="00F02B43"/>
    <w:rsid w:val="00F02E8C"/>
    <w:rsid w:val="00F03010"/>
    <w:rsid w:val="00F03C2E"/>
    <w:rsid w:val="00F043A5"/>
    <w:rsid w:val="00F04A66"/>
    <w:rsid w:val="00F04B4B"/>
    <w:rsid w:val="00F04BF0"/>
    <w:rsid w:val="00F0516C"/>
    <w:rsid w:val="00F058BC"/>
    <w:rsid w:val="00F05EFE"/>
    <w:rsid w:val="00F06710"/>
    <w:rsid w:val="00F067A2"/>
    <w:rsid w:val="00F06CF1"/>
    <w:rsid w:val="00F07315"/>
    <w:rsid w:val="00F07B9E"/>
    <w:rsid w:val="00F10893"/>
    <w:rsid w:val="00F10E8E"/>
    <w:rsid w:val="00F1116F"/>
    <w:rsid w:val="00F1263A"/>
    <w:rsid w:val="00F135DC"/>
    <w:rsid w:val="00F13D1C"/>
    <w:rsid w:val="00F13D92"/>
    <w:rsid w:val="00F13D9A"/>
    <w:rsid w:val="00F14262"/>
    <w:rsid w:val="00F146A0"/>
    <w:rsid w:val="00F14AE9"/>
    <w:rsid w:val="00F15241"/>
    <w:rsid w:val="00F15B77"/>
    <w:rsid w:val="00F15F60"/>
    <w:rsid w:val="00F16E24"/>
    <w:rsid w:val="00F175B2"/>
    <w:rsid w:val="00F210FC"/>
    <w:rsid w:val="00F21307"/>
    <w:rsid w:val="00F2288A"/>
    <w:rsid w:val="00F22951"/>
    <w:rsid w:val="00F237C1"/>
    <w:rsid w:val="00F23E08"/>
    <w:rsid w:val="00F243B3"/>
    <w:rsid w:val="00F24837"/>
    <w:rsid w:val="00F25713"/>
    <w:rsid w:val="00F2575F"/>
    <w:rsid w:val="00F25B01"/>
    <w:rsid w:val="00F25CEA"/>
    <w:rsid w:val="00F26177"/>
    <w:rsid w:val="00F2658E"/>
    <w:rsid w:val="00F26C60"/>
    <w:rsid w:val="00F27565"/>
    <w:rsid w:val="00F30AD9"/>
    <w:rsid w:val="00F30C63"/>
    <w:rsid w:val="00F310D4"/>
    <w:rsid w:val="00F31D5A"/>
    <w:rsid w:val="00F32035"/>
    <w:rsid w:val="00F329D0"/>
    <w:rsid w:val="00F33975"/>
    <w:rsid w:val="00F33DE9"/>
    <w:rsid w:val="00F34AC8"/>
    <w:rsid w:val="00F34EA5"/>
    <w:rsid w:val="00F356D0"/>
    <w:rsid w:val="00F35E6D"/>
    <w:rsid w:val="00F3619A"/>
    <w:rsid w:val="00F364CE"/>
    <w:rsid w:val="00F36653"/>
    <w:rsid w:val="00F36999"/>
    <w:rsid w:val="00F37BC8"/>
    <w:rsid w:val="00F37D44"/>
    <w:rsid w:val="00F37EFC"/>
    <w:rsid w:val="00F40AAA"/>
    <w:rsid w:val="00F40BA7"/>
    <w:rsid w:val="00F40F9D"/>
    <w:rsid w:val="00F41794"/>
    <w:rsid w:val="00F41ACD"/>
    <w:rsid w:val="00F42209"/>
    <w:rsid w:val="00F42C7C"/>
    <w:rsid w:val="00F4304B"/>
    <w:rsid w:val="00F441A9"/>
    <w:rsid w:val="00F44543"/>
    <w:rsid w:val="00F46AC3"/>
    <w:rsid w:val="00F46CB6"/>
    <w:rsid w:val="00F4756D"/>
    <w:rsid w:val="00F47AA9"/>
    <w:rsid w:val="00F47DE8"/>
    <w:rsid w:val="00F47E31"/>
    <w:rsid w:val="00F505D1"/>
    <w:rsid w:val="00F509AA"/>
    <w:rsid w:val="00F50D99"/>
    <w:rsid w:val="00F523D6"/>
    <w:rsid w:val="00F5266C"/>
    <w:rsid w:val="00F52A15"/>
    <w:rsid w:val="00F52C0B"/>
    <w:rsid w:val="00F52D8D"/>
    <w:rsid w:val="00F53CFF"/>
    <w:rsid w:val="00F542C1"/>
    <w:rsid w:val="00F54E12"/>
    <w:rsid w:val="00F55976"/>
    <w:rsid w:val="00F55E73"/>
    <w:rsid w:val="00F55EDA"/>
    <w:rsid w:val="00F56329"/>
    <w:rsid w:val="00F56943"/>
    <w:rsid w:val="00F56C80"/>
    <w:rsid w:val="00F57867"/>
    <w:rsid w:val="00F60092"/>
    <w:rsid w:val="00F60A9A"/>
    <w:rsid w:val="00F61C18"/>
    <w:rsid w:val="00F61FEB"/>
    <w:rsid w:val="00F6243A"/>
    <w:rsid w:val="00F62510"/>
    <w:rsid w:val="00F62E08"/>
    <w:rsid w:val="00F63373"/>
    <w:rsid w:val="00F63C32"/>
    <w:rsid w:val="00F63F3E"/>
    <w:rsid w:val="00F64170"/>
    <w:rsid w:val="00F6595A"/>
    <w:rsid w:val="00F65D46"/>
    <w:rsid w:val="00F65F4B"/>
    <w:rsid w:val="00F66BDE"/>
    <w:rsid w:val="00F6764B"/>
    <w:rsid w:val="00F67A69"/>
    <w:rsid w:val="00F7015B"/>
    <w:rsid w:val="00F70241"/>
    <w:rsid w:val="00F70BFF"/>
    <w:rsid w:val="00F70C4B"/>
    <w:rsid w:val="00F70C9D"/>
    <w:rsid w:val="00F721A2"/>
    <w:rsid w:val="00F72A8B"/>
    <w:rsid w:val="00F72ABA"/>
    <w:rsid w:val="00F730A9"/>
    <w:rsid w:val="00F73442"/>
    <w:rsid w:val="00F7365E"/>
    <w:rsid w:val="00F738D4"/>
    <w:rsid w:val="00F742B4"/>
    <w:rsid w:val="00F74312"/>
    <w:rsid w:val="00F749C0"/>
    <w:rsid w:val="00F74CD9"/>
    <w:rsid w:val="00F75D2F"/>
    <w:rsid w:val="00F76D24"/>
    <w:rsid w:val="00F7746A"/>
    <w:rsid w:val="00F77A4D"/>
    <w:rsid w:val="00F80A50"/>
    <w:rsid w:val="00F80A7B"/>
    <w:rsid w:val="00F80E5D"/>
    <w:rsid w:val="00F80FB9"/>
    <w:rsid w:val="00F8143F"/>
    <w:rsid w:val="00F81E78"/>
    <w:rsid w:val="00F82756"/>
    <w:rsid w:val="00F830F0"/>
    <w:rsid w:val="00F83623"/>
    <w:rsid w:val="00F8421F"/>
    <w:rsid w:val="00F844B9"/>
    <w:rsid w:val="00F84699"/>
    <w:rsid w:val="00F84A7E"/>
    <w:rsid w:val="00F850AF"/>
    <w:rsid w:val="00F851CE"/>
    <w:rsid w:val="00F85398"/>
    <w:rsid w:val="00F8587B"/>
    <w:rsid w:val="00F86D8F"/>
    <w:rsid w:val="00F87012"/>
    <w:rsid w:val="00F900BD"/>
    <w:rsid w:val="00F90DF7"/>
    <w:rsid w:val="00F90F09"/>
    <w:rsid w:val="00F91219"/>
    <w:rsid w:val="00F9214C"/>
    <w:rsid w:val="00F92444"/>
    <w:rsid w:val="00F9393E"/>
    <w:rsid w:val="00F9527A"/>
    <w:rsid w:val="00F96FD0"/>
    <w:rsid w:val="00F97A78"/>
    <w:rsid w:val="00F97FBD"/>
    <w:rsid w:val="00FA0083"/>
    <w:rsid w:val="00FA05B7"/>
    <w:rsid w:val="00FA0B20"/>
    <w:rsid w:val="00FA0D42"/>
    <w:rsid w:val="00FA24E7"/>
    <w:rsid w:val="00FA3064"/>
    <w:rsid w:val="00FA3D03"/>
    <w:rsid w:val="00FA3F9F"/>
    <w:rsid w:val="00FA48EC"/>
    <w:rsid w:val="00FA4C06"/>
    <w:rsid w:val="00FA4C2E"/>
    <w:rsid w:val="00FA50DE"/>
    <w:rsid w:val="00FA5EE6"/>
    <w:rsid w:val="00FA7956"/>
    <w:rsid w:val="00FB02CD"/>
    <w:rsid w:val="00FB0EAF"/>
    <w:rsid w:val="00FB0ECB"/>
    <w:rsid w:val="00FB101D"/>
    <w:rsid w:val="00FB1155"/>
    <w:rsid w:val="00FB2836"/>
    <w:rsid w:val="00FB2FCB"/>
    <w:rsid w:val="00FB34CE"/>
    <w:rsid w:val="00FB434F"/>
    <w:rsid w:val="00FB472E"/>
    <w:rsid w:val="00FB6269"/>
    <w:rsid w:val="00FB6C55"/>
    <w:rsid w:val="00FB7C55"/>
    <w:rsid w:val="00FB7CCD"/>
    <w:rsid w:val="00FC0687"/>
    <w:rsid w:val="00FC08CC"/>
    <w:rsid w:val="00FC0C02"/>
    <w:rsid w:val="00FC1074"/>
    <w:rsid w:val="00FC1118"/>
    <w:rsid w:val="00FC1884"/>
    <w:rsid w:val="00FC3469"/>
    <w:rsid w:val="00FC371D"/>
    <w:rsid w:val="00FC5F0B"/>
    <w:rsid w:val="00FC6E83"/>
    <w:rsid w:val="00FC75E0"/>
    <w:rsid w:val="00FC7F1E"/>
    <w:rsid w:val="00FC7FFA"/>
    <w:rsid w:val="00FD0744"/>
    <w:rsid w:val="00FD1136"/>
    <w:rsid w:val="00FD1392"/>
    <w:rsid w:val="00FD2100"/>
    <w:rsid w:val="00FD24A5"/>
    <w:rsid w:val="00FD2C2A"/>
    <w:rsid w:val="00FD38B4"/>
    <w:rsid w:val="00FD3F6E"/>
    <w:rsid w:val="00FD436C"/>
    <w:rsid w:val="00FD446D"/>
    <w:rsid w:val="00FD453F"/>
    <w:rsid w:val="00FD46C3"/>
    <w:rsid w:val="00FD4F2C"/>
    <w:rsid w:val="00FD507D"/>
    <w:rsid w:val="00FD571B"/>
    <w:rsid w:val="00FD5C6D"/>
    <w:rsid w:val="00FD6394"/>
    <w:rsid w:val="00FD6A22"/>
    <w:rsid w:val="00FD6D41"/>
    <w:rsid w:val="00FD782D"/>
    <w:rsid w:val="00FE0E6C"/>
    <w:rsid w:val="00FE1CDC"/>
    <w:rsid w:val="00FE2033"/>
    <w:rsid w:val="00FE313F"/>
    <w:rsid w:val="00FE3BB9"/>
    <w:rsid w:val="00FE661A"/>
    <w:rsid w:val="00FE70C3"/>
    <w:rsid w:val="00FE7A98"/>
    <w:rsid w:val="00FF0A80"/>
    <w:rsid w:val="00FF0BE1"/>
    <w:rsid w:val="00FF14FA"/>
    <w:rsid w:val="00FF161C"/>
    <w:rsid w:val="00FF1B56"/>
    <w:rsid w:val="00FF22B3"/>
    <w:rsid w:val="00FF27C2"/>
    <w:rsid w:val="00FF2AD9"/>
    <w:rsid w:val="00FF329E"/>
    <w:rsid w:val="00FF359F"/>
    <w:rsid w:val="00FF3DA4"/>
    <w:rsid w:val="00FF3DCF"/>
    <w:rsid w:val="00FF450B"/>
    <w:rsid w:val="00FF492C"/>
    <w:rsid w:val="00FF49D4"/>
    <w:rsid w:val="00FF4A21"/>
    <w:rsid w:val="00FF55F6"/>
    <w:rsid w:val="00FF5AA3"/>
    <w:rsid w:val="00FF5AD8"/>
    <w:rsid w:val="00FF748E"/>
    <w:rsid w:val="00FF7A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0F7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1C1"/>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1,Bullets Points,Styl moj"/>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3"/>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2"/>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BodyText1">
    <w:name w:val="Body Text1"/>
    <w:basedOn w:val="Normal"/>
    <w:link w:val="BodytextChar0"/>
    <w:qFormat/>
    <w:rsid w:val="008B57B6"/>
    <w:pPr>
      <w:spacing w:after="120" w:line="300" w:lineRule="auto"/>
    </w:pPr>
    <w:rPr>
      <w:rFonts w:ascii="Arial" w:hAnsi="Arial" w:cs="Times New Roman"/>
      <w:sz w:val="22"/>
      <w:lang w:eastAsia="en-US"/>
    </w:rPr>
  </w:style>
  <w:style w:type="character" w:customStyle="1" w:styleId="BodytextChar0">
    <w:name w:val="Body text Char"/>
    <w:link w:val="BodyText1"/>
    <w:locked/>
    <w:rsid w:val="008B57B6"/>
    <w:rPr>
      <w:rFonts w:ascii="Arial" w:hAnsi="Arial"/>
      <w:sz w:val="22"/>
      <w:szCs w:val="24"/>
      <w:lang w:eastAsia="en-US"/>
    </w:rPr>
  </w:style>
  <w:style w:type="paragraph" w:customStyle="1" w:styleId="V50Instructions">
    <w:name w:val="V5.0 Instructions"/>
    <w:basedOn w:val="Normal"/>
    <w:link w:val="V50InstructionsChar"/>
    <w:qFormat/>
    <w:rsid w:val="00F8587B"/>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F8587B"/>
    <w:rPr>
      <w:rFonts w:asciiTheme="minorHAnsi" w:eastAsiaTheme="minorHAnsi" w:hAnsiTheme="minorHAnsi" w:cstheme="minorBidi"/>
      <w:color w:val="4BACC6" w:themeColor="accent5"/>
      <w:sz w:val="24"/>
      <w:szCs w:val="22"/>
      <w:lang w:eastAsia="en-US"/>
    </w:rPr>
  </w:style>
  <w:style w:type="paragraph" w:customStyle="1" w:styleId="Default">
    <w:name w:val="Default"/>
    <w:rsid w:val="00F8587B"/>
    <w:pPr>
      <w:autoSpaceDE w:val="0"/>
      <w:autoSpaceDN w:val="0"/>
      <w:adjustRightInd w:val="0"/>
    </w:pPr>
    <w:rPr>
      <w:rFonts w:ascii="Calibri" w:eastAsiaTheme="minorHAnsi" w:hAnsi="Calibri" w:cs="Calibri"/>
      <w:color w:val="000000"/>
      <w:sz w:val="24"/>
      <w:szCs w:val="24"/>
      <w:lang w:val="en-US" w:eastAsia="en-US"/>
    </w:rPr>
  </w:style>
  <w:style w:type="paragraph" w:customStyle="1" w:styleId="Tablebullet">
    <w:name w:val="Table bullet"/>
    <w:uiPriority w:val="4"/>
    <w:rsid w:val="0059114F"/>
    <w:pPr>
      <w:numPr>
        <w:numId w:val="7"/>
      </w:numPr>
      <w:spacing w:before="40" w:after="60"/>
      <w:ind w:left="426" w:hanging="357"/>
    </w:pPr>
    <w:rPr>
      <w:rFonts w:ascii="Calibri" w:hAnsi="Calibri" w:cs="Calibri"/>
      <w:bCs/>
      <w:color w:val="000000"/>
      <w:sz w:val="16"/>
      <w:szCs w:val="26"/>
      <w:lang w:eastAsia="en-US"/>
    </w:rPr>
  </w:style>
  <w:style w:type="paragraph" w:customStyle="1" w:styleId="StyleTablebullet9pt">
    <w:name w:val="Style Table bullet + 9 pt"/>
    <w:basedOn w:val="Tablebullet"/>
    <w:rsid w:val="0059114F"/>
    <w:pPr>
      <w:ind w:left="473" w:hanging="360"/>
    </w:pPr>
    <w:rPr>
      <w:bCs w:val="0"/>
      <w:sz w:val="18"/>
    </w:rPr>
  </w:style>
  <w:style w:type="paragraph" w:styleId="FootnoteText">
    <w:name w:val="footnote text"/>
    <w:basedOn w:val="Normal"/>
    <w:link w:val="FootnoteTextChar"/>
    <w:semiHidden/>
    <w:unhideWhenUsed/>
    <w:rsid w:val="000364E7"/>
    <w:rPr>
      <w:sz w:val="20"/>
      <w:szCs w:val="20"/>
    </w:rPr>
  </w:style>
  <w:style w:type="character" w:customStyle="1" w:styleId="FootnoteTextChar">
    <w:name w:val="Footnote Text Char"/>
    <w:basedOn w:val="DefaultParagraphFont"/>
    <w:link w:val="FootnoteText"/>
    <w:semiHidden/>
    <w:rsid w:val="000364E7"/>
    <w:rPr>
      <w:rFonts w:ascii="Calibri" w:hAnsi="Calibri" w:cs="Arial"/>
    </w:rPr>
  </w:style>
  <w:style w:type="character" w:styleId="FootnoteReference">
    <w:name w:val="footnote reference"/>
    <w:basedOn w:val="DefaultParagraphFont"/>
    <w:semiHidden/>
    <w:unhideWhenUsed/>
    <w:rsid w:val="000364E7"/>
    <w:rPr>
      <w:vertAlign w:val="superscript"/>
    </w:rPr>
  </w:style>
  <w:style w:type="paragraph" w:customStyle="1" w:styleId="TableHeading0">
    <w:name w:val="Table Heading"/>
    <w:basedOn w:val="Normal"/>
    <w:qFormat/>
    <w:rsid w:val="0088488C"/>
    <w:pPr>
      <w:keepNext/>
      <w:spacing w:after="60"/>
      <w:jc w:val="left"/>
    </w:pPr>
    <w:rPr>
      <w:rFonts w:ascii="Arial Narrow" w:eastAsiaTheme="minorHAnsi" w:hAnsi="Arial Narrow" w:cstheme="minorBidi"/>
      <w:b/>
      <w:sz w:val="20"/>
      <w:szCs w:val="22"/>
      <w:lang w:eastAsia="en-US"/>
    </w:rPr>
  </w:style>
  <w:style w:type="table" w:customStyle="1" w:styleId="ASDTable1">
    <w:name w:val="ASD Table1"/>
    <w:basedOn w:val="TableNormal"/>
    <w:next w:val="TableGrid"/>
    <w:rsid w:val="002213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rsid w:val="00C665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rsid w:val="00615A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4">
    <w:name w:val="ASD Table4"/>
    <w:basedOn w:val="TableNormal"/>
    <w:next w:val="TableGrid"/>
    <w:rsid w:val="00A407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Australia">
    <w:name w:val="MSD Australia"/>
    <w:basedOn w:val="TableGrid"/>
    <w:uiPriority w:val="99"/>
    <w:rsid w:val="0065298A"/>
    <w:pPr>
      <w:spacing w:before="57"/>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ASDTable5">
    <w:name w:val="ASD Table5"/>
    <w:basedOn w:val="TableNormal"/>
    <w:next w:val="TableGrid"/>
    <w:rsid w:val="00C41A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6">
    <w:name w:val="ASD Table6"/>
    <w:basedOn w:val="TableNormal"/>
    <w:next w:val="TableGrid"/>
    <w:rsid w:val="00BD39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7">
    <w:name w:val="ASD Table7"/>
    <w:basedOn w:val="TableNormal"/>
    <w:next w:val="TableGrid"/>
    <w:rsid w:val="00034E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8">
    <w:name w:val="ASD Table8"/>
    <w:basedOn w:val="TableNormal"/>
    <w:next w:val="TableGrid"/>
    <w:rsid w:val="005425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9">
    <w:name w:val="ASD Table9"/>
    <w:basedOn w:val="TableNormal"/>
    <w:next w:val="TableGrid"/>
    <w:rsid w:val="00A64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0">
    <w:name w:val="ASD Table10"/>
    <w:basedOn w:val="TableNormal"/>
    <w:next w:val="TableGrid"/>
    <w:rsid w:val="002872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1">
    <w:name w:val="ASD Table11"/>
    <w:basedOn w:val="TableNormal"/>
    <w:next w:val="TableGrid"/>
    <w:rsid w:val="008346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2">
    <w:name w:val="ASD Table12"/>
    <w:basedOn w:val="TableNormal"/>
    <w:next w:val="TableGrid"/>
    <w:rsid w:val="00770A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next w:val="Normal"/>
    <w:qFormat/>
    <w:rsid w:val="0020095C"/>
    <w:pPr>
      <w:keepNext/>
      <w:keepLines/>
      <w:spacing w:before="60" w:after="240"/>
      <w:contextualSpacing/>
      <w:jc w:val="left"/>
    </w:pPr>
    <w:rPr>
      <w:rFonts w:ascii="Arial" w:hAnsi="Arial" w:cs="Times New Roman"/>
      <w:sz w:val="16"/>
      <w:szCs w:val="16"/>
    </w:rPr>
  </w:style>
  <w:style w:type="table" w:customStyle="1" w:styleId="ASDTable13">
    <w:name w:val="ASD Table13"/>
    <w:basedOn w:val="TableNormal"/>
    <w:next w:val="TableGrid"/>
    <w:rsid w:val="009479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4">
    <w:name w:val="ASD Table14"/>
    <w:basedOn w:val="TableNormal"/>
    <w:next w:val="TableGrid"/>
    <w:rsid w:val="00DC6C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5">
    <w:name w:val="ASD Table15"/>
    <w:basedOn w:val="TableNormal"/>
    <w:next w:val="TableGrid"/>
    <w:rsid w:val="00F52D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6">
    <w:name w:val="ASD Table16"/>
    <w:basedOn w:val="TableNormal"/>
    <w:next w:val="TableGrid"/>
    <w:rsid w:val="006E0F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7">
    <w:name w:val="ASD Table17"/>
    <w:basedOn w:val="TableNormal"/>
    <w:next w:val="TableGrid"/>
    <w:rsid w:val="00FE20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8">
    <w:name w:val="ASD Table18"/>
    <w:basedOn w:val="TableNormal"/>
    <w:next w:val="TableGrid"/>
    <w:rsid w:val="00C76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9">
    <w:name w:val="ASD Table19"/>
    <w:basedOn w:val="TableNormal"/>
    <w:next w:val="TableGrid"/>
    <w:rsid w:val="001646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0">
    <w:name w:val="ASD Table20"/>
    <w:basedOn w:val="TableNormal"/>
    <w:next w:val="TableGrid"/>
    <w:rsid w:val="00DD2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1">
    <w:name w:val="ASD Table21"/>
    <w:basedOn w:val="TableNormal"/>
    <w:next w:val="TableGrid"/>
    <w:rsid w:val="00212F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2">
    <w:name w:val="ASD Table22"/>
    <w:basedOn w:val="TableNormal"/>
    <w:next w:val="TableGrid"/>
    <w:rsid w:val="00DA4E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3">
    <w:name w:val="ASD Table23"/>
    <w:basedOn w:val="TableNormal"/>
    <w:next w:val="TableGrid"/>
    <w:rsid w:val="000E1A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4">
    <w:name w:val="ASD Table24"/>
    <w:basedOn w:val="TableNormal"/>
    <w:next w:val="TableGrid"/>
    <w:rsid w:val="007645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5">
    <w:name w:val="ASD Table25"/>
    <w:basedOn w:val="TableNormal"/>
    <w:next w:val="TableGrid"/>
    <w:rsid w:val="00B92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6">
    <w:name w:val="ASD Table26"/>
    <w:basedOn w:val="TableNormal"/>
    <w:next w:val="TableGrid"/>
    <w:rsid w:val="00381E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7">
    <w:name w:val="ASD Table27"/>
    <w:basedOn w:val="TableNormal"/>
    <w:next w:val="TableGrid"/>
    <w:rsid w:val="001B0A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A6802"/>
    <w:rPr>
      <w:color w:val="605E5C"/>
      <w:shd w:val="clear" w:color="auto" w:fill="E1DFDD"/>
    </w:rPr>
  </w:style>
  <w:style w:type="paragraph" w:styleId="EndnoteText">
    <w:name w:val="endnote text"/>
    <w:basedOn w:val="Normal"/>
    <w:link w:val="EndnoteTextChar"/>
    <w:semiHidden/>
    <w:unhideWhenUsed/>
    <w:rsid w:val="00D13388"/>
    <w:rPr>
      <w:sz w:val="20"/>
      <w:szCs w:val="20"/>
    </w:rPr>
  </w:style>
  <w:style w:type="character" w:customStyle="1" w:styleId="EndnoteTextChar">
    <w:name w:val="Endnote Text Char"/>
    <w:basedOn w:val="DefaultParagraphFont"/>
    <w:link w:val="EndnoteText"/>
    <w:semiHidden/>
    <w:rsid w:val="00D13388"/>
    <w:rPr>
      <w:rFonts w:ascii="Calibri" w:hAnsi="Calibri" w:cs="Arial"/>
    </w:rPr>
  </w:style>
  <w:style w:type="character" w:styleId="EndnoteReference">
    <w:name w:val="endnote reference"/>
    <w:basedOn w:val="DefaultParagraphFont"/>
    <w:semiHidden/>
    <w:unhideWhenUsed/>
    <w:rsid w:val="00D133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8751886">
      <w:bodyDiv w:val="1"/>
      <w:marLeft w:val="0"/>
      <w:marRight w:val="0"/>
      <w:marTop w:val="0"/>
      <w:marBottom w:val="0"/>
      <w:divBdr>
        <w:top w:val="none" w:sz="0" w:space="0" w:color="auto"/>
        <w:left w:val="none" w:sz="0" w:space="0" w:color="auto"/>
        <w:bottom w:val="none" w:sz="0" w:space="0" w:color="auto"/>
        <w:right w:val="none" w:sz="0" w:space="0" w:color="auto"/>
      </w:divBdr>
      <w:divsChild>
        <w:div w:id="1783694926">
          <w:marLeft w:val="360"/>
          <w:marRight w:val="0"/>
          <w:marTop w:val="200"/>
          <w:marBottom w:val="0"/>
          <w:divBdr>
            <w:top w:val="none" w:sz="0" w:space="0" w:color="auto"/>
            <w:left w:val="none" w:sz="0" w:space="0" w:color="auto"/>
            <w:bottom w:val="none" w:sz="0" w:space="0" w:color="auto"/>
            <w:right w:val="none" w:sz="0" w:space="0" w:color="auto"/>
          </w:divBdr>
        </w:div>
        <w:div w:id="147674188">
          <w:marLeft w:val="360"/>
          <w:marRight w:val="0"/>
          <w:marTop w:val="200"/>
          <w:marBottom w:val="0"/>
          <w:divBdr>
            <w:top w:val="none" w:sz="0" w:space="0" w:color="auto"/>
            <w:left w:val="none" w:sz="0" w:space="0" w:color="auto"/>
            <w:bottom w:val="none" w:sz="0" w:space="0" w:color="auto"/>
            <w:right w:val="none" w:sz="0" w:space="0" w:color="auto"/>
          </w:divBdr>
        </w:div>
      </w:divsChild>
    </w:div>
    <w:div w:id="366637201">
      <w:bodyDiv w:val="1"/>
      <w:marLeft w:val="0"/>
      <w:marRight w:val="0"/>
      <w:marTop w:val="0"/>
      <w:marBottom w:val="0"/>
      <w:divBdr>
        <w:top w:val="none" w:sz="0" w:space="0" w:color="auto"/>
        <w:left w:val="none" w:sz="0" w:space="0" w:color="auto"/>
        <w:bottom w:val="none" w:sz="0" w:space="0" w:color="auto"/>
        <w:right w:val="none" w:sz="0" w:space="0" w:color="auto"/>
      </w:divBdr>
    </w:div>
    <w:div w:id="643201066">
      <w:bodyDiv w:val="1"/>
      <w:marLeft w:val="0"/>
      <w:marRight w:val="0"/>
      <w:marTop w:val="0"/>
      <w:marBottom w:val="0"/>
      <w:divBdr>
        <w:top w:val="none" w:sz="0" w:space="0" w:color="auto"/>
        <w:left w:val="none" w:sz="0" w:space="0" w:color="auto"/>
        <w:bottom w:val="none" w:sz="0" w:space="0" w:color="auto"/>
        <w:right w:val="none" w:sz="0" w:space="0" w:color="auto"/>
      </w:divBdr>
    </w:div>
    <w:div w:id="708918445">
      <w:bodyDiv w:val="1"/>
      <w:marLeft w:val="0"/>
      <w:marRight w:val="0"/>
      <w:marTop w:val="0"/>
      <w:marBottom w:val="0"/>
      <w:divBdr>
        <w:top w:val="none" w:sz="0" w:space="0" w:color="auto"/>
        <w:left w:val="none" w:sz="0" w:space="0" w:color="auto"/>
        <w:bottom w:val="none" w:sz="0" w:space="0" w:color="auto"/>
        <w:right w:val="none" w:sz="0" w:space="0" w:color="auto"/>
      </w:divBdr>
    </w:div>
    <w:div w:id="776412523">
      <w:bodyDiv w:val="1"/>
      <w:marLeft w:val="0"/>
      <w:marRight w:val="0"/>
      <w:marTop w:val="0"/>
      <w:marBottom w:val="0"/>
      <w:divBdr>
        <w:top w:val="none" w:sz="0" w:space="0" w:color="auto"/>
        <w:left w:val="none" w:sz="0" w:space="0" w:color="auto"/>
        <w:bottom w:val="none" w:sz="0" w:space="0" w:color="auto"/>
        <w:right w:val="none" w:sz="0" w:space="0" w:color="auto"/>
      </w:divBdr>
    </w:div>
    <w:div w:id="1034190477">
      <w:bodyDiv w:val="1"/>
      <w:marLeft w:val="0"/>
      <w:marRight w:val="0"/>
      <w:marTop w:val="0"/>
      <w:marBottom w:val="0"/>
      <w:divBdr>
        <w:top w:val="none" w:sz="0" w:space="0" w:color="auto"/>
        <w:left w:val="none" w:sz="0" w:space="0" w:color="auto"/>
        <w:bottom w:val="none" w:sz="0" w:space="0" w:color="auto"/>
        <w:right w:val="none" w:sz="0" w:space="0" w:color="auto"/>
      </w:divBdr>
      <w:divsChild>
        <w:div w:id="183712387">
          <w:marLeft w:val="547"/>
          <w:marRight w:val="0"/>
          <w:marTop w:val="200"/>
          <w:marBottom w:val="12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833">
      <w:bodyDiv w:val="1"/>
      <w:marLeft w:val="0"/>
      <w:marRight w:val="0"/>
      <w:marTop w:val="0"/>
      <w:marBottom w:val="0"/>
      <w:divBdr>
        <w:top w:val="none" w:sz="0" w:space="0" w:color="auto"/>
        <w:left w:val="none" w:sz="0" w:space="0" w:color="auto"/>
        <w:bottom w:val="none" w:sz="0" w:space="0" w:color="auto"/>
        <w:right w:val="none" w:sz="0" w:space="0" w:color="auto"/>
      </w:divBdr>
    </w:div>
    <w:div w:id="1472550507">
      <w:bodyDiv w:val="1"/>
      <w:marLeft w:val="0"/>
      <w:marRight w:val="0"/>
      <w:marTop w:val="0"/>
      <w:marBottom w:val="0"/>
      <w:divBdr>
        <w:top w:val="none" w:sz="0" w:space="0" w:color="auto"/>
        <w:left w:val="none" w:sz="0" w:space="0" w:color="auto"/>
        <w:bottom w:val="none" w:sz="0" w:space="0" w:color="auto"/>
        <w:right w:val="none" w:sz="0" w:space="0" w:color="auto"/>
      </w:divBdr>
      <w:divsChild>
        <w:div w:id="596138080">
          <w:marLeft w:val="360"/>
          <w:marRight w:val="0"/>
          <w:marTop w:val="200"/>
          <w:marBottom w:val="0"/>
          <w:divBdr>
            <w:top w:val="none" w:sz="0" w:space="0" w:color="auto"/>
            <w:left w:val="none" w:sz="0" w:space="0" w:color="auto"/>
            <w:bottom w:val="none" w:sz="0" w:space="0" w:color="auto"/>
            <w:right w:val="none" w:sz="0" w:space="0" w:color="auto"/>
          </w:divBdr>
        </w:div>
        <w:div w:id="4678613">
          <w:marLeft w:val="360"/>
          <w:marRight w:val="0"/>
          <w:marTop w:val="200"/>
          <w:marBottom w:val="0"/>
          <w:divBdr>
            <w:top w:val="none" w:sz="0" w:space="0" w:color="auto"/>
            <w:left w:val="none" w:sz="0" w:space="0" w:color="auto"/>
            <w:bottom w:val="none" w:sz="0" w:space="0" w:color="auto"/>
            <w:right w:val="none" w:sz="0" w:space="0" w:color="auto"/>
          </w:divBdr>
        </w:div>
        <w:div w:id="985744984">
          <w:marLeft w:val="360"/>
          <w:marRight w:val="0"/>
          <w:marTop w:val="200"/>
          <w:marBottom w:val="0"/>
          <w:divBdr>
            <w:top w:val="none" w:sz="0" w:space="0" w:color="auto"/>
            <w:left w:val="none" w:sz="0" w:space="0" w:color="auto"/>
            <w:bottom w:val="none" w:sz="0" w:space="0" w:color="auto"/>
            <w:right w:val="none" w:sz="0" w:space="0" w:color="auto"/>
          </w:divBdr>
        </w:div>
        <w:div w:id="555051665">
          <w:marLeft w:val="360"/>
          <w:marRight w:val="0"/>
          <w:marTop w:val="200"/>
          <w:marBottom w:val="0"/>
          <w:divBdr>
            <w:top w:val="none" w:sz="0" w:space="0" w:color="auto"/>
            <w:left w:val="none" w:sz="0" w:space="0" w:color="auto"/>
            <w:bottom w:val="none" w:sz="0" w:space="0" w:color="auto"/>
            <w:right w:val="none" w:sz="0" w:space="0" w:color="auto"/>
          </w:divBdr>
        </w:div>
      </w:divsChild>
    </w:div>
    <w:div w:id="1550729024">
      <w:bodyDiv w:val="1"/>
      <w:marLeft w:val="0"/>
      <w:marRight w:val="0"/>
      <w:marTop w:val="0"/>
      <w:marBottom w:val="0"/>
      <w:divBdr>
        <w:top w:val="none" w:sz="0" w:space="0" w:color="auto"/>
        <w:left w:val="none" w:sz="0" w:space="0" w:color="auto"/>
        <w:bottom w:val="none" w:sz="0" w:space="0" w:color="auto"/>
        <w:right w:val="none" w:sz="0" w:space="0" w:color="auto"/>
      </w:divBdr>
    </w:div>
    <w:div w:id="1595431852">
      <w:bodyDiv w:val="1"/>
      <w:marLeft w:val="0"/>
      <w:marRight w:val="0"/>
      <w:marTop w:val="0"/>
      <w:marBottom w:val="0"/>
      <w:divBdr>
        <w:top w:val="none" w:sz="0" w:space="0" w:color="auto"/>
        <w:left w:val="none" w:sz="0" w:space="0" w:color="auto"/>
        <w:bottom w:val="none" w:sz="0" w:space="0" w:color="auto"/>
        <w:right w:val="none" w:sz="0" w:space="0" w:color="auto"/>
      </w:divBdr>
    </w:div>
    <w:div w:id="1651329858">
      <w:bodyDiv w:val="1"/>
      <w:marLeft w:val="0"/>
      <w:marRight w:val="0"/>
      <w:marTop w:val="0"/>
      <w:marBottom w:val="0"/>
      <w:divBdr>
        <w:top w:val="none" w:sz="0" w:space="0" w:color="auto"/>
        <w:left w:val="none" w:sz="0" w:space="0" w:color="auto"/>
        <w:bottom w:val="none" w:sz="0" w:space="0" w:color="auto"/>
        <w:right w:val="none" w:sz="0" w:space="0" w:color="auto"/>
      </w:divBdr>
      <w:divsChild>
        <w:div w:id="771900253">
          <w:marLeft w:val="360"/>
          <w:marRight w:val="0"/>
          <w:marTop w:val="200"/>
          <w:marBottom w:val="0"/>
          <w:divBdr>
            <w:top w:val="none" w:sz="0" w:space="0" w:color="auto"/>
            <w:left w:val="none" w:sz="0" w:space="0" w:color="auto"/>
            <w:bottom w:val="none" w:sz="0" w:space="0" w:color="auto"/>
            <w:right w:val="none" w:sz="0" w:space="0" w:color="auto"/>
          </w:divBdr>
        </w:div>
      </w:divsChild>
    </w:div>
    <w:div w:id="1677803608">
      <w:bodyDiv w:val="1"/>
      <w:marLeft w:val="0"/>
      <w:marRight w:val="0"/>
      <w:marTop w:val="0"/>
      <w:marBottom w:val="0"/>
      <w:divBdr>
        <w:top w:val="none" w:sz="0" w:space="0" w:color="auto"/>
        <w:left w:val="none" w:sz="0" w:space="0" w:color="auto"/>
        <w:bottom w:val="none" w:sz="0" w:space="0" w:color="auto"/>
        <w:right w:val="none" w:sz="0" w:space="0" w:color="auto"/>
      </w:divBdr>
      <w:divsChild>
        <w:div w:id="1702246625">
          <w:marLeft w:val="360"/>
          <w:marRight w:val="0"/>
          <w:marTop w:val="200"/>
          <w:marBottom w:val="120"/>
          <w:divBdr>
            <w:top w:val="none" w:sz="0" w:space="0" w:color="auto"/>
            <w:left w:val="none" w:sz="0" w:space="0" w:color="auto"/>
            <w:bottom w:val="none" w:sz="0" w:space="0" w:color="auto"/>
            <w:right w:val="none" w:sz="0" w:space="0" w:color="auto"/>
          </w:divBdr>
        </w:div>
        <w:div w:id="619068231">
          <w:marLeft w:val="360"/>
          <w:marRight w:val="0"/>
          <w:marTop w:val="200"/>
          <w:marBottom w:val="120"/>
          <w:divBdr>
            <w:top w:val="none" w:sz="0" w:space="0" w:color="auto"/>
            <w:left w:val="none" w:sz="0" w:space="0" w:color="auto"/>
            <w:bottom w:val="none" w:sz="0" w:space="0" w:color="auto"/>
            <w:right w:val="none" w:sz="0" w:space="0" w:color="auto"/>
          </w:divBdr>
        </w:div>
        <w:div w:id="1137605233">
          <w:marLeft w:val="360"/>
          <w:marRight w:val="0"/>
          <w:marTop w:val="200"/>
          <w:marBottom w:val="120"/>
          <w:divBdr>
            <w:top w:val="none" w:sz="0" w:space="0" w:color="auto"/>
            <w:left w:val="none" w:sz="0" w:space="0" w:color="auto"/>
            <w:bottom w:val="none" w:sz="0" w:space="0" w:color="auto"/>
            <w:right w:val="none" w:sz="0" w:space="0" w:color="auto"/>
          </w:divBdr>
        </w:div>
      </w:divsChild>
    </w:div>
    <w:div w:id="178673486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9768283">
      <w:bodyDiv w:val="1"/>
      <w:marLeft w:val="0"/>
      <w:marRight w:val="0"/>
      <w:marTop w:val="0"/>
      <w:marBottom w:val="0"/>
      <w:divBdr>
        <w:top w:val="none" w:sz="0" w:space="0" w:color="auto"/>
        <w:left w:val="none" w:sz="0" w:space="0" w:color="auto"/>
        <w:bottom w:val="none" w:sz="0" w:space="0" w:color="auto"/>
        <w:right w:val="none" w:sz="0" w:space="0" w:color="auto"/>
      </w:divBdr>
    </w:div>
    <w:div w:id="2014339590">
      <w:bodyDiv w:val="1"/>
      <w:marLeft w:val="0"/>
      <w:marRight w:val="0"/>
      <w:marTop w:val="0"/>
      <w:marBottom w:val="0"/>
      <w:divBdr>
        <w:top w:val="none" w:sz="0" w:space="0" w:color="auto"/>
        <w:left w:val="none" w:sz="0" w:space="0" w:color="auto"/>
        <w:bottom w:val="none" w:sz="0" w:space="0" w:color="auto"/>
        <w:right w:val="none" w:sz="0" w:space="0" w:color="auto"/>
      </w:divBdr>
    </w:div>
    <w:div w:id="2063482785">
      <w:bodyDiv w:val="1"/>
      <w:marLeft w:val="0"/>
      <w:marRight w:val="0"/>
      <w:marTop w:val="0"/>
      <w:marBottom w:val="0"/>
      <w:divBdr>
        <w:top w:val="none" w:sz="0" w:space="0" w:color="auto"/>
        <w:left w:val="none" w:sz="0" w:space="0" w:color="auto"/>
        <w:bottom w:val="none" w:sz="0" w:space="0" w:color="auto"/>
        <w:right w:val="none" w:sz="0" w:space="0" w:color="auto"/>
      </w:divBdr>
    </w:div>
    <w:div w:id="210326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ta588/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57872-B5E3-4F91-9000-CDE32829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15680</Words>
  <Characters>85623</Characters>
  <Application>Microsoft Office Word</Application>
  <DocSecurity>0</DocSecurity>
  <Lines>713</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2021-03-05T03:38:00Z</dcterms:created>
  <dcterms:modified xsi:type="dcterms:W3CDTF">2021-03-05T03:38:00Z</dcterms:modified>
</cp:coreProperties>
</file>