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7A0" w:rsidRPr="00175DCB" w:rsidRDefault="00D96789" w:rsidP="005E0D82">
      <w:pPr>
        <w:pStyle w:val="1MainTitle"/>
        <w:jc w:val="left"/>
        <w:rPr>
          <w:rFonts w:eastAsia="Calibri"/>
          <w:lang w:eastAsia="en-US"/>
        </w:rPr>
      </w:pPr>
      <w:r w:rsidRPr="00175DCB">
        <w:rPr>
          <w:rFonts w:eastAsia="Calibri"/>
          <w:lang w:eastAsia="en-US"/>
        </w:rPr>
        <w:t>7.09</w:t>
      </w:r>
      <w:r w:rsidR="00BF27A0" w:rsidRPr="00175DCB">
        <w:rPr>
          <w:rFonts w:eastAsia="Calibri"/>
          <w:lang w:eastAsia="en-US"/>
        </w:rPr>
        <w:tab/>
      </w:r>
      <w:r w:rsidRPr="00175DCB">
        <w:t>MOGAMULIZUMAB</w:t>
      </w:r>
      <w:r w:rsidR="001C6B29" w:rsidRPr="00175DCB">
        <w:t xml:space="preserve">, </w:t>
      </w:r>
      <w:r w:rsidRPr="00175DCB">
        <w:br/>
        <w:t>Solution concentrate for I.V. infusion 20 mg in 5 mL</w:t>
      </w:r>
      <w:r w:rsidR="001C6B29" w:rsidRPr="00175DCB">
        <w:t xml:space="preserve">, </w:t>
      </w:r>
      <w:r w:rsidRPr="00175DCB">
        <w:br/>
        <w:t>Poteligeo</w:t>
      </w:r>
      <w:r w:rsidRPr="00175DCB">
        <w:rPr>
          <w:vertAlign w:val="superscript"/>
        </w:rPr>
        <w:t>®</w:t>
      </w:r>
      <w:r w:rsidR="001C6B29" w:rsidRPr="00175DCB">
        <w:t xml:space="preserve">, </w:t>
      </w:r>
      <w:r w:rsidRPr="00175DCB">
        <w:br/>
        <w:t>Kyowa Kirin Australia Pty Ltd</w:t>
      </w:r>
    </w:p>
    <w:p w:rsidR="008A50F1" w:rsidRPr="00175DCB" w:rsidRDefault="00CE10C4" w:rsidP="008F0213">
      <w:pPr>
        <w:pStyle w:val="2-SectionHeading"/>
      </w:pPr>
      <w:r w:rsidRPr="00175DCB">
        <w:t xml:space="preserve">Purpose of </w:t>
      </w:r>
      <w:r w:rsidR="0004240E" w:rsidRPr="00175DCB">
        <w:t>Application</w:t>
      </w:r>
      <w:r w:rsidR="00034905" w:rsidRPr="00175DCB">
        <w:t xml:space="preserve"> </w:t>
      </w:r>
    </w:p>
    <w:p w:rsidR="00CD7957" w:rsidRPr="00175DCB" w:rsidRDefault="00EF44A0" w:rsidP="00CD7957">
      <w:pPr>
        <w:pStyle w:val="3Bodytext"/>
        <w:jc w:val="both"/>
      </w:pPr>
      <w:r w:rsidRPr="00175DCB">
        <w:t>The mi</w:t>
      </w:r>
      <w:r w:rsidR="00D96789" w:rsidRPr="00175DCB">
        <w:t xml:space="preserve">nor </w:t>
      </w:r>
      <w:r w:rsidR="00BD0B22" w:rsidRPr="00175DCB">
        <w:t>re</w:t>
      </w:r>
      <w:r w:rsidR="00D96789" w:rsidRPr="00175DCB">
        <w:t xml:space="preserve">submission </w:t>
      </w:r>
      <w:r w:rsidR="00FF2801" w:rsidRPr="00175DCB">
        <w:t>requested</w:t>
      </w:r>
      <w:r w:rsidR="00D96789" w:rsidRPr="00175DCB">
        <w:t xml:space="preserve"> an Authority Required listing for mogamulizumab for the treatment of patients with relapsed or refractory cutaneous T cell lymphoma (CTCL) disease following at least one prior systemic treatment for the condition.</w:t>
      </w:r>
    </w:p>
    <w:p w:rsidR="00B019F2" w:rsidRPr="00175DCB" w:rsidRDefault="00C5151E" w:rsidP="00E567CE">
      <w:pPr>
        <w:pStyle w:val="3Bodytext"/>
        <w:jc w:val="both"/>
      </w:pPr>
      <w:r w:rsidRPr="00175DCB">
        <w:rPr>
          <w:rFonts w:cs="Arial"/>
          <w:snapToGrid w:val="0"/>
        </w:rPr>
        <w:t>Listing was requested on th</w:t>
      </w:r>
      <w:r w:rsidR="00CD7957" w:rsidRPr="00175DCB">
        <w:rPr>
          <w:rFonts w:cs="Arial"/>
          <w:snapToGrid w:val="0"/>
        </w:rPr>
        <w:t>e basis of a cost-effectiveness analysis versus vorinostat</w:t>
      </w:r>
      <w:r w:rsidRPr="00175DCB">
        <w:rPr>
          <w:rFonts w:cs="Arial"/>
          <w:snapToGrid w:val="0"/>
        </w:rPr>
        <w:t>.</w:t>
      </w:r>
      <w:r w:rsidR="00CD7957" w:rsidRPr="00175DCB">
        <w:rPr>
          <w:rFonts w:cs="Arial"/>
          <w:snapToGrid w:val="0"/>
        </w:rPr>
        <w:t xml:space="preserve"> Treatment eligibility was restricted to patients with </w:t>
      </w:r>
      <w:r w:rsidR="00CD7957" w:rsidRPr="00175DCB">
        <w:t xml:space="preserve">mycosis fungoides (MF) or Sezary syndrome (SS) with revised financial estimates and </w:t>
      </w:r>
      <w:r w:rsidR="00CD7957" w:rsidRPr="00175DCB">
        <w:rPr>
          <w:rFonts w:cs="Arial"/>
          <w:snapToGrid w:val="0"/>
        </w:rPr>
        <w:t xml:space="preserve">a price reduction proposed. </w:t>
      </w:r>
      <w:r w:rsidR="00AA1EAF" w:rsidRPr="00175DCB">
        <w:rPr>
          <w:rFonts w:cs="Arial"/>
          <w:snapToGrid w:val="0"/>
        </w:rPr>
        <w:t xml:space="preserve">Underlined text in Table 1 indicates changes from the submission to the July 2020 PBAC meeting. </w:t>
      </w:r>
    </w:p>
    <w:p w:rsidR="00CD7957" w:rsidRPr="00175DCB" w:rsidRDefault="00CD7957" w:rsidP="00CD7957">
      <w:pPr>
        <w:pStyle w:val="Tabletitles"/>
        <w:keepNext/>
        <w:rPr>
          <w:rFonts w:eastAsiaTheme="majorEastAsia"/>
        </w:rPr>
      </w:pPr>
      <w:r w:rsidRPr="00175DCB">
        <w:rPr>
          <w:rFonts w:eastAsiaTheme="majorEastAsia"/>
        </w:rPr>
        <w:t>Table 1</w:t>
      </w:r>
      <w:r w:rsidR="00C5151E" w:rsidRPr="00175DCB">
        <w:rPr>
          <w:rFonts w:eastAsiaTheme="majorEastAsia"/>
        </w:rPr>
        <w:t>: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CD7957" w:rsidRPr="00175DCB" w:rsidTr="005037F7">
        <w:trPr>
          <w:tblHeader/>
        </w:trPr>
        <w:tc>
          <w:tcPr>
            <w:tcW w:w="1668" w:type="dxa"/>
            <w:vAlign w:val="center"/>
          </w:tcPr>
          <w:p w:rsidR="00CD7957" w:rsidRPr="00175DCB" w:rsidRDefault="00CD7957" w:rsidP="005037F7">
            <w:pPr>
              <w:pStyle w:val="In-tableHeading"/>
              <w:rPr>
                <w:bCs/>
                <w:szCs w:val="20"/>
                <w:lang w:val="en-AU"/>
              </w:rPr>
            </w:pPr>
            <w:r w:rsidRPr="00175DCB">
              <w:rPr>
                <w:bCs/>
                <w:szCs w:val="20"/>
                <w:lang w:val="en-AU"/>
              </w:rPr>
              <w:t>Component</w:t>
            </w:r>
          </w:p>
        </w:tc>
        <w:tc>
          <w:tcPr>
            <w:tcW w:w="7488" w:type="dxa"/>
            <w:vAlign w:val="center"/>
          </w:tcPr>
          <w:p w:rsidR="00CD7957" w:rsidRPr="00175DCB" w:rsidRDefault="00CD7957" w:rsidP="005037F7">
            <w:pPr>
              <w:pStyle w:val="In-tableHeading"/>
              <w:rPr>
                <w:bCs/>
                <w:szCs w:val="20"/>
                <w:lang w:val="en-AU"/>
              </w:rPr>
            </w:pPr>
            <w:r w:rsidRPr="00175DCB">
              <w:rPr>
                <w:bCs/>
                <w:szCs w:val="20"/>
                <w:lang w:val="en-AU"/>
              </w:rPr>
              <w:t>Description</w:t>
            </w:r>
          </w:p>
        </w:tc>
      </w:tr>
      <w:tr w:rsidR="00CD7957" w:rsidRPr="00175DCB" w:rsidTr="005037F7">
        <w:trPr>
          <w:tblHeader/>
        </w:trPr>
        <w:tc>
          <w:tcPr>
            <w:tcW w:w="1668" w:type="dxa"/>
            <w:vAlign w:val="center"/>
          </w:tcPr>
          <w:p w:rsidR="00CD7957" w:rsidRPr="00175DCB" w:rsidRDefault="00CD7957" w:rsidP="005037F7">
            <w:pPr>
              <w:pStyle w:val="TableText0"/>
              <w:rPr>
                <w:bCs w:val="0"/>
                <w:szCs w:val="20"/>
              </w:rPr>
            </w:pPr>
            <w:r w:rsidRPr="00175DCB">
              <w:rPr>
                <w:bCs w:val="0"/>
                <w:szCs w:val="20"/>
              </w:rPr>
              <w:t>Population</w:t>
            </w:r>
          </w:p>
        </w:tc>
        <w:tc>
          <w:tcPr>
            <w:tcW w:w="7488" w:type="dxa"/>
            <w:vAlign w:val="center"/>
          </w:tcPr>
          <w:p w:rsidR="00CD7957" w:rsidRPr="00175DCB" w:rsidRDefault="00CD7957" w:rsidP="00B019F2">
            <w:pPr>
              <w:pStyle w:val="TableText0"/>
            </w:pPr>
            <w:r w:rsidRPr="00175DCB">
              <w:t xml:space="preserve">CTCL </w:t>
            </w:r>
            <w:r w:rsidR="00B019F2" w:rsidRPr="00175DCB">
              <w:t xml:space="preserve">patients with relapsed or refractory </w:t>
            </w:r>
            <w:r w:rsidR="00B019F2" w:rsidRPr="00175DCB">
              <w:rPr>
                <w:u w:val="single"/>
              </w:rPr>
              <w:t>MF or SS</w:t>
            </w:r>
            <w:r w:rsidRPr="00175DCB">
              <w:t xml:space="preserve">. </w:t>
            </w:r>
          </w:p>
        </w:tc>
      </w:tr>
      <w:tr w:rsidR="00CD7957" w:rsidRPr="00175DCB" w:rsidTr="005037F7">
        <w:trPr>
          <w:tblHeader/>
        </w:trPr>
        <w:tc>
          <w:tcPr>
            <w:tcW w:w="1668" w:type="dxa"/>
            <w:vAlign w:val="center"/>
          </w:tcPr>
          <w:p w:rsidR="00CD7957" w:rsidRPr="00175DCB" w:rsidRDefault="00CD7957" w:rsidP="005037F7">
            <w:pPr>
              <w:pStyle w:val="TableText0"/>
              <w:rPr>
                <w:bCs w:val="0"/>
                <w:szCs w:val="20"/>
              </w:rPr>
            </w:pPr>
            <w:r w:rsidRPr="00175DCB">
              <w:rPr>
                <w:bCs w:val="0"/>
                <w:szCs w:val="20"/>
              </w:rPr>
              <w:t>Intervention</w:t>
            </w:r>
          </w:p>
        </w:tc>
        <w:tc>
          <w:tcPr>
            <w:tcW w:w="7488" w:type="dxa"/>
            <w:vAlign w:val="center"/>
          </w:tcPr>
          <w:p w:rsidR="00CD7957" w:rsidRPr="00175DCB" w:rsidRDefault="00CD7957" w:rsidP="005037F7">
            <w:pPr>
              <w:pStyle w:val="TableText0"/>
            </w:pPr>
            <w:r w:rsidRPr="00175DCB">
              <w:t>Mogamulizumab 1.0 mg/kg IV weekly on days 1, 8, 15 and 22 of the first cycle, followed by every 2 weeks on days 1 and 15 of each subsequent 28-day cycle until disease progression or unacceptable toxicity.</w:t>
            </w:r>
          </w:p>
        </w:tc>
      </w:tr>
      <w:tr w:rsidR="00CD7957" w:rsidRPr="00175DCB" w:rsidTr="005037F7">
        <w:trPr>
          <w:tblHeader/>
        </w:trPr>
        <w:tc>
          <w:tcPr>
            <w:tcW w:w="1668" w:type="dxa"/>
            <w:vAlign w:val="center"/>
          </w:tcPr>
          <w:p w:rsidR="00CD7957" w:rsidRPr="00175DCB" w:rsidRDefault="00CD7957" w:rsidP="005037F7">
            <w:pPr>
              <w:pStyle w:val="TableText0"/>
              <w:rPr>
                <w:bCs w:val="0"/>
                <w:szCs w:val="20"/>
              </w:rPr>
            </w:pPr>
            <w:r w:rsidRPr="00175DCB">
              <w:rPr>
                <w:bCs w:val="0"/>
                <w:szCs w:val="20"/>
              </w:rPr>
              <w:t>Comparator</w:t>
            </w:r>
          </w:p>
        </w:tc>
        <w:tc>
          <w:tcPr>
            <w:tcW w:w="7488" w:type="dxa"/>
            <w:vAlign w:val="center"/>
          </w:tcPr>
          <w:p w:rsidR="00CD7957" w:rsidRPr="00175DCB" w:rsidRDefault="00CD7957" w:rsidP="00B019F2">
            <w:pPr>
              <w:pStyle w:val="Table"/>
              <w:rPr>
                <w:rFonts w:ascii="Arial Narrow" w:hAnsi="Arial Narrow"/>
                <w:bCs/>
                <w:szCs w:val="24"/>
                <w:lang w:eastAsia="en-AU" w:bidi="ar-SA"/>
              </w:rPr>
            </w:pPr>
            <w:r w:rsidRPr="00175DCB">
              <w:rPr>
                <w:rFonts w:ascii="Arial Narrow" w:hAnsi="Arial Narrow"/>
                <w:bCs/>
                <w:szCs w:val="24"/>
                <w:lang w:eastAsia="en-AU" w:bidi="ar-SA"/>
              </w:rPr>
              <w:t>Vorinostat 400 mg orally daily, until disease progression or unacceptable toxicity.</w:t>
            </w:r>
          </w:p>
          <w:p w:rsidR="00B019F2" w:rsidRPr="00175DCB" w:rsidRDefault="00B019F2" w:rsidP="00B019F2">
            <w:pPr>
              <w:pStyle w:val="Table"/>
              <w:rPr>
                <w:rFonts w:ascii="Arial Narrow" w:hAnsi="Arial Narrow"/>
                <w:bCs/>
                <w:szCs w:val="24"/>
                <w:lang w:eastAsia="en-AU" w:bidi="ar-SA"/>
              </w:rPr>
            </w:pPr>
            <w:r w:rsidRPr="00175DCB">
              <w:rPr>
                <w:rStyle w:val="Small"/>
                <w:rFonts w:ascii="Arial Narrow" w:hAnsi="Arial Narrow" w:cs="Arial"/>
                <w:szCs w:val="20"/>
              </w:rPr>
              <w:t>Brentuximab vedotin 1.8 mg/kg IV every 3 weeks, for up to 16 cycles</w:t>
            </w:r>
            <w:r w:rsidR="002751D7" w:rsidRPr="00175DCB">
              <w:rPr>
                <w:rStyle w:val="Small"/>
                <w:rFonts w:ascii="Arial Narrow" w:hAnsi="Arial Narrow" w:cs="Arial"/>
                <w:szCs w:val="20"/>
              </w:rPr>
              <w:t>.</w:t>
            </w:r>
          </w:p>
        </w:tc>
      </w:tr>
      <w:tr w:rsidR="00CD7957" w:rsidRPr="00175DCB" w:rsidTr="005037F7">
        <w:trPr>
          <w:tblHeader/>
        </w:trPr>
        <w:tc>
          <w:tcPr>
            <w:tcW w:w="1668" w:type="dxa"/>
            <w:vAlign w:val="center"/>
          </w:tcPr>
          <w:p w:rsidR="00CD7957" w:rsidRPr="00175DCB" w:rsidRDefault="00CD7957" w:rsidP="005037F7">
            <w:pPr>
              <w:pStyle w:val="TableText0"/>
              <w:rPr>
                <w:bCs w:val="0"/>
                <w:szCs w:val="20"/>
              </w:rPr>
            </w:pPr>
            <w:r w:rsidRPr="00175DCB">
              <w:rPr>
                <w:bCs w:val="0"/>
                <w:szCs w:val="20"/>
              </w:rPr>
              <w:t>Outcomes</w:t>
            </w:r>
          </w:p>
        </w:tc>
        <w:tc>
          <w:tcPr>
            <w:tcW w:w="7488" w:type="dxa"/>
            <w:vAlign w:val="center"/>
          </w:tcPr>
          <w:p w:rsidR="00CD7957" w:rsidRPr="00175DCB" w:rsidRDefault="00CD7957" w:rsidP="005037F7">
            <w:pPr>
              <w:pStyle w:val="Table"/>
              <w:rPr>
                <w:rFonts w:ascii="Arial Narrow" w:hAnsi="Arial Narrow"/>
                <w:bCs/>
                <w:szCs w:val="24"/>
                <w:lang w:eastAsia="en-AU" w:bidi="ar-SA"/>
              </w:rPr>
            </w:pPr>
            <w:r w:rsidRPr="00175DCB">
              <w:rPr>
                <w:rFonts w:ascii="Arial Narrow" w:hAnsi="Arial Narrow"/>
                <w:bCs/>
                <w:szCs w:val="24"/>
                <w:lang w:eastAsia="en-AU" w:bidi="ar-SA"/>
              </w:rPr>
              <w:t xml:space="preserve">PFS, ORR, TTR, DOR, TTNT, OS, HRQoL and </w:t>
            </w:r>
            <w:r w:rsidR="002751D7" w:rsidRPr="00175DCB">
              <w:rPr>
                <w:rFonts w:ascii="Arial Narrow" w:hAnsi="Arial Narrow"/>
                <w:bCs/>
                <w:szCs w:val="24"/>
                <w:lang w:eastAsia="en-AU" w:bidi="ar-SA"/>
              </w:rPr>
              <w:t>s</w:t>
            </w:r>
            <w:r w:rsidRPr="00175DCB">
              <w:rPr>
                <w:rFonts w:ascii="Arial Narrow" w:hAnsi="Arial Narrow"/>
                <w:bCs/>
                <w:szCs w:val="24"/>
                <w:lang w:eastAsia="en-AU" w:bidi="ar-SA"/>
              </w:rPr>
              <w:t>afety</w:t>
            </w:r>
          </w:p>
        </w:tc>
      </w:tr>
      <w:tr w:rsidR="00CD7957" w:rsidRPr="00175DCB" w:rsidTr="005037F7">
        <w:trPr>
          <w:tblHeader/>
        </w:trPr>
        <w:tc>
          <w:tcPr>
            <w:tcW w:w="1668" w:type="dxa"/>
            <w:vAlign w:val="center"/>
          </w:tcPr>
          <w:p w:rsidR="00CD7957" w:rsidRPr="00175DCB" w:rsidRDefault="00CD7957" w:rsidP="005037F7">
            <w:pPr>
              <w:pStyle w:val="TableText0"/>
              <w:rPr>
                <w:bCs w:val="0"/>
                <w:szCs w:val="20"/>
              </w:rPr>
            </w:pPr>
            <w:r w:rsidRPr="00175DCB">
              <w:rPr>
                <w:bCs w:val="0"/>
                <w:szCs w:val="20"/>
              </w:rPr>
              <w:t>Clinical claim</w:t>
            </w:r>
          </w:p>
        </w:tc>
        <w:tc>
          <w:tcPr>
            <w:tcW w:w="7488" w:type="dxa"/>
            <w:vAlign w:val="center"/>
          </w:tcPr>
          <w:p w:rsidR="00CD7957" w:rsidRPr="00175DCB" w:rsidRDefault="00CD7957" w:rsidP="005037F7">
            <w:pPr>
              <w:pStyle w:val="TableText0"/>
            </w:pPr>
            <w:r w:rsidRPr="00175DCB">
              <w:t>In patients with relapsed or refractory MF or SS, mogamulizumab provides significantly and importantly superior effectiveness with non-inferior safety to vorinostat.</w:t>
            </w:r>
          </w:p>
          <w:p w:rsidR="00B019F2" w:rsidRPr="00175DCB" w:rsidRDefault="00B019F2" w:rsidP="005037F7">
            <w:pPr>
              <w:pStyle w:val="TableText0"/>
              <w:rPr>
                <w:u w:val="single"/>
              </w:rPr>
            </w:pPr>
            <w:r w:rsidRPr="00175DCB">
              <w:rPr>
                <w:u w:val="single"/>
              </w:rPr>
              <w:t>No formal claim is made in relation to the secondary comparator given the significant limitations of the indirect and non-comparable clinical evidence</w:t>
            </w:r>
            <w:r w:rsidR="00175DCB">
              <w:rPr>
                <w:u w:val="single"/>
              </w:rPr>
              <w:t xml:space="preserve">. </w:t>
            </w:r>
          </w:p>
        </w:tc>
      </w:tr>
    </w:tbl>
    <w:p w:rsidR="00CD7957" w:rsidRPr="00175DCB" w:rsidRDefault="00CD7957" w:rsidP="00CD7957">
      <w:pPr>
        <w:rPr>
          <w:rFonts w:ascii="Arial Narrow" w:hAnsi="Arial Narrow"/>
          <w:sz w:val="18"/>
          <w:szCs w:val="18"/>
        </w:rPr>
      </w:pPr>
      <w:r w:rsidRPr="00175DCB">
        <w:rPr>
          <w:rFonts w:ascii="Arial Narrow" w:hAnsi="Arial Narrow"/>
          <w:sz w:val="18"/>
          <w:szCs w:val="18"/>
        </w:rPr>
        <w:t xml:space="preserve">Source: </w:t>
      </w:r>
      <w:r w:rsidR="009B722A" w:rsidRPr="00175DCB">
        <w:rPr>
          <w:rFonts w:ascii="Arial Narrow" w:hAnsi="Arial Narrow"/>
          <w:sz w:val="18"/>
          <w:szCs w:val="18"/>
        </w:rPr>
        <w:t>pp</w:t>
      </w:r>
      <w:r w:rsidR="00B019F2" w:rsidRPr="00175DCB">
        <w:rPr>
          <w:rFonts w:ascii="Arial Narrow" w:hAnsi="Arial Narrow"/>
          <w:sz w:val="18"/>
          <w:szCs w:val="18"/>
        </w:rPr>
        <w:t xml:space="preserve"> 2-3 minor submission, Table 1. Mogamulizumab Public Summary Document, July 2020 PBAC meeting</w:t>
      </w:r>
      <w:r w:rsidRPr="00175DCB">
        <w:rPr>
          <w:rFonts w:ascii="Arial Narrow" w:hAnsi="Arial Narrow"/>
          <w:sz w:val="18"/>
          <w:szCs w:val="18"/>
        </w:rPr>
        <w:t>.</w:t>
      </w:r>
    </w:p>
    <w:p w:rsidR="00CD7957" w:rsidRPr="00175DCB" w:rsidRDefault="00CD7957" w:rsidP="00CD7957">
      <w:pPr>
        <w:rPr>
          <w:rFonts w:ascii="Arial Narrow" w:hAnsi="Arial Narrow"/>
          <w:sz w:val="18"/>
          <w:szCs w:val="18"/>
        </w:rPr>
      </w:pPr>
      <w:r w:rsidRPr="00175DCB">
        <w:rPr>
          <w:rFonts w:ascii="Arial Narrow" w:hAnsi="Arial Narrow"/>
          <w:sz w:val="18"/>
          <w:szCs w:val="18"/>
        </w:rPr>
        <w:t xml:space="preserve">Abbreviations: CTCL = </w:t>
      </w:r>
      <w:r w:rsidRPr="00175DCB">
        <w:rPr>
          <w:rStyle w:val="Small"/>
          <w:rFonts w:ascii="Arial Narrow" w:hAnsi="Arial Narrow"/>
          <w:sz w:val="18"/>
          <w:szCs w:val="18"/>
        </w:rPr>
        <w:t>cutaneous T cell lymphoma;</w:t>
      </w:r>
      <w:r w:rsidRPr="00175DCB">
        <w:rPr>
          <w:rFonts w:ascii="Arial Narrow" w:hAnsi="Arial Narrow"/>
          <w:sz w:val="18"/>
          <w:szCs w:val="18"/>
        </w:rPr>
        <w:t xml:space="preserve"> DOR = duration of response; HRQoL = health related quality </w:t>
      </w:r>
      <w:r w:rsidR="00B019F2" w:rsidRPr="00175DCB">
        <w:rPr>
          <w:rFonts w:ascii="Arial Narrow" w:hAnsi="Arial Narrow"/>
          <w:sz w:val="18"/>
          <w:szCs w:val="18"/>
        </w:rPr>
        <w:t xml:space="preserve">of life; IV = intravenous; </w:t>
      </w:r>
      <w:r w:rsidRPr="00175DCB">
        <w:rPr>
          <w:rFonts w:ascii="Arial Narrow" w:hAnsi="Arial Narrow"/>
          <w:sz w:val="18"/>
          <w:szCs w:val="18"/>
        </w:rPr>
        <w:t xml:space="preserve">MF = </w:t>
      </w:r>
      <w:r w:rsidRPr="00175DCB">
        <w:rPr>
          <w:rStyle w:val="Small"/>
          <w:rFonts w:ascii="Arial Narrow" w:hAnsi="Arial Narrow"/>
          <w:sz w:val="18"/>
          <w:szCs w:val="18"/>
        </w:rPr>
        <w:t>mycosis fungoides</w:t>
      </w:r>
      <w:r w:rsidRPr="00175DCB">
        <w:rPr>
          <w:rFonts w:ascii="Arial Narrow" w:hAnsi="Arial Narrow"/>
          <w:sz w:val="18"/>
          <w:szCs w:val="18"/>
        </w:rPr>
        <w:t>; ORR = overall response rate;</w:t>
      </w:r>
      <w:r w:rsidR="00B019F2" w:rsidRPr="00175DCB">
        <w:rPr>
          <w:rFonts w:ascii="Arial Narrow" w:hAnsi="Arial Narrow"/>
          <w:sz w:val="18"/>
          <w:szCs w:val="18"/>
        </w:rPr>
        <w:t xml:space="preserve"> OS = overall survival; </w:t>
      </w:r>
      <w:r w:rsidRPr="00175DCB">
        <w:rPr>
          <w:rFonts w:ascii="Arial Narrow" w:hAnsi="Arial Narrow"/>
          <w:sz w:val="18"/>
          <w:szCs w:val="18"/>
        </w:rPr>
        <w:t xml:space="preserve">PFS = progression free survival; SS = </w:t>
      </w:r>
      <w:r w:rsidRPr="00175DCB">
        <w:rPr>
          <w:rStyle w:val="Small"/>
          <w:rFonts w:ascii="Arial Narrow" w:hAnsi="Arial Narrow"/>
          <w:sz w:val="18"/>
          <w:szCs w:val="18"/>
        </w:rPr>
        <w:t>Sezary syndrome</w:t>
      </w:r>
      <w:r w:rsidRPr="00175DCB">
        <w:rPr>
          <w:rFonts w:ascii="Arial Narrow" w:hAnsi="Arial Narrow"/>
          <w:sz w:val="18"/>
          <w:szCs w:val="18"/>
        </w:rPr>
        <w:t>; TTNT = time to next treat</w:t>
      </w:r>
      <w:r w:rsidR="00B019F2" w:rsidRPr="00175DCB">
        <w:rPr>
          <w:rFonts w:ascii="Arial Narrow" w:hAnsi="Arial Narrow"/>
          <w:sz w:val="18"/>
          <w:szCs w:val="18"/>
        </w:rPr>
        <w:t xml:space="preserve">ment; TTR = time to response. </w:t>
      </w:r>
    </w:p>
    <w:p w:rsidR="00CD7957" w:rsidRPr="00175DCB" w:rsidRDefault="00CD7957" w:rsidP="006F0A71">
      <w:pPr>
        <w:pStyle w:val="Tabletitles"/>
        <w:keepNext/>
        <w:rPr>
          <w:rFonts w:eastAsiaTheme="majorEastAsia"/>
        </w:rPr>
      </w:pPr>
    </w:p>
    <w:p w:rsidR="00A01432" w:rsidRPr="00175DCB" w:rsidRDefault="00A01432" w:rsidP="006F0A71">
      <w:pPr>
        <w:pStyle w:val="2-SectionHeading"/>
      </w:pPr>
      <w:r w:rsidRPr="00175DCB">
        <w:t xml:space="preserve">Background </w:t>
      </w:r>
    </w:p>
    <w:p w:rsidR="00A01432" w:rsidRPr="00175DCB" w:rsidRDefault="00A01432" w:rsidP="00B16273">
      <w:pPr>
        <w:pStyle w:val="4-SubsectionHeading"/>
      </w:pPr>
      <w:r w:rsidRPr="00175DCB">
        <w:t>Registration status</w:t>
      </w:r>
    </w:p>
    <w:p w:rsidR="00BE5563" w:rsidRPr="00175DCB" w:rsidRDefault="00F46824" w:rsidP="00327069">
      <w:pPr>
        <w:pStyle w:val="3-BodyText"/>
        <w:numPr>
          <w:ilvl w:val="1"/>
          <w:numId w:val="1"/>
        </w:numPr>
      </w:pPr>
      <w:r w:rsidRPr="00175DCB">
        <w:t xml:space="preserve">TGA status at time of PBAC consideration: </w:t>
      </w:r>
      <w:r w:rsidR="00BE5563" w:rsidRPr="00175DCB">
        <w:t xml:space="preserve">Mogamulizumab is not currently TGA approved. An application to register </w:t>
      </w:r>
      <w:r w:rsidR="0096676F" w:rsidRPr="00175DCB">
        <w:t xml:space="preserve">mogamulizumab was </w:t>
      </w:r>
      <w:r w:rsidR="00BE5563" w:rsidRPr="00175DCB">
        <w:t>filed with the TGA under the new Comparable Overseas Regulators pathway on 18</w:t>
      </w:r>
      <w:r w:rsidR="00BE5563" w:rsidRPr="00175DCB">
        <w:rPr>
          <w:vertAlign w:val="superscript"/>
        </w:rPr>
        <w:t>th</w:t>
      </w:r>
      <w:r w:rsidR="00BE5563" w:rsidRPr="00175DCB">
        <w:t xml:space="preserve"> February 2020. The outcome of the first round evaluation </w:t>
      </w:r>
      <w:r w:rsidR="005037F7" w:rsidRPr="00175DCB">
        <w:t xml:space="preserve">was received on the </w:t>
      </w:r>
      <w:r w:rsidR="00BE5563" w:rsidRPr="00175DCB">
        <w:t>31 July 2020</w:t>
      </w:r>
      <w:r w:rsidRPr="00175DCB">
        <w:t xml:space="preserve">. The pre-PBAC response provided the TGA Delegates Overview dated 20 October 2020 which stated </w:t>
      </w:r>
      <w:r w:rsidRPr="00175DCB">
        <w:lastRenderedPageBreak/>
        <w:t xml:space="preserve">the delegate intended to register mogamulizumab for the </w:t>
      </w:r>
      <w:r w:rsidR="00BE5563" w:rsidRPr="00175DCB">
        <w:t>treatment of adult p</w:t>
      </w:r>
      <w:r w:rsidR="0096676F" w:rsidRPr="00175DCB">
        <w:t>atients with MF or SS</w:t>
      </w:r>
      <w:r w:rsidR="00BE5563" w:rsidRPr="00175DCB">
        <w:t xml:space="preserve"> who have received at le</w:t>
      </w:r>
      <w:r w:rsidR="0096676F" w:rsidRPr="00175DCB">
        <w:t>ast one prior systemic therapy.</w:t>
      </w:r>
    </w:p>
    <w:p w:rsidR="00BE5563" w:rsidRPr="00175DCB" w:rsidRDefault="00BE5563" w:rsidP="00224E7B">
      <w:pPr>
        <w:pStyle w:val="3-BodyText"/>
        <w:numPr>
          <w:ilvl w:val="1"/>
          <w:numId w:val="1"/>
        </w:numPr>
      </w:pPr>
      <w:r w:rsidRPr="00175DCB">
        <w:t>Mogamulizumab was approved for CTCL (without reference to subtype specification) in 2014 in Japan and for MF and SS in 2018 by the Food and Drug Administration (FDA) and European Medicines Agency (EMA)</w:t>
      </w:r>
      <w:r w:rsidR="0096676F" w:rsidRPr="00175DCB">
        <w:t xml:space="preserve"> (paragraph 2.4, mogamulizumab </w:t>
      </w:r>
      <w:r w:rsidR="00F420D6">
        <w:rPr>
          <w:rFonts w:cstheme="minorHAnsi"/>
        </w:rPr>
        <w:t>public summary document</w:t>
      </w:r>
      <w:r w:rsidR="00F420D6" w:rsidRPr="00175DCB">
        <w:rPr>
          <w:rFonts w:cstheme="minorHAnsi"/>
        </w:rPr>
        <w:t xml:space="preserve"> </w:t>
      </w:r>
      <w:r w:rsidR="00F420D6">
        <w:rPr>
          <w:rFonts w:cstheme="minorHAnsi"/>
        </w:rPr>
        <w:t>(</w:t>
      </w:r>
      <w:r w:rsidR="00F420D6" w:rsidRPr="00175DCB">
        <w:rPr>
          <w:rFonts w:cstheme="minorHAnsi"/>
        </w:rPr>
        <w:t>PSD</w:t>
      </w:r>
      <w:r w:rsidR="00F420D6">
        <w:rPr>
          <w:rFonts w:cstheme="minorHAnsi"/>
        </w:rPr>
        <w:t>)</w:t>
      </w:r>
      <w:r w:rsidR="007A13BA" w:rsidRPr="00175DCB">
        <w:t>, July 2020 PBAC Mee</w:t>
      </w:r>
      <w:r w:rsidR="0096676F" w:rsidRPr="00175DCB">
        <w:t>ting)</w:t>
      </w:r>
      <w:r w:rsidRPr="00175DCB">
        <w:t xml:space="preserve">. </w:t>
      </w:r>
    </w:p>
    <w:p w:rsidR="00A01432" w:rsidRPr="00175DCB" w:rsidRDefault="00A01432" w:rsidP="00B16273">
      <w:pPr>
        <w:pStyle w:val="4-SubsectionHeading"/>
      </w:pPr>
      <w:r w:rsidRPr="00175DCB">
        <w:t xml:space="preserve">Previous PBAC consideration </w:t>
      </w:r>
    </w:p>
    <w:p w:rsidR="00A01432" w:rsidRPr="00175DCB" w:rsidRDefault="0096676F" w:rsidP="0096676F">
      <w:pPr>
        <w:pStyle w:val="3Bodytext"/>
        <w:rPr>
          <w:i/>
        </w:rPr>
      </w:pPr>
      <w:r w:rsidRPr="00175DCB">
        <w:t>Mogamulizumab</w:t>
      </w:r>
      <w:r w:rsidR="00A01432" w:rsidRPr="00175DCB">
        <w:t xml:space="preserve"> was previ</w:t>
      </w:r>
      <w:r w:rsidRPr="00175DCB">
        <w:t>ously considered for this indication by the PBAC at its July 2020</w:t>
      </w:r>
      <w:r w:rsidR="00A01432" w:rsidRPr="00175DCB">
        <w:t xml:space="preserve"> meeting. </w:t>
      </w:r>
    </w:p>
    <w:p w:rsidR="00A01432" w:rsidRPr="00175DCB" w:rsidRDefault="00A01432" w:rsidP="00917D69">
      <w:pPr>
        <w:pStyle w:val="3Bodytext"/>
        <w:rPr>
          <w:lang w:eastAsia="en-US"/>
        </w:rPr>
      </w:pPr>
      <w:r w:rsidRPr="00175DCB">
        <w:rPr>
          <w:lang w:eastAsia="en-US"/>
        </w:rPr>
        <w:t>A summary of the previous submission and current submission is provided in the table below.</w:t>
      </w:r>
    </w:p>
    <w:p w:rsidR="00A01432" w:rsidRPr="00175DCB" w:rsidRDefault="00B6617C" w:rsidP="00917D69">
      <w:pPr>
        <w:pStyle w:val="Tabletitles"/>
        <w:keepNext/>
        <w:rPr>
          <w:lang w:eastAsia="en-US"/>
        </w:rPr>
      </w:pPr>
      <w:r w:rsidRPr="00175DCB">
        <w:rPr>
          <w:rFonts w:eastAsiaTheme="majorEastAsia"/>
        </w:rPr>
        <w:t>Table 2</w:t>
      </w:r>
      <w:r w:rsidR="00A673A4" w:rsidRPr="00175DCB">
        <w:rPr>
          <w:rFonts w:eastAsiaTheme="majorEastAsia"/>
        </w:rPr>
        <w:t xml:space="preserve">: </w:t>
      </w:r>
      <w:r w:rsidR="00A01432" w:rsidRPr="00175DCB">
        <w:rPr>
          <w:lang w:eastAsia="en-US"/>
        </w:rPr>
        <w:t>Sum</w:t>
      </w:r>
      <w:r w:rsidR="0096676F" w:rsidRPr="00175DCB">
        <w:rPr>
          <w:lang w:eastAsia="en-US"/>
        </w:rPr>
        <w:t>mary of the previous submission</w:t>
      </w:r>
      <w:r w:rsidR="00A01432" w:rsidRPr="00175DCB">
        <w:rPr>
          <w:lang w:eastAsia="en-US"/>
        </w:rPr>
        <w:t xml:space="preserve"> and current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16"/>
        <w:gridCol w:w="4082"/>
        <w:gridCol w:w="3918"/>
      </w:tblGrid>
      <w:tr w:rsidR="0096676F" w:rsidRPr="00175DCB" w:rsidTr="0096676F">
        <w:trPr>
          <w:cantSplit/>
          <w:trHeight w:val="220"/>
          <w:tblHeader/>
        </w:trPr>
        <w:tc>
          <w:tcPr>
            <w:tcW w:w="563" w:type="pct"/>
            <w:tcBorders>
              <w:top w:val="single" w:sz="4" w:space="0" w:color="auto"/>
              <w:left w:val="single" w:sz="4" w:space="0" w:color="auto"/>
              <w:bottom w:val="single" w:sz="4" w:space="0" w:color="auto"/>
              <w:right w:val="single" w:sz="4" w:space="0" w:color="auto"/>
            </w:tcBorders>
          </w:tcPr>
          <w:p w:rsidR="0096676F" w:rsidRPr="00175DCB" w:rsidRDefault="0096676F" w:rsidP="00B6617C">
            <w:pPr>
              <w:pStyle w:val="TableText0"/>
              <w:keepNext w:val="0"/>
            </w:pPr>
          </w:p>
        </w:tc>
        <w:tc>
          <w:tcPr>
            <w:tcW w:w="2264" w:type="pct"/>
            <w:tcBorders>
              <w:top w:val="single" w:sz="4" w:space="0" w:color="auto"/>
              <w:left w:val="single" w:sz="4" w:space="0" w:color="auto"/>
              <w:bottom w:val="single" w:sz="4" w:space="0" w:color="auto"/>
              <w:right w:val="single" w:sz="4" w:space="0" w:color="auto"/>
            </w:tcBorders>
            <w:vAlign w:val="center"/>
            <w:hideMark/>
          </w:tcPr>
          <w:p w:rsidR="0096676F" w:rsidRPr="00175DCB" w:rsidRDefault="0096676F" w:rsidP="00B6617C">
            <w:pPr>
              <w:pStyle w:val="TableText0"/>
              <w:keepNext w:val="0"/>
              <w:rPr>
                <w:b/>
              </w:rPr>
            </w:pPr>
            <w:r w:rsidRPr="00175DCB">
              <w:rPr>
                <w:b/>
              </w:rPr>
              <w:t>July 2020</w:t>
            </w:r>
            <w:r w:rsidRPr="00175DCB">
              <w:rPr>
                <w:b/>
                <w:color w:val="FF0000"/>
              </w:rPr>
              <w:t xml:space="preserve"> </w:t>
            </w:r>
            <w:r w:rsidRPr="00175DCB">
              <w:rPr>
                <w:b/>
              </w:rPr>
              <w:t>submission</w:t>
            </w:r>
          </w:p>
        </w:tc>
        <w:tc>
          <w:tcPr>
            <w:tcW w:w="2173" w:type="pct"/>
            <w:tcBorders>
              <w:top w:val="single" w:sz="4" w:space="0" w:color="auto"/>
              <w:left w:val="single" w:sz="4" w:space="0" w:color="auto"/>
              <w:bottom w:val="single" w:sz="4" w:space="0" w:color="auto"/>
              <w:right w:val="single" w:sz="4" w:space="0" w:color="auto"/>
            </w:tcBorders>
            <w:vAlign w:val="center"/>
            <w:hideMark/>
          </w:tcPr>
          <w:p w:rsidR="0096676F" w:rsidRPr="00175DCB" w:rsidRDefault="0096676F" w:rsidP="00B6617C">
            <w:pPr>
              <w:pStyle w:val="TableText0"/>
              <w:keepNext w:val="0"/>
              <w:rPr>
                <w:b/>
              </w:rPr>
            </w:pPr>
            <w:r w:rsidRPr="00175DCB">
              <w:rPr>
                <w:b/>
              </w:rPr>
              <w:t>Current resubmission</w:t>
            </w:r>
          </w:p>
        </w:tc>
      </w:tr>
      <w:tr w:rsidR="0096676F" w:rsidRPr="00175DCB" w:rsidTr="0096676F">
        <w:trPr>
          <w:cantSplit/>
          <w:trHeight w:val="525"/>
        </w:trPr>
        <w:tc>
          <w:tcPr>
            <w:tcW w:w="563" w:type="pct"/>
            <w:tcBorders>
              <w:top w:val="single" w:sz="4" w:space="0" w:color="auto"/>
              <w:left w:val="single" w:sz="4" w:space="0" w:color="auto"/>
              <w:bottom w:val="single" w:sz="4" w:space="0" w:color="auto"/>
              <w:right w:val="single" w:sz="4" w:space="0" w:color="auto"/>
            </w:tcBorders>
            <w:hideMark/>
          </w:tcPr>
          <w:p w:rsidR="0096676F" w:rsidRPr="00175DCB" w:rsidRDefault="0096676F" w:rsidP="00B6617C">
            <w:pPr>
              <w:pStyle w:val="TableText0"/>
              <w:keepNext w:val="0"/>
            </w:pPr>
            <w:r w:rsidRPr="00175DCB">
              <w:t>Requested PBS listing</w:t>
            </w:r>
          </w:p>
        </w:tc>
        <w:tc>
          <w:tcPr>
            <w:tcW w:w="2264" w:type="pct"/>
            <w:tcBorders>
              <w:top w:val="single" w:sz="4" w:space="0" w:color="auto"/>
              <w:left w:val="single" w:sz="4" w:space="0" w:color="auto"/>
              <w:bottom w:val="single" w:sz="4" w:space="0" w:color="auto"/>
              <w:right w:val="single" w:sz="4" w:space="0" w:color="auto"/>
            </w:tcBorders>
          </w:tcPr>
          <w:p w:rsidR="0096676F" w:rsidRPr="00175DCB" w:rsidRDefault="00C67985" w:rsidP="00B6617C">
            <w:pPr>
              <w:pStyle w:val="TableText0"/>
              <w:keepNext w:val="0"/>
            </w:pPr>
            <w:r w:rsidRPr="00175DCB">
              <w:t>Monotherapy, for relapsed or refractory CTCL (irrespective of subtype) after at least one prior systemic therapy</w:t>
            </w:r>
            <w:r w:rsidRPr="00175DCB">
              <w:rPr>
                <w:color w:val="000000" w:themeColor="text1"/>
              </w:rPr>
              <w:t xml:space="preserve">. </w:t>
            </w:r>
          </w:p>
        </w:tc>
        <w:tc>
          <w:tcPr>
            <w:tcW w:w="2173" w:type="pct"/>
            <w:tcBorders>
              <w:top w:val="single" w:sz="4" w:space="0" w:color="auto"/>
              <w:left w:val="single" w:sz="4" w:space="0" w:color="auto"/>
              <w:bottom w:val="single" w:sz="4" w:space="0" w:color="auto"/>
              <w:right w:val="single" w:sz="4" w:space="0" w:color="auto"/>
            </w:tcBorders>
          </w:tcPr>
          <w:p w:rsidR="0096676F" w:rsidRPr="00175DCB" w:rsidRDefault="00C67985" w:rsidP="00B6617C">
            <w:pPr>
              <w:pStyle w:val="TableText0"/>
              <w:keepNext w:val="0"/>
            </w:pPr>
            <w:r w:rsidRPr="00175DCB">
              <w:t>Monotherapy, for relapsed or refractory CTCL patients with MF or SS after at least one prior systemic therapy</w:t>
            </w:r>
            <w:r w:rsidRPr="00175DCB">
              <w:rPr>
                <w:color w:val="000000" w:themeColor="text1"/>
              </w:rPr>
              <w:t>.</w:t>
            </w:r>
          </w:p>
        </w:tc>
      </w:tr>
      <w:tr w:rsidR="0096676F" w:rsidRPr="00175DCB" w:rsidTr="0096676F">
        <w:trPr>
          <w:cantSplit/>
          <w:trHeight w:val="422"/>
        </w:trPr>
        <w:tc>
          <w:tcPr>
            <w:tcW w:w="563" w:type="pct"/>
            <w:tcBorders>
              <w:top w:val="single" w:sz="4" w:space="0" w:color="auto"/>
              <w:left w:val="single" w:sz="4" w:space="0" w:color="auto"/>
              <w:bottom w:val="single" w:sz="4" w:space="0" w:color="auto"/>
              <w:right w:val="single" w:sz="4" w:space="0" w:color="auto"/>
            </w:tcBorders>
            <w:hideMark/>
          </w:tcPr>
          <w:p w:rsidR="0096676F" w:rsidRPr="00175DCB" w:rsidRDefault="0096676F" w:rsidP="00B6617C">
            <w:pPr>
              <w:pStyle w:val="TableText0"/>
              <w:keepNext w:val="0"/>
            </w:pPr>
            <w:r w:rsidRPr="00175DCB">
              <w:t>Requested effective DPMQs</w:t>
            </w:r>
          </w:p>
        </w:tc>
        <w:tc>
          <w:tcPr>
            <w:tcW w:w="2264" w:type="pct"/>
            <w:tcBorders>
              <w:top w:val="single" w:sz="4" w:space="0" w:color="auto"/>
              <w:left w:val="single" w:sz="4" w:space="0" w:color="auto"/>
              <w:bottom w:val="single" w:sz="4" w:space="0" w:color="auto"/>
              <w:right w:val="single" w:sz="4" w:space="0" w:color="auto"/>
            </w:tcBorders>
          </w:tcPr>
          <w:p w:rsidR="00C67985" w:rsidRPr="00DE546F" w:rsidRDefault="00C67985" w:rsidP="00B6617C">
            <w:pPr>
              <w:pStyle w:val="Table"/>
              <w:rPr>
                <w:rFonts w:ascii="Arial Narrow" w:hAnsi="Arial Narrow"/>
                <w:szCs w:val="24"/>
                <w:lang w:eastAsia="en-AU" w:bidi="ar-SA"/>
              </w:rPr>
            </w:pPr>
            <w:r w:rsidRPr="00175DCB">
              <w:rPr>
                <w:rFonts w:ascii="Arial Narrow" w:hAnsi="Arial Narrow"/>
                <w:szCs w:val="24"/>
                <w:lang w:eastAsia="en-AU" w:bidi="ar-SA"/>
              </w:rPr>
              <w:t xml:space="preserve">Public: $ </w:t>
            </w:r>
            <w:r w:rsidR="00DE546F">
              <w:rPr>
                <w:rFonts w:ascii="Arial Narrow" w:hAnsi="Arial Narrow"/>
                <w:noProof/>
                <w:color w:val="000000"/>
                <w:szCs w:val="24"/>
                <w:highlight w:val="black"/>
                <w:lang w:eastAsia="en-AU" w:bidi="ar-SA"/>
              </w:rPr>
              <w:t>''''''''''''''''''''''</w:t>
            </w:r>
          </w:p>
          <w:p w:rsidR="0096676F" w:rsidRPr="00175DCB" w:rsidRDefault="00C67985" w:rsidP="00B6617C">
            <w:pPr>
              <w:pStyle w:val="TableText0"/>
              <w:keepNext w:val="0"/>
              <w:rPr>
                <w:snapToGrid w:val="0"/>
                <w:lang w:eastAsia="en-US"/>
              </w:rPr>
            </w:pPr>
            <w:r w:rsidRPr="00175DCB">
              <w:t xml:space="preserve">Private: $ </w:t>
            </w:r>
            <w:r w:rsidR="00DE546F">
              <w:rPr>
                <w:noProof/>
                <w:color w:val="000000"/>
                <w:highlight w:val="black"/>
              </w:rPr>
              <w:t>'''''''''''''''''''</w:t>
            </w:r>
          </w:p>
        </w:tc>
        <w:tc>
          <w:tcPr>
            <w:tcW w:w="2173" w:type="pct"/>
            <w:tcBorders>
              <w:top w:val="single" w:sz="4" w:space="0" w:color="auto"/>
              <w:left w:val="single" w:sz="4" w:space="0" w:color="auto"/>
              <w:bottom w:val="single" w:sz="4" w:space="0" w:color="auto"/>
              <w:right w:val="single" w:sz="4" w:space="0" w:color="auto"/>
            </w:tcBorders>
          </w:tcPr>
          <w:p w:rsidR="00C67985" w:rsidRPr="00175DCB" w:rsidRDefault="00C67985" w:rsidP="00B6617C">
            <w:pPr>
              <w:pStyle w:val="Table"/>
              <w:rPr>
                <w:rFonts w:ascii="Arial Narrow" w:hAnsi="Arial Narrow"/>
                <w:bCs/>
                <w:szCs w:val="24"/>
                <w:lang w:eastAsia="en-AU" w:bidi="ar-SA"/>
              </w:rPr>
            </w:pPr>
            <w:r w:rsidRPr="00175DCB">
              <w:rPr>
                <w:rFonts w:ascii="Arial Narrow" w:hAnsi="Arial Narrow"/>
                <w:bCs/>
                <w:szCs w:val="24"/>
                <w:lang w:eastAsia="en-AU" w:bidi="ar-SA"/>
              </w:rPr>
              <w:t xml:space="preserve">Public: $ </w:t>
            </w:r>
            <w:r w:rsidR="00DE546F">
              <w:rPr>
                <w:rFonts w:ascii="Arial Narrow" w:hAnsi="Arial Narrow"/>
                <w:bCs/>
                <w:noProof/>
                <w:color w:val="000000"/>
                <w:szCs w:val="24"/>
                <w:highlight w:val="black"/>
                <w:lang w:eastAsia="en-AU" w:bidi="ar-SA"/>
              </w:rPr>
              <w:t>'''''''''''''''''''''</w:t>
            </w:r>
          </w:p>
          <w:p w:rsidR="0096676F" w:rsidRPr="00175DCB" w:rsidRDefault="00C67985" w:rsidP="00B6617C">
            <w:pPr>
              <w:pStyle w:val="TableText0"/>
              <w:keepNext w:val="0"/>
              <w:rPr>
                <w:snapToGrid w:val="0"/>
                <w:lang w:eastAsia="en-US"/>
              </w:rPr>
            </w:pPr>
            <w:r w:rsidRPr="00175DCB">
              <w:t xml:space="preserve">Private: $ </w:t>
            </w:r>
            <w:r w:rsidR="00DE546F">
              <w:rPr>
                <w:noProof/>
                <w:color w:val="000000"/>
                <w:highlight w:val="black"/>
              </w:rPr>
              <w:t>''''''''''''''''''''</w:t>
            </w:r>
          </w:p>
        </w:tc>
      </w:tr>
      <w:tr w:rsidR="0096676F" w:rsidRPr="00175DCB" w:rsidTr="00C67985">
        <w:trPr>
          <w:cantSplit/>
          <w:trHeight w:val="492"/>
        </w:trPr>
        <w:tc>
          <w:tcPr>
            <w:tcW w:w="563" w:type="pct"/>
            <w:tcBorders>
              <w:top w:val="single" w:sz="4" w:space="0" w:color="auto"/>
              <w:left w:val="single" w:sz="4" w:space="0" w:color="auto"/>
              <w:bottom w:val="single" w:sz="4" w:space="0" w:color="auto"/>
              <w:right w:val="single" w:sz="4" w:space="0" w:color="auto"/>
            </w:tcBorders>
            <w:hideMark/>
          </w:tcPr>
          <w:p w:rsidR="0096676F" w:rsidRPr="00175DCB" w:rsidRDefault="0096676F" w:rsidP="00B6617C">
            <w:pPr>
              <w:pStyle w:val="TableText0"/>
              <w:keepNext w:val="0"/>
            </w:pPr>
            <w:r w:rsidRPr="00175DCB">
              <w:t>Comparator</w:t>
            </w:r>
          </w:p>
        </w:tc>
        <w:tc>
          <w:tcPr>
            <w:tcW w:w="2264" w:type="pct"/>
            <w:tcBorders>
              <w:top w:val="single" w:sz="4" w:space="0" w:color="auto"/>
              <w:left w:val="single" w:sz="4" w:space="0" w:color="auto"/>
              <w:bottom w:val="single" w:sz="4" w:space="0" w:color="auto"/>
              <w:right w:val="single" w:sz="4" w:space="0" w:color="auto"/>
            </w:tcBorders>
          </w:tcPr>
          <w:p w:rsidR="00C67985" w:rsidRPr="00A47EA3" w:rsidRDefault="00C67985" w:rsidP="00B6617C">
            <w:pPr>
              <w:pStyle w:val="Table"/>
              <w:rPr>
                <w:rStyle w:val="Small"/>
                <w:rFonts w:ascii="Arial Narrow" w:hAnsi="Arial Narrow" w:cs="Arial"/>
                <w:szCs w:val="20"/>
              </w:rPr>
            </w:pPr>
            <w:r w:rsidRPr="00175DCB">
              <w:rPr>
                <w:rStyle w:val="Small"/>
                <w:rFonts w:ascii="Arial Narrow" w:hAnsi="Arial Narrow" w:cs="Arial"/>
                <w:b/>
                <w:szCs w:val="20"/>
              </w:rPr>
              <w:t>Primary</w:t>
            </w:r>
            <w:r w:rsidRPr="00175DCB">
              <w:rPr>
                <w:rStyle w:val="Small"/>
                <w:rFonts w:ascii="Arial Narrow" w:hAnsi="Arial Narrow" w:cs="Arial"/>
                <w:szCs w:val="20"/>
              </w:rPr>
              <w:t xml:space="preserve">: Vorinostat </w:t>
            </w:r>
          </w:p>
          <w:p w:rsidR="0096676F" w:rsidRPr="00175DCB" w:rsidRDefault="00C67985" w:rsidP="00B6617C">
            <w:pPr>
              <w:pStyle w:val="Table"/>
              <w:rPr>
                <w:rStyle w:val="Small"/>
                <w:rFonts w:ascii="Arial Narrow" w:hAnsi="Arial Narrow" w:cs="Arial"/>
                <w:szCs w:val="20"/>
              </w:rPr>
            </w:pPr>
            <w:r w:rsidRPr="00175DCB">
              <w:rPr>
                <w:rStyle w:val="Small"/>
                <w:rFonts w:ascii="Arial Narrow" w:hAnsi="Arial Narrow" w:cs="Arial"/>
                <w:b/>
                <w:szCs w:val="20"/>
              </w:rPr>
              <w:t>Secondary</w:t>
            </w:r>
            <w:r w:rsidRPr="00175DCB">
              <w:rPr>
                <w:rStyle w:val="Small"/>
                <w:rFonts w:ascii="Arial Narrow" w:hAnsi="Arial Narrow" w:cs="Arial"/>
                <w:szCs w:val="20"/>
              </w:rPr>
              <w:t xml:space="preserve">: Brentuximab </w:t>
            </w:r>
            <w:r w:rsidR="00B6617C" w:rsidRPr="00175DCB">
              <w:rPr>
                <w:rStyle w:val="Small"/>
                <w:rFonts w:ascii="Arial Narrow" w:hAnsi="Arial Narrow" w:cs="Arial"/>
                <w:szCs w:val="20"/>
              </w:rPr>
              <w:t>vedotin</w:t>
            </w:r>
          </w:p>
          <w:p w:rsidR="00B6617C" w:rsidRPr="00175DCB" w:rsidRDefault="00B6617C" w:rsidP="00B6617C">
            <w:pPr>
              <w:pStyle w:val="Table"/>
              <w:rPr>
                <w:rStyle w:val="Small"/>
                <w:rFonts w:ascii="Arial Narrow" w:hAnsi="Arial Narrow" w:cs="Arial"/>
                <w:szCs w:val="20"/>
              </w:rPr>
            </w:pPr>
          </w:p>
          <w:p w:rsidR="00B6617C" w:rsidRPr="00175DCB" w:rsidRDefault="00B6617C" w:rsidP="00B6617C">
            <w:pPr>
              <w:pStyle w:val="3-BodyText"/>
              <w:numPr>
                <w:ilvl w:val="0"/>
                <w:numId w:val="0"/>
              </w:numPr>
              <w:rPr>
                <w:rFonts w:ascii="Arial Narrow" w:eastAsiaTheme="majorEastAsia" w:hAnsi="Arial Narrow" w:cstheme="majorBidi"/>
                <w:bCs/>
                <w:sz w:val="20"/>
                <w:szCs w:val="24"/>
              </w:rPr>
            </w:pPr>
            <w:r w:rsidRPr="00175DCB">
              <w:rPr>
                <w:rFonts w:ascii="Arial Narrow" w:eastAsiaTheme="majorEastAsia" w:hAnsi="Arial Narrow" w:cstheme="majorBidi"/>
                <w:bCs/>
                <w:sz w:val="20"/>
                <w:szCs w:val="24"/>
              </w:rPr>
              <w:t xml:space="preserve">The PBAC accepted the nomination of vorinostat as the main comparator and brentuximab vedotin as the secondary comparator (paragraph 7.3). </w:t>
            </w:r>
          </w:p>
        </w:tc>
        <w:tc>
          <w:tcPr>
            <w:tcW w:w="2173" w:type="pct"/>
            <w:tcBorders>
              <w:top w:val="single" w:sz="4" w:space="0" w:color="auto"/>
              <w:left w:val="single" w:sz="4" w:space="0" w:color="auto"/>
              <w:bottom w:val="single" w:sz="4" w:space="0" w:color="auto"/>
              <w:right w:val="single" w:sz="4" w:space="0" w:color="auto"/>
            </w:tcBorders>
          </w:tcPr>
          <w:p w:rsidR="0096676F" w:rsidRPr="00175DCB" w:rsidRDefault="00C67985" w:rsidP="00B6617C">
            <w:pPr>
              <w:pStyle w:val="TableText0"/>
              <w:keepNext w:val="0"/>
              <w:rPr>
                <w:snapToGrid w:val="0"/>
                <w:lang w:eastAsia="en-US"/>
              </w:rPr>
            </w:pPr>
            <w:r w:rsidRPr="00175DCB">
              <w:rPr>
                <w:snapToGrid w:val="0"/>
                <w:lang w:eastAsia="en-US"/>
              </w:rPr>
              <w:t>Unchanged</w:t>
            </w:r>
          </w:p>
        </w:tc>
      </w:tr>
      <w:tr w:rsidR="0096676F" w:rsidRPr="00175DCB" w:rsidTr="0096676F">
        <w:trPr>
          <w:cantSplit/>
          <w:trHeight w:val="860"/>
        </w:trPr>
        <w:tc>
          <w:tcPr>
            <w:tcW w:w="563" w:type="pct"/>
            <w:tcBorders>
              <w:top w:val="single" w:sz="4" w:space="0" w:color="auto"/>
              <w:left w:val="single" w:sz="4" w:space="0" w:color="auto"/>
              <w:bottom w:val="single" w:sz="4" w:space="0" w:color="auto"/>
              <w:right w:val="single" w:sz="4" w:space="0" w:color="auto"/>
            </w:tcBorders>
            <w:hideMark/>
          </w:tcPr>
          <w:p w:rsidR="0096676F" w:rsidRPr="00175DCB" w:rsidRDefault="0096676F" w:rsidP="00B6617C">
            <w:pPr>
              <w:pStyle w:val="TableText0"/>
              <w:keepNext w:val="0"/>
              <w:rPr>
                <w:highlight w:val="yellow"/>
              </w:rPr>
            </w:pPr>
            <w:r w:rsidRPr="00175DCB">
              <w:t>Clinical evidence</w:t>
            </w:r>
          </w:p>
        </w:tc>
        <w:tc>
          <w:tcPr>
            <w:tcW w:w="2264" w:type="pct"/>
            <w:tcBorders>
              <w:top w:val="single" w:sz="4" w:space="0" w:color="auto"/>
              <w:left w:val="single" w:sz="4" w:space="0" w:color="auto"/>
              <w:bottom w:val="single" w:sz="4" w:space="0" w:color="auto"/>
              <w:right w:val="single" w:sz="4" w:space="0" w:color="auto"/>
            </w:tcBorders>
          </w:tcPr>
          <w:p w:rsidR="00730A93" w:rsidRPr="00175DCB" w:rsidRDefault="005631F0" w:rsidP="00B6617C">
            <w:pPr>
              <w:pStyle w:val="TableText0"/>
              <w:keepNext w:val="0"/>
            </w:pPr>
            <w:r w:rsidRPr="00175DCB">
              <w:t>One mogamulizumab vs vorinostat</w:t>
            </w:r>
            <w:r w:rsidR="00730A93" w:rsidRPr="00175DCB">
              <w:t xml:space="preserve"> RCT (MAVORIC).</w:t>
            </w:r>
          </w:p>
          <w:p w:rsidR="00730A93" w:rsidRPr="00175DCB" w:rsidRDefault="00730A93" w:rsidP="00B6617C">
            <w:pPr>
              <w:pStyle w:val="TableText0"/>
              <w:keepNext w:val="0"/>
            </w:pPr>
            <w:r w:rsidRPr="00175DCB">
              <w:t xml:space="preserve">One mogamulizumab vs brentuximab vedotin RCT (ALCANZA). </w:t>
            </w:r>
          </w:p>
          <w:p w:rsidR="00730A93" w:rsidRPr="00175DCB" w:rsidRDefault="00730A93" w:rsidP="00B6617C">
            <w:pPr>
              <w:pStyle w:val="TableText0"/>
              <w:keepNext w:val="0"/>
            </w:pPr>
            <w:r w:rsidRPr="00175DCB">
              <w:t xml:space="preserve">Six supplementary non-randomised trials. </w:t>
            </w:r>
          </w:p>
          <w:p w:rsidR="000315E9" w:rsidRPr="00175DCB" w:rsidRDefault="000315E9" w:rsidP="00B6617C">
            <w:pPr>
              <w:pStyle w:val="TableText0"/>
              <w:keepNext w:val="0"/>
            </w:pPr>
          </w:p>
          <w:p w:rsidR="000315E9" w:rsidRPr="00175DCB" w:rsidRDefault="000315E9" w:rsidP="00B6617C">
            <w:pPr>
              <w:pStyle w:val="TableText0"/>
              <w:keepNext w:val="0"/>
            </w:pPr>
            <w:r w:rsidRPr="00175DCB">
              <w:rPr>
                <w:iCs/>
              </w:rPr>
              <w:t xml:space="preserve">The PBAC considered the key trial (MAVORIC) to have a high risk of bias due to </w:t>
            </w:r>
            <w:r w:rsidRPr="00175DCB">
              <w:rPr>
                <w:rFonts w:cs="Times New Roman"/>
              </w:rPr>
              <w:t>the open label design and level of crossover (paragraph 7.4).</w:t>
            </w:r>
          </w:p>
        </w:tc>
        <w:tc>
          <w:tcPr>
            <w:tcW w:w="2173" w:type="pct"/>
            <w:tcBorders>
              <w:top w:val="single" w:sz="4" w:space="0" w:color="auto"/>
              <w:left w:val="single" w:sz="4" w:space="0" w:color="auto"/>
              <w:bottom w:val="single" w:sz="4" w:space="0" w:color="auto"/>
              <w:right w:val="single" w:sz="4" w:space="0" w:color="auto"/>
            </w:tcBorders>
          </w:tcPr>
          <w:p w:rsidR="0096676F" w:rsidRPr="00175DCB" w:rsidRDefault="00730A93" w:rsidP="00B6617C">
            <w:pPr>
              <w:pStyle w:val="TableText0"/>
              <w:keepNext w:val="0"/>
            </w:pPr>
            <w:r w:rsidRPr="00175DCB">
              <w:t>Unchanged</w:t>
            </w:r>
          </w:p>
        </w:tc>
      </w:tr>
      <w:tr w:rsidR="0096676F" w:rsidRPr="00175DCB" w:rsidTr="0096676F">
        <w:trPr>
          <w:cantSplit/>
          <w:trHeight w:val="860"/>
        </w:trPr>
        <w:tc>
          <w:tcPr>
            <w:tcW w:w="563" w:type="pct"/>
            <w:tcBorders>
              <w:top w:val="single" w:sz="4" w:space="0" w:color="auto"/>
              <w:left w:val="single" w:sz="4" w:space="0" w:color="auto"/>
              <w:bottom w:val="single" w:sz="4" w:space="0" w:color="auto"/>
              <w:right w:val="single" w:sz="4" w:space="0" w:color="auto"/>
            </w:tcBorders>
            <w:hideMark/>
          </w:tcPr>
          <w:p w:rsidR="0096676F" w:rsidRPr="00175DCB" w:rsidRDefault="0096676F" w:rsidP="00B6617C">
            <w:pPr>
              <w:pStyle w:val="TableText0"/>
              <w:keepNext w:val="0"/>
              <w:rPr>
                <w:highlight w:val="yellow"/>
              </w:rPr>
            </w:pPr>
            <w:r w:rsidRPr="00175DCB">
              <w:t>Key effectiveness data</w:t>
            </w:r>
          </w:p>
        </w:tc>
        <w:tc>
          <w:tcPr>
            <w:tcW w:w="2264" w:type="pct"/>
            <w:tcBorders>
              <w:top w:val="single" w:sz="4" w:space="0" w:color="auto"/>
              <w:left w:val="single" w:sz="4" w:space="0" w:color="auto"/>
              <w:bottom w:val="single" w:sz="4" w:space="0" w:color="auto"/>
              <w:right w:val="single" w:sz="4" w:space="0" w:color="auto"/>
            </w:tcBorders>
          </w:tcPr>
          <w:p w:rsidR="00327C98" w:rsidRPr="00175DCB" w:rsidRDefault="00327C98" w:rsidP="00B6617C">
            <w:pPr>
              <w:pStyle w:val="TableText0"/>
              <w:keepNext w:val="0"/>
            </w:pPr>
            <w:r w:rsidRPr="00175DCB">
              <w:t>MAVORIC:</w:t>
            </w:r>
          </w:p>
          <w:p w:rsidR="00327C98" w:rsidRPr="00175DCB" w:rsidRDefault="004E6C04" w:rsidP="00BD5DC2">
            <w:pPr>
              <w:pStyle w:val="TableText0"/>
              <w:keepNext w:val="0"/>
              <w:rPr>
                <w:rFonts w:cs="Calibri"/>
              </w:rPr>
            </w:pPr>
            <w:r w:rsidRPr="00175DCB">
              <w:rPr>
                <w:rFonts w:cs="Calibri"/>
              </w:rPr>
              <w:t>Key effectiveness data from July 2020 repre</w:t>
            </w:r>
            <w:r w:rsidR="00757F45" w:rsidRPr="00175DCB">
              <w:rPr>
                <w:rFonts w:cs="Calibri"/>
              </w:rPr>
              <w:t>sented below (see paragraphs 5.4</w:t>
            </w:r>
            <w:r w:rsidRPr="00175DCB">
              <w:rPr>
                <w:rFonts w:cs="Calibri"/>
              </w:rPr>
              <w:t xml:space="preserve"> to 5.11) to provide context to the revised economic evaluation. </w:t>
            </w:r>
          </w:p>
        </w:tc>
        <w:tc>
          <w:tcPr>
            <w:tcW w:w="2173" w:type="pct"/>
            <w:tcBorders>
              <w:top w:val="single" w:sz="4" w:space="0" w:color="auto"/>
              <w:left w:val="single" w:sz="4" w:space="0" w:color="auto"/>
              <w:bottom w:val="single" w:sz="4" w:space="0" w:color="auto"/>
              <w:right w:val="single" w:sz="4" w:space="0" w:color="auto"/>
            </w:tcBorders>
          </w:tcPr>
          <w:p w:rsidR="0096676F" w:rsidRPr="00175DCB" w:rsidRDefault="00BD5DC2" w:rsidP="00B6617C">
            <w:pPr>
              <w:pStyle w:val="TableText0"/>
              <w:keepNext w:val="0"/>
            </w:pPr>
            <w:r w:rsidRPr="00175DCB">
              <w:t>Unchanged</w:t>
            </w:r>
          </w:p>
        </w:tc>
      </w:tr>
      <w:tr w:rsidR="0096676F" w:rsidRPr="00175DCB" w:rsidTr="0096676F">
        <w:trPr>
          <w:cantSplit/>
          <w:trHeight w:val="860"/>
        </w:trPr>
        <w:tc>
          <w:tcPr>
            <w:tcW w:w="563" w:type="pct"/>
            <w:tcBorders>
              <w:top w:val="single" w:sz="4" w:space="0" w:color="auto"/>
              <w:left w:val="single" w:sz="4" w:space="0" w:color="auto"/>
              <w:bottom w:val="single" w:sz="4" w:space="0" w:color="auto"/>
              <w:right w:val="single" w:sz="4" w:space="0" w:color="auto"/>
            </w:tcBorders>
            <w:hideMark/>
          </w:tcPr>
          <w:p w:rsidR="0096676F" w:rsidRPr="00175DCB" w:rsidRDefault="0096676F" w:rsidP="00B6617C">
            <w:pPr>
              <w:pStyle w:val="TableText0"/>
              <w:keepNext w:val="0"/>
            </w:pPr>
            <w:r w:rsidRPr="00175DCB">
              <w:t>Clinical claim</w:t>
            </w:r>
          </w:p>
        </w:tc>
        <w:tc>
          <w:tcPr>
            <w:tcW w:w="2264" w:type="pct"/>
            <w:tcBorders>
              <w:top w:val="single" w:sz="4" w:space="0" w:color="auto"/>
              <w:left w:val="single" w:sz="4" w:space="0" w:color="auto"/>
              <w:bottom w:val="single" w:sz="4" w:space="0" w:color="auto"/>
              <w:right w:val="single" w:sz="4" w:space="0" w:color="auto"/>
            </w:tcBorders>
          </w:tcPr>
          <w:p w:rsidR="00B6617C" w:rsidRPr="00175DCB" w:rsidRDefault="00C67985" w:rsidP="00AA1EAF">
            <w:pPr>
              <w:pStyle w:val="3-BodyText"/>
              <w:numPr>
                <w:ilvl w:val="0"/>
                <w:numId w:val="0"/>
              </w:numPr>
              <w:jc w:val="left"/>
              <w:rPr>
                <w:rFonts w:ascii="Arial Narrow" w:hAnsi="Arial Narrow" w:cs="Calibri"/>
                <w:iCs/>
                <w:sz w:val="20"/>
                <w:szCs w:val="20"/>
              </w:rPr>
            </w:pPr>
            <w:r w:rsidRPr="00175DCB">
              <w:rPr>
                <w:rFonts w:ascii="Arial Narrow" w:hAnsi="Arial Narrow" w:cstheme="majorBidi"/>
                <w:b/>
                <w:sz w:val="20"/>
                <w:szCs w:val="20"/>
              </w:rPr>
              <w:t>Primary:</w:t>
            </w:r>
            <w:r w:rsidRPr="00175DCB">
              <w:rPr>
                <w:rFonts w:ascii="Arial Narrow" w:hAnsi="Arial Narrow" w:cstheme="majorBidi"/>
                <w:sz w:val="20"/>
                <w:szCs w:val="20"/>
              </w:rPr>
              <w:t xml:space="preserve"> In patients with MF or </w:t>
            </w:r>
            <w:r w:rsidR="001C6B29" w:rsidRPr="00175DCB">
              <w:rPr>
                <w:rFonts w:ascii="Arial Narrow" w:hAnsi="Arial Narrow" w:cstheme="majorBidi"/>
                <w:sz w:val="20"/>
                <w:szCs w:val="20"/>
              </w:rPr>
              <w:t>SS, which</w:t>
            </w:r>
            <w:r w:rsidRPr="00175DCB">
              <w:rPr>
                <w:rFonts w:ascii="Arial Narrow" w:hAnsi="Arial Narrow" w:cstheme="majorBidi"/>
                <w:sz w:val="20"/>
                <w:szCs w:val="20"/>
              </w:rPr>
              <w:t xml:space="preserve"> is relapsed or refractory after at least one prior systemic therapy, mogamulizumab provides significantly and importantly superior effectiveness with non-</w:t>
            </w:r>
            <w:r w:rsidRPr="00175DCB">
              <w:rPr>
                <w:rFonts w:ascii="Arial Narrow" w:hAnsi="Arial Narrow" w:cs="Calibri"/>
                <w:iCs/>
                <w:sz w:val="20"/>
                <w:szCs w:val="20"/>
              </w:rPr>
              <w:t>inferior safety to the main comparator vorinostat.</w:t>
            </w:r>
          </w:p>
          <w:p w:rsidR="00B6617C" w:rsidRPr="00175DCB" w:rsidRDefault="00B6617C" w:rsidP="00AA1EAF">
            <w:pPr>
              <w:pStyle w:val="3-BodyText"/>
              <w:numPr>
                <w:ilvl w:val="0"/>
                <w:numId w:val="0"/>
              </w:numPr>
              <w:jc w:val="left"/>
              <w:rPr>
                <w:rFonts w:ascii="Arial Narrow" w:hAnsi="Arial Narrow"/>
                <w:szCs w:val="24"/>
              </w:rPr>
            </w:pPr>
            <w:r w:rsidRPr="00175DCB">
              <w:rPr>
                <w:rFonts w:ascii="Arial Narrow" w:hAnsi="Arial Narrow" w:cs="Calibri"/>
                <w:iCs/>
                <w:sz w:val="20"/>
                <w:szCs w:val="20"/>
              </w:rPr>
              <w:t>The PBAC considered</w:t>
            </w:r>
            <w:r w:rsidRPr="00175DCB">
              <w:rPr>
                <w:rFonts w:ascii="Arial Narrow" w:hAnsi="Arial Narrow"/>
                <w:sz w:val="20"/>
                <w:szCs w:val="20"/>
              </w:rPr>
              <w:t xml:space="preserve"> the extent of benefit, if any, for mogamulizumab versus vorinostat could not be determined from the available evidence, and therefore did not consider the claim of superior comparative effectiveness to be adequately supported (paragraph 7.7).</w:t>
            </w:r>
          </w:p>
          <w:p w:rsidR="00B6617C" w:rsidRPr="00175DCB" w:rsidRDefault="00B6617C" w:rsidP="00AA1EAF">
            <w:pPr>
              <w:pStyle w:val="3-BodyText"/>
              <w:numPr>
                <w:ilvl w:val="0"/>
                <w:numId w:val="0"/>
              </w:numPr>
              <w:jc w:val="left"/>
              <w:rPr>
                <w:rFonts w:ascii="Arial Narrow" w:hAnsi="Arial Narrow"/>
                <w:iCs/>
                <w:sz w:val="20"/>
                <w:szCs w:val="20"/>
              </w:rPr>
            </w:pPr>
            <w:r w:rsidRPr="00175DCB">
              <w:rPr>
                <w:rFonts w:ascii="Arial Narrow" w:hAnsi="Arial Narrow" w:cs="Calibri"/>
                <w:iCs/>
                <w:sz w:val="20"/>
                <w:szCs w:val="20"/>
              </w:rPr>
              <w:t>The PBAC considered that the claim of non-inferior comparative safety versus vorinostat was reasonable (paragraph 7.8).</w:t>
            </w:r>
          </w:p>
          <w:p w:rsidR="0096676F" w:rsidRPr="00A47EA3" w:rsidRDefault="00C67985" w:rsidP="00B6617C">
            <w:pPr>
              <w:pStyle w:val="TableText0"/>
              <w:keepNext w:val="0"/>
              <w:rPr>
                <w:rStyle w:val="Small"/>
                <w:rFonts w:cs="Arial"/>
                <w:szCs w:val="20"/>
              </w:rPr>
            </w:pPr>
            <w:r w:rsidRPr="00A47EA3">
              <w:rPr>
                <w:b/>
              </w:rPr>
              <w:t>Secondary</w:t>
            </w:r>
            <w:r w:rsidRPr="00175DCB">
              <w:t xml:space="preserve">: In patients with MF or </w:t>
            </w:r>
            <w:r w:rsidR="001C6B29" w:rsidRPr="00175DCB">
              <w:t>SS, which</w:t>
            </w:r>
            <w:r w:rsidRPr="00175DCB">
              <w:t xml:space="preserve"> is relapsed or refractory after at least one prior systemic therapy, mogamulizumab provides a qualitatively (but unquantifiably) different mix of efficacy and safety effects to the secondary comparator brentuximab</w:t>
            </w:r>
            <w:r w:rsidR="00B53D30" w:rsidRPr="00175DCB">
              <w:t xml:space="preserve"> vedotin</w:t>
            </w:r>
            <w:r w:rsidRPr="00175DCB">
              <w:t>.</w:t>
            </w:r>
            <w:r w:rsidRPr="00175DCB">
              <w:rPr>
                <w:rStyle w:val="Small"/>
                <w:rFonts w:cs="Arial"/>
                <w:szCs w:val="20"/>
              </w:rPr>
              <w:t> </w:t>
            </w:r>
          </w:p>
          <w:p w:rsidR="00B6617C" w:rsidRPr="00175DCB" w:rsidRDefault="00B6617C" w:rsidP="00B6617C">
            <w:pPr>
              <w:pStyle w:val="TableText0"/>
              <w:keepNext w:val="0"/>
              <w:rPr>
                <w:rStyle w:val="Small"/>
                <w:rFonts w:cs="Arial"/>
                <w:szCs w:val="20"/>
              </w:rPr>
            </w:pPr>
          </w:p>
          <w:p w:rsidR="00B6617C" w:rsidRPr="00175DCB" w:rsidRDefault="00B6617C" w:rsidP="00B6617C">
            <w:pPr>
              <w:pStyle w:val="TableText0"/>
              <w:keepNext w:val="0"/>
            </w:pPr>
            <w:r w:rsidRPr="00A47EA3">
              <w:rPr>
                <w:rFonts w:cs="Calibri"/>
                <w:iCs/>
              </w:rPr>
              <w:t>The PBAC reaffirmed its July 2018 advice that the comparison was uninformative on the basis that the trials presented – MAVORIC and ALCANZA – lacked a common treatment comparator and had different underlying populations (paragraph 7.9).</w:t>
            </w:r>
          </w:p>
        </w:tc>
        <w:tc>
          <w:tcPr>
            <w:tcW w:w="2173" w:type="pct"/>
            <w:tcBorders>
              <w:top w:val="single" w:sz="4" w:space="0" w:color="auto"/>
              <w:left w:val="single" w:sz="4" w:space="0" w:color="auto"/>
              <w:bottom w:val="single" w:sz="4" w:space="0" w:color="auto"/>
              <w:right w:val="single" w:sz="4" w:space="0" w:color="auto"/>
            </w:tcBorders>
          </w:tcPr>
          <w:p w:rsidR="0096676F" w:rsidRPr="00175DCB" w:rsidRDefault="00B6617C" w:rsidP="00B6617C">
            <w:pPr>
              <w:pStyle w:val="TableText0"/>
              <w:keepNext w:val="0"/>
            </w:pPr>
            <w:r w:rsidRPr="00175DCB">
              <w:t>Primary: unchanged</w:t>
            </w:r>
          </w:p>
          <w:p w:rsidR="00B6617C" w:rsidRPr="00175DCB" w:rsidRDefault="00B6617C" w:rsidP="00B6617C">
            <w:pPr>
              <w:pStyle w:val="TableText0"/>
              <w:keepNext w:val="0"/>
            </w:pPr>
          </w:p>
          <w:p w:rsidR="00B6617C" w:rsidRPr="00175DCB" w:rsidRDefault="00B6617C" w:rsidP="00B6617C">
            <w:pPr>
              <w:pStyle w:val="TableText0"/>
              <w:keepNext w:val="0"/>
            </w:pPr>
            <w:r w:rsidRPr="00175DCB">
              <w:t>Secondary: No formal claim made for brentuximab vedotin</w:t>
            </w:r>
          </w:p>
        </w:tc>
      </w:tr>
      <w:tr w:rsidR="0096676F" w:rsidRPr="00175DCB" w:rsidTr="00224E7B">
        <w:trPr>
          <w:cantSplit/>
          <w:trHeight w:val="860"/>
        </w:trPr>
        <w:tc>
          <w:tcPr>
            <w:tcW w:w="563" w:type="pct"/>
            <w:tcBorders>
              <w:top w:val="single" w:sz="4" w:space="0" w:color="auto"/>
              <w:left w:val="single" w:sz="4" w:space="0" w:color="auto"/>
              <w:bottom w:val="single" w:sz="4" w:space="0" w:color="auto"/>
              <w:right w:val="single" w:sz="4" w:space="0" w:color="auto"/>
            </w:tcBorders>
            <w:hideMark/>
          </w:tcPr>
          <w:p w:rsidR="0096676F" w:rsidRPr="00175DCB" w:rsidRDefault="0096676F" w:rsidP="00B6617C">
            <w:pPr>
              <w:pStyle w:val="TableText0"/>
              <w:keepNext w:val="0"/>
              <w:rPr>
                <w:highlight w:val="yellow"/>
              </w:rPr>
            </w:pPr>
            <w:r w:rsidRPr="00175DCB">
              <w:t>Economic evaluation</w:t>
            </w:r>
          </w:p>
        </w:tc>
        <w:tc>
          <w:tcPr>
            <w:tcW w:w="2264" w:type="pct"/>
            <w:tcBorders>
              <w:top w:val="single" w:sz="4" w:space="0" w:color="auto"/>
              <w:left w:val="single" w:sz="4" w:space="0" w:color="auto"/>
              <w:bottom w:val="single" w:sz="4" w:space="0" w:color="auto"/>
              <w:right w:val="single" w:sz="4" w:space="0" w:color="auto"/>
            </w:tcBorders>
          </w:tcPr>
          <w:p w:rsidR="0096676F" w:rsidRPr="00175DCB" w:rsidRDefault="00001393" w:rsidP="00B6617C">
            <w:pPr>
              <w:pStyle w:val="TableText0"/>
              <w:keepNext w:val="0"/>
            </w:pPr>
            <w:r w:rsidRPr="00175DCB">
              <w:t>C</w:t>
            </w:r>
            <w:r w:rsidR="00317E2B" w:rsidRPr="00175DCB">
              <w:t>ost-utility</w:t>
            </w:r>
            <w:r w:rsidRPr="00175DCB">
              <w:t xml:space="preserve"> analysis versus vorinostat.</w:t>
            </w:r>
          </w:p>
          <w:p w:rsidR="00224E7B" w:rsidRPr="00175DCB" w:rsidRDefault="00224E7B" w:rsidP="00B6617C">
            <w:pPr>
              <w:pStyle w:val="TableText0"/>
              <w:keepNext w:val="0"/>
            </w:pPr>
            <w:r w:rsidRPr="00175DCB">
              <w:t>Base case ICER: $</w:t>
            </w:r>
            <w:r w:rsidR="00DE546F">
              <w:rPr>
                <w:noProof/>
                <w:color w:val="000000"/>
                <w:highlight w:val="black"/>
              </w:rPr>
              <w:t>'''''''''''''''''</w:t>
            </w:r>
            <w:r w:rsidR="00BF1C23">
              <w:rPr>
                <w:vertAlign w:val="superscript"/>
              </w:rPr>
              <w:t>1</w:t>
            </w:r>
            <w:r w:rsidRPr="00175DCB">
              <w:t>/QALY</w:t>
            </w:r>
          </w:p>
          <w:p w:rsidR="00001393" w:rsidRPr="00175DCB" w:rsidRDefault="00001393" w:rsidP="00B6617C">
            <w:pPr>
              <w:pStyle w:val="TableText0"/>
              <w:keepNext w:val="0"/>
            </w:pPr>
          </w:p>
          <w:p w:rsidR="00001393" w:rsidRPr="00175DCB" w:rsidRDefault="00001393" w:rsidP="00B6617C">
            <w:pPr>
              <w:pStyle w:val="TableText0"/>
              <w:keepNext w:val="0"/>
            </w:pPr>
            <w:r w:rsidRPr="00175DCB">
              <w:rPr>
                <w:rFonts w:cs="Calibri"/>
                <w:iCs/>
              </w:rPr>
              <w:t xml:space="preserve">The PBAC considered the ICER </w:t>
            </w:r>
            <w:r w:rsidRPr="00175DCB">
              <w:rPr>
                <w:iCs/>
              </w:rPr>
              <w:t xml:space="preserve">unacceptably high and uncertain and advised that </w:t>
            </w:r>
            <w:r w:rsidRPr="00175DCB">
              <w:rPr>
                <w:rFonts w:cs="Calibri"/>
                <w:iCs/>
              </w:rPr>
              <w:t>a cost-utility analysis may not be an appropriate method to determine the cost-effectiveness of mogamulizumab based on the data presented (paragraph 7.10).</w:t>
            </w:r>
          </w:p>
        </w:tc>
        <w:tc>
          <w:tcPr>
            <w:tcW w:w="2173" w:type="pct"/>
            <w:tcBorders>
              <w:top w:val="single" w:sz="4" w:space="0" w:color="auto"/>
              <w:left w:val="single" w:sz="4" w:space="0" w:color="auto"/>
              <w:bottom w:val="single" w:sz="4" w:space="0" w:color="auto"/>
              <w:right w:val="single" w:sz="4" w:space="0" w:color="auto"/>
            </w:tcBorders>
          </w:tcPr>
          <w:p w:rsidR="00224E7B" w:rsidRPr="00175DCB" w:rsidRDefault="00317E2B" w:rsidP="00224E7B">
            <w:pPr>
              <w:pStyle w:val="TableText0"/>
              <w:keepNext w:val="0"/>
            </w:pPr>
            <w:r w:rsidRPr="00175DCB">
              <w:t>Cost-effectiveness evaluation using a trial-based c</w:t>
            </w:r>
            <w:r w:rsidR="00326ACB" w:rsidRPr="00175DCB">
              <w:t xml:space="preserve">ost per </w:t>
            </w:r>
            <w:r w:rsidRPr="00175DCB">
              <w:t>responder approach.</w:t>
            </w:r>
          </w:p>
          <w:p w:rsidR="0096676F" w:rsidRPr="00B46CB6" w:rsidRDefault="00224E7B" w:rsidP="00224E7B">
            <w:pPr>
              <w:pStyle w:val="TableText0"/>
              <w:keepNext w:val="0"/>
              <w:rPr>
                <w:i/>
                <w:vertAlign w:val="superscript"/>
              </w:rPr>
            </w:pPr>
            <w:r w:rsidRPr="00175DCB">
              <w:t>Base case ICER: $</w:t>
            </w:r>
            <w:r w:rsidR="00DE546F">
              <w:rPr>
                <w:noProof/>
                <w:color w:val="000000"/>
                <w:highlight w:val="black"/>
              </w:rPr>
              <w:t>''''''''''''''''''</w:t>
            </w:r>
            <w:r w:rsidR="00BF1C23">
              <w:rPr>
                <w:vertAlign w:val="superscript"/>
              </w:rPr>
              <w:t>2</w:t>
            </w:r>
            <w:r w:rsidR="00757F45" w:rsidRPr="00175DCB">
              <w:br/>
              <w:t>Co</w:t>
            </w:r>
            <w:r w:rsidR="004028C2" w:rsidRPr="00175DCB">
              <w:t>rrected base case ICER: $</w:t>
            </w:r>
            <w:r w:rsidR="00DE546F">
              <w:rPr>
                <w:noProof/>
                <w:color w:val="000000"/>
                <w:highlight w:val="black"/>
              </w:rPr>
              <w:t>'''''''''''''''''''</w:t>
            </w:r>
            <w:r w:rsidR="00BF1C23">
              <w:rPr>
                <w:vertAlign w:val="superscript"/>
              </w:rPr>
              <w:t>3</w:t>
            </w:r>
          </w:p>
          <w:p w:rsidR="00317E2B" w:rsidRPr="00175DCB" w:rsidRDefault="00317E2B" w:rsidP="00224E7B">
            <w:pPr>
              <w:pStyle w:val="TableText0"/>
              <w:keepNext w:val="0"/>
            </w:pPr>
          </w:p>
        </w:tc>
      </w:tr>
      <w:tr w:rsidR="0096676F" w:rsidRPr="00175DCB" w:rsidTr="0096676F">
        <w:trPr>
          <w:cantSplit/>
          <w:trHeight w:val="416"/>
        </w:trPr>
        <w:tc>
          <w:tcPr>
            <w:tcW w:w="563" w:type="pct"/>
            <w:tcBorders>
              <w:top w:val="single" w:sz="4" w:space="0" w:color="auto"/>
              <w:left w:val="single" w:sz="4" w:space="0" w:color="auto"/>
              <w:bottom w:val="single" w:sz="4" w:space="0" w:color="auto"/>
              <w:right w:val="single" w:sz="4" w:space="0" w:color="auto"/>
            </w:tcBorders>
            <w:hideMark/>
          </w:tcPr>
          <w:p w:rsidR="0096676F" w:rsidRPr="00175DCB" w:rsidRDefault="0096676F" w:rsidP="00B6617C">
            <w:pPr>
              <w:pStyle w:val="TableText0"/>
              <w:keepNext w:val="0"/>
              <w:rPr>
                <w:highlight w:val="yellow"/>
              </w:rPr>
            </w:pPr>
            <w:r w:rsidRPr="00175DCB">
              <w:t>Number of patients</w:t>
            </w:r>
          </w:p>
        </w:tc>
        <w:tc>
          <w:tcPr>
            <w:tcW w:w="2264" w:type="pct"/>
            <w:tcBorders>
              <w:top w:val="single" w:sz="4" w:space="0" w:color="auto"/>
              <w:left w:val="single" w:sz="4" w:space="0" w:color="auto"/>
              <w:bottom w:val="single" w:sz="4" w:space="0" w:color="auto"/>
              <w:right w:val="single" w:sz="4" w:space="0" w:color="auto"/>
            </w:tcBorders>
          </w:tcPr>
          <w:p w:rsidR="00001393" w:rsidRPr="00175DCB" w:rsidRDefault="00001393" w:rsidP="00B6617C">
            <w:pPr>
              <w:pStyle w:val="TableText0"/>
              <w:keepNext w:val="0"/>
            </w:pPr>
            <w:r w:rsidRPr="00175DCB">
              <w:t xml:space="preserve">Year 1: 22 patients </w:t>
            </w:r>
          </w:p>
          <w:p w:rsidR="0096676F" w:rsidRPr="00175DCB" w:rsidRDefault="00001393" w:rsidP="00B6617C">
            <w:pPr>
              <w:pStyle w:val="TableText0"/>
              <w:keepNext w:val="0"/>
            </w:pPr>
            <w:r w:rsidRPr="00175DCB">
              <w:t xml:space="preserve">Year 6: 68 patients  </w:t>
            </w:r>
          </w:p>
          <w:p w:rsidR="00001393" w:rsidRPr="00175DCB" w:rsidRDefault="00001393" w:rsidP="00B6617C">
            <w:pPr>
              <w:pStyle w:val="TableText0"/>
              <w:keepNext w:val="0"/>
            </w:pPr>
          </w:p>
          <w:p w:rsidR="00001393" w:rsidRPr="00175DCB" w:rsidRDefault="00001393" w:rsidP="00B6617C">
            <w:pPr>
              <w:pStyle w:val="TableText0"/>
              <w:keepNext w:val="0"/>
            </w:pPr>
            <w:r w:rsidRPr="00175DCB">
              <w:rPr>
                <w:rFonts w:cs="Calibri"/>
                <w:iCs/>
              </w:rPr>
              <w:t>The PBAC considered the estimates to be uncertain due to unjustified assumptions regarding the proportion of patients eligible for treatment and the displacement effect from mogamulizumab (paragraph 7.11).</w:t>
            </w:r>
          </w:p>
        </w:tc>
        <w:tc>
          <w:tcPr>
            <w:tcW w:w="2173" w:type="pct"/>
            <w:tcBorders>
              <w:top w:val="single" w:sz="4" w:space="0" w:color="auto"/>
              <w:left w:val="single" w:sz="4" w:space="0" w:color="auto"/>
              <w:bottom w:val="single" w:sz="4" w:space="0" w:color="auto"/>
              <w:right w:val="single" w:sz="4" w:space="0" w:color="auto"/>
            </w:tcBorders>
          </w:tcPr>
          <w:p w:rsidR="0096676F" w:rsidRPr="009D45CB" w:rsidRDefault="00317E2B" w:rsidP="00B6617C">
            <w:pPr>
              <w:pStyle w:val="TableText0"/>
              <w:keepNext w:val="0"/>
              <w:rPr>
                <w:vertAlign w:val="superscript"/>
              </w:rPr>
            </w:pPr>
            <w:r w:rsidRPr="00175DCB">
              <w:t xml:space="preserve">Year 1: </w:t>
            </w:r>
            <w:r w:rsidR="003B44E6">
              <w:rPr>
                <w:noProof/>
                <w:color w:val="000000"/>
                <w:highlight w:val="black"/>
              </w:rPr>
              <w:t>'''''''</w:t>
            </w:r>
            <w:r w:rsidR="009D45CB" w:rsidRPr="009D45CB">
              <w:rPr>
                <w:vertAlign w:val="superscript"/>
              </w:rPr>
              <w:t>5</w:t>
            </w:r>
          </w:p>
          <w:p w:rsidR="00317E2B" w:rsidRPr="009D45CB" w:rsidRDefault="00317E2B" w:rsidP="00B6617C">
            <w:pPr>
              <w:pStyle w:val="TableText0"/>
              <w:keepNext w:val="0"/>
              <w:rPr>
                <w:vertAlign w:val="superscript"/>
              </w:rPr>
            </w:pPr>
            <w:r w:rsidRPr="00175DCB">
              <w:t xml:space="preserve">Year 6: </w:t>
            </w:r>
            <w:r w:rsidR="003B44E6">
              <w:rPr>
                <w:noProof/>
                <w:color w:val="000000"/>
                <w:highlight w:val="black"/>
              </w:rPr>
              <w:t>'''''''</w:t>
            </w:r>
            <w:r w:rsidR="009D45CB" w:rsidRPr="009D45CB">
              <w:rPr>
                <w:vertAlign w:val="superscript"/>
              </w:rPr>
              <w:t>5</w:t>
            </w:r>
          </w:p>
        </w:tc>
      </w:tr>
      <w:tr w:rsidR="0096676F" w:rsidRPr="00175DCB" w:rsidTr="0096676F">
        <w:trPr>
          <w:cantSplit/>
          <w:trHeight w:val="416"/>
        </w:trPr>
        <w:tc>
          <w:tcPr>
            <w:tcW w:w="563" w:type="pct"/>
            <w:tcBorders>
              <w:top w:val="single" w:sz="4" w:space="0" w:color="auto"/>
              <w:left w:val="single" w:sz="4" w:space="0" w:color="auto"/>
              <w:bottom w:val="single" w:sz="4" w:space="0" w:color="auto"/>
              <w:right w:val="single" w:sz="4" w:space="0" w:color="auto"/>
            </w:tcBorders>
            <w:hideMark/>
          </w:tcPr>
          <w:p w:rsidR="0096676F" w:rsidRPr="00175DCB" w:rsidRDefault="0096676F" w:rsidP="00B6617C">
            <w:pPr>
              <w:pStyle w:val="TableText0"/>
              <w:keepNext w:val="0"/>
              <w:rPr>
                <w:highlight w:val="yellow"/>
              </w:rPr>
            </w:pPr>
            <w:r w:rsidRPr="00175DCB">
              <w:t>Estimated net cost to PBS</w:t>
            </w:r>
            <w:r w:rsidR="00757F45" w:rsidRPr="00175DCB">
              <w:t>/RPBS</w:t>
            </w:r>
          </w:p>
        </w:tc>
        <w:tc>
          <w:tcPr>
            <w:tcW w:w="2264" w:type="pct"/>
            <w:tcBorders>
              <w:top w:val="single" w:sz="4" w:space="0" w:color="auto"/>
              <w:left w:val="single" w:sz="4" w:space="0" w:color="auto"/>
              <w:bottom w:val="single" w:sz="4" w:space="0" w:color="auto"/>
              <w:right w:val="single" w:sz="4" w:space="0" w:color="auto"/>
            </w:tcBorders>
          </w:tcPr>
          <w:p w:rsidR="0096676F" w:rsidRPr="00B46CB6" w:rsidRDefault="00001393" w:rsidP="00B6617C">
            <w:pPr>
              <w:pStyle w:val="TableText0"/>
              <w:keepNext w:val="0"/>
              <w:rPr>
                <w:szCs w:val="20"/>
                <w:vertAlign w:val="superscript"/>
              </w:rPr>
            </w:pPr>
            <w:r w:rsidRPr="00175DCB">
              <w:t xml:space="preserve">Year 1: </w:t>
            </w:r>
            <w:r w:rsidRPr="00175DCB">
              <w:rPr>
                <w:szCs w:val="20"/>
              </w:rPr>
              <w:t>$</w:t>
            </w:r>
            <w:r w:rsidR="00DE546F">
              <w:rPr>
                <w:noProof/>
                <w:color w:val="000000"/>
                <w:szCs w:val="20"/>
                <w:highlight w:val="black"/>
              </w:rPr>
              <w:t>'''''''''''''''''''''''</w:t>
            </w:r>
            <w:r w:rsidR="00BF1C23">
              <w:rPr>
                <w:szCs w:val="20"/>
                <w:vertAlign w:val="superscript"/>
              </w:rPr>
              <w:t>4</w:t>
            </w:r>
          </w:p>
          <w:p w:rsidR="00001393" w:rsidRPr="00B46CB6" w:rsidRDefault="00001393" w:rsidP="00B6617C">
            <w:pPr>
              <w:pStyle w:val="TableText0"/>
              <w:keepNext w:val="0"/>
              <w:rPr>
                <w:vertAlign w:val="superscript"/>
              </w:rPr>
            </w:pPr>
            <w:r w:rsidRPr="00175DCB">
              <w:rPr>
                <w:szCs w:val="20"/>
              </w:rPr>
              <w:t>Year 6: $</w:t>
            </w:r>
            <w:r w:rsidR="00DE546F">
              <w:rPr>
                <w:noProof/>
                <w:color w:val="000000"/>
                <w:szCs w:val="20"/>
                <w:highlight w:val="black"/>
              </w:rPr>
              <w:t>'''''''''''''''''''''''</w:t>
            </w:r>
            <w:r w:rsidR="00BF1C23">
              <w:rPr>
                <w:szCs w:val="20"/>
                <w:vertAlign w:val="superscript"/>
              </w:rPr>
              <w:t>4</w:t>
            </w:r>
          </w:p>
        </w:tc>
        <w:tc>
          <w:tcPr>
            <w:tcW w:w="2173" w:type="pct"/>
            <w:tcBorders>
              <w:top w:val="single" w:sz="4" w:space="0" w:color="auto"/>
              <w:left w:val="single" w:sz="4" w:space="0" w:color="auto"/>
              <w:bottom w:val="single" w:sz="4" w:space="0" w:color="auto"/>
              <w:right w:val="single" w:sz="4" w:space="0" w:color="auto"/>
            </w:tcBorders>
          </w:tcPr>
          <w:p w:rsidR="0096676F" w:rsidRPr="00B46CB6" w:rsidRDefault="005631F0" w:rsidP="00B6617C">
            <w:pPr>
              <w:pStyle w:val="TableText0"/>
              <w:keepNext w:val="0"/>
              <w:rPr>
                <w:vertAlign w:val="superscript"/>
              </w:rPr>
            </w:pPr>
            <w:r w:rsidRPr="00175DCB">
              <w:t>Year 1: $</w:t>
            </w:r>
            <w:r w:rsidR="00DE546F">
              <w:rPr>
                <w:noProof/>
                <w:color w:val="000000"/>
                <w:highlight w:val="black"/>
              </w:rPr>
              <w:t>''''''''''''''''''''''</w:t>
            </w:r>
            <w:r w:rsidR="00BF1C23">
              <w:rPr>
                <w:vertAlign w:val="superscript"/>
              </w:rPr>
              <w:t>4</w:t>
            </w:r>
          </w:p>
          <w:p w:rsidR="005631F0" w:rsidRPr="00B46CB6" w:rsidRDefault="005631F0" w:rsidP="00B6617C">
            <w:pPr>
              <w:pStyle w:val="TableText0"/>
              <w:keepNext w:val="0"/>
              <w:rPr>
                <w:vertAlign w:val="superscript"/>
              </w:rPr>
            </w:pPr>
            <w:r w:rsidRPr="00175DCB">
              <w:t>Year 6: $</w:t>
            </w:r>
            <w:r w:rsidR="00DE546F">
              <w:rPr>
                <w:noProof/>
                <w:color w:val="000000"/>
                <w:highlight w:val="black"/>
              </w:rPr>
              <w:t>'''''''''''''''''''''''</w:t>
            </w:r>
            <w:r w:rsidR="00BF1C23">
              <w:rPr>
                <w:vertAlign w:val="superscript"/>
              </w:rPr>
              <w:t>4</w:t>
            </w:r>
          </w:p>
          <w:p w:rsidR="00757F45" w:rsidRPr="00175DCB" w:rsidRDefault="00757F45" w:rsidP="00B6617C">
            <w:pPr>
              <w:pStyle w:val="TableText0"/>
              <w:keepNext w:val="0"/>
            </w:pPr>
          </w:p>
          <w:p w:rsidR="00757F45" w:rsidRPr="00175DCB" w:rsidRDefault="00757F45" w:rsidP="00B6617C">
            <w:pPr>
              <w:pStyle w:val="TableText0"/>
              <w:keepNext w:val="0"/>
            </w:pPr>
            <w:r w:rsidRPr="00175DCB">
              <w:t>Corrected</w:t>
            </w:r>
          </w:p>
          <w:p w:rsidR="00757F45" w:rsidRPr="00B46CB6" w:rsidRDefault="00757F45" w:rsidP="00B6617C">
            <w:pPr>
              <w:pStyle w:val="TableText0"/>
              <w:keepNext w:val="0"/>
              <w:rPr>
                <w:vertAlign w:val="superscript"/>
              </w:rPr>
            </w:pPr>
            <w:r w:rsidRPr="00175DCB">
              <w:t>Year 1: $</w:t>
            </w:r>
            <w:r w:rsidR="00DE546F">
              <w:rPr>
                <w:noProof/>
                <w:color w:val="000000"/>
                <w:highlight w:val="black"/>
              </w:rPr>
              <w:t>'''''''''''''''''''''''</w:t>
            </w:r>
            <w:r w:rsidR="00BF1C23">
              <w:rPr>
                <w:vertAlign w:val="superscript"/>
              </w:rPr>
              <w:t>4</w:t>
            </w:r>
          </w:p>
          <w:p w:rsidR="00757F45" w:rsidRPr="00B46CB6" w:rsidRDefault="00757F45" w:rsidP="00B6617C">
            <w:pPr>
              <w:pStyle w:val="TableText0"/>
              <w:keepNext w:val="0"/>
              <w:rPr>
                <w:i/>
                <w:vertAlign w:val="superscript"/>
              </w:rPr>
            </w:pPr>
            <w:r w:rsidRPr="00175DCB">
              <w:t>Year 6: $</w:t>
            </w:r>
            <w:r w:rsidR="00DE546F">
              <w:rPr>
                <w:noProof/>
                <w:color w:val="000000"/>
                <w:highlight w:val="black"/>
              </w:rPr>
              <w:t>'''''''''''''''''''''''''</w:t>
            </w:r>
            <w:r w:rsidR="00BF1C23">
              <w:rPr>
                <w:vertAlign w:val="superscript"/>
              </w:rPr>
              <w:t>4</w:t>
            </w:r>
          </w:p>
        </w:tc>
      </w:tr>
      <w:tr w:rsidR="0096676F" w:rsidRPr="00175DCB" w:rsidTr="0096676F">
        <w:trPr>
          <w:cantSplit/>
          <w:trHeight w:val="416"/>
        </w:trPr>
        <w:tc>
          <w:tcPr>
            <w:tcW w:w="563" w:type="pct"/>
            <w:tcBorders>
              <w:top w:val="single" w:sz="4" w:space="0" w:color="auto"/>
              <w:left w:val="single" w:sz="4" w:space="0" w:color="auto"/>
              <w:bottom w:val="single" w:sz="4" w:space="0" w:color="auto"/>
              <w:right w:val="single" w:sz="4" w:space="0" w:color="auto"/>
            </w:tcBorders>
            <w:hideMark/>
          </w:tcPr>
          <w:p w:rsidR="0096676F" w:rsidRPr="00175DCB" w:rsidRDefault="0096676F" w:rsidP="00B6617C">
            <w:pPr>
              <w:pStyle w:val="TableText0"/>
              <w:keepNext w:val="0"/>
            </w:pPr>
            <w:r w:rsidRPr="00175DCB">
              <w:t>Risk sharing arrangement</w:t>
            </w:r>
          </w:p>
        </w:tc>
        <w:tc>
          <w:tcPr>
            <w:tcW w:w="2264" w:type="pct"/>
            <w:tcBorders>
              <w:top w:val="single" w:sz="4" w:space="0" w:color="auto"/>
              <w:left w:val="single" w:sz="4" w:space="0" w:color="auto"/>
              <w:bottom w:val="single" w:sz="4" w:space="0" w:color="auto"/>
              <w:right w:val="single" w:sz="4" w:space="0" w:color="auto"/>
            </w:tcBorders>
          </w:tcPr>
          <w:p w:rsidR="0096676F" w:rsidRPr="00175DCB" w:rsidRDefault="00001393" w:rsidP="00B6617C">
            <w:pPr>
              <w:pStyle w:val="TableText0"/>
              <w:keepNext w:val="0"/>
            </w:pPr>
            <w:r w:rsidRPr="00175DCB">
              <w:t xml:space="preserve">None proposed </w:t>
            </w:r>
          </w:p>
        </w:tc>
        <w:tc>
          <w:tcPr>
            <w:tcW w:w="2173" w:type="pct"/>
            <w:tcBorders>
              <w:top w:val="single" w:sz="4" w:space="0" w:color="auto"/>
              <w:left w:val="single" w:sz="4" w:space="0" w:color="auto"/>
              <w:bottom w:val="single" w:sz="4" w:space="0" w:color="auto"/>
              <w:right w:val="single" w:sz="4" w:space="0" w:color="auto"/>
            </w:tcBorders>
          </w:tcPr>
          <w:p w:rsidR="0096676F" w:rsidRPr="00175DCB" w:rsidRDefault="005631F0" w:rsidP="00B6617C">
            <w:pPr>
              <w:pStyle w:val="TableText0"/>
              <w:keepNext w:val="0"/>
            </w:pPr>
            <w:r w:rsidRPr="00175DCB">
              <w:t>None proposed</w:t>
            </w:r>
          </w:p>
        </w:tc>
      </w:tr>
      <w:tr w:rsidR="0096676F" w:rsidRPr="00175DCB" w:rsidTr="0096676F">
        <w:trPr>
          <w:cantSplit/>
          <w:trHeight w:val="860"/>
        </w:trPr>
        <w:tc>
          <w:tcPr>
            <w:tcW w:w="563" w:type="pct"/>
            <w:tcBorders>
              <w:top w:val="single" w:sz="4" w:space="0" w:color="auto"/>
              <w:left w:val="single" w:sz="4" w:space="0" w:color="auto"/>
              <w:bottom w:val="single" w:sz="4" w:space="0" w:color="auto"/>
              <w:right w:val="single" w:sz="4" w:space="0" w:color="auto"/>
            </w:tcBorders>
            <w:hideMark/>
          </w:tcPr>
          <w:p w:rsidR="0096676F" w:rsidRPr="00175DCB" w:rsidRDefault="0096676F" w:rsidP="009E2E8E">
            <w:pPr>
              <w:pStyle w:val="TableText0"/>
              <w:rPr>
                <w:highlight w:val="yellow"/>
              </w:rPr>
            </w:pPr>
            <w:r w:rsidRPr="00175DCB">
              <w:rPr>
                <w:highlight w:val="yellow"/>
              </w:rPr>
              <w:br w:type="page"/>
            </w:r>
            <w:r w:rsidRPr="00175DCB">
              <w:t>PBAC decision</w:t>
            </w:r>
          </w:p>
        </w:tc>
        <w:tc>
          <w:tcPr>
            <w:tcW w:w="2264" w:type="pct"/>
            <w:tcBorders>
              <w:top w:val="single" w:sz="4" w:space="0" w:color="auto"/>
              <w:left w:val="single" w:sz="4" w:space="0" w:color="auto"/>
              <w:bottom w:val="single" w:sz="4" w:space="0" w:color="auto"/>
              <w:right w:val="single" w:sz="4" w:space="0" w:color="auto"/>
            </w:tcBorders>
            <w:hideMark/>
          </w:tcPr>
          <w:p w:rsidR="0096676F" w:rsidRPr="00175DCB" w:rsidRDefault="0096676F" w:rsidP="00545130">
            <w:pPr>
              <w:pStyle w:val="TableText0"/>
              <w:rPr>
                <w:bCs w:val="0"/>
              </w:rPr>
            </w:pPr>
            <w:r w:rsidRPr="00175DCB">
              <w:rPr>
                <w:bCs w:val="0"/>
              </w:rPr>
              <w:t>Reject</w:t>
            </w:r>
            <w:r w:rsidR="00175DCB">
              <w:rPr>
                <w:bCs w:val="0"/>
              </w:rPr>
              <w:t xml:space="preserve">. </w:t>
            </w:r>
          </w:p>
          <w:p w:rsidR="0096676F" w:rsidRPr="00175DCB" w:rsidRDefault="0096676F" w:rsidP="007C4E83">
            <w:pPr>
              <w:pStyle w:val="TableText0"/>
              <w:rPr>
                <w:iCs/>
              </w:rPr>
            </w:pPr>
            <w:r w:rsidRPr="00175DCB">
              <w:rPr>
                <w:bCs w:val="0"/>
              </w:rPr>
              <w:t xml:space="preserve">PBAC Comment: </w:t>
            </w:r>
            <w:r w:rsidR="007C4E83" w:rsidRPr="00175DCB">
              <w:rPr>
                <w:bCs w:val="0"/>
              </w:rPr>
              <w:t>T</w:t>
            </w:r>
            <w:r w:rsidRPr="00175DCB">
              <w:rPr>
                <w:bCs w:val="0"/>
              </w:rPr>
              <w:t>he PBAC did not recommend the listing of mogamulizumab for the treatment of patients with relapsed or refractory CTCL. The PBAC considered that the extent of benefit for mogamulizumab in term</w:t>
            </w:r>
            <w:r w:rsidR="006F06A1" w:rsidRPr="00175DCB">
              <w:rPr>
                <w:bCs w:val="0"/>
              </w:rPr>
              <w:t>s of PFS and OS</w:t>
            </w:r>
            <w:r w:rsidRPr="00175DCB">
              <w:rPr>
                <w:bCs w:val="0"/>
              </w:rPr>
              <w:t xml:space="preserve"> was uncertain. In addition</w:t>
            </w:r>
            <w:r w:rsidR="006F06A1" w:rsidRPr="00175DCB">
              <w:rPr>
                <w:bCs w:val="0"/>
              </w:rPr>
              <w:t>, the PBAC considered the ICER</w:t>
            </w:r>
            <w:r w:rsidRPr="00175DCB">
              <w:rPr>
                <w:bCs w:val="0"/>
              </w:rPr>
              <w:t xml:space="preserve"> was unacceptably high and uncertain at the proposed price, and the estimated financial impact was uncertain</w:t>
            </w:r>
            <w:r w:rsidR="007C4E83" w:rsidRPr="00175DCB">
              <w:rPr>
                <w:bCs w:val="0"/>
              </w:rPr>
              <w:t xml:space="preserve"> (paragraph 7.1)</w:t>
            </w:r>
            <w:r w:rsidRPr="00175DCB">
              <w:rPr>
                <w:bCs w:val="0"/>
              </w:rPr>
              <w:t>.</w:t>
            </w:r>
          </w:p>
        </w:tc>
        <w:tc>
          <w:tcPr>
            <w:tcW w:w="2173" w:type="pct"/>
            <w:tcBorders>
              <w:top w:val="single" w:sz="4" w:space="0" w:color="auto"/>
              <w:left w:val="single" w:sz="4" w:space="0" w:color="auto"/>
              <w:bottom w:val="single" w:sz="4" w:space="0" w:color="auto"/>
              <w:right w:val="single" w:sz="4" w:space="0" w:color="auto"/>
            </w:tcBorders>
            <w:hideMark/>
          </w:tcPr>
          <w:p w:rsidR="0096676F" w:rsidRPr="00175DCB" w:rsidRDefault="0096676F">
            <w:pPr>
              <w:pStyle w:val="TableText0"/>
            </w:pPr>
            <w:r w:rsidRPr="00175DCB">
              <w:br w:type="page"/>
              <w:t>-</w:t>
            </w:r>
          </w:p>
        </w:tc>
      </w:tr>
    </w:tbl>
    <w:p w:rsidR="00A01432" w:rsidRDefault="00A01432" w:rsidP="00917D69">
      <w:pPr>
        <w:pStyle w:val="TableFigureFooter"/>
        <w:keepNext/>
        <w:rPr>
          <w:lang w:eastAsia="en-US"/>
        </w:rPr>
      </w:pPr>
      <w:r w:rsidRPr="00175DCB">
        <w:rPr>
          <w:lang w:eastAsia="en-US"/>
        </w:rPr>
        <w:t>S</w:t>
      </w:r>
      <w:r w:rsidR="002751D7" w:rsidRPr="00175DCB">
        <w:rPr>
          <w:lang w:eastAsia="en-US"/>
        </w:rPr>
        <w:t>ource: Compiled d</w:t>
      </w:r>
      <w:r w:rsidR="00D17227" w:rsidRPr="00175DCB">
        <w:rPr>
          <w:lang w:eastAsia="en-US"/>
        </w:rPr>
        <w:t>uring the development of the minor overview</w:t>
      </w:r>
      <w:r w:rsidR="00001393" w:rsidRPr="00175DCB">
        <w:rPr>
          <w:lang w:eastAsia="en-US"/>
        </w:rPr>
        <w:t>. Paragraph references for July 2020</w:t>
      </w:r>
      <w:r w:rsidRPr="00175DCB">
        <w:rPr>
          <w:color w:val="FF0000"/>
          <w:lang w:eastAsia="en-US"/>
        </w:rPr>
        <w:t xml:space="preserve"> </w:t>
      </w:r>
      <w:r w:rsidR="00001393" w:rsidRPr="00175DCB">
        <w:rPr>
          <w:lang w:eastAsia="en-US"/>
        </w:rPr>
        <w:t xml:space="preserve">refer to the mogamulizumab </w:t>
      </w:r>
      <w:r w:rsidR="00F420D6">
        <w:rPr>
          <w:lang w:eastAsia="en-US"/>
        </w:rPr>
        <w:t>PSD</w:t>
      </w:r>
      <w:r w:rsidRPr="00175DCB">
        <w:rPr>
          <w:lang w:eastAsia="en-US"/>
        </w:rPr>
        <w:t xml:space="preserve">. </w:t>
      </w:r>
    </w:p>
    <w:p w:rsidR="00BF1C23" w:rsidRPr="00B46CB6" w:rsidRDefault="00BF1C23" w:rsidP="00917D69">
      <w:pPr>
        <w:pStyle w:val="TableFigureFooter"/>
        <w:keepNext/>
        <w:rPr>
          <w:i/>
          <w:lang w:eastAsia="en-US"/>
        </w:rPr>
      </w:pPr>
      <w:r w:rsidRPr="00B46CB6">
        <w:rPr>
          <w:i/>
          <w:lang w:eastAsia="en-US"/>
        </w:rPr>
        <w:t>The redacted values correspond to the following ranges:</w:t>
      </w:r>
    </w:p>
    <w:p w:rsidR="00BF1C23" w:rsidRPr="00B46CB6" w:rsidRDefault="00BF1C23" w:rsidP="00917D69">
      <w:pPr>
        <w:pStyle w:val="TableFigureFooter"/>
        <w:keepNext/>
        <w:rPr>
          <w:i/>
          <w:lang w:eastAsia="en-US"/>
        </w:rPr>
      </w:pPr>
      <w:r w:rsidRPr="00B46CB6">
        <w:rPr>
          <w:i/>
          <w:vertAlign w:val="superscript"/>
          <w:lang w:eastAsia="en-US"/>
        </w:rPr>
        <w:t>1</w:t>
      </w:r>
      <w:r w:rsidRPr="00B46CB6">
        <w:rPr>
          <w:i/>
          <w:lang w:eastAsia="en-US"/>
        </w:rPr>
        <w:t>$55,000 to &lt;$75,000/QALY gained</w:t>
      </w:r>
    </w:p>
    <w:p w:rsidR="00BF1C23" w:rsidRPr="00B46CB6" w:rsidRDefault="00BF1C23" w:rsidP="00917D69">
      <w:pPr>
        <w:pStyle w:val="TableFigureFooter"/>
        <w:keepNext/>
        <w:rPr>
          <w:i/>
          <w:lang w:eastAsia="en-US"/>
        </w:rPr>
      </w:pPr>
      <w:r w:rsidRPr="00B46CB6">
        <w:rPr>
          <w:i/>
          <w:vertAlign w:val="superscript"/>
          <w:lang w:eastAsia="en-US"/>
        </w:rPr>
        <w:t>2</w:t>
      </w:r>
      <w:r w:rsidRPr="00B46CB6">
        <w:rPr>
          <w:i/>
          <w:lang w:eastAsia="en-US"/>
        </w:rPr>
        <w:t>$155,000 to &lt;$255,000/QALY gained</w:t>
      </w:r>
    </w:p>
    <w:p w:rsidR="00BF1C23" w:rsidRPr="00B46CB6" w:rsidRDefault="00BF1C23" w:rsidP="00917D69">
      <w:pPr>
        <w:pStyle w:val="TableFigureFooter"/>
        <w:keepNext/>
        <w:rPr>
          <w:i/>
          <w:lang w:eastAsia="en-US"/>
        </w:rPr>
      </w:pPr>
      <w:r w:rsidRPr="00B46CB6">
        <w:rPr>
          <w:i/>
          <w:vertAlign w:val="superscript"/>
          <w:lang w:eastAsia="en-US"/>
        </w:rPr>
        <w:t>3</w:t>
      </w:r>
      <w:r w:rsidRPr="00B46CB6">
        <w:rPr>
          <w:i/>
          <w:lang w:eastAsia="en-US"/>
        </w:rPr>
        <w:t>$255,000 to &lt;$355,000/QALY gained</w:t>
      </w:r>
    </w:p>
    <w:p w:rsidR="00BF1C23" w:rsidRDefault="00BF1C23" w:rsidP="00917D69">
      <w:pPr>
        <w:pStyle w:val="TableFigureFooter"/>
        <w:keepNext/>
        <w:rPr>
          <w:i/>
          <w:lang w:eastAsia="en-US"/>
        </w:rPr>
      </w:pPr>
      <w:r w:rsidRPr="00B46CB6">
        <w:rPr>
          <w:i/>
          <w:vertAlign w:val="superscript"/>
          <w:lang w:eastAsia="en-US"/>
        </w:rPr>
        <w:t>4</w:t>
      </w:r>
      <w:r w:rsidRPr="00B46CB6">
        <w:rPr>
          <w:i/>
          <w:lang w:eastAsia="en-US"/>
        </w:rPr>
        <w:t>$0 to &lt;$10 million</w:t>
      </w:r>
    </w:p>
    <w:p w:rsidR="009D45CB" w:rsidRPr="009D45CB" w:rsidRDefault="009D45CB" w:rsidP="00917D69">
      <w:pPr>
        <w:pStyle w:val="TableFigureFooter"/>
        <w:keepNext/>
        <w:rPr>
          <w:i/>
          <w:lang w:eastAsia="en-US"/>
        </w:rPr>
      </w:pPr>
      <w:r>
        <w:rPr>
          <w:i/>
          <w:vertAlign w:val="superscript"/>
          <w:lang w:eastAsia="en-US"/>
        </w:rPr>
        <w:t>5</w:t>
      </w:r>
      <w:r>
        <w:rPr>
          <w:i/>
          <w:lang w:eastAsia="en-US"/>
        </w:rPr>
        <w:t>&lt;500</w:t>
      </w:r>
    </w:p>
    <w:p w:rsidR="00A01432" w:rsidRPr="00175DCB" w:rsidRDefault="00A01432" w:rsidP="00A01432">
      <w:pPr>
        <w:rPr>
          <w:rFonts w:ascii="Arial" w:hAnsi="Arial"/>
          <w:b/>
          <w:sz w:val="22"/>
          <w:szCs w:val="22"/>
        </w:rPr>
      </w:pPr>
    </w:p>
    <w:p w:rsidR="00A01432" w:rsidRPr="00175DCB" w:rsidRDefault="00A01432" w:rsidP="00917D69">
      <w:pPr>
        <w:pStyle w:val="Tabletitles"/>
        <w:keepNext/>
      </w:pPr>
      <w:r w:rsidRPr="00175DCB">
        <w:t>Table</w:t>
      </w:r>
      <w:r w:rsidR="002A1EF7" w:rsidRPr="00175DCB">
        <w:t xml:space="preserve"> </w:t>
      </w:r>
      <w:r w:rsidR="005631F0" w:rsidRPr="00175DCB">
        <w:rPr>
          <w:rFonts w:eastAsiaTheme="majorEastAsia"/>
        </w:rPr>
        <w:t>3</w:t>
      </w:r>
      <w:r w:rsidR="002A1EF7" w:rsidRPr="00175DCB">
        <w:rPr>
          <w:rFonts w:eastAsiaTheme="majorEastAsia"/>
        </w:rPr>
        <w:t>:</w:t>
      </w:r>
      <w:r w:rsidRPr="00175DCB">
        <w:t xml:space="preserve"> PBAC matters of concern in previous consideration (</w:t>
      </w:r>
      <w:r w:rsidR="005631F0" w:rsidRPr="00175DCB">
        <w:t>July 2020</w:t>
      </w:r>
      <w:r w:rsidRPr="00175DC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106"/>
        <w:gridCol w:w="4910"/>
      </w:tblGrid>
      <w:tr w:rsidR="00A01432" w:rsidRPr="00175DCB" w:rsidTr="00917D69">
        <w:trPr>
          <w:trHeight w:val="240"/>
        </w:trPr>
        <w:tc>
          <w:tcPr>
            <w:tcW w:w="4106" w:type="dxa"/>
            <w:tcBorders>
              <w:top w:val="single" w:sz="4" w:space="0" w:color="auto"/>
              <w:left w:val="single" w:sz="4" w:space="0" w:color="auto"/>
              <w:bottom w:val="single" w:sz="4" w:space="0" w:color="auto"/>
              <w:right w:val="single" w:sz="4" w:space="0" w:color="auto"/>
            </w:tcBorders>
            <w:hideMark/>
          </w:tcPr>
          <w:p w:rsidR="00A01432" w:rsidRPr="00175DCB" w:rsidRDefault="00A01432" w:rsidP="00917D69">
            <w:pPr>
              <w:pStyle w:val="TableText0"/>
              <w:rPr>
                <w:b/>
              </w:rPr>
            </w:pPr>
            <w:r w:rsidRPr="00175DCB">
              <w:rPr>
                <w:b/>
              </w:rPr>
              <w:t>Matters of concern</w:t>
            </w:r>
          </w:p>
        </w:tc>
        <w:tc>
          <w:tcPr>
            <w:tcW w:w="4910" w:type="dxa"/>
            <w:tcBorders>
              <w:top w:val="single" w:sz="4" w:space="0" w:color="auto"/>
              <w:left w:val="single" w:sz="4" w:space="0" w:color="auto"/>
              <w:bottom w:val="single" w:sz="4" w:space="0" w:color="auto"/>
              <w:right w:val="single" w:sz="4" w:space="0" w:color="auto"/>
            </w:tcBorders>
            <w:hideMark/>
          </w:tcPr>
          <w:p w:rsidR="00A01432" w:rsidRPr="00175DCB" w:rsidRDefault="00A01432" w:rsidP="00917D69">
            <w:pPr>
              <w:pStyle w:val="TableText0"/>
              <w:rPr>
                <w:b/>
              </w:rPr>
            </w:pPr>
            <w:r w:rsidRPr="00175DCB">
              <w:rPr>
                <w:b/>
              </w:rPr>
              <w:t>How the resubmission addresses it</w:t>
            </w:r>
          </w:p>
        </w:tc>
      </w:tr>
      <w:tr w:rsidR="00A01432" w:rsidRPr="00175DCB" w:rsidTr="00917D69">
        <w:trPr>
          <w:trHeight w:val="788"/>
        </w:trPr>
        <w:tc>
          <w:tcPr>
            <w:tcW w:w="4106" w:type="dxa"/>
            <w:tcBorders>
              <w:top w:val="single" w:sz="4" w:space="0" w:color="auto"/>
              <w:left w:val="single" w:sz="4" w:space="0" w:color="auto"/>
              <w:bottom w:val="single" w:sz="4" w:space="0" w:color="auto"/>
              <w:right w:val="single" w:sz="4" w:space="0" w:color="auto"/>
            </w:tcBorders>
            <w:hideMark/>
          </w:tcPr>
          <w:p w:rsidR="00A01432" w:rsidRPr="00175DCB" w:rsidRDefault="00CF24DE" w:rsidP="00917D69">
            <w:pPr>
              <w:pStyle w:val="TableText0"/>
              <w:rPr>
                <w:bCs w:val="0"/>
              </w:rPr>
            </w:pPr>
            <w:r w:rsidRPr="00175DCB">
              <w:rPr>
                <w:bCs w:val="0"/>
              </w:rPr>
              <w:t>The PBAC considered it would be appropriate to exclude PBS subsidised access to mogamulizumab for CTCL subtypes such as LyP and pcALCL where ≥ 95% of patients were alive at 5 years from a resubmission restriction (paragraph 7.12)</w:t>
            </w:r>
          </w:p>
        </w:tc>
        <w:tc>
          <w:tcPr>
            <w:tcW w:w="4910" w:type="dxa"/>
            <w:tcBorders>
              <w:top w:val="single" w:sz="4" w:space="0" w:color="auto"/>
              <w:left w:val="single" w:sz="4" w:space="0" w:color="auto"/>
              <w:bottom w:val="single" w:sz="4" w:space="0" w:color="auto"/>
              <w:right w:val="single" w:sz="4" w:space="0" w:color="auto"/>
            </w:tcBorders>
          </w:tcPr>
          <w:p w:rsidR="00A01432" w:rsidRPr="00175DCB" w:rsidRDefault="00CF24DE" w:rsidP="00917D69">
            <w:pPr>
              <w:pStyle w:val="TableText0"/>
            </w:pPr>
            <w:r w:rsidRPr="00175DCB">
              <w:t>Requested PBS listing restricted to relapsed or refractory CTCL patients with MF or SS after at least one prior systemic therapy</w:t>
            </w:r>
            <w:r w:rsidRPr="00175DCB">
              <w:rPr>
                <w:color w:val="000000" w:themeColor="text1"/>
              </w:rPr>
              <w:t>.</w:t>
            </w:r>
          </w:p>
          <w:p w:rsidR="00A01432" w:rsidRPr="00175DCB" w:rsidRDefault="00A01432" w:rsidP="00917D69">
            <w:pPr>
              <w:pStyle w:val="TableText0"/>
            </w:pPr>
          </w:p>
        </w:tc>
      </w:tr>
      <w:tr w:rsidR="00A01432" w:rsidRPr="00175DCB" w:rsidTr="00917D69">
        <w:trPr>
          <w:trHeight w:val="788"/>
        </w:trPr>
        <w:tc>
          <w:tcPr>
            <w:tcW w:w="4106" w:type="dxa"/>
            <w:tcBorders>
              <w:top w:val="single" w:sz="4" w:space="0" w:color="auto"/>
              <w:left w:val="single" w:sz="4" w:space="0" w:color="auto"/>
              <w:bottom w:val="single" w:sz="4" w:space="0" w:color="auto"/>
              <w:right w:val="single" w:sz="4" w:space="0" w:color="auto"/>
            </w:tcBorders>
          </w:tcPr>
          <w:p w:rsidR="00A01432" w:rsidRPr="00175DCB" w:rsidRDefault="00CF24DE" w:rsidP="00917D69">
            <w:pPr>
              <w:pStyle w:val="TableText0"/>
            </w:pPr>
            <w:r w:rsidRPr="00175DCB">
              <w:rPr>
                <w:iCs/>
              </w:rPr>
              <w:t xml:space="preserve">The PBAC considered that the extent of benefit for mogamulizumab in terms of progression free survival (PFS) and overall survival (OS) was uncertain (paragraph 7.1). </w:t>
            </w:r>
          </w:p>
        </w:tc>
        <w:tc>
          <w:tcPr>
            <w:tcW w:w="4910" w:type="dxa"/>
            <w:tcBorders>
              <w:top w:val="single" w:sz="4" w:space="0" w:color="auto"/>
              <w:left w:val="single" w:sz="4" w:space="0" w:color="auto"/>
              <w:bottom w:val="single" w:sz="4" w:space="0" w:color="auto"/>
              <w:right w:val="single" w:sz="4" w:space="0" w:color="auto"/>
            </w:tcBorders>
          </w:tcPr>
          <w:p w:rsidR="00A01432" w:rsidRPr="00175DCB" w:rsidRDefault="00BE776C" w:rsidP="00917D69">
            <w:pPr>
              <w:pStyle w:val="TableText0"/>
            </w:pPr>
            <w:r w:rsidRPr="00175DCB">
              <w:t xml:space="preserve">Observational research on the clinical outcomes of vorinostat treated patients in the Australian CTCL database provided. However, the submission stated that these data were provided for information and context only and do not directly inform either the clinical and economic claims of the minor submission. </w:t>
            </w:r>
          </w:p>
        </w:tc>
      </w:tr>
      <w:tr w:rsidR="00A01432" w:rsidRPr="00175DCB" w:rsidTr="00917D69">
        <w:trPr>
          <w:trHeight w:val="487"/>
        </w:trPr>
        <w:tc>
          <w:tcPr>
            <w:tcW w:w="4106" w:type="dxa"/>
            <w:tcBorders>
              <w:top w:val="single" w:sz="4" w:space="0" w:color="auto"/>
              <w:left w:val="single" w:sz="4" w:space="0" w:color="auto"/>
              <w:bottom w:val="single" w:sz="4" w:space="0" w:color="auto"/>
              <w:right w:val="single" w:sz="4" w:space="0" w:color="auto"/>
            </w:tcBorders>
          </w:tcPr>
          <w:p w:rsidR="00A01432" w:rsidRPr="00175DCB" w:rsidRDefault="00BE776C" w:rsidP="00917D69">
            <w:pPr>
              <w:pStyle w:val="TableText0"/>
            </w:pPr>
            <w:r w:rsidRPr="00175DCB">
              <w:rPr>
                <w:rFonts w:cs="Calibri"/>
                <w:iCs/>
              </w:rPr>
              <w:t xml:space="preserve">The PBAC considered the ICER </w:t>
            </w:r>
            <w:r w:rsidRPr="00175DCB">
              <w:rPr>
                <w:iCs/>
              </w:rPr>
              <w:t xml:space="preserve">unacceptably high and uncertain and advised that </w:t>
            </w:r>
            <w:r w:rsidRPr="00175DCB">
              <w:rPr>
                <w:rFonts w:cs="Calibri"/>
                <w:iCs/>
              </w:rPr>
              <w:t>a cost-utility analysis may not be an appropriate method to determine the cost-effectiveness of mogamulizumab based on the data presented (paragraph 7.10).</w:t>
            </w:r>
          </w:p>
        </w:tc>
        <w:tc>
          <w:tcPr>
            <w:tcW w:w="4910" w:type="dxa"/>
            <w:tcBorders>
              <w:top w:val="single" w:sz="4" w:space="0" w:color="auto"/>
              <w:left w:val="single" w:sz="4" w:space="0" w:color="auto"/>
              <w:bottom w:val="single" w:sz="4" w:space="0" w:color="auto"/>
              <w:right w:val="single" w:sz="4" w:space="0" w:color="auto"/>
            </w:tcBorders>
          </w:tcPr>
          <w:p w:rsidR="00BE776C" w:rsidRPr="00175DCB" w:rsidRDefault="00BE776C" w:rsidP="00BE776C">
            <w:pPr>
              <w:pStyle w:val="TableText0"/>
              <w:keepNext w:val="0"/>
            </w:pPr>
            <w:r w:rsidRPr="00175DCB">
              <w:t>A cost-effectiveness eval</w:t>
            </w:r>
            <w:r w:rsidR="00326ACB" w:rsidRPr="00175DCB">
              <w:t xml:space="preserve">uation using a trial-based cost </w:t>
            </w:r>
            <w:r w:rsidR="00D673CC" w:rsidRPr="00175DCB">
              <w:t xml:space="preserve">per </w:t>
            </w:r>
            <w:r w:rsidRPr="00175DCB">
              <w:t xml:space="preserve">responder approach presented. </w:t>
            </w:r>
          </w:p>
          <w:p w:rsidR="00A01432" w:rsidRPr="00175DCB" w:rsidRDefault="00A01432" w:rsidP="00917D69">
            <w:pPr>
              <w:pStyle w:val="TableText0"/>
            </w:pPr>
          </w:p>
        </w:tc>
      </w:tr>
      <w:tr w:rsidR="00A01432" w:rsidRPr="00175DCB" w:rsidTr="00917D69">
        <w:trPr>
          <w:trHeight w:val="930"/>
        </w:trPr>
        <w:tc>
          <w:tcPr>
            <w:tcW w:w="4106" w:type="dxa"/>
            <w:tcBorders>
              <w:top w:val="single" w:sz="4" w:space="0" w:color="auto"/>
              <w:left w:val="single" w:sz="4" w:space="0" w:color="auto"/>
              <w:bottom w:val="single" w:sz="4" w:space="0" w:color="auto"/>
              <w:right w:val="single" w:sz="4" w:space="0" w:color="auto"/>
            </w:tcBorders>
          </w:tcPr>
          <w:p w:rsidR="00A01432" w:rsidRPr="00175DCB" w:rsidRDefault="00BE776C" w:rsidP="00917D69">
            <w:pPr>
              <w:pStyle w:val="TableText0"/>
              <w:rPr>
                <w:highlight w:val="yellow"/>
              </w:rPr>
            </w:pPr>
            <w:r w:rsidRPr="00175DCB">
              <w:rPr>
                <w:rFonts w:cs="Calibri"/>
                <w:iCs/>
              </w:rPr>
              <w:t>The PBAC considered the estimates to be uncertain due to unjustified assumptions regarding the proportion of patients eligible for treatment and the displacement effect from mogamulizumab (paragraph 7.11).</w:t>
            </w:r>
          </w:p>
        </w:tc>
        <w:tc>
          <w:tcPr>
            <w:tcW w:w="4910" w:type="dxa"/>
            <w:tcBorders>
              <w:top w:val="single" w:sz="4" w:space="0" w:color="auto"/>
              <w:left w:val="single" w:sz="4" w:space="0" w:color="auto"/>
              <w:bottom w:val="single" w:sz="4" w:space="0" w:color="auto"/>
              <w:right w:val="single" w:sz="4" w:space="0" w:color="auto"/>
            </w:tcBorders>
          </w:tcPr>
          <w:p w:rsidR="00A01432" w:rsidRPr="00175DCB" w:rsidRDefault="00BE776C" w:rsidP="00917D69">
            <w:pPr>
              <w:pStyle w:val="TableText0"/>
              <w:rPr>
                <w:highlight w:val="yellow"/>
              </w:rPr>
            </w:pPr>
            <w:r w:rsidRPr="00175DCB">
              <w:t xml:space="preserve">Updated estimates of utilisation and financial impact presented in the minor submission. </w:t>
            </w:r>
          </w:p>
        </w:tc>
      </w:tr>
    </w:tbl>
    <w:p w:rsidR="00C66FF3" w:rsidRPr="00175DCB" w:rsidRDefault="00A01432" w:rsidP="00917D69">
      <w:pPr>
        <w:pStyle w:val="TableFigureFooter"/>
        <w:keepNext/>
        <w:rPr>
          <w:lang w:eastAsia="en-US"/>
        </w:rPr>
      </w:pPr>
      <w:r w:rsidRPr="00175DCB">
        <w:rPr>
          <w:lang w:eastAsia="en-US"/>
        </w:rPr>
        <w:t>Source</w:t>
      </w:r>
      <w:r w:rsidR="00D17227" w:rsidRPr="00175DCB">
        <w:rPr>
          <w:lang w:eastAsia="en-US"/>
        </w:rPr>
        <w:t>: Compiled during the development of the minor overview</w:t>
      </w:r>
      <w:r w:rsidRPr="00175DCB">
        <w:rPr>
          <w:lang w:eastAsia="en-US"/>
        </w:rPr>
        <w:t xml:space="preserve">. Paragraph references refer to the </w:t>
      </w:r>
      <w:r w:rsidR="00BE776C" w:rsidRPr="00175DCB">
        <w:rPr>
          <w:lang w:eastAsia="en-US"/>
        </w:rPr>
        <w:t xml:space="preserve">July 2020 mogamulizumab PBAC </w:t>
      </w:r>
      <w:r w:rsidR="00F420D6">
        <w:rPr>
          <w:lang w:eastAsia="en-US"/>
        </w:rPr>
        <w:t>PSD</w:t>
      </w:r>
      <w:r w:rsidR="00BE776C" w:rsidRPr="00175DCB">
        <w:rPr>
          <w:lang w:eastAsia="en-US"/>
        </w:rPr>
        <w:t>.</w:t>
      </w:r>
    </w:p>
    <w:p w:rsidR="00C66FF3" w:rsidRPr="00175DCB" w:rsidRDefault="00C66FF3" w:rsidP="00C66FF3">
      <w:pPr>
        <w:tabs>
          <w:tab w:val="center" w:pos="4153"/>
          <w:tab w:val="right" w:pos="8306"/>
        </w:tabs>
        <w:autoSpaceDE w:val="0"/>
        <w:autoSpaceDN w:val="0"/>
        <w:adjustRightInd w:val="0"/>
        <w:rPr>
          <w:rFonts w:asciiTheme="minorHAnsi" w:hAnsiTheme="minorHAnsi" w:cstheme="minorHAnsi"/>
          <w:i/>
          <w:iCs/>
        </w:rPr>
      </w:pPr>
      <w:r w:rsidRPr="00175DCB">
        <w:rPr>
          <w:rFonts w:asciiTheme="minorHAnsi" w:hAnsiTheme="minorHAnsi" w:cstheme="minorHAnsi"/>
          <w:i/>
          <w:iCs/>
        </w:rPr>
        <w:t>For more detail on PBAC’s view, see section 6 PBAC outcome.</w:t>
      </w:r>
    </w:p>
    <w:p w:rsidR="00B17EE5" w:rsidRPr="00175DCB" w:rsidRDefault="00B17EE5" w:rsidP="00917D69">
      <w:pPr>
        <w:pStyle w:val="2-SectionHeading"/>
      </w:pPr>
      <w:r w:rsidRPr="00175DCB">
        <w:t>Requested listing</w:t>
      </w:r>
    </w:p>
    <w:p w:rsidR="00803137" w:rsidRPr="00175DCB" w:rsidRDefault="00B17EE5" w:rsidP="00AA1EAF">
      <w:pPr>
        <w:pStyle w:val="3Bodytext"/>
        <w:jc w:val="both"/>
      </w:pPr>
      <w:r w:rsidRPr="00175DCB">
        <w:t xml:space="preserve">The submission requested the following </w:t>
      </w:r>
      <w:r w:rsidR="00803137" w:rsidRPr="00175DCB">
        <w:t>new listings of mogamulizumab.</w:t>
      </w:r>
      <w:r w:rsidRPr="00175DCB">
        <w:t xml:space="preserve"> </w:t>
      </w:r>
      <w:r w:rsidR="00954B74" w:rsidRPr="00175DCB">
        <w:t>Suggestions and additions proposed by the Secretariat are added in italics and suggested deletions are crossed out with strikethrough.</w:t>
      </w: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845"/>
        <w:gridCol w:w="1134"/>
        <w:gridCol w:w="709"/>
        <w:gridCol w:w="850"/>
        <w:gridCol w:w="1520"/>
        <w:gridCol w:w="1842"/>
      </w:tblGrid>
      <w:tr w:rsidR="00E353F2" w:rsidRPr="00175DCB" w:rsidTr="00E353F2">
        <w:trPr>
          <w:cantSplit/>
          <w:trHeight w:val="471"/>
        </w:trPr>
        <w:tc>
          <w:tcPr>
            <w:tcW w:w="2972" w:type="dxa"/>
            <w:gridSpan w:val="2"/>
          </w:tcPr>
          <w:p w:rsidR="00E353F2" w:rsidRPr="00175DCB" w:rsidRDefault="00E353F2" w:rsidP="00317E2B">
            <w:pPr>
              <w:keepNext/>
              <w:ind w:left="-108"/>
              <w:rPr>
                <w:rFonts w:ascii="Arial Narrow" w:hAnsi="Arial Narrow"/>
                <w:b/>
                <w:sz w:val="18"/>
                <w:szCs w:val="18"/>
              </w:rPr>
            </w:pPr>
            <w:r w:rsidRPr="00175DCB">
              <w:rPr>
                <w:rFonts w:ascii="Arial Narrow" w:hAnsi="Arial Narrow"/>
                <w:b/>
                <w:sz w:val="18"/>
                <w:szCs w:val="18"/>
              </w:rPr>
              <w:t>Name, Restriction,</w:t>
            </w:r>
          </w:p>
          <w:p w:rsidR="00E353F2" w:rsidRPr="00175DCB" w:rsidRDefault="00E353F2" w:rsidP="00317E2B">
            <w:pPr>
              <w:keepNext/>
              <w:ind w:left="-108"/>
              <w:rPr>
                <w:rFonts w:ascii="Arial Narrow" w:hAnsi="Arial Narrow"/>
                <w:b/>
                <w:sz w:val="18"/>
                <w:szCs w:val="18"/>
              </w:rPr>
            </w:pPr>
            <w:r w:rsidRPr="00175DCB">
              <w:rPr>
                <w:rFonts w:ascii="Arial Narrow" w:hAnsi="Arial Narrow"/>
                <w:b/>
                <w:sz w:val="18"/>
                <w:szCs w:val="18"/>
              </w:rPr>
              <w:t>Manner of administration and form</w:t>
            </w:r>
          </w:p>
        </w:tc>
        <w:tc>
          <w:tcPr>
            <w:tcW w:w="1134" w:type="dxa"/>
          </w:tcPr>
          <w:p w:rsidR="00E353F2" w:rsidRPr="00175DCB" w:rsidRDefault="00E353F2" w:rsidP="00317E2B">
            <w:pPr>
              <w:keepNext/>
              <w:ind w:left="-108"/>
              <w:jc w:val="center"/>
              <w:rPr>
                <w:rFonts w:ascii="Arial Narrow" w:hAnsi="Arial Narrow"/>
                <w:b/>
                <w:sz w:val="18"/>
                <w:szCs w:val="18"/>
              </w:rPr>
            </w:pPr>
            <w:r w:rsidRPr="00175DCB">
              <w:rPr>
                <w:rFonts w:ascii="Arial Narrow" w:hAnsi="Arial Narrow"/>
                <w:b/>
                <w:sz w:val="18"/>
                <w:szCs w:val="18"/>
              </w:rPr>
              <w:t>PBS item code</w:t>
            </w:r>
          </w:p>
        </w:tc>
        <w:tc>
          <w:tcPr>
            <w:tcW w:w="709" w:type="dxa"/>
          </w:tcPr>
          <w:p w:rsidR="00E353F2" w:rsidRPr="00175DCB" w:rsidRDefault="00E353F2" w:rsidP="00317E2B">
            <w:pPr>
              <w:keepNext/>
              <w:ind w:left="-108"/>
              <w:jc w:val="center"/>
              <w:rPr>
                <w:rFonts w:ascii="Arial Narrow" w:hAnsi="Arial Narrow"/>
                <w:b/>
                <w:sz w:val="18"/>
                <w:szCs w:val="18"/>
              </w:rPr>
            </w:pPr>
            <w:r w:rsidRPr="00175DCB">
              <w:rPr>
                <w:rFonts w:ascii="Arial Narrow" w:hAnsi="Arial Narrow"/>
                <w:b/>
                <w:sz w:val="18"/>
                <w:szCs w:val="18"/>
              </w:rPr>
              <w:t>Max.</w:t>
            </w:r>
          </w:p>
          <w:p w:rsidR="00E353F2" w:rsidRPr="00175DCB" w:rsidRDefault="00E353F2" w:rsidP="00317E2B">
            <w:pPr>
              <w:keepNext/>
              <w:ind w:left="-108"/>
              <w:jc w:val="center"/>
              <w:rPr>
                <w:rFonts w:ascii="Arial Narrow" w:hAnsi="Arial Narrow"/>
                <w:b/>
                <w:sz w:val="18"/>
                <w:szCs w:val="18"/>
              </w:rPr>
            </w:pPr>
            <w:r w:rsidRPr="00175DCB">
              <w:rPr>
                <w:rFonts w:ascii="Arial Narrow" w:hAnsi="Arial Narrow"/>
                <w:b/>
                <w:sz w:val="18"/>
                <w:szCs w:val="18"/>
              </w:rPr>
              <w:t>Amount</w:t>
            </w:r>
          </w:p>
        </w:tc>
        <w:tc>
          <w:tcPr>
            <w:tcW w:w="850" w:type="dxa"/>
          </w:tcPr>
          <w:p w:rsidR="00E353F2" w:rsidRPr="00175DCB" w:rsidRDefault="00E353F2" w:rsidP="00317E2B">
            <w:pPr>
              <w:keepNext/>
              <w:ind w:left="-108"/>
              <w:jc w:val="center"/>
              <w:rPr>
                <w:rFonts w:ascii="Arial Narrow" w:hAnsi="Arial Narrow"/>
                <w:b/>
                <w:sz w:val="18"/>
                <w:szCs w:val="18"/>
              </w:rPr>
            </w:pPr>
            <w:r w:rsidRPr="00175DCB">
              <w:rPr>
                <w:rFonts w:ascii="Arial Narrow" w:hAnsi="Arial Narrow"/>
                <w:b/>
                <w:sz w:val="18"/>
                <w:szCs w:val="18"/>
              </w:rPr>
              <w:t>№.of</w:t>
            </w:r>
          </w:p>
          <w:p w:rsidR="00E353F2" w:rsidRPr="00175DCB" w:rsidRDefault="00E353F2" w:rsidP="00317E2B">
            <w:pPr>
              <w:keepNext/>
              <w:ind w:left="-108"/>
              <w:jc w:val="center"/>
              <w:rPr>
                <w:rFonts w:ascii="Arial Narrow" w:hAnsi="Arial Narrow"/>
                <w:b/>
                <w:sz w:val="18"/>
                <w:szCs w:val="18"/>
              </w:rPr>
            </w:pPr>
            <w:r w:rsidRPr="00175DCB">
              <w:rPr>
                <w:rFonts w:ascii="Arial Narrow" w:hAnsi="Arial Narrow"/>
                <w:b/>
                <w:sz w:val="18"/>
                <w:szCs w:val="18"/>
              </w:rPr>
              <w:t>Rpts</w:t>
            </w:r>
          </w:p>
        </w:tc>
        <w:tc>
          <w:tcPr>
            <w:tcW w:w="1520" w:type="dxa"/>
          </w:tcPr>
          <w:p w:rsidR="00E353F2" w:rsidRPr="00175DCB" w:rsidRDefault="00E353F2" w:rsidP="00E353F2">
            <w:pPr>
              <w:keepNext/>
              <w:jc w:val="center"/>
              <w:rPr>
                <w:rFonts w:ascii="Arial Narrow" w:hAnsi="Arial Narrow"/>
                <w:b/>
                <w:sz w:val="18"/>
                <w:szCs w:val="18"/>
              </w:rPr>
            </w:pPr>
            <w:r w:rsidRPr="00175DCB">
              <w:rPr>
                <w:rFonts w:ascii="Arial Narrow" w:hAnsi="Arial Narrow"/>
                <w:b/>
                <w:sz w:val="18"/>
                <w:szCs w:val="18"/>
              </w:rPr>
              <w:t>Dispensed Price Max Amount</w:t>
            </w:r>
          </w:p>
        </w:tc>
        <w:tc>
          <w:tcPr>
            <w:tcW w:w="1842" w:type="dxa"/>
          </w:tcPr>
          <w:p w:rsidR="00E353F2" w:rsidRPr="00A47EA3" w:rsidRDefault="00E353F2" w:rsidP="00E353F2">
            <w:pPr>
              <w:keepNext/>
              <w:jc w:val="center"/>
              <w:rPr>
                <w:rFonts w:ascii="Arial Narrow" w:hAnsi="Arial Narrow"/>
                <w:b/>
                <w:sz w:val="18"/>
                <w:szCs w:val="18"/>
              </w:rPr>
            </w:pPr>
            <w:r w:rsidRPr="00175DCB">
              <w:rPr>
                <w:rFonts w:ascii="Arial Narrow" w:hAnsi="Arial Narrow"/>
                <w:b/>
                <w:sz w:val="18"/>
                <w:szCs w:val="18"/>
              </w:rPr>
              <w:t>Manufacturer</w:t>
            </w:r>
          </w:p>
        </w:tc>
      </w:tr>
      <w:tr w:rsidR="00E353F2" w:rsidRPr="00175DCB" w:rsidTr="00E353F2">
        <w:trPr>
          <w:cantSplit/>
          <w:trHeight w:val="577"/>
        </w:trPr>
        <w:tc>
          <w:tcPr>
            <w:tcW w:w="2972" w:type="dxa"/>
            <w:gridSpan w:val="2"/>
          </w:tcPr>
          <w:p w:rsidR="00E353F2" w:rsidRPr="00175DCB" w:rsidRDefault="00E353F2" w:rsidP="00317E2B">
            <w:pPr>
              <w:keepNext/>
              <w:ind w:left="-108"/>
              <w:rPr>
                <w:rFonts w:ascii="Arial Narrow" w:hAnsi="Arial Narrow"/>
                <w:sz w:val="18"/>
                <w:szCs w:val="18"/>
              </w:rPr>
            </w:pPr>
            <w:r w:rsidRPr="00175DCB">
              <w:rPr>
                <w:rFonts w:ascii="Arial Narrow" w:hAnsi="Arial Narrow"/>
                <w:sz w:val="18"/>
                <w:szCs w:val="18"/>
              </w:rPr>
              <w:t xml:space="preserve">MOGAMULIZUMAB </w:t>
            </w:r>
          </w:p>
          <w:p w:rsidR="00E353F2" w:rsidRPr="00175DCB" w:rsidRDefault="00E353F2" w:rsidP="00317E2B">
            <w:pPr>
              <w:keepNext/>
              <w:ind w:left="-108"/>
              <w:rPr>
                <w:rFonts w:ascii="Arial Narrow" w:hAnsi="Arial Narrow"/>
                <w:sz w:val="18"/>
                <w:szCs w:val="18"/>
              </w:rPr>
            </w:pPr>
            <w:r w:rsidRPr="00175DCB">
              <w:rPr>
                <w:rFonts w:ascii="Arial Narrow" w:hAnsi="Arial Narrow" w:cstheme="minorHAnsi"/>
                <w:sz w:val="18"/>
                <w:szCs w:val="18"/>
              </w:rPr>
              <w:t>Injection</w:t>
            </w:r>
          </w:p>
        </w:tc>
        <w:tc>
          <w:tcPr>
            <w:tcW w:w="1134" w:type="dxa"/>
          </w:tcPr>
          <w:p w:rsidR="00E353F2" w:rsidRPr="00175DCB" w:rsidRDefault="00E353F2" w:rsidP="00317E2B">
            <w:pPr>
              <w:keepNext/>
              <w:rPr>
                <w:rFonts w:ascii="Arial Narrow" w:hAnsi="Arial Narrow"/>
                <w:sz w:val="18"/>
                <w:szCs w:val="18"/>
              </w:rPr>
            </w:pPr>
            <w:r w:rsidRPr="00175DCB">
              <w:rPr>
                <w:rFonts w:ascii="Arial Narrow" w:hAnsi="Arial Narrow"/>
                <w:sz w:val="18"/>
                <w:szCs w:val="18"/>
              </w:rPr>
              <w:t>NEW (Public)</w:t>
            </w:r>
          </w:p>
          <w:p w:rsidR="00E353F2" w:rsidRPr="00175DCB" w:rsidRDefault="00E353F2" w:rsidP="00317E2B">
            <w:pPr>
              <w:keepNext/>
              <w:ind w:left="-108"/>
              <w:jc w:val="center"/>
              <w:rPr>
                <w:rFonts w:ascii="Arial Narrow" w:hAnsi="Arial Narrow"/>
                <w:sz w:val="18"/>
                <w:szCs w:val="18"/>
              </w:rPr>
            </w:pPr>
            <w:r w:rsidRPr="00175DCB">
              <w:rPr>
                <w:rFonts w:ascii="Arial Narrow" w:hAnsi="Arial Narrow"/>
                <w:sz w:val="18"/>
                <w:szCs w:val="18"/>
              </w:rPr>
              <w:t>NEW (Private)</w:t>
            </w:r>
          </w:p>
        </w:tc>
        <w:tc>
          <w:tcPr>
            <w:tcW w:w="709" w:type="dxa"/>
          </w:tcPr>
          <w:p w:rsidR="00E353F2" w:rsidRPr="00175DCB" w:rsidRDefault="00E353F2" w:rsidP="00317E2B">
            <w:pPr>
              <w:keepNext/>
              <w:ind w:left="-108"/>
              <w:jc w:val="center"/>
              <w:rPr>
                <w:rFonts w:ascii="Arial Narrow" w:hAnsi="Arial Narrow"/>
                <w:sz w:val="18"/>
                <w:szCs w:val="18"/>
              </w:rPr>
            </w:pPr>
            <w:r w:rsidRPr="00175DCB">
              <w:rPr>
                <w:rFonts w:ascii="Arial Narrow" w:hAnsi="Arial Narrow"/>
                <w:sz w:val="18"/>
                <w:szCs w:val="18"/>
              </w:rPr>
              <w:t>120 mg</w:t>
            </w:r>
          </w:p>
        </w:tc>
        <w:tc>
          <w:tcPr>
            <w:tcW w:w="850" w:type="dxa"/>
          </w:tcPr>
          <w:p w:rsidR="00E353F2" w:rsidRPr="00175DCB" w:rsidRDefault="00E353F2" w:rsidP="00317E2B">
            <w:pPr>
              <w:keepNext/>
              <w:ind w:left="-108"/>
              <w:jc w:val="center"/>
              <w:rPr>
                <w:rFonts w:ascii="Arial Narrow" w:hAnsi="Arial Narrow"/>
                <w:sz w:val="18"/>
                <w:szCs w:val="18"/>
              </w:rPr>
            </w:pPr>
            <w:r w:rsidRPr="00175DCB">
              <w:rPr>
                <w:rFonts w:ascii="Arial Narrow" w:hAnsi="Arial Narrow"/>
                <w:sz w:val="18"/>
                <w:szCs w:val="18"/>
              </w:rPr>
              <w:t>7</w:t>
            </w:r>
          </w:p>
          <w:p w:rsidR="00E353F2" w:rsidRPr="00175DCB" w:rsidRDefault="00E353F2" w:rsidP="00317E2B">
            <w:pPr>
              <w:keepNext/>
              <w:ind w:left="-108"/>
              <w:jc w:val="center"/>
              <w:rPr>
                <w:rFonts w:ascii="Arial Narrow" w:hAnsi="Arial Narrow"/>
                <w:sz w:val="18"/>
                <w:szCs w:val="18"/>
              </w:rPr>
            </w:pPr>
          </w:p>
        </w:tc>
        <w:tc>
          <w:tcPr>
            <w:tcW w:w="1520" w:type="dxa"/>
          </w:tcPr>
          <w:p w:rsidR="00E353F2" w:rsidRPr="00175DCB" w:rsidRDefault="00E353F2" w:rsidP="00E353F2">
            <w:pPr>
              <w:keepNext/>
              <w:rPr>
                <w:rFonts w:ascii="Arial Narrow" w:hAnsi="Arial Narrow" w:cs="Arial"/>
                <w:bCs/>
                <w:sz w:val="18"/>
                <w:szCs w:val="18"/>
              </w:rPr>
            </w:pPr>
            <w:r w:rsidRPr="00175DCB">
              <w:rPr>
                <w:rFonts w:ascii="Arial Narrow" w:hAnsi="Arial Narrow" w:cs="Arial"/>
                <w:bCs/>
                <w:sz w:val="18"/>
                <w:szCs w:val="18"/>
              </w:rPr>
              <w:t>Published</w:t>
            </w:r>
          </w:p>
          <w:p w:rsidR="00E353F2" w:rsidRPr="00175DCB" w:rsidRDefault="00E353F2" w:rsidP="00E353F2">
            <w:pPr>
              <w:jc w:val="left"/>
              <w:rPr>
                <w:rFonts w:ascii="Arial Narrow" w:eastAsiaTheme="majorEastAsia" w:hAnsi="Arial Narrow" w:cs="Arial"/>
                <w:bCs/>
                <w:sz w:val="18"/>
                <w:szCs w:val="18"/>
                <w:lang w:eastAsia="en-US" w:bidi="en-US"/>
              </w:rPr>
            </w:pPr>
            <w:r w:rsidRPr="00175DCB">
              <w:rPr>
                <w:rFonts w:ascii="Arial Narrow" w:eastAsiaTheme="majorEastAsia" w:hAnsi="Arial Narrow" w:cs="Arial"/>
                <w:bCs/>
                <w:sz w:val="18"/>
                <w:szCs w:val="18"/>
                <w:lang w:eastAsia="en-US" w:bidi="en-US"/>
              </w:rPr>
              <w:t>Public: $ 15,055.78</w:t>
            </w:r>
          </w:p>
          <w:p w:rsidR="00E353F2" w:rsidRPr="00175DCB" w:rsidRDefault="00E353F2" w:rsidP="00E353F2">
            <w:pPr>
              <w:keepNext/>
              <w:rPr>
                <w:rFonts w:ascii="Arial Narrow" w:hAnsi="Arial Narrow" w:cs="Arial"/>
                <w:bCs/>
                <w:sz w:val="18"/>
                <w:szCs w:val="18"/>
              </w:rPr>
            </w:pPr>
            <w:r w:rsidRPr="00175DCB">
              <w:rPr>
                <w:rFonts w:ascii="Arial Narrow" w:hAnsi="Arial Narrow" w:cs="Arial"/>
                <w:bCs/>
                <w:sz w:val="18"/>
                <w:szCs w:val="18"/>
              </w:rPr>
              <w:t>Private: $ 15,305.99</w:t>
            </w:r>
          </w:p>
          <w:p w:rsidR="00E353F2" w:rsidRPr="00175DCB" w:rsidRDefault="00E353F2" w:rsidP="00E353F2">
            <w:pPr>
              <w:keepNext/>
              <w:rPr>
                <w:rFonts w:ascii="Arial Narrow" w:hAnsi="Arial Narrow" w:cs="Arial"/>
                <w:bCs/>
                <w:sz w:val="18"/>
                <w:szCs w:val="18"/>
              </w:rPr>
            </w:pPr>
          </w:p>
          <w:p w:rsidR="00E353F2" w:rsidRPr="00175DCB" w:rsidRDefault="00E353F2" w:rsidP="00E353F2">
            <w:pPr>
              <w:keepNext/>
              <w:rPr>
                <w:rFonts w:ascii="Arial Narrow" w:hAnsi="Arial Narrow" w:cs="Arial"/>
                <w:bCs/>
                <w:sz w:val="18"/>
                <w:szCs w:val="18"/>
              </w:rPr>
            </w:pPr>
            <w:r w:rsidRPr="00175DCB">
              <w:rPr>
                <w:rFonts w:ascii="Arial Narrow" w:hAnsi="Arial Narrow" w:cs="Arial"/>
                <w:bCs/>
                <w:sz w:val="18"/>
                <w:szCs w:val="18"/>
              </w:rPr>
              <w:t xml:space="preserve">Effective </w:t>
            </w:r>
          </w:p>
          <w:p w:rsidR="00E353F2" w:rsidRPr="00DE546F" w:rsidRDefault="00E353F2" w:rsidP="00E353F2">
            <w:pPr>
              <w:jc w:val="left"/>
              <w:rPr>
                <w:rFonts w:ascii="Arial Narrow" w:eastAsiaTheme="majorEastAsia" w:hAnsi="Arial Narrow" w:cs="Arial"/>
                <w:bCs/>
                <w:sz w:val="18"/>
                <w:szCs w:val="18"/>
                <w:lang w:eastAsia="en-US" w:bidi="en-US"/>
              </w:rPr>
            </w:pPr>
            <w:r w:rsidRPr="00175DCB">
              <w:rPr>
                <w:rFonts w:ascii="Arial Narrow" w:eastAsiaTheme="majorEastAsia" w:hAnsi="Arial Narrow" w:cs="Arial"/>
                <w:bCs/>
                <w:sz w:val="18"/>
                <w:szCs w:val="18"/>
                <w:lang w:eastAsia="en-US" w:bidi="en-US"/>
              </w:rPr>
              <w:t xml:space="preserve">Public: </w:t>
            </w:r>
            <w:r w:rsidR="007C4E83" w:rsidRPr="00175DCB">
              <w:rPr>
                <w:rFonts w:ascii="Arial Narrow" w:eastAsiaTheme="majorEastAsia" w:hAnsi="Arial Narrow" w:cstheme="majorBidi"/>
                <w:bCs/>
                <w:sz w:val="18"/>
                <w:szCs w:val="18"/>
                <w:lang w:eastAsia="en-US" w:bidi="en-US"/>
              </w:rPr>
              <w:t xml:space="preserve">$ </w:t>
            </w:r>
            <w:r w:rsidR="00DE546F">
              <w:rPr>
                <w:rFonts w:ascii="Arial Narrow" w:eastAsiaTheme="majorEastAsia" w:hAnsi="Arial Narrow" w:cstheme="majorBidi"/>
                <w:bCs/>
                <w:noProof/>
                <w:color w:val="000000"/>
                <w:sz w:val="18"/>
                <w:szCs w:val="18"/>
                <w:highlight w:val="black"/>
                <w:lang w:eastAsia="en-US" w:bidi="en-US"/>
              </w:rPr>
              <w:t>'''''''''''''''''''</w:t>
            </w:r>
          </w:p>
          <w:p w:rsidR="00E353F2" w:rsidRPr="00175DCB" w:rsidRDefault="00E353F2" w:rsidP="00E353F2">
            <w:pPr>
              <w:keepNext/>
              <w:rPr>
                <w:rFonts w:ascii="Arial Narrow" w:hAnsi="Arial Narrow"/>
                <w:sz w:val="18"/>
                <w:szCs w:val="18"/>
              </w:rPr>
            </w:pPr>
            <w:r w:rsidRPr="00175DCB">
              <w:rPr>
                <w:rFonts w:ascii="Arial Narrow" w:hAnsi="Arial Narrow" w:cs="Arial"/>
                <w:bCs/>
                <w:sz w:val="18"/>
                <w:szCs w:val="18"/>
              </w:rPr>
              <w:t xml:space="preserve">Private: </w:t>
            </w:r>
            <w:r w:rsidRPr="007A0D95">
              <w:rPr>
                <w:rFonts w:ascii="Arial Narrow" w:hAnsi="Arial Narrow" w:cs="Arial"/>
                <w:bCs/>
                <w:sz w:val="18"/>
                <w:szCs w:val="18"/>
              </w:rPr>
              <w:t>$</w:t>
            </w:r>
            <w:r w:rsidR="00DE546F">
              <w:rPr>
                <w:rFonts w:ascii="Arial Narrow" w:hAnsi="Arial Narrow" w:cs="Arial"/>
                <w:bCs/>
                <w:noProof/>
                <w:color w:val="000000"/>
                <w:sz w:val="18"/>
                <w:szCs w:val="18"/>
                <w:highlight w:val="black"/>
              </w:rPr>
              <w:t xml:space="preserve"> '''''''''''''''''''</w:t>
            </w:r>
          </w:p>
        </w:tc>
        <w:tc>
          <w:tcPr>
            <w:tcW w:w="1842" w:type="dxa"/>
          </w:tcPr>
          <w:p w:rsidR="00E353F2" w:rsidRPr="00175DCB" w:rsidRDefault="00E353F2" w:rsidP="00317E2B">
            <w:pPr>
              <w:keepNext/>
              <w:rPr>
                <w:rFonts w:ascii="Arial Narrow" w:hAnsi="Arial Narrow"/>
                <w:sz w:val="18"/>
                <w:szCs w:val="18"/>
              </w:rPr>
            </w:pPr>
            <w:r w:rsidRPr="00175DCB">
              <w:rPr>
                <w:rFonts w:ascii="Arial Narrow" w:hAnsi="Arial Narrow"/>
                <w:sz w:val="18"/>
                <w:szCs w:val="18"/>
              </w:rPr>
              <w:t>Kyowa Kirin Australia Pty Ltd</w:t>
            </w:r>
          </w:p>
        </w:tc>
      </w:tr>
      <w:tr w:rsidR="00E353F2" w:rsidRPr="00175DCB" w:rsidTr="00E353F2">
        <w:trPr>
          <w:cantSplit/>
          <w:trHeight w:val="225"/>
        </w:trPr>
        <w:tc>
          <w:tcPr>
            <w:tcW w:w="2127" w:type="dxa"/>
          </w:tcPr>
          <w:p w:rsidR="00E353F2" w:rsidRPr="00175DCB" w:rsidRDefault="00E353F2" w:rsidP="00317E2B">
            <w:pPr>
              <w:keepNext/>
              <w:rPr>
                <w:rFonts w:ascii="Arial Narrow" w:hAnsi="Arial Narrow"/>
                <w:b/>
                <w:sz w:val="18"/>
                <w:szCs w:val="18"/>
              </w:rPr>
            </w:pPr>
          </w:p>
        </w:tc>
        <w:tc>
          <w:tcPr>
            <w:tcW w:w="6900" w:type="dxa"/>
            <w:gridSpan w:val="6"/>
          </w:tcPr>
          <w:p w:rsidR="00E353F2" w:rsidRPr="00175DCB" w:rsidRDefault="00E353F2" w:rsidP="00317E2B">
            <w:pPr>
              <w:keepNext/>
              <w:rPr>
                <w:rFonts w:ascii="Arial Narrow" w:hAnsi="Arial Narrow"/>
                <w:b/>
                <w:sz w:val="18"/>
                <w:szCs w:val="18"/>
              </w:rPr>
            </w:pPr>
            <w:r w:rsidRPr="00175DCB">
              <w:rPr>
                <w:rFonts w:ascii="Arial Narrow" w:hAnsi="Arial Narrow"/>
                <w:b/>
                <w:sz w:val="18"/>
                <w:szCs w:val="18"/>
              </w:rPr>
              <w:t>Available brands</w:t>
            </w:r>
          </w:p>
        </w:tc>
      </w:tr>
      <w:tr w:rsidR="00E353F2" w:rsidRPr="00175DCB" w:rsidTr="00E353F2">
        <w:trPr>
          <w:cantSplit/>
          <w:trHeight w:val="360"/>
        </w:trPr>
        <w:tc>
          <w:tcPr>
            <w:tcW w:w="2127" w:type="dxa"/>
          </w:tcPr>
          <w:p w:rsidR="00E353F2" w:rsidRPr="00175DCB" w:rsidRDefault="00E353F2" w:rsidP="00317E2B">
            <w:pPr>
              <w:rPr>
                <w:rFonts w:ascii="Arial Narrow" w:hAnsi="Arial Narrow"/>
                <w:sz w:val="18"/>
                <w:szCs w:val="18"/>
              </w:rPr>
            </w:pPr>
          </w:p>
        </w:tc>
        <w:tc>
          <w:tcPr>
            <w:tcW w:w="6900" w:type="dxa"/>
            <w:gridSpan w:val="6"/>
          </w:tcPr>
          <w:p w:rsidR="00E353F2" w:rsidRPr="00175DCB" w:rsidRDefault="00E353F2" w:rsidP="00317E2B">
            <w:pPr>
              <w:rPr>
                <w:rFonts w:ascii="Arial Narrow" w:hAnsi="Arial Narrow"/>
                <w:sz w:val="18"/>
                <w:szCs w:val="18"/>
              </w:rPr>
            </w:pPr>
            <w:r w:rsidRPr="00175DCB">
              <w:rPr>
                <w:rFonts w:ascii="Arial Narrow" w:hAnsi="Arial Narrow"/>
                <w:sz w:val="18"/>
                <w:szCs w:val="18"/>
              </w:rPr>
              <w:t>Poteligeo</w:t>
            </w:r>
          </w:p>
          <w:p w:rsidR="00E353F2" w:rsidRPr="00175DCB" w:rsidRDefault="00E353F2" w:rsidP="00317E2B">
            <w:pPr>
              <w:rPr>
                <w:rFonts w:ascii="Arial Narrow" w:hAnsi="Arial Narrow"/>
                <w:sz w:val="18"/>
                <w:szCs w:val="18"/>
              </w:rPr>
            </w:pPr>
            <w:r w:rsidRPr="00175DCB">
              <w:rPr>
                <w:rFonts w:ascii="Arial Narrow" w:hAnsi="Arial Narrow" w:cstheme="minorHAnsi"/>
                <w:sz w:val="18"/>
                <w:szCs w:val="18"/>
              </w:rPr>
              <w:t>(mogamulizumab 20 mg/5 mL injection, 5 mL vial)</w:t>
            </w:r>
          </w:p>
        </w:tc>
      </w:tr>
    </w:tbl>
    <w:p w:rsidR="00803137" w:rsidRPr="00175DCB" w:rsidRDefault="00803137" w:rsidP="00803137"/>
    <w:p w:rsidR="00803137" w:rsidRPr="00175DCB" w:rsidRDefault="00803137" w:rsidP="00803137">
      <w:pPr>
        <w:rPr>
          <w:rFonts w:ascii="Arial Narrow" w:hAnsi="Arial Narrow"/>
          <w:b/>
          <w:sz w:val="18"/>
          <w:szCs w:val="18"/>
        </w:rPr>
      </w:pPr>
    </w:p>
    <w:p w:rsidR="000C4BAB" w:rsidRDefault="000C4BA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395498" w:rsidRPr="00175DCB" w:rsidTr="0031092F">
        <w:tc>
          <w:tcPr>
            <w:tcW w:w="5000" w:type="pct"/>
            <w:tcBorders>
              <w:top w:val="single" w:sz="4" w:space="0" w:color="auto"/>
              <w:left w:val="single" w:sz="4" w:space="0" w:color="auto"/>
              <w:bottom w:val="single" w:sz="4" w:space="0" w:color="auto"/>
              <w:right w:val="single" w:sz="4" w:space="0" w:color="auto"/>
            </w:tcBorders>
          </w:tcPr>
          <w:p w:rsidR="00395498" w:rsidRPr="00175DCB" w:rsidRDefault="00395498" w:rsidP="00317E2B">
            <w:pPr>
              <w:rPr>
                <w:rFonts w:ascii="Arial Narrow" w:hAnsi="Arial Narrow"/>
                <w:sz w:val="18"/>
                <w:szCs w:val="18"/>
              </w:rPr>
            </w:pPr>
            <w:r w:rsidRPr="00175DCB">
              <w:rPr>
                <w:rFonts w:ascii="Arial Narrow" w:hAnsi="Arial Narrow"/>
                <w:b/>
                <w:sz w:val="18"/>
                <w:szCs w:val="18"/>
              </w:rPr>
              <w:t xml:space="preserve">Category / Program:  </w:t>
            </w:r>
            <w:r w:rsidRPr="00175DCB">
              <w:rPr>
                <w:rFonts w:ascii="Arial Narrow" w:hAnsi="Arial Narrow"/>
                <w:sz w:val="18"/>
                <w:szCs w:val="18"/>
              </w:rPr>
              <w:t>Section 100 – Efficient Funding of Chemother</w:t>
            </w:r>
            <w:r w:rsidR="00513211">
              <w:rPr>
                <w:rFonts w:ascii="Arial Narrow" w:hAnsi="Arial Narrow"/>
                <w:sz w:val="18"/>
                <w:szCs w:val="18"/>
              </w:rPr>
              <w:t xml:space="preserve">apy (Public/Private hospital) </w:t>
            </w:r>
          </w:p>
        </w:tc>
      </w:tr>
      <w:tr w:rsidR="00395498" w:rsidRPr="00175DCB" w:rsidTr="0031092F">
        <w:trPr>
          <w:trHeight w:val="238"/>
        </w:trPr>
        <w:tc>
          <w:tcPr>
            <w:tcW w:w="5000" w:type="pct"/>
            <w:tcBorders>
              <w:top w:val="single" w:sz="4" w:space="0" w:color="auto"/>
              <w:left w:val="single" w:sz="4" w:space="0" w:color="auto"/>
              <w:bottom w:val="single" w:sz="4" w:space="0" w:color="auto"/>
              <w:right w:val="single" w:sz="4" w:space="0" w:color="auto"/>
            </w:tcBorders>
          </w:tcPr>
          <w:p w:rsidR="00395498" w:rsidRPr="00175DCB" w:rsidRDefault="00395498" w:rsidP="00317E2B">
            <w:pPr>
              <w:rPr>
                <w:rFonts w:ascii="Arial Narrow" w:hAnsi="Arial Narrow"/>
                <w:sz w:val="18"/>
                <w:szCs w:val="18"/>
              </w:rPr>
            </w:pPr>
            <w:r w:rsidRPr="00175DCB">
              <w:rPr>
                <w:rFonts w:ascii="Arial Narrow" w:hAnsi="Arial Narrow"/>
                <w:b/>
                <w:sz w:val="18"/>
                <w:szCs w:val="18"/>
              </w:rPr>
              <w:t xml:space="preserve">Prescriber type:  </w:t>
            </w:r>
            <w:r w:rsidRPr="00A47EA3">
              <w:rPr>
                <w:rFonts w:ascii="Arial Narrow" w:hAnsi="Arial Narrow"/>
                <w:sz w:val="18"/>
                <w:szCs w:val="18"/>
              </w:rPr>
              <w:fldChar w:fldCharType="begin">
                <w:ffData>
                  <w:name w:val="Check1"/>
                  <w:enabled/>
                  <w:calcOnExit w:val="0"/>
                  <w:checkBox>
                    <w:sizeAuto/>
                    <w:default w:val="0"/>
                  </w:checkBox>
                </w:ffData>
              </w:fldChar>
            </w:r>
            <w:r w:rsidRPr="00175DCB">
              <w:rPr>
                <w:rFonts w:ascii="Arial Narrow" w:hAnsi="Arial Narrow"/>
                <w:sz w:val="18"/>
                <w:szCs w:val="18"/>
              </w:rPr>
              <w:instrText xml:space="preserve"> FORMCHECKBOX </w:instrText>
            </w:r>
            <w:r w:rsidR="00A42EFE">
              <w:rPr>
                <w:rFonts w:ascii="Arial Narrow" w:hAnsi="Arial Narrow"/>
                <w:sz w:val="18"/>
                <w:szCs w:val="18"/>
              </w:rPr>
            </w:r>
            <w:r w:rsidR="00A42EFE">
              <w:rPr>
                <w:rFonts w:ascii="Arial Narrow" w:hAnsi="Arial Narrow"/>
                <w:sz w:val="18"/>
                <w:szCs w:val="18"/>
              </w:rPr>
              <w:fldChar w:fldCharType="separate"/>
            </w:r>
            <w:r w:rsidRPr="00A47EA3">
              <w:rPr>
                <w:rFonts w:ascii="Arial Narrow" w:hAnsi="Arial Narrow"/>
                <w:sz w:val="18"/>
                <w:szCs w:val="18"/>
              </w:rPr>
              <w:fldChar w:fldCharType="end"/>
            </w:r>
            <w:r w:rsidRPr="00175DCB">
              <w:rPr>
                <w:rFonts w:ascii="Arial Narrow" w:hAnsi="Arial Narrow"/>
                <w:sz w:val="18"/>
                <w:szCs w:val="18"/>
              </w:rPr>
              <w:t xml:space="preserve">Dental  </w:t>
            </w:r>
            <w:r w:rsidRPr="00A47EA3">
              <w:rPr>
                <w:rFonts w:ascii="Arial Narrow" w:hAnsi="Arial Narrow"/>
                <w:sz w:val="18"/>
                <w:szCs w:val="18"/>
              </w:rPr>
              <w:fldChar w:fldCharType="begin">
                <w:ffData>
                  <w:name w:val=""/>
                  <w:enabled/>
                  <w:calcOnExit w:val="0"/>
                  <w:checkBox>
                    <w:sizeAuto/>
                    <w:default w:val="1"/>
                  </w:checkBox>
                </w:ffData>
              </w:fldChar>
            </w:r>
            <w:r w:rsidRPr="00175DCB">
              <w:rPr>
                <w:rFonts w:ascii="Arial Narrow" w:hAnsi="Arial Narrow"/>
                <w:sz w:val="18"/>
                <w:szCs w:val="18"/>
              </w:rPr>
              <w:instrText xml:space="preserve"> FORMCHECKBOX </w:instrText>
            </w:r>
            <w:r w:rsidR="00A42EFE">
              <w:rPr>
                <w:rFonts w:ascii="Arial Narrow" w:hAnsi="Arial Narrow"/>
                <w:sz w:val="18"/>
                <w:szCs w:val="18"/>
              </w:rPr>
            </w:r>
            <w:r w:rsidR="00A42EFE">
              <w:rPr>
                <w:rFonts w:ascii="Arial Narrow" w:hAnsi="Arial Narrow"/>
                <w:sz w:val="18"/>
                <w:szCs w:val="18"/>
              </w:rPr>
              <w:fldChar w:fldCharType="separate"/>
            </w:r>
            <w:r w:rsidRPr="00A47EA3">
              <w:rPr>
                <w:rFonts w:ascii="Arial Narrow" w:hAnsi="Arial Narrow"/>
                <w:sz w:val="18"/>
                <w:szCs w:val="18"/>
              </w:rPr>
              <w:fldChar w:fldCharType="end"/>
            </w:r>
            <w:r w:rsidRPr="00175DCB">
              <w:rPr>
                <w:rFonts w:ascii="Arial Narrow" w:hAnsi="Arial Narrow"/>
                <w:sz w:val="18"/>
                <w:szCs w:val="18"/>
              </w:rPr>
              <w:t xml:space="preserve">Medical Practitioners  </w:t>
            </w:r>
            <w:r w:rsidRPr="00A47EA3">
              <w:rPr>
                <w:rFonts w:ascii="Arial Narrow" w:hAnsi="Arial Narrow"/>
                <w:sz w:val="18"/>
                <w:szCs w:val="18"/>
              </w:rPr>
              <w:fldChar w:fldCharType="begin">
                <w:ffData>
                  <w:name w:val="Check3"/>
                  <w:enabled/>
                  <w:calcOnExit w:val="0"/>
                  <w:checkBox>
                    <w:sizeAuto/>
                    <w:default w:val="0"/>
                  </w:checkBox>
                </w:ffData>
              </w:fldChar>
            </w:r>
            <w:r w:rsidRPr="00175DCB">
              <w:rPr>
                <w:rFonts w:ascii="Arial Narrow" w:hAnsi="Arial Narrow"/>
                <w:sz w:val="18"/>
                <w:szCs w:val="18"/>
              </w:rPr>
              <w:instrText xml:space="preserve"> FORMCHECKBOX </w:instrText>
            </w:r>
            <w:r w:rsidR="00A42EFE">
              <w:rPr>
                <w:rFonts w:ascii="Arial Narrow" w:hAnsi="Arial Narrow"/>
                <w:sz w:val="18"/>
                <w:szCs w:val="18"/>
              </w:rPr>
            </w:r>
            <w:r w:rsidR="00A42EFE">
              <w:rPr>
                <w:rFonts w:ascii="Arial Narrow" w:hAnsi="Arial Narrow"/>
                <w:sz w:val="18"/>
                <w:szCs w:val="18"/>
              </w:rPr>
              <w:fldChar w:fldCharType="separate"/>
            </w:r>
            <w:r w:rsidRPr="00A47EA3">
              <w:rPr>
                <w:rFonts w:ascii="Arial Narrow" w:hAnsi="Arial Narrow"/>
                <w:sz w:val="18"/>
                <w:szCs w:val="18"/>
              </w:rPr>
              <w:fldChar w:fldCharType="end"/>
            </w:r>
            <w:r w:rsidRPr="00175DCB">
              <w:rPr>
                <w:rFonts w:ascii="Arial Narrow" w:hAnsi="Arial Narrow"/>
                <w:sz w:val="18"/>
                <w:szCs w:val="18"/>
              </w:rPr>
              <w:t xml:space="preserve">Nurse practitioners  </w:t>
            </w:r>
            <w:r w:rsidRPr="00A47EA3">
              <w:rPr>
                <w:rFonts w:ascii="Arial Narrow" w:hAnsi="Arial Narrow"/>
                <w:sz w:val="18"/>
                <w:szCs w:val="18"/>
              </w:rPr>
              <w:fldChar w:fldCharType="begin">
                <w:ffData>
                  <w:name w:val=""/>
                  <w:enabled/>
                  <w:calcOnExit w:val="0"/>
                  <w:checkBox>
                    <w:sizeAuto/>
                    <w:default w:val="0"/>
                  </w:checkBox>
                </w:ffData>
              </w:fldChar>
            </w:r>
            <w:r w:rsidRPr="00175DCB">
              <w:rPr>
                <w:rFonts w:ascii="Arial Narrow" w:hAnsi="Arial Narrow"/>
                <w:sz w:val="18"/>
                <w:szCs w:val="18"/>
              </w:rPr>
              <w:instrText xml:space="preserve"> FORMCHECKBOX </w:instrText>
            </w:r>
            <w:r w:rsidR="00A42EFE">
              <w:rPr>
                <w:rFonts w:ascii="Arial Narrow" w:hAnsi="Arial Narrow"/>
                <w:sz w:val="18"/>
                <w:szCs w:val="18"/>
              </w:rPr>
            </w:r>
            <w:r w:rsidR="00A42EFE">
              <w:rPr>
                <w:rFonts w:ascii="Arial Narrow" w:hAnsi="Arial Narrow"/>
                <w:sz w:val="18"/>
                <w:szCs w:val="18"/>
              </w:rPr>
              <w:fldChar w:fldCharType="separate"/>
            </w:r>
            <w:r w:rsidRPr="00A47EA3">
              <w:rPr>
                <w:rFonts w:ascii="Arial Narrow" w:hAnsi="Arial Narrow"/>
                <w:sz w:val="18"/>
                <w:szCs w:val="18"/>
              </w:rPr>
              <w:fldChar w:fldCharType="end"/>
            </w:r>
            <w:r w:rsidRPr="00175DCB">
              <w:rPr>
                <w:rFonts w:ascii="Arial Narrow" w:hAnsi="Arial Narrow"/>
                <w:sz w:val="18"/>
                <w:szCs w:val="18"/>
              </w:rPr>
              <w:t>Optometrists</w:t>
            </w:r>
            <w:r w:rsidR="00513211">
              <w:rPr>
                <w:rFonts w:ascii="Arial Narrow" w:hAnsi="Arial Narrow"/>
                <w:sz w:val="18"/>
                <w:szCs w:val="18"/>
              </w:rPr>
              <w:t xml:space="preserve">  </w:t>
            </w:r>
            <w:r w:rsidRPr="00175DCB">
              <w:rPr>
                <w:rFonts w:ascii="Arial Narrow" w:hAnsi="Arial Narrow"/>
                <w:sz w:val="18"/>
                <w:szCs w:val="18"/>
              </w:rPr>
              <w:t xml:space="preserve"> </w:t>
            </w:r>
            <w:r w:rsidRPr="00A47EA3">
              <w:rPr>
                <w:rFonts w:ascii="Arial Narrow" w:hAnsi="Arial Narrow"/>
                <w:sz w:val="18"/>
                <w:szCs w:val="18"/>
              </w:rPr>
              <w:fldChar w:fldCharType="begin">
                <w:ffData>
                  <w:name w:val="Check5"/>
                  <w:enabled/>
                  <w:calcOnExit w:val="0"/>
                  <w:checkBox>
                    <w:sizeAuto/>
                    <w:default w:val="0"/>
                  </w:checkBox>
                </w:ffData>
              </w:fldChar>
            </w:r>
            <w:r w:rsidRPr="00175DCB">
              <w:rPr>
                <w:rFonts w:ascii="Arial Narrow" w:hAnsi="Arial Narrow"/>
                <w:sz w:val="18"/>
                <w:szCs w:val="18"/>
              </w:rPr>
              <w:instrText xml:space="preserve"> FORMCHECKBOX </w:instrText>
            </w:r>
            <w:r w:rsidR="00A42EFE">
              <w:rPr>
                <w:rFonts w:ascii="Arial Narrow" w:hAnsi="Arial Narrow"/>
                <w:sz w:val="18"/>
                <w:szCs w:val="18"/>
              </w:rPr>
            </w:r>
            <w:r w:rsidR="00A42EFE">
              <w:rPr>
                <w:rFonts w:ascii="Arial Narrow" w:hAnsi="Arial Narrow"/>
                <w:sz w:val="18"/>
                <w:szCs w:val="18"/>
              </w:rPr>
              <w:fldChar w:fldCharType="separate"/>
            </w:r>
            <w:r w:rsidRPr="00A47EA3">
              <w:rPr>
                <w:rFonts w:ascii="Arial Narrow" w:hAnsi="Arial Narrow"/>
                <w:sz w:val="18"/>
                <w:szCs w:val="18"/>
              </w:rPr>
              <w:fldChar w:fldCharType="end"/>
            </w:r>
            <w:r w:rsidRPr="00175DCB">
              <w:rPr>
                <w:rFonts w:ascii="Arial Narrow" w:hAnsi="Arial Narrow"/>
                <w:sz w:val="18"/>
                <w:szCs w:val="18"/>
              </w:rPr>
              <w:t>Midwives</w:t>
            </w:r>
          </w:p>
        </w:tc>
      </w:tr>
      <w:tr w:rsidR="00395498" w:rsidRPr="00175DCB" w:rsidTr="0031092F">
        <w:trPr>
          <w:trHeight w:val="525"/>
        </w:trPr>
        <w:tc>
          <w:tcPr>
            <w:tcW w:w="5000" w:type="pct"/>
            <w:tcBorders>
              <w:top w:val="single" w:sz="4" w:space="0" w:color="auto"/>
              <w:left w:val="single" w:sz="4" w:space="0" w:color="auto"/>
              <w:bottom w:val="single" w:sz="4" w:space="0" w:color="auto"/>
              <w:right w:val="single" w:sz="4" w:space="0" w:color="auto"/>
            </w:tcBorders>
          </w:tcPr>
          <w:p w:rsidR="00395498" w:rsidRPr="00175DCB" w:rsidRDefault="00395498" w:rsidP="00317E2B">
            <w:pPr>
              <w:rPr>
                <w:rFonts w:ascii="Arial Narrow" w:hAnsi="Arial Narrow"/>
                <w:b/>
                <w:sz w:val="18"/>
                <w:szCs w:val="18"/>
              </w:rPr>
            </w:pPr>
            <w:r w:rsidRPr="00175DCB">
              <w:rPr>
                <w:rFonts w:ascii="Arial Narrow" w:hAnsi="Arial Narrow"/>
                <w:b/>
                <w:sz w:val="18"/>
                <w:szCs w:val="18"/>
              </w:rPr>
              <w:t>Restriction Level / Method:</w:t>
            </w:r>
          </w:p>
          <w:p w:rsidR="00395498" w:rsidRPr="00175DCB" w:rsidRDefault="00395498" w:rsidP="00317E2B">
            <w:pPr>
              <w:rPr>
                <w:rFonts w:ascii="Arial Narrow" w:hAnsi="Arial Narrow" w:cs="Arial"/>
                <w:sz w:val="18"/>
                <w:szCs w:val="18"/>
              </w:rPr>
            </w:pPr>
            <w:r w:rsidRPr="00A47EA3">
              <w:rPr>
                <w:rFonts w:ascii="Arial Narrow" w:hAnsi="Arial Narrow" w:cs="Arial"/>
                <w:sz w:val="18"/>
                <w:szCs w:val="18"/>
              </w:rPr>
              <w:fldChar w:fldCharType="begin">
                <w:ffData>
                  <w:name w:val=""/>
                  <w:enabled/>
                  <w:calcOnExit w:val="0"/>
                  <w:checkBox>
                    <w:sizeAuto/>
                    <w:default w:val="1"/>
                  </w:checkBox>
                </w:ffData>
              </w:fldChar>
            </w:r>
            <w:r w:rsidRPr="00175DCB">
              <w:rPr>
                <w:rFonts w:ascii="Arial Narrow" w:hAnsi="Arial Narrow" w:cs="Arial"/>
                <w:sz w:val="18"/>
                <w:szCs w:val="18"/>
              </w:rPr>
              <w:instrText xml:space="preserve"> FORMCHECKBOX </w:instrText>
            </w:r>
            <w:r w:rsidR="00A42EFE">
              <w:rPr>
                <w:rFonts w:ascii="Arial Narrow" w:hAnsi="Arial Narrow" w:cs="Arial"/>
                <w:sz w:val="18"/>
                <w:szCs w:val="18"/>
              </w:rPr>
            </w:r>
            <w:r w:rsidR="00A42EFE">
              <w:rPr>
                <w:rFonts w:ascii="Arial Narrow" w:hAnsi="Arial Narrow" w:cs="Arial"/>
                <w:sz w:val="18"/>
                <w:szCs w:val="18"/>
              </w:rPr>
              <w:fldChar w:fldCharType="separate"/>
            </w:r>
            <w:r w:rsidRPr="00A47EA3">
              <w:rPr>
                <w:rFonts w:ascii="Arial Narrow" w:hAnsi="Arial Narrow" w:cs="Arial"/>
                <w:sz w:val="18"/>
                <w:szCs w:val="18"/>
              </w:rPr>
              <w:fldChar w:fldCharType="end"/>
            </w:r>
            <w:r w:rsidRPr="00175DCB">
              <w:rPr>
                <w:rFonts w:ascii="Arial Narrow" w:hAnsi="Arial Narrow" w:cs="Arial"/>
                <w:i/>
                <w:sz w:val="18"/>
                <w:szCs w:val="18"/>
              </w:rPr>
              <w:t>Authority Required – delayed/non-real time assessment by Services Australia ( written application lodged by mail or electronic upload)</w:t>
            </w:r>
          </w:p>
          <w:p w:rsidR="00395498" w:rsidRPr="00175DCB" w:rsidRDefault="00395498" w:rsidP="00317E2B">
            <w:pPr>
              <w:rPr>
                <w:rFonts w:ascii="Arial Narrow" w:hAnsi="Arial Narrow"/>
                <w:sz w:val="18"/>
                <w:szCs w:val="18"/>
              </w:rPr>
            </w:pPr>
            <w:r w:rsidRPr="00A47EA3">
              <w:rPr>
                <w:rFonts w:ascii="Arial Narrow" w:hAnsi="Arial Narrow"/>
                <w:sz w:val="18"/>
                <w:szCs w:val="18"/>
              </w:rPr>
              <w:fldChar w:fldCharType="begin">
                <w:ffData>
                  <w:name w:val=""/>
                  <w:enabled/>
                  <w:calcOnExit w:val="0"/>
                  <w:checkBox>
                    <w:sizeAuto/>
                    <w:default w:val="1"/>
                  </w:checkBox>
                </w:ffData>
              </w:fldChar>
            </w:r>
            <w:r w:rsidRPr="00175DCB">
              <w:rPr>
                <w:rFonts w:ascii="Arial Narrow" w:hAnsi="Arial Narrow"/>
                <w:sz w:val="18"/>
                <w:szCs w:val="18"/>
              </w:rPr>
              <w:instrText xml:space="preserve"> FORMCHECKBOX </w:instrText>
            </w:r>
            <w:r w:rsidR="00A42EFE">
              <w:rPr>
                <w:rFonts w:ascii="Arial Narrow" w:hAnsi="Arial Narrow"/>
                <w:sz w:val="18"/>
                <w:szCs w:val="18"/>
              </w:rPr>
            </w:r>
            <w:r w:rsidR="00A42EFE">
              <w:rPr>
                <w:rFonts w:ascii="Arial Narrow" w:hAnsi="Arial Narrow"/>
                <w:sz w:val="18"/>
                <w:szCs w:val="18"/>
              </w:rPr>
              <w:fldChar w:fldCharType="separate"/>
            </w:r>
            <w:r w:rsidRPr="00A47EA3">
              <w:rPr>
                <w:rFonts w:ascii="Arial Narrow" w:hAnsi="Arial Narrow"/>
                <w:sz w:val="18"/>
                <w:szCs w:val="18"/>
              </w:rPr>
              <w:fldChar w:fldCharType="end"/>
            </w:r>
            <w:r w:rsidRPr="00175DCB">
              <w:rPr>
                <w:rFonts w:ascii="Arial Narrow" w:hAnsi="Arial Narrow"/>
                <w:strike/>
                <w:sz w:val="18"/>
                <w:szCs w:val="18"/>
              </w:rPr>
              <w:t xml:space="preserve">Authority Required </w:t>
            </w:r>
            <w:r w:rsidRPr="00175DCB">
              <w:rPr>
                <w:rFonts w:ascii="Arial Narrow" w:hAnsi="Arial Narrow"/>
                <w:i/>
                <w:strike/>
                <w:sz w:val="18"/>
                <w:szCs w:val="18"/>
              </w:rPr>
              <w:t xml:space="preserve">- </w:t>
            </w:r>
            <w:r w:rsidRPr="00175DCB">
              <w:rPr>
                <w:rFonts w:ascii="Arial Narrow" w:hAnsi="Arial Narrow"/>
                <w:strike/>
                <w:sz w:val="18"/>
                <w:szCs w:val="18"/>
              </w:rPr>
              <w:t>immediate/real-time assessment by Services Australia (Telephone/</w:t>
            </w:r>
            <w:r w:rsidRPr="00175DCB" w:rsidDel="005D6532">
              <w:rPr>
                <w:rFonts w:ascii="Arial Narrow" w:hAnsi="Arial Narrow"/>
                <w:strike/>
                <w:sz w:val="18"/>
                <w:szCs w:val="18"/>
              </w:rPr>
              <w:t xml:space="preserve"> </w:t>
            </w:r>
            <w:r w:rsidRPr="00175DCB">
              <w:rPr>
                <w:rFonts w:ascii="Arial Narrow" w:hAnsi="Arial Narrow"/>
                <w:strike/>
                <w:sz w:val="18"/>
                <w:szCs w:val="18"/>
              </w:rPr>
              <w:t>Online / Emergency)</w:t>
            </w:r>
          </w:p>
        </w:tc>
      </w:tr>
      <w:tr w:rsidR="00395498" w:rsidRPr="00175DCB" w:rsidTr="0031092F">
        <w:tc>
          <w:tcPr>
            <w:tcW w:w="5000" w:type="pct"/>
            <w:vAlign w:val="center"/>
          </w:tcPr>
          <w:p w:rsidR="00395498" w:rsidRPr="00175DCB" w:rsidRDefault="00395498" w:rsidP="00317E2B">
            <w:pPr>
              <w:rPr>
                <w:rFonts w:ascii="Arial Narrow" w:hAnsi="Arial Narrow"/>
                <w:b/>
                <w:bCs/>
                <w:color w:val="333333"/>
                <w:sz w:val="18"/>
                <w:szCs w:val="18"/>
              </w:rPr>
            </w:pPr>
            <w:r w:rsidRPr="00175DCB">
              <w:rPr>
                <w:rFonts w:ascii="Arial Narrow" w:hAnsi="Arial Narrow"/>
                <w:b/>
                <w:bCs/>
                <w:color w:val="333333"/>
                <w:sz w:val="18"/>
                <w:szCs w:val="18"/>
              </w:rPr>
              <w:t xml:space="preserve">Condition: </w:t>
            </w:r>
            <w:r w:rsidRPr="00175DCB">
              <w:rPr>
                <w:rFonts w:ascii="Arial Narrow" w:hAnsi="Arial Narrow"/>
                <w:bCs/>
                <w:color w:val="333333"/>
                <w:sz w:val="18"/>
                <w:szCs w:val="18"/>
              </w:rPr>
              <w:t>Cutaneous T-cell lymphoma</w:t>
            </w:r>
          </w:p>
        </w:tc>
      </w:tr>
      <w:tr w:rsidR="00395498" w:rsidRPr="00175DCB" w:rsidTr="0031092F">
        <w:tc>
          <w:tcPr>
            <w:tcW w:w="5000" w:type="pct"/>
            <w:vAlign w:val="center"/>
            <w:hideMark/>
          </w:tcPr>
          <w:p w:rsidR="00395498" w:rsidRPr="00175DCB" w:rsidRDefault="00395498" w:rsidP="00317E2B">
            <w:pPr>
              <w:rPr>
                <w:rFonts w:ascii="Arial Narrow" w:hAnsi="Arial Narrow"/>
                <w:color w:val="333333"/>
                <w:sz w:val="18"/>
                <w:szCs w:val="18"/>
              </w:rPr>
            </w:pPr>
            <w:r w:rsidRPr="00175DCB">
              <w:rPr>
                <w:rFonts w:ascii="Arial Narrow" w:hAnsi="Arial Narrow"/>
                <w:b/>
                <w:bCs/>
                <w:color w:val="333333"/>
                <w:sz w:val="18"/>
                <w:szCs w:val="18"/>
              </w:rPr>
              <w:t>Indication:</w:t>
            </w:r>
            <w:r w:rsidRPr="00175DCB">
              <w:rPr>
                <w:rFonts w:ascii="Arial Narrow" w:hAnsi="Arial Narrow"/>
                <w:color w:val="333333"/>
                <w:sz w:val="18"/>
                <w:szCs w:val="18"/>
              </w:rPr>
              <w:t xml:space="preserve"> </w:t>
            </w:r>
            <w:r w:rsidRPr="00175DCB">
              <w:rPr>
                <w:rFonts w:ascii="Arial Narrow" w:hAnsi="Arial Narrow"/>
                <w:bCs/>
                <w:color w:val="333333"/>
                <w:sz w:val="18"/>
                <w:szCs w:val="18"/>
              </w:rPr>
              <w:t>Cutaneous T-cell lymphoma</w:t>
            </w:r>
          </w:p>
        </w:tc>
      </w:tr>
      <w:tr w:rsidR="00395498" w:rsidRPr="00175DCB" w:rsidTr="0031092F">
        <w:tc>
          <w:tcPr>
            <w:tcW w:w="5000" w:type="pct"/>
            <w:vAlign w:val="center"/>
            <w:hideMark/>
          </w:tcPr>
          <w:p w:rsidR="00395498" w:rsidRPr="00175DCB" w:rsidRDefault="00395498" w:rsidP="00317E2B">
            <w:pPr>
              <w:rPr>
                <w:rFonts w:ascii="Arial Narrow" w:hAnsi="Arial Narrow"/>
                <w:color w:val="333333"/>
                <w:sz w:val="18"/>
                <w:szCs w:val="18"/>
              </w:rPr>
            </w:pPr>
            <w:r w:rsidRPr="00175DCB">
              <w:rPr>
                <w:rFonts w:ascii="Arial Narrow" w:hAnsi="Arial Narrow"/>
                <w:b/>
                <w:bCs/>
                <w:color w:val="333333"/>
                <w:sz w:val="18"/>
                <w:szCs w:val="18"/>
              </w:rPr>
              <w:t>Treatment Phase:</w:t>
            </w:r>
            <w:r w:rsidRPr="00175DCB">
              <w:rPr>
                <w:rFonts w:ascii="Arial Narrow" w:hAnsi="Arial Narrow"/>
                <w:color w:val="333333"/>
                <w:sz w:val="18"/>
                <w:szCs w:val="18"/>
              </w:rPr>
              <w:t xml:space="preserve"> Initial treatment</w:t>
            </w:r>
          </w:p>
        </w:tc>
      </w:tr>
      <w:tr w:rsidR="00395498" w:rsidRPr="00175DCB" w:rsidTr="0031092F">
        <w:tc>
          <w:tcPr>
            <w:tcW w:w="5000" w:type="pct"/>
            <w:vAlign w:val="center"/>
          </w:tcPr>
          <w:p w:rsidR="00395498" w:rsidRPr="00175DCB" w:rsidRDefault="00395498" w:rsidP="00317E2B">
            <w:pPr>
              <w:rPr>
                <w:rFonts w:ascii="Arial Narrow" w:hAnsi="Arial Narrow"/>
                <w:b/>
                <w:bCs/>
                <w:color w:val="333333"/>
                <w:sz w:val="18"/>
                <w:szCs w:val="18"/>
              </w:rPr>
            </w:pPr>
            <w:r w:rsidRPr="00175DCB">
              <w:rPr>
                <w:rFonts w:ascii="Arial Narrow" w:hAnsi="Arial Narrow"/>
                <w:b/>
                <w:bCs/>
                <w:color w:val="333333"/>
                <w:sz w:val="18"/>
                <w:szCs w:val="18"/>
              </w:rPr>
              <w:t>Clinical criteria:</w:t>
            </w:r>
          </w:p>
        </w:tc>
      </w:tr>
      <w:tr w:rsidR="00395498" w:rsidRPr="00175DCB" w:rsidTr="0031092F">
        <w:tc>
          <w:tcPr>
            <w:tcW w:w="5000" w:type="pct"/>
            <w:vAlign w:val="center"/>
          </w:tcPr>
          <w:p w:rsidR="00395498" w:rsidRPr="00175DCB" w:rsidRDefault="00395498" w:rsidP="001B5F59">
            <w:pPr>
              <w:rPr>
                <w:rFonts w:ascii="Arial Narrow" w:hAnsi="Arial Narrow"/>
                <w:bCs/>
                <w:color w:val="333333"/>
                <w:sz w:val="18"/>
                <w:szCs w:val="18"/>
              </w:rPr>
            </w:pPr>
            <w:r w:rsidRPr="00175DCB">
              <w:rPr>
                <w:rFonts w:ascii="Arial Narrow" w:hAnsi="Arial Narrow"/>
                <w:bCs/>
                <w:color w:val="333333"/>
                <w:sz w:val="18"/>
                <w:szCs w:val="18"/>
              </w:rPr>
              <w:t xml:space="preserve">Patient must have a </w:t>
            </w:r>
            <w:r w:rsidRPr="00175DCB">
              <w:rPr>
                <w:rFonts w:ascii="Arial Narrow" w:hAnsi="Arial Narrow"/>
                <w:bCs/>
                <w:i/>
                <w:color w:val="333333"/>
                <w:sz w:val="18"/>
                <w:szCs w:val="18"/>
              </w:rPr>
              <w:t xml:space="preserve">histologically confirmed </w:t>
            </w:r>
            <w:r w:rsidRPr="00175DCB">
              <w:rPr>
                <w:rFonts w:ascii="Arial Narrow" w:hAnsi="Arial Narrow"/>
                <w:bCs/>
                <w:color w:val="333333"/>
                <w:sz w:val="18"/>
                <w:szCs w:val="18"/>
              </w:rPr>
              <w:t>diagnosis of mycosis fungoides; or</w:t>
            </w:r>
          </w:p>
        </w:tc>
      </w:tr>
      <w:tr w:rsidR="00395498" w:rsidRPr="00175DCB" w:rsidTr="0031092F">
        <w:tc>
          <w:tcPr>
            <w:tcW w:w="5000" w:type="pct"/>
            <w:vAlign w:val="center"/>
          </w:tcPr>
          <w:p w:rsidR="00395498" w:rsidRPr="00175DCB" w:rsidRDefault="00395498" w:rsidP="001B5F59">
            <w:pPr>
              <w:rPr>
                <w:rFonts w:ascii="Arial Narrow" w:hAnsi="Arial Narrow"/>
                <w:b/>
                <w:bCs/>
                <w:color w:val="333333"/>
                <w:sz w:val="18"/>
                <w:szCs w:val="18"/>
              </w:rPr>
            </w:pPr>
            <w:r w:rsidRPr="00175DCB">
              <w:rPr>
                <w:rFonts w:ascii="Arial Narrow" w:hAnsi="Arial Narrow"/>
                <w:bCs/>
                <w:color w:val="333333"/>
                <w:sz w:val="18"/>
                <w:szCs w:val="18"/>
              </w:rPr>
              <w:t xml:space="preserve">Patient must have a </w:t>
            </w:r>
            <w:r w:rsidRPr="00175DCB">
              <w:rPr>
                <w:rFonts w:ascii="Arial Narrow" w:hAnsi="Arial Narrow"/>
                <w:bCs/>
                <w:i/>
                <w:color w:val="333333"/>
                <w:sz w:val="18"/>
                <w:szCs w:val="18"/>
              </w:rPr>
              <w:t xml:space="preserve">histologically confirmed </w:t>
            </w:r>
            <w:r w:rsidRPr="00175DCB">
              <w:rPr>
                <w:rFonts w:ascii="Arial Narrow" w:hAnsi="Arial Narrow"/>
                <w:bCs/>
                <w:color w:val="333333"/>
                <w:sz w:val="18"/>
                <w:szCs w:val="18"/>
              </w:rPr>
              <w:t>diagnosis of Sezary syndrome</w:t>
            </w:r>
          </w:p>
        </w:tc>
      </w:tr>
      <w:tr w:rsidR="00395498" w:rsidRPr="00175DCB" w:rsidTr="0031092F">
        <w:tc>
          <w:tcPr>
            <w:tcW w:w="5000" w:type="pct"/>
            <w:vAlign w:val="center"/>
          </w:tcPr>
          <w:p w:rsidR="00395498" w:rsidRPr="00175DCB" w:rsidRDefault="00395498" w:rsidP="00317E2B">
            <w:pPr>
              <w:rPr>
                <w:rFonts w:ascii="Arial Narrow" w:hAnsi="Arial Narrow"/>
                <w:b/>
                <w:bCs/>
                <w:color w:val="333333"/>
                <w:sz w:val="18"/>
                <w:szCs w:val="18"/>
              </w:rPr>
            </w:pPr>
            <w:r w:rsidRPr="00175DCB">
              <w:rPr>
                <w:rFonts w:ascii="Arial Narrow" w:hAnsi="Arial Narrow"/>
                <w:b/>
                <w:bCs/>
                <w:color w:val="333333"/>
                <w:sz w:val="18"/>
                <w:szCs w:val="18"/>
              </w:rPr>
              <w:t>AND</w:t>
            </w:r>
          </w:p>
        </w:tc>
      </w:tr>
      <w:tr w:rsidR="00395498" w:rsidRPr="00175DCB" w:rsidTr="0031092F">
        <w:tc>
          <w:tcPr>
            <w:tcW w:w="5000" w:type="pct"/>
            <w:vAlign w:val="center"/>
            <w:hideMark/>
          </w:tcPr>
          <w:p w:rsidR="00395498" w:rsidRPr="00175DCB" w:rsidRDefault="00395498" w:rsidP="00317E2B">
            <w:pPr>
              <w:rPr>
                <w:rFonts w:ascii="Arial Narrow" w:hAnsi="Arial Narrow"/>
                <w:color w:val="333333"/>
                <w:sz w:val="18"/>
                <w:szCs w:val="18"/>
              </w:rPr>
            </w:pPr>
            <w:r w:rsidRPr="00175DCB">
              <w:rPr>
                <w:rFonts w:ascii="Arial Narrow" w:hAnsi="Arial Narrow"/>
                <w:b/>
                <w:bCs/>
                <w:color w:val="333333"/>
                <w:sz w:val="18"/>
                <w:szCs w:val="18"/>
              </w:rPr>
              <w:t>Clinical criteria:</w:t>
            </w:r>
          </w:p>
        </w:tc>
      </w:tr>
      <w:tr w:rsidR="00395498" w:rsidRPr="00175DCB" w:rsidTr="0031092F">
        <w:tc>
          <w:tcPr>
            <w:tcW w:w="5000" w:type="pct"/>
            <w:vAlign w:val="center"/>
            <w:hideMark/>
          </w:tcPr>
          <w:p w:rsidR="00395498" w:rsidRPr="00175DCB" w:rsidRDefault="00395498" w:rsidP="00086807">
            <w:pPr>
              <w:rPr>
                <w:rFonts w:ascii="Arial Narrow" w:hAnsi="Arial Narrow"/>
                <w:color w:val="333333"/>
                <w:sz w:val="18"/>
                <w:szCs w:val="18"/>
              </w:rPr>
            </w:pPr>
            <w:r w:rsidRPr="00175DCB">
              <w:rPr>
                <w:rFonts w:ascii="Arial Narrow" w:hAnsi="Arial Narrow" w:cs="Arial Narrow"/>
                <w:iCs/>
                <w:sz w:val="18"/>
                <w:szCs w:val="18"/>
              </w:rPr>
              <w:t xml:space="preserve">Patient must have </w:t>
            </w:r>
            <w:r w:rsidRPr="00175DCB">
              <w:rPr>
                <w:rFonts w:ascii="Arial Narrow" w:hAnsi="Arial Narrow" w:cs="Arial Narrow"/>
                <w:iCs/>
                <w:strike/>
                <w:sz w:val="18"/>
                <w:szCs w:val="18"/>
              </w:rPr>
              <w:t>received</w:t>
            </w:r>
            <w:r w:rsidRPr="00175DCB">
              <w:rPr>
                <w:rFonts w:ascii="Arial Narrow" w:hAnsi="Arial Narrow" w:cs="Arial Narrow"/>
                <w:iCs/>
                <w:sz w:val="18"/>
                <w:szCs w:val="18"/>
              </w:rPr>
              <w:t xml:space="preserve"> </w:t>
            </w:r>
            <w:r w:rsidR="00086807" w:rsidRPr="00175DCB">
              <w:rPr>
                <w:rFonts w:ascii="Arial Narrow" w:hAnsi="Arial Narrow" w:cs="Arial Narrow"/>
                <w:i/>
                <w:iCs/>
                <w:sz w:val="18"/>
                <w:szCs w:val="18"/>
              </w:rPr>
              <w:t xml:space="preserve">experienced a relapse or </w:t>
            </w:r>
            <w:r w:rsidR="00B70877">
              <w:rPr>
                <w:rFonts w:ascii="Arial Narrow" w:hAnsi="Arial Narrow" w:cs="Arial Narrow"/>
                <w:i/>
                <w:iCs/>
                <w:sz w:val="18"/>
                <w:szCs w:val="18"/>
              </w:rPr>
              <w:t xml:space="preserve">is </w:t>
            </w:r>
            <w:r w:rsidR="00086807" w:rsidRPr="00175DCB">
              <w:rPr>
                <w:rFonts w:ascii="Arial Narrow" w:hAnsi="Arial Narrow" w:cs="Arial Narrow"/>
                <w:i/>
                <w:iCs/>
                <w:sz w:val="18"/>
                <w:szCs w:val="18"/>
              </w:rPr>
              <w:t>refractory to a</w:t>
            </w:r>
            <w:r w:rsidR="00086807" w:rsidRPr="00175DCB">
              <w:rPr>
                <w:rFonts w:ascii="Arial Narrow" w:hAnsi="Arial Narrow" w:cs="Arial Narrow"/>
                <w:iCs/>
                <w:sz w:val="18"/>
                <w:szCs w:val="18"/>
              </w:rPr>
              <w:t xml:space="preserve"> </w:t>
            </w:r>
            <w:r w:rsidRPr="00175DCB">
              <w:rPr>
                <w:rFonts w:ascii="Arial Narrow" w:hAnsi="Arial Narrow" w:cs="Arial Narrow"/>
                <w:i/>
                <w:iCs/>
                <w:sz w:val="18"/>
                <w:szCs w:val="18"/>
              </w:rPr>
              <w:t xml:space="preserve">prior </w:t>
            </w:r>
            <w:r w:rsidRPr="00175DCB">
              <w:rPr>
                <w:rFonts w:ascii="Arial Narrow" w:hAnsi="Arial Narrow" w:cs="Arial Narrow"/>
                <w:iCs/>
                <w:sz w:val="18"/>
                <w:szCs w:val="18"/>
              </w:rPr>
              <w:t>systemic treatment for this condition.</w:t>
            </w:r>
          </w:p>
        </w:tc>
      </w:tr>
      <w:tr w:rsidR="00395498" w:rsidRPr="00175DCB" w:rsidTr="0031092F">
        <w:tc>
          <w:tcPr>
            <w:tcW w:w="5000" w:type="pct"/>
            <w:vAlign w:val="center"/>
          </w:tcPr>
          <w:p w:rsidR="00395498" w:rsidRPr="00175DCB" w:rsidRDefault="00395498" w:rsidP="00317E2B">
            <w:pPr>
              <w:rPr>
                <w:rFonts w:ascii="Arial Narrow" w:hAnsi="Arial Narrow"/>
                <w:b/>
                <w:bCs/>
                <w:color w:val="333333"/>
                <w:sz w:val="18"/>
                <w:szCs w:val="18"/>
              </w:rPr>
            </w:pPr>
            <w:r w:rsidRPr="00175DCB">
              <w:rPr>
                <w:rFonts w:ascii="Arial Narrow" w:hAnsi="Arial Narrow"/>
                <w:b/>
                <w:bCs/>
                <w:color w:val="333333"/>
                <w:sz w:val="18"/>
                <w:szCs w:val="18"/>
              </w:rPr>
              <w:t>AND</w:t>
            </w:r>
          </w:p>
        </w:tc>
      </w:tr>
      <w:tr w:rsidR="00395498" w:rsidRPr="00175DCB" w:rsidTr="0031092F">
        <w:tc>
          <w:tcPr>
            <w:tcW w:w="5000" w:type="pct"/>
            <w:vAlign w:val="center"/>
          </w:tcPr>
          <w:p w:rsidR="00395498" w:rsidRPr="00175DCB" w:rsidRDefault="00395498" w:rsidP="00317E2B">
            <w:pPr>
              <w:rPr>
                <w:rFonts w:ascii="Arial Narrow" w:hAnsi="Arial Narrow"/>
                <w:b/>
                <w:bCs/>
                <w:color w:val="333333"/>
                <w:sz w:val="18"/>
                <w:szCs w:val="18"/>
              </w:rPr>
            </w:pPr>
            <w:r w:rsidRPr="00175DCB">
              <w:rPr>
                <w:rFonts w:ascii="Arial Narrow" w:hAnsi="Arial Narrow"/>
                <w:b/>
                <w:bCs/>
                <w:color w:val="333333"/>
                <w:sz w:val="18"/>
                <w:szCs w:val="18"/>
              </w:rPr>
              <w:t>Clinical criteria:</w:t>
            </w:r>
          </w:p>
        </w:tc>
      </w:tr>
      <w:tr w:rsidR="00395498" w:rsidRPr="00175DCB" w:rsidTr="0031092F">
        <w:tc>
          <w:tcPr>
            <w:tcW w:w="5000" w:type="pct"/>
            <w:vAlign w:val="center"/>
            <w:hideMark/>
          </w:tcPr>
          <w:p w:rsidR="00395498" w:rsidRPr="00175DCB" w:rsidRDefault="00395498" w:rsidP="00317E2B">
            <w:pPr>
              <w:rPr>
                <w:rFonts w:ascii="Arial Narrow" w:hAnsi="Arial Narrow"/>
                <w:strike/>
                <w:color w:val="333333"/>
                <w:sz w:val="18"/>
                <w:szCs w:val="18"/>
              </w:rPr>
            </w:pPr>
            <w:r w:rsidRPr="00175DCB">
              <w:rPr>
                <w:rFonts w:ascii="Arial Narrow" w:hAnsi="Arial Narrow"/>
                <w:strike/>
                <w:color w:val="333333"/>
                <w:sz w:val="18"/>
                <w:szCs w:val="18"/>
              </w:rPr>
              <w:t>The condition must be relapsed or refractory.</w:t>
            </w:r>
          </w:p>
        </w:tc>
      </w:tr>
      <w:tr w:rsidR="00395498" w:rsidRPr="00175DCB" w:rsidTr="0031092F">
        <w:tc>
          <w:tcPr>
            <w:tcW w:w="5000" w:type="pct"/>
            <w:vAlign w:val="center"/>
          </w:tcPr>
          <w:p w:rsidR="00395498" w:rsidRPr="00175DCB" w:rsidRDefault="00395498" w:rsidP="00317E2B">
            <w:pPr>
              <w:rPr>
                <w:rFonts w:ascii="Arial Narrow" w:hAnsi="Arial Narrow"/>
                <w:b/>
                <w:color w:val="333333"/>
                <w:sz w:val="18"/>
                <w:szCs w:val="18"/>
              </w:rPr>
            </w:pPr>
            <w:r w:rsidRPr="00175DCB">
              <w:rPr>
                <w:rFonts w:ascii="Arial Narrow" w:hAnsi="Arial Narrow"/>
                <w:b/>
                <w:color w:val="333333"/>
                <w:sz w:val="18"/>
                <w:szCs w:val="18"/>
              </w:rPr>
              <w:t>AND</w:t>
            </w:r>
          </w:p>
        </w:tc>
      </w:tr>
      <w:tr w:rsidR="00395498" w:rsidRPr="00175DCB" w:rsidTr="0031092F">
        <w:tc>
          <w:tcPr>
            <w:tcW w:w="5000" w:type="pct"/>
            <w:vAlign w:val="center"/>
          </w:tcPr>
          <w:p w:rsidR="00395498" w:rsidRPr="00175DCB" w:rsidRDefault="00395498" w:rsidP="00317E2B">
            <w:pPr>
              <w:rPr>
                <w:rFonts w:ascii="Arial Narrow" w:hAnsi="Arial Narrow"/>
                <w:strike/>
                <w:color w:val="333333"/>
                <w:sz w:val="18"/>
                <w:szCs w:val="18"/>
              </w:rPr>
            </w:pPr>
            <w:r w:rsidRPr="00175DCB">
              <w:rPr>
                <w:rFonts w:ascii="Arial Narrow" w:hAnsi="Arial Narrow"/>
                <w:b/>
                <w:bCs/>
                <w:color w:val="333333"/>
                <w:sz w:val="18"/>
                <w:szCs w:val="18"/>
              </w:rPr>
              <w:t>Clinical criteria:</w:t>
            </w:r>
          </w:p>
        </w:tc>
      </w:tr>
      <w:tr w:rsidR="00395498" w:rsidRPr="00175DCB" w:rsidTr="0031092F">
        <w:tc>
          <w:tcPr>
            <w:tcW w:w="5000" w:type="pct"/>
            <w:vAlign w:val="center"/>
          </w:tcPr>
          <w:p w:rsidR="00395498" w:rsidRPr="00175DCB" w:rsidRDefault="00395498" w:rsidP="00317E2B">
            <w:pPr>
              <w:rPr>
                <w:rFonts w:ascii="Arial Narrow" w:hAnsi="Arial Narrow"/>
                <w:strike/>
                <w:color w:val="333333"/>
                <w:sz w:val="18"/>
                <w:szCs w:val="18"/>
              </w:rPr>
            </w:pPr>
            <w:r w:rsidRPr="00175DCB">
              <w:rPr>
                <w:rFonts w:ascii="Arial Narrow" w:hAnsi="Arial Narrow"/>
                <w:strike/>
                <w:color w:val="333333"/>
                <w:sz w:val="18"/>
                <w:szCs w:val="18"/>
              </w:rPr>
              <w:t>The treatment must not exceed a total of 8 doses under this restriction.</w:t>
            </w:r>
          </w:p>
        </w:tc>
      </w:tr>
      <w:tr w:rsidR="00395498" w:rsidRPr="00175DCB" w:rsidTr="0031092F">
        <w:tc>
          <w:tcPr>
            <w:tcW w:w="5000" w:type="pct"/>
            <w:vAlign w:val="center"/>
            <w:hideMark/>
          </w:tcPr>
          <w:p w:rsidR="00395498" w:rsidRPr="00175DCB" w:rsidRDefault="00395498" w:rsidP="00317E2B">
            <w:pPr>
              <w:rPr>
                <w:rFonts w:ascii="Arial Narrow" w:hAnsi="Arial Narrow"/>
                <w:color w:val="333333"/>
                <w:sz w:val="18"/>
                <w:szCs w:val="18"/>
              </w:rPr>
            </w:pPr>
            <w:r w:rsidRPr="00175DCB">
              <w:rPr>
                <w:rFonts w:ascii="Arial Narrow" w:hAnsi="Arial Narrow"/>
                <w:b/>
                <w:bCs/>
                <w:color w:val="333333"/>
                <w:sz w:val="18"/>
                <w:szCs w:val="18"/>
              </w:rPr>
              <w:t>AND</w:t>
            </w:r>
          </w:p>
        </w:tc>
      </w:tr>
      <w:tr w:rsidR="00395498" w:rsidRPr="00175DCB" w:rsidTr="0031092F">
        <w:tc>
          <w:tcPr>
            <w:tcW w:w="5000" w:type="pct"/>
            <w:vAlign w:val="center"/>
            <w:hideMark/>
          </w:tcPr>
          <w:p w:rsidR="00395498" w:rsidRPr="00175DCB" w:rsidRDefault="00395498" w:rsidP="00317E2B">
            <w:pPr>
              <w:rPr>
                <w:rFonts w:ascii="Arial Narrow" w:hAnsi="Arial Narrow"/>
                <w:color w:val="333333"/>
                <w:sz w:val="18"/>
                <w:szCs w:val="18"/>
              </w:rPr>
            </w:pPr>
            <w:r w:rsidRPr="00175DCB">
              <w:rPr>
                <w:rFonts w:ascii="Arial Narrow" w:hAnsi="Arial Narrow"/>
                <w:b/>
                <w:bCs/>
                <w:color w:val="333333"/>
                <w:sz w:val="18"/>
                <w:szCs w:val="18"/>
              </w:rPr>
              <w:t>Clinical criteria:</w:t>
            </w:r>
          </w:p>
        </w:tc>
      </w:tr>
      <w:tr w:rsidR="00395498" w:rsidRPr="00175DCB" w:rsidTr="0031092F">
        <w:tc>
          <w:tcPr>
            <w:tcW w:w="5000" w:type="pct"/>
            <w:vAlign w:val="center"/>
            <w:hideMark/>
          </w:tcPr>
          <w:p w:rsidR="00395498" w:rsidRPr="00175DCB" w:rsidRDefault="00395498" w:rsidP="00317E2B">
            <w:pPr>
              <w:rPr>
                <w:rFonts w:ascii="Arial Narrow" w:hAnsi="Arial Narrow"/>
                <w:color w:val="333333"/>
                <w:sz w:val="18"/>
                <w:szCs w:val="18"/>
              </w:rPr>
            </w:pPr>
            <w:r w:rsidRPr="00175DCB">
              <w:rPr>
                <w:rFonts w:ascii="Arial Narrow" w:hAnsi="Arial Narrow"/>
                <w:color w:val="333333"/>
                <w:sz w:val="18"/>
                <w:szCs w:val="18"/>
              </w:rPr>
              <w:t xml:space="preserve">The treatment must be the sole PBS-subsidised </w:t>
            </w:r>
            <w:r w:rsidRPr="00175DCB">
              <w:rPr>
                <w:rFonts w:ascii="Arial Narrow" w:hAnsi="Arial Narrow"/>
                <w:i/>
                <w:color w:val="333333"/>
                <w:sz w:val="18"/>
                <w:szCs w:val="18"/>
              </w:rPr>
              <w:t>systemic</w:t>
            </w:r>
            <w:r w:rsidRPr="00175DCB">
              <w:rPr>
                <w:rFonts w:ascii="Arial Narrow" w:hAnsi="Arial Narrow"/>
                <w:color w:val="333333"/>
                <w:sz w:val="18"/>
                <w:szCs w:val="18"/>
              </w:rPr>
              <w:t xml:space="preserve"> anti-cancer</w:t>
            </w:r>
            <w:r w:rsidRPr="00175DCB">
              <w:rPr>
                <w:rFonts w:ascii="Arial Narrow" w:hAnsi="Arial Narrow"/>
                <w:i/>
                <w:color w:val="333333"/>
                <w:sz w:val="18"/>
                <w:szCs w:val="18"/>
              </w:rPr>
              <w:t xml:space="preserve"> </w:t>
            </w:r>
            <w:r w:rsidRPr="00175DCB">
              <w:rPr>
                <w:rFonts w:ascii="Arial Narrow" w:hAnsi="Arial Narrow"/>
                <w:color w:val="333333"/>
                <w:sz w:val="18"/>
                <w:szCs w:val="18"/>
              </w:rPr>
              <w:t>therapy for this condition.</w:t>
            </w:r>
          </w:p>
        </w:tc>
      </w:tr>
      <w:tr w:rsidR="00395498" w:rsidRPr="00175DCB" w:rsidTr="0031092F">
        <w:tc>
          <w:tcPr>
            <w:tcW w:w="5000" w:type="pct"/>
            <w:vAlign w:val="center"/>
          </w:tcPr>
          <w:p w:rsidR="00395498" w:rsidRPr="00175DCB" w:rsidRDefault="00395498" w:rsidP="00491A13">
            <w:pPr>
              <w:rPr>
                <w:rFonts w:ascii="Arial Narrow" w:hAnsi="Arial Narrow"/>
                <w:i/>
                <w:color w:val="333333"/>
                <w:sz w:val="18"/>
                <w:szCs w:val="18"/>
              </w:rPr>
            </w:pPr>
            <w:r w:rsidRPr="00175DCB">
              <w:rPr>
                <w:rFonts w:ascii="Arial Narrow" w:hAnsi="Arial Narrow"/>
                <w:b/>
                <w:bCs/>
                <w:i/>
                <w:color w:val="333333"/>
                <w:sz w:val="18"/>
                <w:szCs w:val="18"/>
              </w:rPr>
              <w:t>Prescribing Instructions:</w:t>
            </w:r>
          </w:p>
          <w:p w:rsidR="00395498" w:rsidRPr="00175DCB" w:rsidRDefault="00395498" w:rsidP="00491A13">
            <w:pPr>
              <w:rPr>
                <w:rFonts w:ascii="Arial Narrow" w:hAnsi="Arial Narrow"/>
                <w:i/>
                <w:color w:val="333333"/>
                <w:sz w:val="18"/>
                <w:szCs w:val="18"/>
              </w:rPr>
            </w:pPr>
            <w:r w:rsidRPr="00175DCB">
              <w:rPr>
                <w:rFonts w:ascii="Arial Narrow" w:hAnsi="Arial Narrow"/>
                <w:i/>
                <w:color w:val="333333"/>
                <w:sz w:val="18"/>
                <w:szCs w:val="18"/>
              </w:rPr>
              <w:t>Applications for authorisation of initial treatment must be in writing and must include:</w:t>
            </w:r>
          </w:p>
          <w:p w:rsidR="00395498" w:rsidRPr="00175DCB" w:rsidRDefault="00395498" w:rsidP="00491A13">
            <w:pPr>
              <w:rPr>
                <w:rFonts w:ascii="Arial Narrow" w:hAnsi="Arial Narrow"/>
                <w:i/>
                <w:color w:val="333333"/>
                <w:sz w:val="18"/>
                <w:szCs w:val="18"/>
              </w:rPr>
            </w:pPr>
            <w:r w:rsidRPr="00175DCB">
              <w:rPr>
                <w:rFonts w:ascii="Arial Narrow" w:hAnsi="Arial Narrow"/>
                <w:i/>
                <w:color w:val="333333"/>
                <w:sz w:val="18"/>
                <w:szCs w:val="18"/>
              </w:rPr>
              <w:t>(a) a completed authority prescription form; and</w:t>
            </w:r>
          </w:p>
          <w:p w:rsidR="00395498" w:rsidRPr="00175DCB" w:rsidRDefault="00395498" w:rsidP="00491A13">
            <w:pPr>
              <w:rPr>
                <w:rFonts w:ascii="Arial Narrow" w:hAnsi="Arial Narrow"/>
                <w:color w:val="333333"/>
                <w:sz w:val="18"/>
                <w:szCs w:val="18"/>
              </w:rPr>
            </w:pPr>
            <w:r w:rsidRPr="00175DCB">
              <w:rPr>
                <w:rFonts w:ascii="Arial Narrow" w:hAnsi="Arial Narrow"/>
                <w:i/>
                <w:color w:val="333333"/>
                <w:sz w:val="18"/>
                <w:szCs w:val="18"/>
              </w:rPr>
              <w:t>(b) a completed cutaneous T-cell lymphoma (CTCL) initial PBS Authority Application - Supporting Information Form</w:t>
            </w:r>
          </w:p>
        </w:tc>
      </w:tr>
      <w:tr w:rsidR="00395498" w:rsidRPr="00175DCB" w:rsidTr="0031092F">
        <w:tc>
          <w:tcPr>
            <w:tcW w:w="5000" w:type="pct"/>
            <w:vAlign w:val="center"/>
          </w:tcPr>
          <w:p w:rsidR="00395498" w:rsidRPr="00175DCB" w:rsidRDefault="00395498" w:rsidP="00317E2B">
            <w:pPr>
              <w:rPr>
                <w:rFonts w:ascii="Arial Narrow" w:hAnsi="Arial Narrow"/>
                <w:b/>
                <w:bCs/>
                <w:i/>
                <w:color w:val="333333"/>
                <w:sz w:val="18"/>
                <w:szCs w:val="18"/>
              </w:rPr>
            </w:pPr>
            <w:r w:rsidRPr="00175DCB">
              <w:rPr>
                <w:rFonts w:ascii="Arial Narrow" w:hAnsi="Arial Narrow"/>
                <w:b/>
                <w:bCs/>
                <w:i/>
                <w:color w:val="333333"/>
                <w:sz w:val="18"/>
                <w:szCs w:val="18"/>
              </w:rPr>
              <w:t>Administrative Advice:</w:t>
            </w:r>
          </w:p>
          <w:p w:rsidR="00395498" w:rsidRPr="00175DCB" w:rsidRDefault="00395498" w:rsidP="00491A13">
            <w:pPr>
              <w:rPr>
                <w:rFonts w:ascii="Arial Narrow" w:hAnsi="Arial Narrow"/>
                <w:i/>
                <w:color w:val="333333"/>
                <w:sz w:val="18"/>
                <w:szCs w:val="18"/>
              </w:rPr>
            </w:pPr>
            <w:r w:rsidRPr="00175DCB">
              <w:rPr>
                <w:rFonts w:ascii="Arial Narrow" w:hAnsi="Arial Narrow"/>
                <w:i/>
                <w:color w:val="333333"/>
                <w:sz w:val="18"/>
                <w:szCs w:val="18"/>
              </w:rPr>
              <w:t>Any queries concerning the arrangements to prescribe may be directed to Services Australia on 1800 700 270 (hours of operation 8 a.m. to 5 p.m. EST Monday to Friday).</w:t>
            </w:r>
          </w:p>
          <w:p w:rsidR="00395498" w:rsidRPr="00175DCB" w:rsidRDefault="00395498" w:rsidP="00491A13">
            <w:pPr>
              <w:rPr>
                <w:rFonts w:ascii="Arial Narrow" w:hAnsi="Arial Narrow"/>
                <w:i/>
                <w:color w:val="333333"/>
                <w:sz w:val="18"/>
                <w:szCs w:val="18"/>
              </w:rPr>
            </w:pPr>
          </w:p>
          <w:p w:rsidR="00395498" w:rsidRPr="00175DCB" w:rsidRDefault="00395498" w:rsidP="00491A13">
            <w:pPr>
              <w:rPr>
                <w:rFonts w:ascii="Arial Narrow" w:hAnsi="Arial Narrow"/>
                <w:i/>
                <w:color w:val="333333"/>
                <w:sz w:val="18"/>
                <w:szCs w:val="18"/>
              </w:rPr>
            </w:pPr>
            <w:r w:rsidRPr="00175DCB">
              <w:rPr>
                <w:rFonts w:ascii="Arial Narrow" w:hAnsi="Arial Narrow"/>
                <w:i/>
                <w:color w:val="333333"/>
                <w:sz w:val="18"/>
                <w:szCs w:val="18"/>
              </w:rPr>
              <w:t xml:space="preserve">Prescribing information (including Authority Application forms and other relevant documentation as applicable) is available on the Services Australia website at </w:t>
            </w:r>
            <w:r w:rsidRPr="00DE546F">
              <w:rPr>
                <w:rFonts w:ascii="Arial Narrow" w:hAnsi="Arial Narrow"/>
                <w:i/>
                <w:sz w:val="18"/>
                <w:szCs w:val="18"/>
              </w:rPr>
              <w:t>www.servicesaustralia.gov.au</w:t>
            </w:r>
          </w:p>
          <w:p w:rsidR="00395498" w:rsidRPr="00175DCB" w:rsidRDefault="00395498" w:rsidP="00491A13">
            <w:pPr>
              <w:rPr>
                <w:rFonts w:ascii="Arial Narrow" w:hAnsi="Arial Narrow"/>
                <w:i/>
                <w:color w:val="333333"/>
                <w:sz w:val="18"/>
                <w:szCs w:val="18"/>
              </w:rPr>
            </w:pPr>
          </w:p>
          <w:p w:rsidR="00395498" w:rsidRPr="00175DCB" w:rsidRDefault="00395498" w:rsidP="00491A13">
            <w:pPr>
              <w:rPr>
                <w:rFonts w:ascii="Arial Narrow" w:hAnsi="Arial Narrow"/>
                <w:i/>
                <w:color w:val="333333"/>
                <w:sz w:val="18"/>
                <w:szCs w:val="18"/>
              </w:rPr>
            </w:pPr>
            <w:r w:rsidRPr="00175DCB">
              <w:rPr>
                <w:rFonts w:ascii="Arial Narrow" w:hAnsi="Arial Narrow"/>
                <w:i/>
                <w:color w:val="333333"/>
                <w:sz w:val="18"/>
                <w:szCs w:val="18"/>
              </w:rPr>
              <w:t xml:space="preserve">Applications for authority to prescribe should be submitted online using the form upload facility in Health Professional Online Services (HPOS) at </w:t>
            </w:r>
            <w:r w:rsidRPr="00DE546F">
              <w:rPr>
                <w:rFonts w:ascii="Arial Narrow" w:hAnsi="Arial Narrow"/>
                <w:i/>
                <w:sz w:val="18"/>
                <w:szCs w:val="18"/>
              </w:rPr>
              <w:t>www.servicesaustralia.gov.au/hpos</w:t>
            </w:r>
          </w:p>
          <w:p w:rsidR="00395498" w:rsidRPr="00175DCB" w:rsidRDefault="00395498" w:rsidP="00491A13">
            <w:pPr>
              <w:rPr>
                <w:rFonts w:ascii="Arial Narrow" w:hAnsi="Arial Narrow"/>
                <w:i/>
                <w:color w:val="333333"/>
                <w:sz w:val="18"/>
                <w:szCs w:val="18"/>
              </w:rPr>
            </w:pPr>
          </w:p>
          <w:p w:rsidR="00395498" w:rsidRPr="00175DCB" w:rsidRDefault="00395498" w:rsidP="00491A13">
            <w:pPr>
              <w:rPr>
                <w:rFonts w:ascii="Arial Narrow" w:hAnsi="Arial Narrow"/>
                <w:i/>
                <w:color w:val="333333"/>
                <w:sz w:val="18"/>
                <w:szCs w:val="18"/>
              </w:rPr>
            </w:pPr>
            <w:r w:rsidRPr="00175DCB">
              <w:rPr>
                <w:rFonts w:ascii="Arial Narrow" w:hAnsi="Arial Narrow"/>
                <w:i/>
                <w:color w:val="333333"/>
                <w:sz w:val="18"/>
                <w:szCs w:val="18"/>
              </w:rPr>
              <w:t>Or mailed to:</w:t>
            </w:r>
          </w:p>
          <w:p w:rsidR="00395498" w:rsidRPr="00175DCB" w:rsidRDefault="00395498" w:rsidP="00491A13">
            <w:pPr>
              <w:rPr>
                <w:rFonts w:ascii="Arial Narrow" w:hAnsi="Arial Narrow"/>
                <w:i/>
                <w:color w:val="333333"/>
                <w:sz w:val="18"/>
                <w:szCs w:val="18"/>
              </w:rPr>
            </w:pPr>
            <w:r w:rsidRPr="00175DCB">
              <w:rPr>
                <w:rFonts w:ascii="Arial Narrow" w:hAnsi="Arial Narrow"/>
                <w:i/>
                <w:color w:val="333333"/>
                <w:sz w:val="18"/>
                <w:szCs w:val="18"/>
              </w:rPr>
              <w:t>Services Australia</w:t>
            </w:r>
          </w:p>
          <w:p w:rsidR="00395498" w:rsidRPr="00175DCB" w:rsidRDefault="00395498" w:rsidP="00491A13">
            <w:pPr>
              <w:rPr>
                <w:rFonts w:ascii="Arial Narrow" w:hAnsi="Arial Narrow"/>
                <w:i/>
                <w:color w:val="333333"/>
                <w:sz w:val="18"/>
                <w:szCs w:val="18"/>
              </w:rPr>
            </w:pPr>
            <w:r w:rsidRPr="00175DCB">
              <w:rPr>
                <w:rFonts w:ascii="Arial Narrow" w:hAnsi="Arial Narrow"/>
                <w:i/>
                <w:color w:val="333333"/>
                <w:sz w:val="18"/>
                <w:szCs w:val="18"/>
              </w:rPr>
              <w:t>Complex Drugs</w:t>
            </w:r>
          </w:p>
          <w:p w:rsidR="00395498" w:rsidRPr="00175DCB" w:rsidRDefault="00395498" w:rsidP="00491A13">
            <w:pPr>
              <w:rPr>
                <w:rFonts w:ascii="Arial Narrow" w:hAnsi="Arial Narrow"/>
                <w:i/>
                <w:color w:val="333333"/>
                <w:sz w:val="18"/>
                <w:szCs w:val="18"/>
              </w:rPr>
            </w:pPr>
            <w:r w:rsidRPr="00175DCB">
              <w:rPr>
                <w:rFonts w:ascii="Arial Narrow" w:hAnsi="Arial Narrow"/>
                <w:i/>
                <w:color w:val="333333"/>
                <w:sz w:val="18"/>
                <w:szCs w:val="18"/>
              </w:rPr>
              <w:t>Reply Paid 9826</w:t>
            </w:r>
          </w:p>
          <w:p w:rsidR="00395498" w:rsidRPr="00175DCB" w:rsidRDefault="00395498" w:rsidP="00491A13">
            <w:pPr>
              <w:rPr>
                <w:rFonts w:ascii="Arial Narrow" w:hAnsi="Arial Narrow"/>
                <w:i/>
                <w:color w:val="333333"/>
                <w:sz w:val="18"/>
                <w:szCs w:val="18"/>
              </w:rPr>
            </w:pPr>
            <w:r w:rsidRPr="00175DCB">
              <w:rPr>
                <w:rFonts w:ascii="Arial Narrow" w:hAnsi="Arial Narrow"/>
                <w:i/>
                <w:color w:val="333333"/>
                <w:sz w:val="18"/>
                <w:szCs w:val="18"/>
              </w:rPr>
              <w:t>HOBART TAS 7001</w:t>
            </w:r>
          </w:p>
          <w:p w:rsidR="00395498" w:rsidRPr="00175DCB" w:rsidRDefault="00395498" w:rsidP="00317E2B">
            <w:pPr>
              <w:rPr>
                <w:rFonts w:ascii="Arial Narrow" w:hAnsi="Arial Narrow"/>
                <w:bCs/>
                <w:i/>
                <w:color w:val="333333"/>
                <w:sz w:val="18"/>
                <w:szCs w:val="18"/>
              </w:rPr>
            </w:pPr>
          </w:p>
        </w:tc>
      </w:tr>
      <w:tr w:rsidR="00395498" w:rsidRPr="00175DCB" w:rsidTr="0031092F">
        <w:tc>
          <w:tcPr>
            <w:tcW w:w="5000" w:type="pct"/>
            <w:vAlign w:val="center"/>
            <w:hideMark/>
          </w:tcPr>
          <w:p w:rsidR="00395498" w:rsidRPr="00175DCB" w:rsidRDefault="00395498" w:rsidP="00317E2B">
            <w:pPr>
              <w:rPr>
                <w:rFonts w:ascii="Arial Narrow" w:hAnsi="Arial Narrow"/>
                <w:bCs/>
                <w:i/>
                <w:color w:val="333333"/>
                <w:sz w:val="18"/>
                <w:szCs w:val="18"/>
              </w:rPr>
            </w:pPr>
            <w:r w:rsidRPr="00175DCB">
              <w:rPr>
                <w:rFonts w:ascii="Arial Narrow" w:hAnsi="Arial Narrow"/>
                <w:b/>
                <w:bCs/>
                <w:i/>
                <w:color w:val="333333"/>
                <w:sz w:val="18"/>
                <w:szCs w:val="18"/>
              </w:rPr>
              <w:t>Administrative Advice:</w:t>
            </w:r>
            <w:r w:rsidRPr="00175DCB">
              <w:rPr>
                <w:rFonts w:ascii="Arial Narrow" w:hAnsi="Arial Narrow"/>
                <w:bCs/>
                <w:i/>
                <w:color w:val="333333"/>
                <w:sz w:val="18"/>
                <w:szCs w:val="18"/>
              </w:rPr>
              <w:t xml:space="preserve"> </w:t>
            </w:r>
            <w:r w:rsidRPr="00175DCB">
              <w:rPr>
                <w:rFonts w:ascii="Arial Narrow" w:hAnsi="Arial Narrow"/>
                <w:i/>
                <w:color w:val="333333"/>
                <w:sz w:val="18"/>
                <w:szCs w:val="18"/>
              </w:rPr>
              <w:t>No increase in the maximum number of repeats may be authorised.</w:t>
            </w:r>
          </w:p>
        </w:tc>
      </w:tr>
      <w:tr w:rsidR="00395498" w:rsidRPr="00175DCB" w:rsidTr="0031092F">
        <w:tc>
          <w:tcPr>
            <w:tcW w:w="5000" w:type="pct"/>
            <w:vAlign w:val="center"/>
            <w:hideMark/>
          </w:tcPr>
          <w:p w:rsidR="00395498" w:rsidRPr="00175DCB" w:rsidRDefault="00395498" w:rsidP="00317E2B">
            <w:pPr>
              <w:rPr>
                <w:rFonts w:ascii="Arial Narrow" w:hAnsi="Arial Narrow"/>
                <w:i/>
                <w:color w:val="333333"/>
                <w:sz w:val="18"/>
                <w:szCs w:val="18"/>
              </w:rPr>
            </w:pPr>
            <w:r w:rsidRPr="00175DCB">
              <w:rPr>
                <w:rFonts w:ascii="Arial Narrow" w:hAnsi="Arial Narrow"/>
                <w:b/>
                <w:bCs/>
                <w:i/>
                <w:color w:val="333333"/>
                <w:sz w:val="18"/>
                <w:szCs w:val="18"/>
              </w:rPr>
              <w:t xml:space="preserve">Administrative Advice: </w:t>
            </w:r>
            <w:r w:rsidRPr="00175DCB">
              <w:rPr>
                <w:rFonts w:ascii="Arial Narrow" w:hAnsi="Arial Narrow"/>
                <w:i/>
                <w:color w:val="333333"/>
                <w:sz w:val="18"/>
                <w:szCs w:val="18"/>
              </w:rPr>
              <w:t>No increase in the maximum quantity or number of units may be authorised.</w:t>
            </w:r>
          </w:p>
        </w:tc>
      </w:tr>
      <w:tr w:rsidR="00395498" w:rsidRPr="00175DCB" w:rsidTr="0031092F">
        <w:tc>
          <w:tcPr>
            <w:tcW w:w="5000" w:type="pct"/>
            <w:vAlign w:val="center"/>
            <w:hideMark/>
          </w:tcPr>
          <w:p w:rsidR="00395498" w:rsidRPr="00175DCB" w:rsidRDefault="00395498" w:rsidP="00317E2B">
            <w:pPr>
              <w:rPr>
                <w:rFonts w:ascii="Arial Narrow" w:hAnsi="Arial Narrow"/>
                <w:i/>
                <w:color w:val="333333"/>
                <w:sz w:val="18"/>
                <w:szCs w:val="18"/>
              </w:rPr>
            </w:pPr>
            <w:r w:rsidRPr="00175DCB">
              <w:rPr>
                <w:rFonts w:ascii="Arial Narrow" w:hAnsi="Arial Narrow"/>
                <w:b/>
                <w:bCs/>
                <w:i/>
                <w:color w:val="333333"/>
                <w:sz w:val="18"/>
                <w:szCs w:val="18"/>
              </w:rPr>
              <w:t>Administrative Advice:</w:t>
            </w:r>
            <w:r w:rsidRPr="00175DCB">
              <w:rPr>
                <w:rFonts w:ascii="Arial Narrow" w:hAnsi="Arial Narrow"/>
                <w:bCs/>
                <w:i/>
                <w:color w:val="333333"/>
                <w:sz w:val="18"/>
                <w:szCs w:val="18"/>
              </w:rPr>
              <w:t xml:space="preserve"> </w:t>
            </w:r>
            <w:r w:rsidRPr="00175DCB">
              <w:rPr>
                <w:rFonts w:ascii="Arial Narrow" w:hAnsi="Arial Narrow"/>
                <w:i/>
                <w:color w:val="333333"/>
                <w:sz w:val="18"/>
                <w:szCs w:val="18"/>
              </w:rPr>
              <w:t>Special Pricing Arrangements apply.</w:t>
            </w:r>
          </w:p>
        </w:tc>
      </w:tr>
    </w:tbl>
    <w:p w:rsidR="00803137" w:rsidRPr="00175DCB" w:rsidRDefault="00803137" w:rsidP="00803137"/>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3"/>
        <w:gridCol w:w="1134"/>
        <w:gridCol w:w="709"/>
        <w:gridCol w:w="811"/>
        <w:gridCol w:w="1599"/>
        <w:gridCol w:w="1843"/>
      </w:tblGrid>
      <w:tr w:rsidR="00E353F2" w:rsidRPr="00175DCB" w:rsidTr="00AD61B0">
        <w:trPr>
          <w:cantSplit/>
          <w:trHeight w:val="471"/>
        </w:trPr>
        <w:tc>
          <w:tcPr>
            <w:tcW w:w="2830" w:type="dxa"/>
            <w:gridSpan w:val="2"/>
          </w:tcPr>
          <w:p w:rsidR="00E353F2" w:rsidRPr="00175DCB" w:rsidRDefault="00E353F2" w:rsidP="00317E2B">
            <w:pPr>
              <w:keepNext/>
              <w:ind w:left="-108"/>
              <w:rPr>
                <w:rFonts w:ascii="Arial Narrow" w:hAnsi="Arial Narrow"/>
                <w:b/>
                <w:sz w:val="18"/>
                <w:szCs w:val="18"/>
              </w:rPr>
            </w:pPr>
            <w:r w:rsidRPr="00175DCB">
              <w:rPr>
                <w:rFonts w:ascii="Arial Narrow" w:hAnsi="Arial Narrow"/>
                <w:b/>
                <w:sz w:val="18"/>
                <w:szCs w:val="18"/>
              </w:rPr>
              <w:t>Name, Restriction,</w:t>
            </w:r>
          </w:p>
          <w:p w:rsidR="00E353F2" w:rsidRPr="00175DCB" w:rsidRDefault="00E353F2" w:rsidP="00317E2B">
            <w:pPr>
              <w:keepNext/>
              <w:ind w:left="-108"/>
              <w:rPr>
                <w:rFonts w:ascii="Arial Narrow" w:hAnsi="Arial Narrow"/>
                <w:b/>
                <w:sz w:val="18"/>
                <w:szCs w:val="18"/>
              </w:rPr>
            </w:pPr>
            <w:r w:rsidRPr="00175DCB">
              <w:rPr>
                <w:rFonts w:ascii="Arial Narrow" w:hAnsi="Arial Narrow"/>
                <w:b/>
                <w:sz w:val="18"/>
                <w:szCs w:val="18"/>
              </w:rPr>
              <w:t>Manner of administration and form</w:t>
            </w:r>
          </w:p>
        </w:tc>
        <w:tc>
          <w:tcPr>
            <w:tcW w:w="1134" w:type="dxa"/>
          </w:tcPr>
          <w:p w:rsidR="00E353F2" w:rsidRPr="00175DCB" w:rsidRDefault="00E353F2" w:rsidP="00317E2B">
            <w:pPr>
              <w:keepNext/>
              <w:ind w:left="-108"/>
              <w:jc w:val="center"/>
              <w:rPr>
                <w:rFonts w:ascii="Arial Narrow" w:hAnsi="Arial Narrow"/>
                <w:b/>
                <w:sz w:val="18"/>
                <w:szCs w:val="18"/>
              </w:rPr>
            </w:pPr>
            <w:r w:rsidRPr="00175DCB">
              <w:rPr>
                <w:rFonts w:ascii="Arial Narrow" w:hAnsi="Arial Narrow"/>
                <w:b/>
                <w:sz w:val="18"/>
                <w:szCs w:val="18"/>
              </w:rPr>
              <w:t>PBS item code</w:t>
            </w:r>
          </w:p>
        </w:tc>
        <w:tc>
          <w:tcPr>
            <w:tcW w:w="709" w:type="dxa"/>
          </w:tcPr>
          <w:p w:rsidR="00E353F2" w:rsidRPr="00175DCB" w:rsidRDefault="00E353F2" w:rsidP="00317E2B">
            <w:pPr>
              <w:keepNext/>
              <w:ind w:left="-108"/>
              <w:jc w:val="center"/>
              <w:rPr>
                <w:rFonts w:ascii="Arial Narrow" w:hAnsi="Arial Narrow"/>
                <w:b/>
                <w:sz w:val="18"/>
                <w:szCs w:val="18"/>
              </w:rPr>
            </w:pPr>
            <w:r w:rsidRPr="00175DCB">
              <w:rPr>
                <w:rFonts w:ascii="Arial Narrow" w:hAnsi="Arial Narrow"/>
                <w:b/>
                <w:sz w:val="18"/>
                <w:szCs w:val="18"/>
              </w:rPr>
              <w:t>Max.</w:t>
            </w:r>
          </w:p>
          <w:p w:rsidR="00E353F2" w:rsidRPr="00175DCB" w:rsidRDefault="00E353F2" w:rsidP="00317E2B">
            <w:pPr>
              <w:keepNext/>
              <w:ind w:left="-108"/>
              <w:jc w:val="center"/>
              <w:rPr>
                <w:rFonts w:ascii="Arial Narrow" w:hAnsi="Arial Narrow"/>
                <w:b/>
                <w:sz w:val="18"/>
                <w:szCs w:val="18"/>
              </w:rPr>
            </w:pPr>
            <w:r w:rsidRPr="00175DCB">
              <w:rPr>
                <w:rFonts w:ascii="Arial Narrow" w:hAnsi="Arial Narrow"/>
                <w:b/>
                <w:sz w:val="18"/>
                <w:szCs w:val="18"/>
              </w:rPr>
              <w:t>Amount</w:t>
            </w:r>
          </w:p>
        </w:tc>
        <w:tc>
          <w:tcPr>
            <w:tcW w:w="811" w:type="dxa"/>
          </w:tcPr>
          <w:p w:rsidR="00E353F2" w:rsidRPr="00175DCB" w:rsidRDefault="00E353F2" w:rsidP="00317E2B">
            <w:pPr>
              <w:keepNext/>
              <w:ind w:left="-108"/>
              <w:jc w:val="center"/>
              <w:rPr>
                <w:rFonts w:ascii="Arial Narrow" w:hAnsi="Arial Narrow"/>
                <w:b/>
                <w:sz w:val="18"/>
                <w:szCs w:val="18"/>
              </w:rPr>
            </w:pPr>
            <w:r w:rsidRPr="00175DCB">
              <w:rPr>
                <w:rFonts w:ascii="Arial Narrow" w:hAnsi="Arial Narrow"/>
                <w:b/>
                <w:sz w:val="18"/>
                <w:szCs w:val="18"/>
              </w:rPr>
              <w:t>№.of</w:t>
            </w:r>
          </w:p>
          <w:p w:rsidR="00E353F2" w:rsidRPr="00175DCB" w:rsidRDefault="00E353F2" w:rsidP="00317E2B">
            <w:pPr>
              <w:keepNext/>
              <w:ind w:left="-108"/>
              <w:jc w:val="center"/>
              <w:rPr>
                <w:rFonts w:ascii="Arial Narrow" w:hAnsi="Arial Narrow"/>
                <w:b/>
                <w:sz w:val="18"/>
                <w:szCs w:val="18"/>
              </w:rPr>
            </w:pPr>
            <w:r w:rsidRPr="00175DCB">
              <w:rPr>
                <w:rFonts w:ascii="Arial Narrow" w:hAnsi="Arial Narrow"/>
                <w:b/>
                <w:sz w:val="18"/>
                <w:szCs w:val="18"/>
              </w:rPr>
              <w:t>Rpts</w:t>
            </w:r>
          </w:p>
        </w:tc>
        <w:tc>
          <w:tcPr>
            <w:tcW w:w="1599" w:type="dxa"/>
          </w:tcPr>
          <w:p w:rsidR="00E353F2" w:rsidRPr="00175DCB" w:rsidRDefault="006A1781" w:rsidP="006A1781">
            <w:pPr>
              <w:keepNext/>
              <w:jc w:val="center"/>
              <w:rPr>
                <w:rFonts w:ascii="Arial Narrow" w:hAnsi="Arial Narrow"/>
                <w:b/>
                <w:sz w:val="18"/>
                <w:szCs w:val="18"/>
              </w:rPr>
            </w:pPr>
            <w:r w:rsidRPr="00175DCB">
              <w:rPr>
                <w:rFonts w:ascii="Arial Narrow" w:hAnsi="Arial Narrow"/>
                <w:b/>
                <w:sz w:val="18"/>
                <w:szCs w:val="18"/>
              </w:rPr>
              <w:t>Dispensed Price Max Amount</w:t>
            </w:r>
          </w:p>
        </w:tc>
        <w:tc>
          <w:tcPr>
            <w:tcW w:w="1843" w:type="dxa"/>
          </w:tcPr>
          <w:p w:rsidR="00E353F2" w:rsidRPr="00A47EA3" w:rsidRDefault="00E353F2" w:rsidP="00317E2B">
            <w:pPr>
              <w:keepNext/>
              <w:rPr>
                <w:rFonts w:ascii="Arial Narrow" w:hAnsi="Arial Narrow"/>
                <w:b/>
                <w:sz w:val="18"/>
                <w:szCs w:val="18"/>
              </w:rPr>
            </w:pPr>
            <w:r w:rsidRPr="00175DCB">
              <w:rPr>
                <w:rFonts w:ascii="Arial Narrow" w:hAnsi="Arial Narrow"/>
                <w:b/>
                <w:sz w:val="18"/>
                <w:szCs w:val="18"/>
              </w:rPr>
              <w:t>Manufacturer</w:t>
            </w:r>
          </w:p>
        </w:tc>
      </w:tr>
      <w:tr w:rsidR="00E353F2" w:rsidRPr="00175DCB" w:rsidTr="00AD61B0">
        <w:trPr>
          <w:cantSplit/>
          <w:trHeight w:val="577"/>
        </w:trPr>
        <w:tc>
          <w:tcPr>
            <w:tcW w:w="2830" w:type="dxa"/>
            <w:gridSpan w:val="2"/>
          </w:tcPr>
          <w:p w:rsidR="00E353F2" w:rsidRPr="00175DCB" w:rsidRDefault="00E353F2" w:rsidP="00317E2B">
            <w:pPr>
              <w:keepNext/>
              <w:ind w:left="-108"/>
              <w:rPr>
                <w:rFonts w:ascii="Arial Narrow" w:hAnsi="Arial Narrow"/>
                <w:sz w:val="18"/>
                <w:szCs w:val="18"/>
              </w:rPr>
            </w:pPr>
            <w:r w:rsidRPr="00175DCB">
              <w:rPr>
                <w:rFonts w:ascii="Arial Narrow" w:hAnsi="Arial Narrow"/>
                <w:sz w:val="18"/>
                <w:szCs w:val="18"/>
              </w:rPr>
              <w:t xml:space="preserve">MOGAMULIZUMAB </w:t>
            </w:r>
          </w:p>
          <w:p w:rsidR="00E353F2" w:rsidRPr="00175DCB" w:rsidRDefault="00E353F2" w:rsidP="00317E2B">
            <w:pPr>
              <w:keepNext/>
              <w:ind w:left="-108"/>
              <w:rPr>
                <w:rFonts w:ascii="Arial Narrow" w:hAnsi="Arial Narrow"/>
                <w:sz w:val="18"/>
                <w:szCs w:val="18"/>
              </w:rPr>
            </w:pPr>
            <w:r w:rsidRPr="00175DCB">
              <w:rPr>
                <w:rFonts w:ascii="Arial Narrow" w:hAnsi="Arial Narrow" w:cstheme="minorHAnsi"/>
                <w:sz w:val="18"/>
                <w:szCs w:val="18"/>
              </w:rPr>
              <w:t>Injection</w:t>
            </w:r>
          </w:p>
        </w:tc>
        <w:tc>
          <w:tcPr>
            <w:tcW w:w="1134" w:type="dxa"/>
          </w:tcPr>
          <w:p w:rsidR="00E353F2" w:rsidRPr="00175DCB" w:rsidRDefault="00E353F2" w:rsidP="00317E2B">
            <w:pPr>
              <w:keepNext/>
              <w:rPr>
                <w:rFonts w:ascii="Arial Narrow" w:hAnsi="Arial Narrow"/>
                <w:sz w:val="18"/>
                <w:szCs w:val="18"/>
              </w:rPr>
            </w:pPr>
            <w:r w:rsidRPr="00175DCB">
              <w:rPr>
                <w:rFonts w:ascii="Arial Narrow" w:hAnsi="Arial Narrow"/>
                <w:sz w:val="18"/>
                <w:szCs w:val="18"/>
              </w:rPr>
              <w:t>NEW (Public)</w:t>
            </w:r>
          </w:p>
          <w:p w:rsidR="00E353F2" w:rsidRPr="00175DCB" w:rsidRDefault="00E353F2" w:rsidP="00317E2B">
            <w:pPr>
              <w:keepNext/>
              <w:ind w:left="-108"/>
              <w:jc w:val="center"/>
              <w:rPr>
                <w:rFonts w:ascii="Arial Narrow" w:hAnsi="Arial Narrow"/>
                <w:sz w:val="18"/>
                <w:szCs w:val="18"/>
              </w:rPr>
            </w:pPr>
            <w:r w:rsidRPr="00175DCB">
              <w:rPr>
                <w:rFonts w:ascii="Arial Narrow" w:hAnsi="Arial Narrow"/>
                <w:sz w:val="18"/>
                <w:szCs w:val="18"/>
              </w:rPr>
              <w:t>NEW (Private)</w:t>
            </w:r>
          </w:p>
        </w:tc>
        <w:tc>
          <w:tcPr>
            <w:tcW w:w="709" w:type="dxa"/>
          </w:tcPr>
          <w:p w:rsidR="00E353F2" w:rsidRPr="00175DCB" w:rsidRDefault="00E353F2" w:rsidP="00317E2B">
            <w:pPr>
              <w:keepNext/>
              <w:ind w:left="-108"/>
              <w:jc w:val="center"/>
              <w:rPr>
                <w:rFonts w:ascii="Arial Narrow" w:hAnsi="Arial Narrow"/>
                <w:sz w:val="18"/>
                <w:szCs w:val="18"/>
              </w:rPr>
            </w:pPr>
            <w:r w:rsidRPr="00175DCB">
              <w:rPr>
                <w:rFonts w:ascii="Arial Narrow" w:hAnsi="Arial Narrow"/>
                <w:sz w:val="18"/>
                <w:szCs w:val="18"/>
              </w:rPr>
              <w:t>120 mg</w:t>
            </w:r>
          </w:p>
        </w:tc>
        <w:tc>
          <w:tcPr>
            <w:tcW w:w="811" w:type="dxa"/>
          </w:tcPr>
          <w:p w:rsidR="00E353F2" w:rsidRPr="00175DCB" w:rsidRDefault="00E353F2" w:rsidP="00317E2B">
            <w:pPr>
              <w:keepNext/>
              <w:ind w:left="-108"/>
              <w:jc w:val="center"/>
              <w:rPr>
                <w:rFonts w:ascii="Arial Narrow" w:hAnsi="Arial Narrow"/>
                <w:sz w:val="18"/>
                <w:szCs w:val="18"/>
              </w:rPr>
            </w:pPr>
            <w:r w:rsidRPr="00175DCB">
              <w:rPr>
                <w:rFonts w:ascii="Arial Narrow" w:hAnsi="Arial Narrow"/>
                <w:sz w:val="18"/>
                <w:szCs w:val="18"/>
              </w:rPr>
              <w:t>5</w:t>
            </w:r>
          </w:p>
          <w:p w:rsidR="00E353F2" w:rsidRPr="00175DCB" w:rsidRDefault="00E353F2" w:rsidP="00317E2B">
            <w:pPr>
              <w:keepNext/>
              <w:ind w:left="-108"/>
              <w:jc w:val="center"/>
              <w:rPr>
                <w:rFonts w:ascii="Arial Narrow" w:hAnsi="Arial Narrow"/>
                <w:sz w:val="18"/>
                <w:szCs w:val="18"/>
              </w:rPr>
            </w:pPr>
          </w:p>
        </w:tc>
        <w:tc>
          <w:tcPr>
            <w:tcW w:w="1599" w:type="dxa"/>
          </w:tcPr>
          <w:p w:rsidR="00E353F2" w:rsidRPr="00175DCB" w:rsidRDefault="006A1781" w:rsidP="00317E2B">
            <w:pPr>
              <w:keepNext/>
              <w:rPr>
                <w:rFonts w:ascii="Arial Narrow" w:hAnsi="Arial Narrow"/>
                <w:sz w:val="18"/>
                <w:szCs w:val="18"/>
              </w:rPr>
            </w:pPr>
            <w:r w:rsidRPr="00175DCB">
              <w:rPr>
                <w:rFonts w:ascii="Arial Narrow" w:hAnsi="Arial Narrow"/>
                <w:sz w:val="18"/>
                <w:szCs w:val="18"/>
              </w:rPr>
              <w:t>Published</w:t>
            </w:r>
          </w:p>
          <w:p w:rsidR="006A1781" w:rsidRPr="00175DCB" w:rsidRDefault="006A1781" w:rsidP="00317E2B">
            <w:pPr>
              <w:keepNext/>
              <w:rPr>
                <w:rFonts w:ascii="Arial Narrow" w:hAnsi="Arial Narrow"/>
                <w:sz w:val="18"/>
                <w:szCs w:val="18"/>
              </w:rPr>
            </w:pPr>
            <w:r w:rsidRPr="00175DCB">
              <w:rPr>
                <w:rFonts w:ascii="Arial Narrow" w:hAnsi="Arial Narrow"/>
                <w:sz w:val="18"/>
                <w:szCs w:val="18"/>
              </w:rPr>
              <w:t>Public: $15,055.06</w:t>
            </w:r>
          </w:p>
          <w:p w:rsidR="006A1781" w:rsidRPr="00175DCB" w:rsidRDefault="007C4E83" w:rsidP="00317E2B">
            <w:pPr>
              <w:keepNext/>
              <w:rPr>
                <w:rFonts w:ascii="Arial Narrow" w:hAnsi="Arial Narrow"/>
                <w:sz w:val="18"/>
                <w:szCs w:val="18"/>
              </w:rPr>
            </w:pPr>
            <w:r w:rsidRPr="00175DCB">
              <w:rPr>
                <w:rFonts w:ascii="Arial Narrow" w:hAnsi="Arial Narrow"/>
                <w:sz w:val="18"/>
                <w:szCs w:val="18"/>
              </w:rPr>
              <w:t>Private: $15,304.40</w:t>
            </w:r>
          </w:p>
          <w:p w:rsidR="006A1781" w:rsidRPr="00175DCB" w:rsidRDefault="006A1781" w:rsidP="00317E2B">
            <w:pPr>
              <w:keepNext/>
              <w:rPr>
                <w:rFonts w:ascii="Arial Narrow" w:hAnsi="Arial Narrow"/>
                <w:sz w:val="18"/>
                <w:szCs w:val="18"/>
              </w:rPr>
            </w:pPr>
          </w:p>
          <w:p w:rsidR="006A1781" w:rsidRPr="00175DCB" w:rsidRDefault="006A1781" w:rsidP="00317E2B">
            <w:pPr>
              <w:keepNext/>
              <w:rPr>
                <w:rFonts w:ascii="Arial Narrow" w:hAnsi="Arial Narrow"/>
                <w:sz w:val="18"/>
                <w:szCs w:val="18"/>
              </w:rPr>
            </w:pPr>
            <w:r w:rsidRPr="00175DCB">
              <w:rPr>
                <w:rFonts w:ascii="Arial Narrow" w:hAnsi="Arial Narrow"/>
                <w:sz w:val="18"/>
                <w:szCs w:val="18"/>
              </w:rPr>
              <w:t>Effective</w:t>
            </w:r>
          </w:p>
          <w:p w:rsidR="006A1781" w:rsidRPr="00175DCB" w:rsidRDefault="006A1781" w:rsidP="00317E2B">
            <w:pPr>
              <w:keepNext/>
              <w:rPr>
                <w:rFonts w:ascii="Arial Narrow" w:hAnsi="Arial Narrow"/>
                <w:sz w:val="18"/>
                <w:szCs w:val="18"/>
              </w:rPr>
            </w:pPr>
            <w:r w:rsidRPr="00175DCB">
              <w:rPr>
                <w:rFonts w:ascii="Arial Narrow" w:hAnsi="Arial Narrow"/>
                <w:sz w:val="18"/>
                <w:szCs w:val="18"/>
              </w:rPr>
              <w:t>Public: $</w:t>
            </w:r>
            <w:r w:rsidR="00DE546F">
              <w:rPr>
                <w:rFonts w:ascii="Arial Narrow" w:hAnsi="Arial Narrow"/>
                <w:noProof/>
                <w:color w:val="000000"/>
                <w:sz w:val="18"/>
                <w:szCs w:val="18"/>
                <w:highlight w:val="black"/>
              </w:rPr>
              <w:t>'''''''''''''''''''''</w:t>
            </w:r>
          </w:p>
          <w:p w:rsidR="006A1781" w:rsidRPr="00175DCB" w:rsidRDefault="006A1781" w:rsidP="00317E2B">
            <w:pPr>
              <w:keepNext/>
              <w:rPr>
                <w:rFonts w:ascii="Arial Narrow" w:hAnsi="Arial Narrow"/>
                <w:sz w:val="18"/>
                <w:szCs w:val="18"/>
              </w:rPr>
            </w:pPr>
            <w:r w:rsidRPr="00175DCB">
              <w:rPr>
                <w:rFonts w:ascii="Arial Narrow" w:hAnsi="Arial Narrow"/>
                <w:sz w:val="18"/>
                <w:szCs w:val="18"/>
              </w:rPr>
              <w:t>Private: $</w:t>
            </w:r>
            <w:r w:rsidR="00DE546F">
              <w:rPr>
                <w:rFonts w:ascii="Arial Narrow" w:hAnsi="Arial Narrow"/>
                <w:noProof/>
                <w:color w:val="000000"/>
                <w:sz w:val="18"/>
                <w:szCs w:val="18"/>
                <w:highlight w:val="black"/>
              </w:rPr>
              <w:t>'''''''''''''''''''''</w:t>
            </w:r>
          </w:p>
        </w:tc>
        <w:tc>
          <w:tcPr>
            <w:tcW w:w="1843" w:type="dxa"/>
          </w:tcPr>
          <w:p w:rsidR="00E353F2" w:rsidRPr="00175DCB" w:rsidRDefault="00E353F2" w:rsidP="00317E2B">
            <w:pPr>
              <w:keepNext/>
              <w:rPr>
                <w:rFonts w:ascii="Arial Narrow" w:hAnsi="Arial Narrow"/>
                <w:sz w:val="18"/>
                <w:szCs w:val="18"/>
              </w:rPr>
            </w:pPr>
            <w:r w:rsidRPr="00175DCB">
              <w:rPr>
                <w:rFonts w:ascii="Arial Narrow" w:hAnsi="Arial Narrow"/>
                <w:sz w:val="18"/>
                <w:szCs w:val="18"/>
              </w:rPr>
              <w:t>Kyowa Kirin Australia Pty Ltd</w:t>
            </w:r>
          </w:p>
        </w:tc>
      </w:tr>
      <w:tr w:rsidR="00E353F2" w:rsidRPr="00175DCB" w:rsidTr="00AD61B0">
        <w:trPr>
          <w:cantSplit/>
          <w:trHeight w:val="225"/>
        </w:trPr>
        <w:tc>
          <w:tcPr>
            <w:tcW w:w="2127" w:type="dxa"/>
          </w:tcPr>
          <w:p w:rsidR="00E353F2" w:rsidRPr="00175DCB" w:rsidRDefault="00E353F2" w:rsidP="00317E2B">
            <w:pPr>
              <w:keepNext/>
              <w:rPr>
                <w:rFonts w:ascii="Arial Narrow" w:hAnsi="Arial Narrow"/>
                <w:b/>
                <w:sz w:val="18"/>
                <w:szCs w:val="18"/>
              </w:rPr>
            </w:pPr>
          </w:p>
        </w:tc>
        <w:tc>
          <w:tcPr>
            <w:tcW w:w="6799" w:type="dxa"/>
            <w:gridSpan w:val="6"/>
          </w:tcPr>
          <w:p w:rsidR="00E353F2" w:rsidRPr="00175DCB" w:rsidRDefault="00E353F2" w:rsidP="00317E2B">
            <w:pPr>
              <w:keepNext/>
              <w:rPr>
                <w:rFonts w:ascii="Arial Narrow" w:hAnsi="Arial Narrow"/>
                <w:b/>
                <w:sz w:val="18"/>
                <w:szCs w:val="18"/>
              </w:rPr>
            </w:pPr>
            <w:r w:rsidRPr="00175DCB">
              <w:rPr>
                <w:rFonts w:ascii="Arial Narrow" w:hAnsi="Arial Narrow"/>
                <w:b/>
                <w:sz w:val="18"/>
                <w:szCs w:val="18"/>
              </w:rPr>
              <w:t>Available brands</w:t>
            </w:r>
          </w:p>
        </w:tc>
      </w:tr>
      <w:tr w:rsidR="00E353F2" w:rsidRPr="00175DCB" w:rsidTr="00AD61B0">
        <w:trPr>
          <w:cantSplit/>
          <w:trHeight w:val="360"/>
        </w:trPr>
        <w:tc>
          <w:tcPr>
            <w:tcW w:w="2127" w:type="dxa"/>
          </w:tcPr>
          <w:p w:rsidR="00E353F2" w:rsidRPr="00175DCB" w:rsidRDefault="00E353F2" w:rsidP="00317E2B">
            <w:pPr>
              <w:rPr>
                <w:rFonts w:ascii="Arial Narrow" w:hAnsi="Arial Narrow"/>
                <w:sz w:val="18"/>
                <w:szCs w:val="18"/>
              </w:rPr>
            </w:pPr>
          </w:p>
        </w:tc>
        <w:tc>
          <w:tcPr>
            <w:tcW w:w="6799" w:type="dxa"/>
            <w:gridSpan w:val="6"/>
          </w:tcPr>
          <w:p w:rsidR="00E353F2" w:rsidRPr="00175DCB" w:rsidRDefault="00E353F2" w:rsidP="00317E2B">
            <w:pPr>
              <w:rPr>
                <w:rFonts w:ascii="Arial Narrow" w:hAnsi="Arial Narrow"/>
                <w:sz w:val="18"/>
                <w:szCs w:val="18"/>
              </w:rPr>
            </w:pPr>
            <w:r w:rsidRPr="00175DCB">
              <w:rPr>
                <w:rFonts w:ascii="Arial Narrow" w:hAnsi="Arial Narrow"/>
                <w:sz w:val="18"/>
                <w:szCs w:val="18"/>
              </w:rPr>
              <w:t>Poteligeo</w:t>
            </w:r>
          </w:p>
          <w:p w:rsidR="00E353F2" w:rsidRPr="00175DCB" w:rsidRDefault="00E353F2" w:rsidP="00317E2B">
            <w:pPr>
              <w:rPr>
                <w:rFonts w:ascii="Arial Narrow" w:hAnsi="Arial Narrow"/>
                <w:sz w:val="18"/>
                <w:szCs w:val="18"/>
              </w:rPr>
            </w:pPr>
            <w:r w:rsidRPr="00175DCB">
              <w:rPr>
                <w:rFonts w:ascii="Arial Narrow" w:hAnsi="Arial Narrow" w:cstheme="minorHAnsi"/>
                <w:sz w:val="18"/>
                <w:szCs w:val="18"/>
              </w:rPr>
              <w:t>(mogamulizumab 20 mg/5 mL injection, 5 mL vial)</w:t>
            </w:r>
          </w:p>
        </w:tc>
      </w:tr>
    </w:tbl>
    <w:p w:rsidR="00803137" w:rsidRPr="00175DCB" w:rsidRDefault="00803137" w:rsidP="00803137"/>
    <w:p w:rsidR="00803137" w:rsidRPr="00175DCB" w:rsidRDefault="00803137" w:rsidP="00803137">
      <w:pPr>
        <w:rPr>
          <w:rFonts w:ascii="Arial Narrow" w:hAnsi="Arial Narrow"/>
          <w:b/>
          <w:sz w:val="18"/>
          <w:szCs w:val="1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02585E" w:rsidRPr="00175DCB" w:rsidTr="0031092F">
        <w:tc>
          <w:tcPr>
            <w:tcW w:w="5000" w:type="pct"/>
            <w:tcBorders>
              <w:top w:val="single" w:sz="4" w:space="0" w:color="auto"/>
              <w:left w:val="single" w:sz="4" w:space="0" w:color="auto"/>
              <w:bottom w:val="single" w:sz="4" w:space="0" w:color="auto"/>
              <w:right w:val="single" w:sz="4" w:space="0" w:color="auto"/>
            </w:tcBorders>
          </w:tcPr>
          <w:p w:rsidR="0002585E" w:rsidRPr="00175DCB" w:rsidRDefault="0002585E" w:rsidP="00317E2B">
            <w:pPr>
              <w:rPr>
                <w:rFonts w:ascii="Arial Narrow" w:hAnsi="Arial Narrow"/>
                <w:sz w:val="18"/>
                <w:szCs w:val="18"/>
              </w:rPr>
            </w:pPr>
            <w:r w:rsidRPr="00175DCB">
              <w:rPr>
                <w:rFonts w:ascii="Arial Narrow" w:hAnsi="Arial Narrow"/>
                <w:b/>
                <w:sz w:val="18"/>
                <w:szCs w:val="18"/>
              </w:rPr>
              <w:t xml:space="preserve">Category / Program:   </w:t>
            </w:r>
            <w:r w:rsidRPr="00175DCB">
              <w:rPr>
                <w:rFonts w:ascii="Arial Narrow" w:hAnsi="Arial Narrow"/>
                <w:sz w:val="18"/>
                <w:szCs w:val="18"/>
              </w:rPr>
              <w:t xml:space="preserve">Section 100 – Efficient Funding of Chemotherapy (Public/Private hospital)   </w:t>
            </w:r>
          </w:p>
        </w:tc>
      </w:tr>
      <w:tr w:rsidR="0002585E" w:rsidRPr="00175DCB" w:rsidTr="0031092F">
        <w:trPr>
          <w:trHeight w:val="276"/>
        </w:trPr>
        <w:tc>
          <w:tcPr>
            <w:tcW w:w="5000" w:type="pct"/>
            <w:tcBorders>
              <w:top w:val="single" w:sz="4" w:space="0" w:color="auto"/>
              <w:left w:val="single" w:sz="4" w:space="0" w:color="auto"/>
              <w:bottom w:val="single" w:sz="4" w:space="0" w:color="auto"/>
              <w:right w:val="single" w:sz="4" w:space="0" w:color="auto"/>
            </w:tcBorders>
          </w:tcPr>
          <w:p w:rsidR="0002585E" w:rsidRPr="00175DCB" w:rsidRDefault="0002585E" w:rsidP="00317E2B">
            <w:pPr>
              <w:rPr>
                <w:rFonts w:ascii="Arial Narrow" w:hAnsi="Arial Narrow"/>
                <w:sz w:val="18"/>
                <w:szCs w:val="18"/>
              </w:rPr>
            </w:pPr>
            <w:r w:rsidRPr="00175DCB">
              <w:rPr>
                <w:rFonts w:ascii="Arial Narrow" w:hAnsi="Arial Narrow"/>
                <w:b/>
                <w:sz w:val="18"/>
                <w:szCs w:val="18"/>
              </w:rPr>
              <w:t xml:space="preserve">Prescriber type:  </w:t>
            </w:r>
            <w:r w:rsidRPr="00A47EA3">
              <w:rPr>
                <w:rFonts w:ascii="Arial Narrow" w:hAnsi="Arial Narrow"/>
                <w:sz w:val="18"/>
                <w:szCs w:val="18"/>
              </w:rPr>
              <w:fldChar w:fldCharType="begin">
                <w:ffData>
                  <w:name w:val="Check1"/>
                  <w:enabled/>
                  <w:calcOnExit w:val="0"/>
                  <w:checkBox>
                    <w:sizeAuto/>
                    <w:default w:val="0"/>
                  </w:checkBox>
                </w:ffData>
              </w:fldChar>
            </w:r>
            <w:r w:rsidRPr="00175DCB">
              <w:rPr>
                <w:rFonts w:ascii="Arial Narrow" w:hAnsi="Arial Narrow"/>
                <w:sz w:val="18"/>
                <w:szCs w:val="18"/>
              </w:rPr>
              <w:instrText xml:space="preserve"> FORMCHECKBOX </w:instrText>
            </w:r>
            <w:r w:rsidR="00A42EFE">
              <w:rPr>
                <w:rFonts w:ascii="Arial Narrow" w:hAnsi="Arial Narrow"/>
                <w:sz w:val="18"/>
                <w:szCs w:val="18"/>
              </w:rPr>
            </w:r>
            <w:r w:rsidR="00A42EFE">
              <w:rPr>
                <w:rFonts w:ascii="Arial Narrow" w:hAnsi="Arial Narrow"/>
                <w:sz w:val="18"/>
                <w:szCs w:val="18"/>
              </w:rPr>
              <w:fldChar w:fldCharType="separate"/>
            </w:r>
            <w:r w:rsidRPr="00A47EA3">
              <w:rPr>
                <w:rFonts w:ascii="Arial Narrow" w:hAnsi="Arial Narrow"/>
                <w:sz w:val="18"/>
                <w:szCs w:val="18"/>
              </w:rPr>
              <w:fldChar w:fldCharType="end"/>
            </w:r>
            <w:r w:rsidRPr="00175DCB">
              <w:rPr>
                <w:rFonts w:ascii="Arial Narrow" w:hAnsi="Arial Narrow"/>
                <w:sz w:val="18"/>
                <w:szCs w:val="18"/>
              </w:rPr>
              <w:t xml:space="preserve">Dental  </w:t>
            </w:r>
            <w:r w:rsidRPr="00A47EA3">
              <w:rPr>
                <w:rFonts w:ascii="Arial Narrow" w:hAnsi="Arial Narrow"/>
                <w:sz w:val="18"/>
                <w:szCs w:val="18"/>
              </w:rPr>
              <w:fldChar w:fldCharType="begin">
                <w:ffData>
                  <w:name w:val=""/>
                  <w:enabled/>
                  <w:calcOnExit w:val="0"/>
                  <w:checkBox>
                    <w:sizeAuto/>
                    <w:default w:val="1"/>
                  </w:checkBox>
                </w:ffData>
              </w:fldChar>
            </w:r>
            <w:r w:rsidRPr="00175DCB">
              <w:rPr>
                <w:rFonts w:ascii="Arial Narrow" w:hAnsi="Arial Narrow"/>
                <w:sz w:val="18"/>
                <w:szCs w:val="18"/>
              </w:rPr>
              <w:instrText xml:space="preserve"> FORMCHECKBOX </w:instrText>
            </w:r>
            <w:r w:rsidR="00A42EFE">
              <w:rPr>
                <w:rFonts w:ascii="Arial Narrow" w:hAnsi="Arial Narrow"/>
                <w:sz w:val="18"/>
                <w:szCs w:val="18"/>
              </w:rPr>
            </w:r>
            <w:r w:rsidR="00A42EFE">
              <w:rPr>
                <w:rFonts w:ascii="Arial Narrow" w:hAnsi="Arial Narrow"/>
                <w:sz w:val="18"/>
                <w:szCs w:val="18"/>
              </w:rPr>
              <w:fldChar w:fldCharType="separate"/>
            </w:r>
            <w:r w:rsidRPr="00A47EA3">
              <w:rPr>
                <w:rFonts w:ascii="Arial Narrow" w:hAnsi="Arial Narrow"/>
                <w:sz w:val="18"/>
                <w:szCs w:val="18"/>
              </w:rPr>
              <w:fldChar w:fldCharType="end"/>
            </w:r>
            <w:r w:rsidRPr="00175DCB">
              <w:rPr>
                <w:rFonts w:ascii="Arial Narrow" w:hAnsi="Arial Narrow"/>
                <w:sz w:val="18"/>
                <w:szCs w:val="18"/>
              </w:rPr>
              <w:t xml:space="preserve">Medical Practitioners  </w:t>
            </w:r>
            <w:r w:rsidRPr="00A47EA3">
              <w:rPr>
                <w:rFonts w:ascii="Arial Narrow" w:hAnsi="Arial Narrow"/>
                <w:sz w:val="18"/>
                <w:szCs w:val="18"/>
              </w:rPr>
              <w:fldChar w:fldCharType="begin">
                <w:ffData>
                  <w:name w:val="Check3"/>
                  <w:enabled/>
                  <w:calcOnExit w:val="0"/>
                  <w:checkBox>
                    <w:sizeAuto/>
                    <w:default w:val="0"/>
                  </w:checkBox>
                </w:ffData>
              </w:fldChar>
            </w:r>
            <w:r w:rsidRPr="00175DCB">
              <w:rPr>
                <w:rFonts w:ascii="Arial Narrow" w:hAnsi="Arial Narrow"/>
                <w:sz w:val="18"/>
                <w:szCs w:val="18"/>
              </w:rPr>
              <w:instrText xml:space="preserve"> FORMCHECKBOX </w:instrText>
            </w:r>
            <w:r w:rsidR="00A42EFE">
              <w:rPr>
                <w:rFonts w:ascii="Arial Narrow" w:hAnsi="Arial Narrow"/>
                <w:sz w:val="18"/>
                <w:szCs w:val="18"/>
              </w:rPr>
            </w:r>
            <w:r w:rsidR="00A42EFE">
              <w:rPr>
                <w:rFonts w:ascii="Arial Narrow" w:hAnsi="Arial Narrow"/>
                <w:sz w:val="18"/>
                <w:szCs w:val="18"/>
              </w:rPr>
              <w:fldChar w:fldCharType="separate"/>
            </w:r>
            <w:r w:rsidRPr="00A47EA3">
              <w:rPr>
                <w:rFonts w:ascii="Arial Narrow" w:hAnsi="Arial Narrow"/>
                <w:sz w:val="18"/>
                <w:szCs w:val="18"/>
              </w:rPr>
              <w:fldChar w:fldCharType="end"/>
            </w:r>
            <w:r w:rsidRPr="00175DCB">
              <w:rPr>
                <w:rFonts w:ascii="Arial Narrow" w:hAnsi="Arial Narrow"/>
                <w:sz w:val="18"/>
                <w:szCs w:val="18"/>
              </w:rPr>
              <w:t xml:space="preserve">Nurse practitioners  </w:t>
            </w:r>
            <w:r w:rsidRPr="00A47EA3">
              <w:rPr>
                <w:rFonts w:ascii="Arial Narrow" w:hAnsi="Arial Narrow"/>
                <w:sz w:val="18"/>
                <w:szCs w:val="18"/>
              </w:rPr>
              <w:fldChar w:fldCharType="begin">
                <w:ffData>
                  <w:name w:val=""/>
                  <w:enabled/>
                  <w:calcOnExit w:val="0"/>
                  <w:checkBox>
                    <w:sizeAuto/>
                    <w:default w:val="0"/>
                  </w:checkBox>
                </w:ffData>
              </w:fldChar>
            </w:r>
            <w:r w:rsidRPr="00175DCB">
              <w:rPr>
                <w:rFonts w:ascii="Arial Narrow" w:hAnsi="Arial Narrow"/>
                <w:sz w:val="18"/>
                <w:szCs w:val="18"/>
              </w:rPr>
              <w:instrText xml:space="preserve"> FORMCHECKBOX </w:instrText>
            </w:r>
            <w:r w:rsidR="00A42EFE">
              <w:rPr>
                <w:rFonts w:ascii="Arial Narrow" w:hAnsi="Arial Narrow"/>
                <w:sz w:val="18"/>
                <w:szCs w:val="18"/>
              </w:rPr>
            </w:r>
            <w:r w:rsidR="00A42EFE">
              <w:rPr>
                <w:rFonts w:ascii="Arial Narrow" w:hAnsi="Arial Narrow"/>
                <w:sz w:val="18"/>
                <w:szCs w:val="18"/>
              </w:rPr>
              <w:fldChar w:fldCharType="separate"/>
            </w:r>
            <w:r w:rsidRPr="00A47EA3">
              <w:rPr>
                <w:rFonts w:ascii="Arial Narrow" w:hAnsi="Arial Narrow"/>
                <w:sz w:val="18"/>
                <w:szCs w:val="18"/>
              </w:rPr>
              <w:fldChar w:fldCharType="end"/>
            </w:r>
            <w:r w:rsidRPr="00175DCB">
              <w:rPr>
                <w:rFonts w:ascii="Arial Narrow" w:hAnsi="Arial Narrow"/>
                <w:sz w:val="18"/>
                <w:szCs w:val="18"/>
              </w:rPr>
              <w:t>Optometrists</w:t>
            </w:r>
            <w:r w:rsidR="00513211">
              <w:rPr>
                <w:rFonts w:ascii="Arial Narrow" w:hAnsi="Arial Narrow"/>
                <w:sz w:val="18"/>
                <w:szCs w:val="18"/>
              </w:rPr>
              <w:t xml:space="preserve">  </w:t>
            </w:r>
            <w:r w:rsidRPr="00175DCB">
              <w:rPr>
                <w:rFonts w:ascii="Arial Narrow" w:hAnsi="Arial Narrow"/>
                <w:sz w:val="18"/>
                <w:szCs w:val="18"/>
              </w:rPr>
              <w:t xml:space="preserve"> </w:t>
            </w:r>
            <w:r w:rsidRPr="00A47EA3">
              <w:rPr>
                <w:rFonts w:ascii="Arial Narrow" w:hAnsi="Arial Narrow"/>
                <w:sz w:val="18"/>
                <w:szCs w:val="18"/>
              </w:rPr>
              <w:fldChar w:fldCharType="begin">
                <w:ffData>
                  <w:name w:val="Check5"/>
                  <w:enabled/>
                  <w:calcOnExit w:val="0"/>
                  <w:checkBox>
                    <w:sizeAuto/>
                    <w:default w:val="0"/>
                  </w:checkBox>
                </w:ffData>
              </w:fldChar>
            </w:r>
            <w:r w:rsidRPr="00175DCB">
              <w:rPr>
                <w:rFonts w:ascii="Arial Narrow" w:hAnsi="Arial Narrow"/>
                <w:sz w:val="18"/>
                <w:szCs w:val="18"/>
              </w:rPr>
              <w:instrText xml:space="preserve"> FORMCHECKBOX </w:instrText>
            </w:r>
            <w:r w:rsidR="00A42EFE">
              <w:rPr>
                <w:rFonts w:ascii="Arial Narrow" w:hAnsi="Arial Narrow"/>
                <w:sz w:val="18"/>
                <w:szCs w:val="18"/>
              </w:rPr>
            </w:r>
            <w:r w:rsidR="00A42EFE">
              <w:rPr>
                <w:rFonts w:ascii="Arial Narrow" w:hAnsi="Arial Narrow"/>
                <w:sz w:val="18"/>
                <w:szCs w:val="18"/>
              </w:rPr>
              <w:fldChar w:fldCharType="separate"/>
            </w:r>
            <w:r w:rsidRPr="00A47EA3">
              <w:rPr>
                <w:rFonts w:ascii="Arial Narrow" w:hAnsi="Arial Narrow"/>
                <w:sz w:val="18"/>
                <w:szCs w:val="18"/>
              </w:rPr>
              <w:fldChar w:fldCharType="end"/>
            </w:r>
            <w:r w:rsidRPr="00175DCB">
              <w:rPr>
                <w:rFonts w:ascii="Arial Narrow" w:hAnsi="Arial Narrow"/>
                <w:sz w:val="18"/>
                <w:szCs w:val="18"/>
              </w:rPr>
              <w:t>Midwives</w:t>
            </w:r>
          </w:p>
        </w:tc>
      </w:tr>
      <w:tr w:rsidR="0002585E" w:rsidRPr="00175DCB" w:rsidTr="0031092F">
        <w:tc>
          <w:tcPr>
            <w:tcW w:w="5000" w:type="pct"/>
            <w:tcBorders>
              <w:top w:val="single" w:sz="4" w:space="0" w:color="auto"/>
              <w:left w:val="single" w:sz="4" w:space="0" w:color="auto"/>
              <w:bottom w:val="single" w:sz="4" w:space="0" w:color="auto"/>
              <w:right w:val="single" w:sz="4" w:space="0" w:color="auto"/>
            </w:tcBorders>
          </w:tcPr>
          <w:p w:rsidR="0002585E" w:rsidRPr="00175DCB" w:rsidRDefault="0002585E" w:rsidP="00317E2B">
            <w:pPr>
              <w:rPr>
                <w:rFonts w:ascii="Arial Narrow" w:hAnsi="Arial Narrow"/>
                <w:b/>
                <w:sz w:val="18"/>
                <w:szCs w:val="18"/>
              </w:rPr>
            </w:pPr>
            <w:r w:rsidRPr="00175DCB">
              <w:rPr>
                <w:rFonts w:ascii="Arial Narrow" w:hAnsi="Arial Narrow"/>
                <w:b/>
                <w:sz w:val="18"/>
                <w:szCs w:val="18"/>
              </w:rPr>
              <w:t>Restriction Level / Method:</w:t>
            </w:r>
          </w:p>
          <w:p w:rsidR="0002585E" w:rsidRPr="00175DCB" w:rsidRDefault="0002585E" w:rsidP="00317E2B">
            <w:pPr>
              <w:rPr>
                <w:rFonts w:ascii="Arial Narrow" w:hAnsi="Arial Narrow"/>
                <w:sz w:val="18"/>
                <w:szCs w:val="18"/>
              </w:rPr>
            </w:pPr>
            <w:r w:rsidRPr="00A47EA3">
              <w:rPr>
                <w:rFonts w:ascii="Arial Narrow" w:hAnsi="Arial Narrow"/>
                <w:sz w:val="18"/>
                <w:szCs w:val="18"/>
              </w:rPr>
              <w:fldChar w:fldCharType="begin">
                <w:ffData>
                  <w:name w:val="Check3"/>
                  <w:enabled/>
                  <w:calcOnExit w:val="0"/>
                  <w:checkBox>
                    <w:sizeAuto/>
                    <w:default w:val="1"/>
                  </w:checkBox>
                </w:ffData>
              </w:fldChar>
            </w:r>
            <w:bookmarkStart w:id="0" w:name="Check3"/>
            <w:r w:rsidRPr="00175DCB">
              <w:rPr>
                <w:rFonts w:ascii="Arial Narrow" w:hAnsi="Arial Narrow"/>
                <w:sz w:val="18"/>
                <w:szCs w:val="18"/>
              </w:rPr>
              <w:instrText xml:space="preserve"> FORMCHECKBOX </w:instrText>
            </w:r>
            <w:r w:rsidR="00A42EFE">
              <w:rPr>
                <w:rFonts w:ascii="Arial Narrow" w:hAnsi="Arial Narrow"/>
                <w:sz w:val="18"/>
                <w:szCs w:val="18"/>
              </w:rPr>
            </w:r>
            <w:r w:rsidR="00A42EFE">
              <w:rPr>
                <w:rFonts w:ascii="Arial Narrow" w:hAnsi="Arial Narrow"/>
                <w:sz w:val="18"/>
                <w:szCs w:val="18"/>
              </w:rPr>
              <w:fldChar w:fldCharType="separate"/>
            </w:r>
            <w:r w:rsidRPr="00A47EA3">
              <w:rPr>
                <w:rFonts w:ascii="Arial Narrow" w:hAnsi="Arial Narrow"/>
                <w:sz w:val="18"/>
                <w:szCs w:val="18"/>
              </w:rPr>
              <w:fldChar w:fldCharType="end"/>
            </w:r>
            <w:bookmarkEnd w:id="0"/>
            <w:r w:rsidRPr="00175DCB">
              <w:rPr>
                <w:rFonts w:ascii="Arial Narrow" w:hAnsi="Arial Narrow"/>
                <w:sz w:val="18"/>
                <w:szCs w:val="18"/>
              </w:rPr>
              <w:t>Authority Required – immediate/real-time assessment by Services Australia (Telephone/</w:t>
            </w:r>
            <w:r w:rsidRPr="00175DCB" w:rsidDel="005D6532">
              <w:rPr>
                <w:rFonts w:ascii="Arial Narrow" w:hAnsi="Arial Narrow"/>
                <w:sz w:val="18"/>
                <w:szCs w:val="18"/>
              </w:rPr>
              <w:t xml:space="preserve"> </w:t>
            </w:r>
            <w:r w:rsidRPr="00175DCB">
              <w:rPr>
                <w:rFonts w:ascii="Arial Narrow" w:hAnsi="Arial Narrow"/>
                <w:sz w:val="18"/>
                <w:szCs w:val="18"/>
              </w:rPr>
              <w:t>OnlineEmergency)</w:t>
            </w:r>
          </w:p>
        </w:tc>
      </w:tr>
      <w:tr w:rsidR="0002585E" w:rsidRPr="00175DCB" w:rsidTr="0031092F">
        <w:tc>
          <w:tcPr>
            <w:tcW w:w="5000" w:type="pct"/>
            <w:vAlign w:val="center"/>
          </w:tcPr>
          <w:p w:rsidR="0002585E" w:rsidRPr="00175DCB" w:rsidRDefault="0002585E" w:rsidP="00317E2B">
            <w:pPr>
              <w:rPr>
                <w:rFonts w:ascii="Arial Narrow" w:hAnsi="Arial Narrow"/>
                <w:b/>
                <w:bCs/>
                <w:color w:val="333333"/>
                <w:sz w:val="18"/>
                <w:szCs w:val="18"/>
              </w:rPr>
            </w:pPr>
            <w:r w:rsidRPr="00175DCB">
              <w:rPr>
                <w:rFonts w:ascii="Arial Narrow" w:hAnsi="Arial Narrow"/>
                <w:b/>
                <w:bCs/>
                <w:color w:val="333333"/>
                <w:sz w:val="18"/>
                <w:szCs w:val="18"/>
              </w:rPr>
              <w:t xml:space="preserve">Condition: </w:t>
            </w:r>
            <w:r w:rsidRPr="00175DCB">
              <w:rPr>
                <w:rFonts w:ascii="Arial Narrow" w:hAnsi="Arial Narrow"/>
                <w:bCs/>
                <w:color w:val="333333"/>
                <w:sz w:val="18"/>
                <w:szCs w:val="18"/>
              </w:rPr>
              <w:t>Cutaneous T-cell lymphoma</w:t>
            </w:r>
          </w:p>
        </w:tc>
      </w:tr>
      <w:tr w:rsidR="0002585E" w:rsidRPr="00175DCB" w:rsidTr="0031092F">
        <w:tc>
          <w:tcPr>
            <w:tcW w:w="5000" w:type="pct"/>
            <w:vAlign w:val="center"/>
            <w:hideMark/>
          </w:tcPr>
          <w:p w:rsidR="0002585E" w:rsidRPr="00175DCB" w:rsidRDefault="0002585E" w:rsidP="00317E2B">
            <w:pPr>
              <w:rPr>
                <w:rFonts w:ascii="Arial Narrow" w:hAnsi="Arial Narrow"/>
                <w:color w:val="333333"/>
                <w:sz w:val="18"/>
                <w:szCs w:val="18"/>
              </w:rPr>
            </w:pPr>
            <w:r w:rsidRPr="00175DCB">
              <w:rPr>
                <w:rFonts w:ascii="Arial Narrow" w:hAnsi="Arial Narrow"/>
                <w:b/>
                <w:bCs/>
                <w:color w:val="333333"/>
                <w:sz w:val="18"/>
                <w:szCs w:val="18"/>
              </w:rPr>
              <w:t>Indication:</w:t>
            </w:r>
            <w:r w:rsidRPr="00175DCB">
              <w:rPr>
                <w:rFonts w:ascii="Arial Narrow" w:hAnsi="Arial Narrow"/>
                <w:color w:val="333333"/>
                <w:sz w:val="18"/>
                <w:szCs w:val="18"/>
              </w:rPr>
              <w:t xml:space="preserve"> </w:t>
            </w:r>
            <w:r w:rsidRPr="00175DCB">
              <w:rPr>
                <w:rFonts w:ascii="Arial Narrow" w:hAnsi="Arial Narrow"/>
                <w:bCs/>
                <w:color w:val="333333"/>
                <w:sz w:val="18"/>
                <w:szCs w:val="18"/>
              </w:rPr>
              <w:t>Cutaneous T-cell lymphoma</w:t>
            </w:r>
          </w:p>
        </w:tc>
      </w:tr>
      <w:tr w:rsidR="0002585E" w:rsidRPr="00175DCB" w:rsidTr="0031092F">
        <w:tc>
          <w:tcPr>
            <w:tcW w:w="5000" w:type="pct"/>
            <w:vAlign w:val="center"/>
            <w:hideMark/>
          </w:tcPr>
          <w:p w:rsidR="0002585E" w:rsidRPr="00175DCB" w:rsidRDefault="0002585E" w:rsidP="00317E2B">
            <w:pPr>
              <w:rPr>
                <w:rFonts w:ascii="Arial Narrow" w:hAnsi="Arial Narrow"/>
                <w:color w:val="333333"/>
                <w:sz w:val="18"/>
                <w:szCs w:val="18"/>
              </w:rPr>
            </w:pPr>
            <w:r w:rsidRPr="00175DCB">
              <w:rPr>
                <w:rFonts w:ascii="Arial Narrow" w:hAnsi="Arial Narrow"/>
                <w:b/>
                <w:bCs/>
                <w:color w:val="333333"/>
                <w:sz w:val="18"/>
                <w:szCs w:val="18"/>
              </w:rPr>
              <w:t>Treatment Phase:</w:t>
            </w:r>
            <w:r w:rsidRPr="00175DCB">
              <w:rPr>
                <w:rFonts w:ascii="Arial Narrow" w:hAnsi="Arial Narrow"/>
                <w:color w:val="333333"/>
                <w:sz w:val="18"/>
                <w:szCs w:val="18"/>
              </w:rPr>
              <w:t xml:space="preserve"> Continuing treatment</w:t>
            </w:r>
          </w:p>
        </w:tc>
      </w:tr>
      <w:tr w:rsidR="0002585E" w:rsidRPr="00175DCB" w:rsidTr="0031092F">
        <w:tc>
          <w:tcPr>
            <w:tcW w:w="5000" w:type="pct"/>
            <w:vAlign w:val="center"/>
            <w:hideMark/>
          </w:tcPr>
          <w:p w:rsidR="0002585E" w:rsidRPr="00175DCB" w:rsidRDefault="0002585E" w:rsidP="00317E2B">
            <w:pPr>
              <w:rPr>
                <w:rFonts w:ascii="Arial Narrow" w:hAnsi="Arial Narrow"/>
                <w:color w:val="333333"/>
                <w:sz w:val="18"/>
                <w:szCs w:val="18"/>
              </w:rPr>
            </w:pPr>
            <w:r w:rsidRPr="00175DCB">
              <w:rPr>
                <w:rFonts w:ascii="Arial Narrow" w:hAnsi="Arial Narrow"/>
                <w:b/>
                <w:bCs/>
                <w:color w:val="333333"/>
                <w:sz w:val="18"/>
                <w:szCs w:val="18"/>
              </w:rPr>
              <w:t>Clinical criteria:</w:t>
            </w:r>
          </w:p>
        </w:tc>
      </w:tr>
      <w:tr w:rsidR="0002585E" w:rsidRPr="00175DCB" w:rsidTr="0031092F">
        <w:tc>
          <w:tcPr>
            <w:tcW w:w="5000" w:type="pct"/>
            <w:vAlign w:val="center"/>
            <w:hideMark/>
          </w:tcPr>
          <w:p w:rsidR="0002585E" w:rsidRPr="00175DCB" w:rsidRDefault="0002585E" w:rsidP="00317E2B">
            <w:pPr>
              <w:rPr>
                <w:rFonts w:ascii="Arial Narrow" w:hAnsi="Arial Narrow"/>
                <w:color w:val="333333"/>
                <w:sz w:val="18"/>
                <w:szCs w:val="18"/>
              </w:rPr>
            </w:pPr>
            <w:r w:rsidRPr="00175DCB">
              <w:rPr>
                <w:rFonts w:ascii="Arial Narrow" w:hAnsi="Arial Narrow" w:cs="Arial Narrow"/>
                <w:iCs/>
                <w:sz w:val="18"/>
                <w:szCs w:val="18"/>
              </w:rPr>
              <w:t>Patient must have previously received PBS-subsidised treatment with this drug for this condition.</w:t>
            </w:r>
          </w:p>
        </w:tc>
      </w:tr>
      <w:tr w:rsidR="0002585E" w:rsidRPr="00175DCB" w:rsidTr="0031092F">
        <w:tc>
          <w:tcPr>
            <w:tcW w:w="5000" w:type="pct"/>
            <w:vAlign w:val="center"/>
            <w:hideMark/>
          </w:tcPr>
          <w:p w:rsidR="0002585E" w:rsidRPr="00175DCB" w:rsidRDefault="0002585E" w:rsidP="00317E2B">
            <w:pPr>
              <w:rPr>
                <w:rFonts w:ascii="Arial Narrow" w:hAnsi="Arial Narrow"/>
                <w:color w:val="333333"/>
                <w:sz w:val="18"/>
                <w:szCs w:val="18"/>
              </w:rPr>
            </w:pPr>
            <w:r w:rsidRPr="00175DCB">
              <w:rPr>
                <w:rFonts w:ascii="Arial Narrow" w:hAnsi="Arial Narrow"/>
                <w:b/>
                <w:bCs/>
                <w:color w:val="333333"/>
                <w:sz w:val="18"/>
                <w:szCs w:val="18"/>
              </w:rPr>
              <w:t>AND</w:t>
            </w:r>
          </w:p>
        </w:tc>
      </w:tr>
      <w:tr w:rsidR="0002585E" w:rsidRPr="00175DCB" w:rsidTr="0031092F">
        <w:tc>
          <w:tcPr>
            <w:tcW w:w="5000" w:type="pct"/>
            <w:vAlign w:val="center"/>
            <w:hideMark/>
          </w:tcPr>
          <w:p w:rsidR="0002585E" w:rsidRPr="00175DCB" w:rsidRDefault="0002585E" w:rsidP="00317E2B">
            <w:pPr>
              <w:rPr>
                <w:rFonts w:ascii="Arial Narrow" w:hAnsi="Arial Narrow"/>
                <w:color w:val="333333"/>
                <w:sz w:val="18"/>
                <w:szCs w:val="18"/>
              </w:rPr>
            </w:pPr>
            <w:r w:rsidRPr="00175DCB">
              <w:rPr>
                <w:rFonts w:ascii="Arial Narrow" w:hAnsi="Arial Narrow"/>
                <w:b/>
                <w:bCs/>
                <w:color w:val="333333"/>
                <w:sz w:val="18"/>
                <w:szCs w:val="18"/>
              </w:rPr>
              <w:t>Clinical criteria:</w:t>
            </w:r>
          </w:p>
        </w:tc>
      </w:tr>
      <w:tr w:rsidR="0002585E" w:rsidRPr="00175DCB" w:rsidTr="0031092F">
        <w:tc>
          <w:tcPr>
            <w:tcW w:w="5000" w:type="pct"/>
            <w:vAlign w:val="center"/>
            <w:hideMark/>
          </w:tcPr>
          <w:p w:rsidR="0002585E" w:rsidRPr="00175DCB" w:rsidRDefault="0002585E" w:rsidP="00317E2B">
            <w:pPr>
              <w:rPr>
                <w:rFonts w:ascii="Arial Narrow" w:hAnsi="Arial Narrow"/>
                <w:color w:val="333333"/>
                <w:sz w:val="18"/>
                <w:szCs w:val="18"/>
              </w:rPr>
            </w:pPr>
            <w:r w:rsidRPr="00175DCB">
              <w:rPr>
                <w:rFonts w:ascii="Arial Narrow" w:hAnsi="Arial Narrow"/>
                <w:color w:val="333333"/>
                <w:sz w:val="18"/>
                <w:szCs w:val="18"/>
              </w:rPr>
              <w:t>Patient must not have progressive disease while receiving PBS-subsidised treatment with this drug for this condition.</w:t>
            </w:r>
          </w:p>
        </w:tc>
      </w:tr>
      <w:tr w:rsidR="0002585E" w:rsidRPr="00175DCB" w:rsidTr="0031092F">
        <w:tc>
          <w:tcPr>
            <w:tcW w:w="5000" w:type="pct"/>
            <w:vAlign w:val="center"/>
            <w:hideMark/>
          </w:tcPr>
          <w:p w:rsidR="0002585E" w:rsidRPr="00175DCB" w:rsidRDefault="0002585E" w:rsidP="00317E2B">
            <w:pPr>
              <w:rPr>
                <w:rFonts w:ascii="Arial Narrow" w:hAnsi="Arial Narrow"/>
                <w:color w:val="333333"/>
                <w:sz w:val="18"/>
                <w:szCs w:val="18"/>
              </w:rPr>
            </w:pPr>
            <w:r w:rsidRPr="00175DCB">
              <w:rPr>
                <w:rFonts w:ascii="Arial Narrow" w:hAnsi="Arial Narrow"/>
                <w:b/>
                <w:bCs/>
                <w:color w:val="333333"/>
                <w:sz w:val="18"/>
                <w:szCs w:val="18"/>
              </w:rPr>
              <w:t>AND</w:t>
            </w:r>
          </w:p>
        </w:tc>
      </w:tr>
      <w:tr w:rsidR="0002585E" w:rsidRPr="00175DCB" w:rsidTr="0031092F">
        <w:tc>
          <w:tcPr>
            <w:tcW w:w="5000" w:type="pct"/>
            <w:vAlign w:val="center"/>
            <w:hideMark/>
          </w:tcPr>
          <w:p w:rsidR="0002585E" w:rsidRPr="00175DCB" w:rsidRDefault="0002585E" w:rsidP="00317E2B">
            <w:pPr>
              <w:rPr>
                <w:rFonts w:ascii="Arial Narrow" w:hAnsi="Arial Narrow"/>
                <w:color w:val="333333"/>
                <w:sz w:val="18"/>
                <w:szCs w:val="18"/>
              </w:rPr>
            </w:pPr>
            <w:r w:rsidRPr="00175DCB">
              <w:rPr>
                <w:rFonts w:ascii="Arial Narrow" w:hAnsi="Arial Narrow"/>
                <w:b/>
                <w:bCs/>
                <w:color w:val="333333"/>
                <w:sz w:val="18"/>
                <w:szCs w:val="18"/>
              </w:rPr>
              <w:t>Clinical criteria:</w:t>
            </w:r>
          </w:p>
        </w:tc>
      </w:tr>
      <w:tr w:rsidR="0002585E" w:rsidRPr="00175DCB" w:rsidTr="0031092F">
        <w:tc>
          <w:tcPr>
            <w:tcW w:w="5000" w:type="pct"/>
            <w:vAlign w:val="center"/>
            <w:hideMark/>
          </w:tcPr>
          <w:p w:rsidR="0002585E" w:rsidRPr="00175DCB" w:rsidRDefault="0002585E" w:rsidP="00317E2B">
            <w:pPr>
              <w:rPr>
                <w:rFonts w:ascii="Arial Narrow" w:hAnsi="Arial Narrow"/>
                <w:color w:val="333333"/>
                <w:sz w:val="18"/>
                <w:szCs w:val="18"/>
              </w:rPr>
            </w:pPr>
            <w:r w:rsidRPr="00175DCB">
              <w:rPr>
                <w:rFonts w:ascii="Arial Narrow" w:hAnsi="Arial Narrow"/>
                <w:color w:val="333333"/>
                <w:sz w:val="18"/>
                <w:szCs w:val="18"/>
              </w:rPr>
              <w:t>The treatment must be the sole PBS-subsidised systemic anti-cancer</w:t>
            </w:r>
            <w:r w:rsidRPr="00175DCB">
              <w:rPr>
                <w:rFonts w:ascii="Arial Narrow" w:hAnsi="Arial Narrow"/>
                <w:i/>
                <w:color w:val="333333"/>
                <w:sz w:val="18"/>
                <w:szCs w:val="18"/>
              </w:rPr>
              <w:t xml:space="preserve"> </w:t>
            </w:r>
            <w:r w:rsidRPr="00175DCB">
              <w:rPr>
                <w:rFonts w:ascii="Arial Narrow" w:hAnsi="Arial Narrow"/>
                <w:color w:val="333333"/>
                <w:sz w:val="18"/>
                <w:szCs w:val="18"/>
              </w:rPr>
              <w:t>therapy for this condition.</w:t>
            </w:r>
          </w:p>
        </w:tc>
      </w:tr>
      <w:tr w:rsidR="0002585E" w:rsidRPr="00175DCB" w:rsidTr="0031092F">
        <w:tc>
          <w:tcPr>
            <w:tcW w:w="5000" w:type="pct"/>
            <w:vAlign w:val="center"/>
          </w:tcPr>
          <w:p w:rsidR="0002585E" w:rsidRPr="00175DCB" w:rsidRDefault="0002585E" w:rsidP="00317E2B">
            <w:pPr>
              <w:rPr>
                <w:rFonts w:ascii="Arial Narrow" w:hAnsi="Arial Narrow"/>
                <w:i/>
                <w:color w:val="333333"/>
                <w:sz w:val="18"/>
                <w:szCs w:val="18"/>
              </w:rPr>
            </w:pPr>
            <w:r w:rsidRPr="00175DCB">
              <w:rPr>
                <w:rFonts w:ascii="Arial Narrow" w:hAnsi="Arial Narrow"/>
                <w:b/>
                <w:bCs/>
                <w:i/>
                <w:color w:val="333333"/>
                <w:sz w:val="18"/>
                <w:szCs w:val="18"/>
              </w:rPr>
              <w:t xml:space="preserve">Administrative Advice: </w:t>
            </w:r>
          </w:p>
          <w:p w:rsidR="0002585E" w:rsidRPr="00175DCB" w:rsidRDefault="0002585E" w:rsidP="00317E2B">
            <w:pPr>
              <w:rPr>
                <w:rFonts w:ascii="Arial Narrow" w:hAnsi="Arial Narrow"/>
                <w:bCs/>
                <w:i/>
                <w:color w:val="333333"/>
                <w:sz w:val="18"/>
                <w:szCs w:val="18"/>
              </w:rPr>
            </w:pPr>
            <w:r w:rsidRPr="00175DCB">
              <w:rPr>
                <w:rFonts w:ascii="Arial Narrow" w:hAnsi="Arial Narrow"/>
                <w:bCs/>
                <w:i/>
                <w:color w:val="333333"/>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02585E" w:rsidRPr="00175DCB" w:rsidTr="0031092F">
        <w:tc>
          <w:tcPr>
            <w:tcW w:w="5000" w:type="pct"/>
            <w:vAlign w:val="center"/>
            <w:hideMark/>
          </w:tcPr>
          <w:p w:rsidR="0002585E" w:rsidRPr="00175DCB" w:rsidRDefault="0002585E" w:rsidP="00317E2B">
            <w:pPr>
              <w:rPr>
                <w:rFonts w:ascii="Arial Narrow" w:hAnsi="Arial Narrow"/>
                <w:bCs/>
                <w:i/>
                <w:color w:val="333333"/>
                <w:sz w:val="18"/>
                <w:szCs w:val="18"/>
              </w:rPr>
            </w:pPr>
            <w:r w:rsidRPr="00175DCB">
              <w:rPr>
                <w:rFonts w:ascii="Arial Narrow" w:hAnsi="Arial Narrow"/>
                <w:b/>
                <w:bCs/>
                <w:i/>
                <w:color w:val="333333"/>
                <w:sz w:val="18"/>
                <w:szCs w:val="18"/>
              </w:rPr>
              <w:t>Administrative Advice:</w:t>
            </w:r>
            <w:r w:rsidRPr="00175DCB">
              <w:rPr>
                <w:rFonts w:ascii="Arial Narrow" w:hAnsi="Arial Narrow"/>
                <w:bCs/>
                <w:i/>
                <w:color w:val="333333"/>
                <w:sz w:val="18"/>
                <w:szCs w:val="18"/>
              </w:rPr>
              <w:t xml:space="preserve"> </w:t>
            </w:r>
            <w:r w:rsidRPr="00175DCB">
              <w:rPr>
                <w:rFonts w:ascii="Arial Narrow" w:hAnsi="Arial Narrow"/>
                <w:i/>
                <w:color w:val="333333"/>
                <w:sz w:val="18"/>
                <w:szCs w:val="18"/>
              </w:rPr>
              <w:t>No increase in the maximum number of repeats may be authorised.</w:t>
            </w:r>
          </w:p>
        </w:tc>
      </w:tr>
      <w:tr w:rsidR="0002585E" w:rsidRPr="00175DCB" w:rsidTr="0031092F">
        <w:tc>
          <w:tcPr>
            <w:tcW w:w="5000" w:type="pct"/>
            <w:vAlign w:val="center"/>
            <w:hideMark/>
          </w:tcPr>
          <w:p w:rsidR="0002585E" w:rsidRPr="00175DCB" w:rsidRDefault="0002585E" w:rsidP="00317E2B">
            <w:pPr>
              <w:rPr>
                <w:rFonts w:ascii="Arial Narrow" w:hAnsi="Arial Narrow"/>
                <w:i/>
                <w:color w:val="333333"/>
                <w:sz w:val="18"/>
                <w:szCs w:val="18"/>
              </w:rPr>
            </w:pPr>
            <w:r w:rsidRPr="00175DCB">
              <w:rPr>
                <w:rFonts w:ascii="Arial Narrow" w:hAnsi="Arial Narrow"/>
                <w:b/>
                <w:bCs/>
                <w:i/>
                <w:color w:val="333333"/>
                <w:sz w:val="18"/>
                <w:szCs w:val="18"/>
              </w:rPr>
              <w:t>Administrative Advice:</w:t>
            </w:r>
            <w:r w:rsidRPr="00175DCB">
              <w:rPr>
                <w:rFonts w:ascii="Arial Narrow" w:hAnsi="Arial Narrow"/>
                <w:i/>
                <w:color w:val="333333"/>
                <w:sz w:val="18"/>
                <w:szCs w:val="18"/>
              </w:rPr>
              <w:t xml:space="preserve"> No increase in the maximum quantity or number of units may be authorised.</w:t>
            </w:r>
          </w:p>
        </w:tc>
      </w:tr>
      <w:tr w:rsidR="0002585E" w:rsidRPr="00175DCB" w:rsidTr="0031092F">
        <w:tc>
          <w:tcPr>
            <w:tcW w:w="5000" w:type="pct"/>
            <w:vAlign w:val="center"/>
          </w:tcPr>
          <w:p w:rsidR="0002585E" w:rsidRPr="00175DCB" w:rsidRDefault="0002585E" w:rsidP="00317E2B">
            <w:pPr>
              <w:rPr>
                <w:rFonts w:ascii="Arial Narrow" w:hAnsi="Arial Narrow"/>
                <w:i/>
                <w:color w:val="333333"/>
                <w:sz w:val="18"/>
                <w:szCs w:val="18"/>
              </w:rPr>
            </w:pPr>
            <w:r w:rsidRPr="00175DCB">
              <w:rPr>
                <w:rFonts w:ascii="Arial Narrow" w:hAnsi="Arial Narrow"/>
                <w:b/>
                <w:bCs/>
                <w:i/>
                <w:color w:val="333333"/>
                <w:sz w:val="18"/>
                <w:szCs w:val="18"/>
              </w:rPr>
              <w:t>Administrative Advice:</w:t>
            </w:r>
            <w:r w:rsidRPr="00175DCB">
              <w:rPr>
                <w:rFonts w:ascii="Arial Narrow" w:hAnsi="Arial Narrow"/>
                <w:bCs/>
                <w:i/>
                <w:color w:val="333333"/>
                <w:sz w:val="18"/>
                <w:szCs w:val="18"/>
              </w:rPr>
              <w:t xml:space="preserve"> </w:t>
            </w:r>
            <w:r w:rsidRPr="00175DCB">
              <w:rPr>
                <w:rFonts w:ascii="Arial Narrow" w:hAnsi="Arial Narrow"/>
                <w:i/>
                <w:color w:val="333333"/>
                <w:sz w:val="18"/>
                <w:szCs w:val="18"/>
              </w:rPr>
              <w:t xml:space="preserve"> Special Pricing Arrangements apply.</w:t>
            </w:r>
          </w:p>
        </w:tc>
      </w:tr>
    </w:tbl>
    <w:p w:rsidR="000108C9" w:rsidRPr="00175DCB" w:rsidRDefault="000108C9" w:rsidP="00B17EE5">
      <w:pPr>
        <w:spacing w:after="120"/>
        <w:rPr>
          <w:rFonts w:asciiTheme="minorHAnsi" w:hAnsiTheme="minorHAnsi" w:cstheme="minorHAnsi"/>
          <w:i/>
        </w:rPr>
      </w:pPr>
    </w:p>
    <w:p w:rsidR="009C2253" w:rsidRPr="00175DCB" w:rsidRDefault="009C2253" w:rsidP="00224E7B">
      <w:pPr>
        <w:pStyle w:val="3-BodyText"/>
        <w:numPr>
          <w:ilvl w:val="1"/>
          <w:numId w:val="1"/>
        </w:numPr>
        <w:rPr>
          <w:color w:val="0066FF"/>
        </w:rPr>
      </w:pPr>
      <w:r w:rsidRPr="00175DCB">
        <w:t xml:space="preserve">A special pricing arrangement based on a </w:t>
      </w:r>
      <w:r w:rsidR="00DE546F">
        <w:rPr>
          <w:noProof/>
          <w:color w:val="000000"/>
          <w:highlight w:val="black"/>
        </w:rPr>
        <w:t>''''''''''''</w:t>
      </w:r>
      <w:r w:rsidRPr="00175DCB">
        <w:t>% rebate on the published approved ex-manufacturer price (AEMP) was proposed, resulting in a published AEMP of $</w:t>
      </w:r>
      <w:r w:rsidR="00DE546F">
        <w:rPr>
          <w:noProof/>
          <w:color w:val="000000"/>
          <w:highlight w:val="black"/>
        </w:rPr>
        <w:t>'''''''''''</w:t>
      </w:r>
      <w:r w:rsidRPr="00175DCB">
        <w:t xml:space="preserve"> and an effective AEMP of $</w:t>
      </w:r>
      <w:r w:rsidR="00DE546F">
        <w:rPr>
          <w:noProof/>
          <w:color w:val="000000"/>
          <w:highlight w:val="black"/>
        </w:rPr>
        <w:t>'''''''</w:t>
      </w:r>
      <w:r w:rsidRPr="00175DCB">
        <w:t xml:space="preserve"> for a 1 x 20 mg vial. The effective dispensed price per maximum amount (DPMA) was calculated based on the effective AEMP (</w:t>
      </w:r>
      <w:r w:rsidR="007C4E83" w:rsidRPr="00175DCB">
        <w:t>this was $</w:t>
      </w:r>
      <w:r w:rsidR="00DE546F">
        <w:rPr>
          <w:noProof/>
          <w:color w:val="000000"/>
          <w:highlight w:val="black"/>
        </w:rPr>
        <w:t>'''''''''''''''</w:t>
      </w:r>
      <w:r w:rsidRPr="00175DCB">
        <w:t xml:space="preserve"> for the private sector). </w:t>
      </w:r>
    </w:p>
    <w:p w:rsidR="00405F56" w:rsidRPr="00175DCB" w:rsidRDefault="00405F56" w:rsidP="00224E7B">
      <w:pPr>
        <w:pStyle w:val="3-BodyText"/>
        <w:numPr>
          <w:ilvl w:val="1"/>
          <w:numId w:val="1"/>
        </w:numPr>
        <w:rPr>
          <w:rFonts w:ascii="Calibri" w:hAnsi="Calibri"/>
          <w:bCs/>
          <w:iCs/>
        </w:rPr>
      </w:pPr>
      <w:r w:rsidRPr="00175DCB">
        <w:rPr>
          <w:rFonts w:ascii="Calibri" w:hAnsi="Calibri"/>
          <w:bCs/>
          <w:iCs/>
        </w:rPr>
        <w:t xml:space="preserve">The </w:t>
      </w:r>
      <w:r w:rsidR="003B7450" w:rsidRPr="00175DCB">
        <w:rPr>
          <w:rFonts w:ascii="Calibri" w:hAnsi="Calibri"/>
          <w:bCs/>
          <w:iCs/>
        </w:rPr>
        <w:t>minor re</w:t>
      </w:r>
      <w:r w:rsidRPr="00175DCB">
        <w:rPr>
          <w:rFonts w:ascii="Calibri" w:hAnsi="Calibri"/>
          <w:bCs/>
          <w:iCs/>
        </w:rPr>
        <w:t xml:space="preserve">submission requested an Authority Required (Telephone) listing for both the Initial and Continuing restriction. </w:t>
      </w:r>
      <w:r w:rsidR="00310B90" w:rsidRPr="00175DCB">
        <w:rPr>
          <w:rFonts w:ascii="Calibri" w:hAnsi="Calibri"/>
          <w:bCs/>
          <w:iCs/>
        </w:rPr>
        <w:t>The PBAC advise</w:t>
      </w:r>
      <w:r w:rsidR="0002585E" w:rsidRPr="00175DCB">
        <w:rPr>
          <w:rFonts w:ascii="Calibri" w:hAnsi="Calibri"/>
          <w:bCs/>
          <w:iCs/>
        </w:rPr>
        <w:t>d that an Authority Required (In Writing) for initial treatment and an Authority Required (Telephone) listing for continuing treatment would be appropriate</w:t>
      </w:r>
      <w:r w:rsidR="00DC3862" w:rsidRPr="00175DCB">
        <w:rPr>
          <w:rFonts w:ascii="Calibri" w:hAnsi="Calibri"/>
          <w:bCs/>
          <w:iCs/>
        </w:rPr>
        <w:t>.</w:t>
      </w:r>
      <w:r w:rsidR="00310B90" w:rsidRPr="00175DCB">
        <w:rPr>
          <w:rFonts w:ascii="Calibri" w:hAnsi="Calibri"/>
          <w:bCs/>
          <w:iCs/>
        </w:rPr>
        <w:t xml:space="preserve"> </w:t>
      </w:r>
    </w:p>
    <w:p w:rsidR="00872C35" w:rsidRPr="00175DCB" w:rsidRDefault="00872C35" w:rsidP="00872C35">
      <w:pPr>
        <w:pStyle w:val="3Bodytext"/>
        <w:jc w:val="both"/>
      </w:pPr>
      <w:r w:rsidRPr="00175DCB">
        <w:t xml:space="preserve">The draft PI states that all patients in the MAVORIC trial had a histologically confirmed diagnosis of MF or SS. The PBAC considered that a requirement for MF or SS to be ‘histologically confirmed’ should be included as part of the MF and SS diagnosis criterion. </w:t>
      </w:r>
    </w:p>
    <w:p w:rsidR="009A1800" w:rsidRPr="00175DCB" w:rsidRDefault="003B30BB" w:rsidP="009A1800">
      <w:pPr>
        <w:pStyle w:val="3Bodytext"/>
        <w:jc w:val="both"/>
      </w:pPr>
      <w:r w:rsidRPr="00175DCB">
        <w:t>The PBAC consider</w:t>
      </w:r>
      <w:r w:rsidR="0002585E" w:rsidRPr="00175DCB">
        <w:t xml:space="preserve">ed that </w:t>
      </w:r>
      <w:r w:rsidRPr="00175DCB">
        <w:t xml:space="preserve">a clinical criterion stating ‘The patient must have experienced a relapse or be refractory to a prior systemic treatment for this condition’ </w:t>
      </w:r>
      <w:r w:rsidR="0002585E" w:rsidRPr="00175DCB">
        <w:t>wa</w:t>
      </w:r>
      <w:r w:rsidRPr="00175DCB">
        <w:t>s clearer than the criteria proposed of ‘Patient must have received prior systemic treatment for this condition’ and ‘The condition must be relapsed or refractory’.</w:t>
      </w:r>
      <w:r w:rsidR="00936366" w:rsidRPr="00175DCB">
        <w:t xml:space="preserve"> </w:t>
      </w:r>
    </w:p>
    <w:p w:rsidR="00C66FF3" w:rsidRPr="00175DCB" w:rsidRDefault="00C66FF3" w:rsidP="00C66FF3">
      <w:pPr>
        <w:tabs>
          <w:tab w:val="center" w:pos="4153"/>
          <w:tab w:val="right" w:pos="8306"/>
        </w:tabs>
        <w:autoSpaceDE w:val="0"/>
        <w:autoSpaceDN w:val="0"/>
        <w:adjustRightInd w:val="0"/>
        <w:rPr>
          <w:rFonts w:cstheme="minorHAnsi"/>
          <w:i/>
          <w:iCs/>
        </w:rPr>
      </w:pPr>
      <w:r w:rsidRPr="00175DCB">
        <w:rPr>
          <w:rFonts w:cstheme="minorHAnsi"/>
          <w:i/>
          <w:iCs/>
        </w:rPr>
        <w:t>For more detail on PBAC’s view, see section 6 PBAC outcome.</w:t>
      </w:r>
    </w:p>
    <w:p w:rsidR="005A3173" w:rsidRPr="00175DCB" w:rsidRDefault="005A3173" w:rsidP="00917D69">
      <w:pPr>
        <w:pStyle w:val="2-SectionHeading"/>
        <w:rPr>
          <w:color w:val="FF0000"/>
        </w:rPr>
      </w:pPr>
      <w:r w:rsidRPr="00175DCB">
        <w:t>Comparator</w:t>
      </w:r>
      <w:r w:rsidR="0099465B" w:rsidRPr="00175DCB">
        <w:t xml:space="preserve"> </w:t>
      </w:r>
    </w:p>
    <w:p w:rsidR="00180713" w:rsidRPr="00175DCB" w:rsidRDefault="005E7A46" w:rsidP="00911C69">
      <w:pPr>
        <w:pStyle w:val="3Bodytext"/>
        <w:jc w:val="both"/>
      </w:pPr>
      <w:r w:rsidRPr="00175DCB">
        <w:t xml:space="preserve">The </w:t>
      </w:r>
      <w:r w:rsidR="00180713" w:rsidRPr="00175DCB">
        <w:t xml:space="preserve">major submission considered by the PBAC in </w:t>
      </w:r>
      <w:r w:rsidR="000108C9" w:rsidRPr="00175DCB">
        <w:t>July 2020</w:t>
      </w:r>
      <w:r w:rsidR="00095ADA" w:rsidRPr="00175DCB">
        <w:t xml:space="preserve"> </w:t>
      </w:r>
      <w:r w:rsidR="00180713" w:rsidRPr="00175DCB">
        <w:t xml:space="preserve">nominated </w:t>
      </w:r>
      <w:r w:rsidR="000108C9" w:rsidRPr="00175DCB">
        <w:t>vorinostat as the main</w:t>
      </w:r>
      <w:r w:rsidR="00AC0083" w:rsidRPr="00175DCB">
        <w:t xml:space="preserve"> comparat</w:t>
      </w:r>
      <w:r w:rsidR="00614711" w:rsidRPr="00175DCB">
        <w:t>or and</w:t>
      </w:r>
      <w:r w:rsidR="00374C31" w:rsidRPr="00175DCB">
        <w:t xml:space="preserve"> brentuximab vedotin as the secondary comparator.</w:t>
      </w:r>
      <w:r w:rsidR="00614711" w:rsidRPr="00175DCB">
        <w:t xml:space="preserve"> This was unchanged</w:t>
      </w:r>
      <w:r w:rsidR="00180713" w:rsidRPr="00175DCB">
        <w:t xml:space="preserve">. </w:t>
      </w:r>
    </w:p>
    <w:p w:rsidR="00C66FF3" w:rsidRPr="00175DCB" w:rsidRDefault="00C66FF3" w:rsidP="00CB706A">
      <w:pPr>
        <w:pStyle w:val="3Bodytext"/>
        <w:numPr>
          <w:ilvl w:val="0"/>
          <w:numId w:val="0"/>
        </w:numPr>
        <w:jc w:val="both"/>
        <w:rPr>
          <w:i/>
        </w:rPr>
      </w:pPr>
      <w:r w:rsidRPr="00175DCB">
        <w:rPr>
          <w:i/>
        </w:rPr>
        <w:t>For more detail on PBAC’s view, see section 6 PBAC outcome.</w:t>
      </w:r>
    </w:p>
    <w:p w:rsidR="00356E5B" w:rsidRPr="00175DCB" w:rsidRDefault="008D7A41" w:rsidP="00224E7B">
      <w:pPr>
        <w:pStyle w:val="Heading1"/>
        <w:keepLines/>
        <w:numPr>
          <w:ilvl w:val="0"/>
          <w:numId w:val="3"/>
        </w:numPr>
        <w:spacing w:before="240"/>
        <w:ind w:left="709" w:hanging="709"/>
        <w:rPr>
          <w:sz w:val="32"/>
          <w:szCs w:val="32"/>
        </w:rPr>
      </w:pPr>
      <w:r w:rsidRPr="00175DCB">
        <w:rPr>
          <w:sz w:val="32"/>
          <w:szCs w:val="32"/>
        </w:rPr>
        <w:t>C</w:t>
      </w:r>
      <w:r w:rsidR="00D84934" w:rsidRPr="00175DCB">
        <w:rPr>
          <w:sz w:val="32"/>
          <w:szCs w:val="32"/>
        </w:rPr>
        <w:t>onsideration of the evidence</w:t>
      </w:r>
    </w:p>
    <w:p w:rsidR="00C66FF3" w:rsidRPr="00175DCB" w:rsidRDefault="00C66FF3" w:rsidP="00C66FF3">
      <w:pPr>
        <w:keepNext/>
        <w:spacing w:before="120" w:after="120"/>
        <w:outlineLvl w:val="1"/>
        <w:rPr>
          <w:rFonts w:asciiTheme="minorHAnsi" w:eastAsiaTheme="majorEastAsia" w:hAnsiTheme="minorHAnsi" w:cstheme="majorBidi"/>
          <w:b/>
          <w:i/>
          <w:spacing w:val="5"/>
          <w:kern w:val="28"/>
          <w:sz w:val="28"/>
          <w:szCs w:val="36"/>
          <w:lang w:eastAsia="en-US"/>
        </w:rPr>
      </w:pPr>
      <w:r w:rsidRPr="00175DCB">
        <w:rPr>
          <w:rFonts w:asciiTheme="minorHAnsi" w:eastAsiaTheme="majorEastAsia" w:hAnsiTheme="minorHAnsi" w:cstheme="majorBidi"/>
          <w:b/>
          <w:i/>
          <w:spacing w:val="5"/>
          <w:kern w:val="28"/>
          <w:sz w:val="28"/>
          <w:szCs w:val="36"/>
          <w:lang w:eastAsia="en-US"/>
        </w:rPr>
        <w:t>Sponsor hearing</w:t>
      </w:r>
    </w:p>
    <w:p w:rsidR="00C66FF3" w:rsidRPr="00175DCB" w:rsidRDefault="00C66FF3" w:rsidP="00C66FF3">
      <w:pPr>
        <w:widowControl w:val="0"/>
        <w:numPr>
          <w:ilvl w:val="1"/>
          <w:numId w:val="1"/>
        </w:numPr>
        <w:spacing w:after="120"/>
        <w:ind w:left="862"/>
        <w:rPr>
          <w:rFonts w:asciiTheme="minorHAnsi" w:hAnsiTheme="minorHAnsi" w:cs="Arial"/>
          <w:bCs/>
          <w:snapToGrid w:val="0"/>
        </w:rPr>
      </w:pPr>
      <w:r w:rsidRPr="00175DCB">
        <w:rPr>
          <w:rFonts w:asciiTheme="minorHAnsi" w:hAnsiTheme="minorHAnsi" w:cs="Arial"/>
          <w:bCs/>
          <w:snapToGrid w:val="0"/>
        </w:rPr>
        <w:t>There was no hearing for this item as it was a minor submission.</w:t>
      </w:r>
    </w:p>
    <w:p w:rsidR="00C66FF3" w:rsidRPr="00175DCB" w:rsidRDefault="00C66FF3" w:rsidP="00C66FF3">
      <w:pPr>
        <w:keepNext/>
        <w:spacing w:before="120" w:after="120"/>
        <w:outlineLvl w:val="1"/>
        <w:rPr>
          <w:rFonts w:asciiTheme="minorHAnsi" w:eastAsiaTheme="majorEastAsia" w:hAnsiTheme="minorHAnsi" w:cstheme="majorBidi"/>
          <w:b/>
          <w:i/>
          <w:spacing w:val="5"/>
          <w:kern w:val="28"/>
          <w:sz w:val="28"/>
          <w:szCs w:val="36"/>
          <w:lang w:eastAsia="en-US"/>
        </w:rPr>
      </w:pPr>
      <w:r w:rsidRPr="00175DCB">
        <w:rPr>
          <w:rFonts w:asciiTheme="minorHAnsi" w:eastAsiaTheme="majorEastAsia" w:hAnsiTheme="minorHAnsi" w:cstheme="majorBidi"/>
          <w:b/>
          <w:i/>
          <w:spacing w:val="5"/>
          <w:kern w:val="28"/>
          <w:sz w:val="28"/>
          <w:szCs w:val="36"/>
          <w:lang w:eastAsia="en-US"/>
        </w:rPr>
        <w:t>Consumer comments</w:t>
      </w:r>
    </w:p>
    <w:p w:rsidR="00A076A5" w:rsidRDefault="00C66FF3" w:rsidP="00AA1EAF">
      <w:pPr>
        <w:pStyle w:val="3Bodytext"/>
        <w:jc w:val="both"/>
        <w:rPr>
          <w:rFonts w:cstheme="minorHAnsi"/>
        </w:rPr>
      </w:pPr>
      <w:r w:rsidRPr="00175DCB">
        <w:rPr>
          <w:rFonts w:cstheme="minorHAnsi"/>
        </w:rPr>
        <w:t xml:space="preserve">The PBAC noted and welcomed the input from </w:t>
      </w:r>
      <w:r w:rsidR="00C43702" w:rsidRPr="00175DCB">
        <w:rPr>
          <w:rFonts w:cstheme="minorHAnsi"/>
        </w:rPr>
        <w:t xml:space="preserve">one </w:t>
      </w:r>
      <w:r w:rsidRPr="00175DCB">
        <w:rPr>
          <w:rFonts w:cstheme="minorHAnsi"/>
        </w:rPr>
        <w:t>organisation via the Consumer Comments facility on the PBS website</w:t>
      </w:r>
      <w:r w:rsidR="00175DCB">
        <w:rPr>
          <w:rFonts w:cstheme="minorHAnsi"/>
        </w:rPr>
        <w:t xml:space="preserve">. </w:t>
      </w:r>
      <w:r w:rsidRPr="00175DCB">
        <w:rPr>
          <w:rFonts w:cstheme="minorHAnsi"/>
        </w:rPr>
        <w:t xml:space="preserve">The comments </w:t>
      </w:r>
      <w:r w:rsidR="006176A2" w:rsidRPr="00175DCB">
        <w:rPr>
          <w:rFonts w:cstheme="minorHAnsi"/>
        </w:rPr>
        <w:t xml:space="preserve">from </w:t>
      </w:r>
      <w:r w:rsidR="005B0D85" w:rsidRPr="00175DCB">
        <w:rPr>
          <w:rFonts w:cstheme="minorHAnsi"/>
        </w:rPr>
        <w:t xml:space="preserve">the </w:t>
      </w:r>
      <w:r w:rsidR="006176A2" w:rsidRPr="00175DCB">
        <w:rPr>
          <w:rFonts w:cstheme="minorHAnsi"/>
        </w:rPr>
        <w:t xml:space="preserve">Leukaemia Foundation </w:t>
      </w:r>
      <w:r w:rsidRPr="00175DCB">
        <w:rPr>
          <w:rFonts w:cstheme="minorHAnsi"/>
        </w:rPr>
        <w:t xml:space="preserve">described </w:t>
      </w:r>
      <w:r w:rsidR="006176A2" w:rsidRPr="00175DCB">
        <w:rPr>
          <w:rFonts w:cstheme="minorHAnsi"/>
        </w:rPr>
        <w:t>the high unmet need for treatment in this rare disease</w:t>
      </w:r>
      <w:r w:rsidR="00175DCB">
        <w:rPr>
          <w:rFonts w:cstheme="minorHAnsi"/>
        </w:rPr>
        <w:t xml:space="preserve">. </w:t>
      </w:r>
      <w:r w:rsidRPr="00175DCB">
        <w:rPr>
          <w:rFonts w:cstheme="minorHAnsi"/>
        </w:rPr>
        <w:t xml:space="preserve"> </w:t>
      </w:r>
    </w:p>
    <w:p w:rsidR="00A076A5" w:rsidRDefault="00A076A5">
      <w:pPr>
        <w:jc w:val="left"/>
        <w:rPr>
          <w:rFonts w:asciiTheme="minorHAnsi" w:eastAsiaTheme="minorHAnsi" w:hAnsiTheme="minorHAnsi" w:cstheme="minorHAnsi"/>
          <w:szCs w:val="22"/>
        </w:rPr>
      </w:pPr>
      <w:r>
        <w:rPr>
          <w:rFonts w:cstheme="minorHAnsi"/>
        </w:rPr>
        <w:br w:type="page"/>
      </w:r>
    </w:p>
    <w:p w:rsidR="00D84934" w:rsidRPr="00175DCB" w:rsidRDefault="00D84934" w:rsidP="00F37ECA">
      <w:pPr>
        <w:pStyle w:val="4-SubsectionHeading"/>
        <w:keepNext w:val="0"/>
        <w:rPr>
          <w:lang w:eastAsia="en-US"/>
        </w:rPr>
      </w:pPr>
      <w:r w:rsidRPr="00175DCB">
        <w:rPr>
          <w:lang w:eastAsia="en-US"/>
        </w:rPr>
        <w:t>Clinical trials</w:t>
      </w:r>
      <w:r w:rsidR="0099465B" w:rsidRPr="00175DCB">
        <w:rPr>
          <w:lang w:eastAsia="en-US"/>
        </w:rPr>
        <w:t xml:space="preserve"> </w:t>
      </w:r>
    </w:p>
    <w:p w:rsidR="0076420C" w:rsidRPr="00175DCB" w:rsidRDefault="00980B0E" w:rsidP="00A076A5">
      <w:pPr>
        <w:pStyle w:val="3Bodytext"/>
      </w:pPr>
      <w:r w:rsidRPr="00175DCB">
        <w:t>The</w:t>
      </w:r>
      <w:r w:rsidR="007A13BA" w:rsidRPr="00175DCB">
        <w:t xml:space="preserve"> July 2020 submission was based predominantly on one head-to-head phase 3, open-label, randomised clinical trial (RCT), MAVORIC </w:t>
      </w:r>
      <w:r w:rsidR="007A13BA" w:rsidRPr="00175DCB">
        <w:rPr>
          <w:rStyle w:val="Small"/>
          <w:rFonts w:ascii="Calibri" w:hAnsi="Calibri" w:cs="Calibri"/>
          <w:bCs/>
        </w:rPr>
        <w:t>(</w:t>
      </w:r>
      <w:r w:rsidR="007A13BA" w:rsidRPr="00175DCB">
        <w:t xml:space="preserve">N = 372) comparing mogamulizumab with vorinostat in patients with MF or SS CTCL subtypes following at least one prior systemic therapy (paragraph 6.3, mogamulizumab PBAC </w:t>
      </w:r>
      <w:r w:rsidR="00F420D6">
        <w:t>PSD</w:t>
      </w:r>
      <w:r w:rsidR="007A13BA" w:rsidRPr="00175DCB">
        <w:t>, July 2020 PBAC Meeting)</w:t>
      </w:r>
      <w:r w:rsidR="00175DCB">
        <w:t xml:space="preserve">. </w:t>
      </w:r>
    </w:p>
    <w:p w:rsidR="007A13BA" w:rsidRPr="00175DCB" w:rsidRDefault="007A13BA" w:rsidP="00224E7B">
      <w:pPr>
        <w:pStyle w:val="3-BodyText"/>
        <w:numPr>
          <w:ilvl w:val="1"/>
          <w:numId w:val="1"/>
        </w:numPr>
        <w:rPr>
          <w:iCs/>
        </w:rPr>
      </w:pPr>
      <w:r w:rsidRPr="00175DCB">
        <w:rPr>
          <w:iCs/>
        </w:rPr>
        <w:t xml:space="preserve">The PBAC considered the key trial (MAVORIC) to have a high risk of bias due to </w:t>
      </w:r>
      <w:r w:rsidRPr="00175DCB">
        <w:rPr>
          <w:rFonts w:cs="Times New Roman"/>
        </w:rPr>
        <w:t xml:space="preserve">the open label design and level of crossover. The PBAC noted </w:t>
      </w:r>
      <w:r w:rsidRPr="00175DCB">
        <w:rPr>
          <w:iCs/>
        </w:rPr>
        <w:t xml:space="preserve">the </w:t>
      </w:r>
      <w:r w:rsidRPr="00175DCB">
        <w:rPr>
          <w:rFonts w:cs="Calibri"/>
          <w:iCs/>
        </w:rPr>
        <w:t xml:space="preserve">large proportion of patients in the vorinostat arm who crossed over to mogamulizumab </w:t>
      </w:r>
      <w:r w:rsidRPr="00175DCB">
        <w:rPr>
          <w:rFonts w:cs="Calibri"/>
          <w:iCs/>
        </w:rPr>
        <w:br/>
        <w:t xml:space="preserve">(n = 136; 73.1%) based on investigator assessed disease progression (n = 109) or vorinostat intolerance (n=27). </w:t>
      </w:r>
      <w:r w:rsidRPr="00175DCB">
        <w:rPr>
          <w:rFonts w:cs="Calibri"/>
          <w:iCs/>
          <w:color w:val="000000" w:themeColor="text1"/>
        </w:rPr>
        <w:t xml:space="preserve">The PBAC considered the use of the potentially subjective </w:t>
      </w:r>
      <w:r w:rsidRPr="00175DCB">
        <w:rPr>
          <w:rFonts w:ascii="Calibri" w:hAnsi="Calibri" w:cs="Calibri"/>
          <w:iCs/>
        </w:rPr>
        <w:t xml:space="preserve">modified Severity Weighted Assessment Tool </w:t>
      </w:r>
      <w:r w:rsidRPr="00175DCB">
        <w:rPr>
          <w:rFonts w:cs="Calibri"/>
          <w:iCs/>
          <w:color w:val="000000" w:themeColor="text1"/>
        </w:rPr>
        <w:t xml:space="preserve">(mSWAT) in the assessment of disease progression may have influenced the determination of crossover eligibility in this open label trial. The PBAC noted that independent review (IR) assessment of PFS also relied on the investigator assessment of mSWAT. In addition, the PBAC noted that the trial </w:t>
      </w:r>
      <w:r w:rsidRPr="00175DCB">
        <w:rPr>
          <w:iCs/>
        </w:rPr>
        <w:t xml:space="preserve">protocol allowed patients to crossover after receiving two full cycles of vorinostat and considered that the median number of cycles initiated for patients allocated to this arm (3.0 cycles) indicated that crossover occurred early </w:t>
      </w:r>
      <w:r w:rsidRPr="00175DCB">
        <w:rPr>
          <w:rFonts w:cstheme="minorHAnsi"/>
        </w:rPr>
        <w:t xml:space="preserve">(paragraph 7.4, mogamulizumab PBAC </w:t>
      </w:r>
      <w:r w:rsidR="00F420D6">
        <w:rPr>
          <w:rFonts w:cstheme="minorHAnsi"/>
        </w:rPr>
        <w:t>PSD</w:t>
      </w:r>
      <w:r w:rsidRPr="00175DCB">
        <w:rPr>
          <w:rFonts w:cstheme="minorHAnsi"/>
        </w:rPr>
        <w:t>, July 2020 PBAC Meeting)</w:t>
      </w:r>
      <w:r w:rsidRPr="00175DCB">
        <w:rPr>
          <w:iCs/>
        </w:rPr>
        <w:t xml:space="preserve">. </w:t>
      </w:r>
    </w:p>
    <w:p w:rsidR="00297F31" w:rsidRPr="00175DCB" w:rsidRDefault="00297F31" w:rsidP="00224E7B">
      <w:pPr>
        <w:pStyle w:val="3-BodyText"/>
        <w:numPr>
          <w:ilvl w:val="1"/>
          <w:numId w:val="1"/>
        </w:numPr>
        <w:rPr>
          <w:iCs/>
        </w:rPr>
      </w:pPr>
      <w:r w:rsidRPr="00175DCB">
        <w:rPr>
          <w:iCs/>
        </w:rPr>
        <w:t xml:space="preserve">No new clinical trial data were provided in the minor submission. </w:t>
      </w:r>
    </w:p>
    <w:p w:rsidR="007A13BA" w:rsidRPr="00175DCB" w:rsidRDefault="007A13BA" w:rsidP="007A13BA">
      <w:pPr>
        <w:pStyle w:val="4-SubsectionHeading"/>
        <w:keepNext w:val="0"/>
        <w:rPr>
          <w:lang w:eastAsia="en-US"/>
        </w:rPr>
      </w:pPr>
      <w:r w:rsidRPr="00175DCB">
        <w:rPr>
          <w:lang w:eastAsia="en-US"/>
        </w:rPr>
        <w:t>Comparative effectiveness</w:t>
      </w:r>
    </w:p>
    <w:p w:rsidR="00297F31" w:rsidRPr="00175DCB" w:rsidRDefault="00297F31" w:rsidP="007A13BA">
      <w:pPr>
        <w:pStyle w:val="3Bodytext"/>
        <w:jc w:val="both"/>
        <w:rPr>
          <w:rFonts w:cstheme="minorHAnsi"/>
        </w:rPr>
      </w:pPr>
      <w:r w:rsidRPr="00175DCB">
        <w:rPr>
          <w:rFonts w:cs="Calibri"/>
          <w:iCs/>
        </w:rPr>
        <w:t xml:space="preserve">A global composite response score (GCRS; Olsen, 2011), based on response (complete and partial) in each compartment (skin, blood, lymph nodes and viscera), was used for the primary endpoint of PFS and secondary endpoint of overall response rate (ORR) </w:t>
      </w:r>
      <w:r w:rsidRPr="00175DCB">
        <w:rPr>
          <w:rFonts w:cstheme="minorHAnsi"/>
        </w:rPr>
        <w:t xml:space="preserve">(paragraph 6.14, mogamulizumab PBAC </w:t>
      </w:r>
      <w:r w:rsidR="00F420D6">
        <w:rPr>
          <w:rFonts w:cstheme="minorHAnsi"/>
        </w:rPr>
        <w:t>PSD</w:t>
      </w:r>
      <w:r w:rsidRPr="00175DCB">
        <w:rPr>
          <w:rFonts w:cstheme="minorHAnsi"/>
        </w:rPr>
        <w:t>, July 2020 PBAC Meeting)</w:t>
      </w:r>
      <w:r w:rsidRPr="00175DCB">
        <w:rPr>
          <w:rFonts w:cs="Calibri"/>
          <w:iCs/>
        </w:rPr>
        <w:t>.</w:t>
      </w:r>
      <w:r w:rsidR="00A8404E" w:rsidRPr="00175DCB">
        <w:rPr>
          <w:rFonts w:cs="Calibri"/>
          <w:iCs/>
        </w:rPr>
        <w:t xml:space="preserve"> </w:t>
      </w:r>
      <w:r w:rsidR="007827E6" w:rsidRPr="00175DCB">
        <w:rPr>
          <w:rFonts w:cs="Calibri"/>
          <w:iCs/>
        </w:rPr>
        <w:t xml:space="preserve">Other secondary endpoints included median time to response (TTR) and median duration of response (DOR). Overall survival (OS) </w:t>
      </w:r>
      <w:r w:rsidR="004E6C04" w:rsidRPr="00175DCB">
        <w:rPr>
          <w:rFonts w:cs="Calibri"/>
          <w:iCs/>
        </w:rPr>
        <w:t xml:space="preserve">was </w:t>
      </w:r>
      <w:r w:rsidR="00A8404E" w:rsidRPr="00175DCB">
        <w:rPr>
          <w:rFonts w:cs="Calibri"/>
          <w:iCs/>
        </w:rPr>
        <w:t xml:space="preserve">an exploratory outcome in the MAVORIC trial (paragraph 6.23, mogamulizumab PBAC </w:t>
      </w:r>
      <w:r w:rsidR="00F420D6">
        <w:rPr>
          <w:rFonts w:cs="Calibri"/>
          <w:iCs/>
        </w:rPr>
        <w:t>PSD</w:t>
      </w:r>
      <w:r w:rsidR="00A8404E" w:rsidRPr="00175DCB">
        <w:rPr>
          <w:rFonts w:cs="Calibri"/>
          <w:iCs/>
        </w:rPr>
        <w:t>, July 2020 PBAC Meeting).</w:t>
      </w:r>
    </w:p>
    <w:p w:rsidR="00A076A5" w:rsidRDefault="00297F31" w:rsidP="007A13BA">
      <w:pPr>
        <w:pStyle w:val="3Bodytext"/>
        <w:jc w:val="both"/>
        <w:rPr>
          <w:rFonts w:cs="Calibri"/>
        </w:rPr>
      </w:pPr>
      <w:r w:rsidRPr="00175DCB">
        <w:rPr>
          <w:rFonts w:cs="Calibri"/>
        </w:rPr>
        <w:t>A summary of the PFS results for MAVORIC are presented in Table 4.</w:t>
      </w:r>
    </w:p>
    <w:p w:rsidR="00A076A5" w:rsidRDefault="00A076A5">
      <w:pPr>
        <w:jc w:val="left"/>
        <w:rPr>
          <w:rFonts w:asciiTheme="minorHAnsi" w:eastAsiaTheme="minorHAnsi" w:hAnsiTheme="minorHAnsi" w:cs="Calibri"/>
          <w:szCs w:val="22"/>
        </w:rPr>
      </w:pPr>
      <w:r>
        <w:rPr>
          <w:rFonts w:cs="Calibri"/>
        </w:rPr>
        <w:br w:type="page"/>
      </w:r>
    </w:p>
    <w:p w:rsidR="00297F31" w:rsidRPr="00175DCB" w:rsidRDefault="00297F31" w:rsidP="005E7A46">
      <w:pPr>
        <w:keepNext/>
        <w:rPr>
          <w:rFonts w:ascii="Arial Narrow" w:hAnsi="Arial Narrow"/>
          <w:b/>
          <w:sz w:val="20"/>
          <w:szCs w:val="22"/>
        </w:rPr>
      </w:pPr>
      <w:r w:rsidRPr="00175DCB">
        <w:rPr>
          <w:rFonts w:ascii="Arial Narrow" w:hAnsi="Arial Narrow"/>
          <w:b/>
          <w:sz w:val="20"/>
          <w:szCs w:val="22"/>
        </w:rPr>
        <w:t>Table 4: Results of progression free survival in MAVORIC (ITT)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5"/>
        <w:gridCol w:w="993"/>
        <w:gridCol w:w="996"/>
        <w:gridCol w:w="994"/>
        <w:gridCol w:w="998"/>
        <w:gridCol w:w="1137"/>
        <w:gridCol w:w="1178"/>
        <w:gridCol w:w="7"/>
        <w:gridCol w:w="1025"/>
      </w:tblGrid>
      <w:tr w:rsidR="00297F31" w:rsidRPr="00175DCB" w:rsidTr="00B35731">
        <w:trPr>
          <w:cantSplit/>
          <w:tblHeader/>
        </w:trPr>
        <w:tc>
          <w:tcPr>
            <w:tcW w:w="939" w:type="pct"/>
            <w:vMerge w:val="restart"/>
            <w:vAlign w:val="center"/>
          </w:tcPr>
          <w:p w:rsidR="00297F31" w:rsidRPr="00175DCB" w:rsidRDefault="00297F31" w:rsidP="005E7A46">
            <w:pPr>
              <w:pStyle w:val="In-tableHeading"/>
              <w:rPr>
                <w:lang w:val="en-AU"/>
              </w:rPr>
            </w:pPr>
          </w:p>
        </w:tc>
        <w:tc>
          <w:tcPr>
            <w:tcW w:w="1102" w:type="pct"/>
            <w:gridSpan w:val="2"/>
            <w:vAlign w:val="center"/>
          </w:tcPr>
          <w:p w:rsidR="00297F31" w:rsidRPr="00175DCB" w:rsidRDefault="00297F31" w:rsidP="005E7A46">
            <w:pPr>
              <w:pStyle w:val="In-tableHeading"/>
              <w:widowControl w:val="0"/>
              <w:jc w:val="center"/>
              <w:rPr>
                <w:lang w:val="en-AU"/>
              </w:rPr>
            </w:pPr>
            <w:r w:rsidRPr="00175DCB">
              <w:rPr>
                <w:lang w:val="en-AU"/>
              </w:rPr>
              <w:t>Mogamulizumab</w:t>
            </w:r>
          </w:p>
          <w:p w:rsidR="00297F31" w:rsidRPr="00175DCB" w:rsidRDefault="00297F31" w:rsidP="005E7A46">
            <w:pPr>
              <w:pStyle w:val="In-tableHeading"/>
              <w:widowControl w:val="0"/>
              <w:jc w:val="center"/>
              <w:rPr>
                <w:lang w:val="en-AU"/>
              </w:rPr>
            </w:pPr>
            <w:r w:rsidRPr="00175DCB">
              <w:rPr>
                <w:lang w:val="en-AU"/>
              </w:rPr>
              <w:t>(N = 186)</w:t>
            </w:r>
          </w:p>
        </w:tc>
        <w:tc>
          <w:tcPr>
            <w:tcW w:w="1104" w:type="pct"/>
            <w:gridSpan w:val="2"/>
            <w:vAlign w:val="center"/>
          </w:tcPr>
          <w:p w:rsidR="00297F31" w:rsidRPr="00175DCB" w:rsidRDefault="00297F31" w:rsidP="005E7A46">
            <w:pPr>
              <w:pStyle w:val="In-tableHeading"/>
              <w:widowControl w:val="0"/>
              <w:jc w:val="center"/>
              <w:rPr>
                <w:lang w:val="en-AU"/>
              </w:rPr>
            </w:pPr>
            <w:r w:rsidRPr="00175DCB">
              <w:rPr>
                <w:lang w:val="en-AU"/>
              </w:rPr>
              <w:t>Vorinostat</w:t>
            </w:r>
          </w:p>
          <w:p w:rsidR="00297F31" w:rsidRPr="00175DCB" w:rsidRDefault="00297F31" w:rsidP="005E7A46">
            <w:pPr>
              <w:pStyle w:val="In-tableHeading"/>
              <w:widowControl w:val="0"/>
              <w:jc w:val="center"/>
              <w:rPr>
                <w:lang w:val="en-AU"/>
              </w:rPr>
            </w:pPr>
            <w:r w:rsidRPr="00175DCB">
              <w:rPr>
                <w:lang w:val="en-AU"/>
              </w:rPr>
              <w:t>(N = 186)</w:t>
            </w:r>
          </w:p>
        </w:tc>
        <w:tc>
          <w:tcPr>
            <w:tcW w:w="630" w:type="pct"/>
            <w:vMerge w:val="restart"/>
            <w:vAlign w:val="center"/>
          </w:tcPr>
          <w:p w:rsidR="00297F31" w:rsidRPr="00175DCB" w:rsidRDefault="00297F31" w:rsidP="005E7A46">
            <w:pPr>
              <w:pStyle w:val="In-tableHeading"/>
              <w:jc w:val="center"/>
              <w:rPr>
                <w:vertAlign w:val="superscript"/>
                <w:lang w:val="en-AU"/>
              </w:rPr>
            </w:pPr>
            <w:r w:rsidRPr="00175DCB">
              <w:rPr>
                <w:lang w:val="en-AU"/>
              </w:rPr>
              <w:t>Difference in median</w:t>
            </w:r>
            <w:r w:rsidRPr="00175DCB">
              <w:rPr>
                <w:vertAlign w:val="superscript"/>
                <w:lang w:val="en-AU"/>
              </w:rPr>
              <w:t>a</w:t>
            </w:r>
          </w:p>
        </w:tc>
        <w:tc>
          <w:tcPr>
            <w:tcW w:w="653" w:type="pct"/>
            <w:vMerge w:val="restart"/>
            <w:vAlign w:val="center"/>
          </w:tcPr>
          <w:p w:rsidR="00297F31" w:rsidRPr="00175DCB" w:rsidRDefault="00297F31" w:rsidP="005E7A46">
            <w:pPr>
              <w:pStyle w:val="In-tableHeading"/>
              <w:jc w:val="center"/>
              <w:rPr>
                <w:lang w:val="en-AU"/>
              </w:rPr>
            </w:pPr>
            <w:r w:rsidRPr="00175DCB">
              <w:rPr>
                <w:lang w:val="en-AU"/>
              </w:rPr>
              <w:t xml:space="preserve">Log rank </w:t>
            </w:r>
          </w:p>
          <w:p w:rsidR="00297F31" w:rsidRPr="00175DCB" w:rsidRDefault="00297F31" w:rsidP="005E7A46">
            <w:pPr>
              <w:pStyle w:val="In-tableHeading"/>
              <w:jc w:val="center"/>
              <w:rPr>
                <w:lang w:val="en-AU"/>
              </w:rPr>
            </w:pPr>
            <w:r w:rsidRPr="00175DCB">
              <w:rPr>
                <w:lang w:val="en-AU"/>
              </w:rPr>
              <w:t>P value</w:t>
            </w:r>
          </w:p>
        </w:tc>
        <w:tc>
          <w:tcPr>
            <w:tcW w:w="572" w:type="pct"/>
            <w:gridSpan w:val="2"/>
            <w:vMerge w:val="restart"/>
            <w:vAlign w:val="center"/>
          </w:tcPr>
          <w:p w:rsidR="00297F31" w:rsidRPr="00175DCB" w:rsidRDefault="00297F31" w:rsidP="005E7A46">
            <w:pPr>
              <w:pStyle w:val="In-tableHeading"/>
              <w:jc w:val="center"/>
              <w:rPr>
                <w:lang w:val="en-AU"/>
              </w:rPr>
            </w:pPr>
            <w:r w:rsidRPr="00175DCB">
              <w:rPr>
                <w:lang w:val="en-AU"/>
              </w:rPr>
              <w:t xml:space="preserve">HR </w:t>
            </w:r>
          </w:p>
          <w:p w:rsidR="00297F31" w:rsidRPr="00175DCB" w:rsidRDefault="00297F31" w:rsidP="005E7A46">
            <w:pPr>
              <w:pStyle w:val="In-tableHeading"/>
              <w:jc w:val="center"/>
              <w:rPr>
                <w:lang w:val="en-AU"/>
              </w:rPr>
            </w:pPr>
            <w:r w:rsidRPr="00175DCB">
              <w:rPr>
                <w:lang w:val="en-AU"/>
              </w:rPr>
              <w:t>(95% CI)</w:t>
            </w:r>
          </w:p>
        </w:tc>
      </w:tr>
      <w:tr w:rsidR="00297F31" w:rsidRPr="00175DCB" w:rsidTr="00B35731">
        <w:trPr>
          <w:cantSplit/>
          <w:tblHeader/>
        </w:trPr>
        <w:tc>
          <w:tcPr>
            <w:tcW w:w="939" w:type="pct"/>
            <w:vMerge/>
            <w:vAlign w:val="center"/>
          </w:tcPr>
          <w:p w:rsidR="00297F31" w:rsidRPr="00175DCB" w:rsidRDefault="00297F31" w:rsidP="005E7A46">
            <w:pPr>
              <w:pStyle w:val="In-tableHeading"/>
              <w:rPr>
                <w:lang w:val="en-AU"/>
              </w:rPr>
            </w:pPr>
          </w:p>
        </w:tc>
        <w:tc>
          <w:tcPr>
            <w:tcW w:w="550" w:type="pct"/>
            <w:vAlign w:val="center"/>
          </w:tcPr>
          <w:p w:rsidR="00297F31" w:rsidRPr="00175DCB" w:rsidRDefault="00297F31" w:rsidP="005E7A46">
            <w:pPr>
              <w:pStyle w:val="In-tableHeading"/>
              <w:widowControl w:val="0"/>
              <w:jc w:val="center"/>
              <w:rPr>
                <w:lang w:val="en-AU"/>
              </w:rPr>
            </w:pPr>
            <w:r w:rsidRPr="00175DCB">
              <w:rPr>
                <w:lang w:val="en-AU"/>
              </w:rPr>
              <w:t>Progressed (n, %)</w:t>
            </w:r>
          </w:p>
        </w:tc>
        <w:tc>
          <w:tcPr>
            <w:tcW w:w="552" w:type="pct"/>
            <w:vAlign w:val="center"/>
          </w:tcPr>
          <w:p w:rsidR="00297F31" w:rsidRPr="00175DCB" w:rsidRDefault="00297F31" w:rsidP="005E7A46">
            <w:pPr>
              <w:pStyle w:val="TableText0"/>
              <w:jc w:val="center"/>
              <w:rPr>
                <w:b/>
                <w:bCs w:val="0"/>
              </w:rPr>
            </w:pPr>
            <w:r w:rsidRPr="00175DCB">
              <w:rPr>
                <w:b/>
                <w:bCs w:val="0"/>
              </w:rPr>
              <w:t>Median months</w:t>
            </w:r>
          </w:p>
          <w:p w:rsidR="00297F31" w:rsidRPr="00175DCB" w:rsidRDefault="00297F31" w:rsidP="005E7A46">
            <w:pPr>
              <w:pStyle w:val="In-tableHeading"/>
              <w:widowControl w:val="0"/>
              <w:jc w:val="center"/>
              <w:rPr>
                <w:lang w:val="en-AU"/>
              </w:rPr>
            </w:pPr>
            <w:r w:rsidRPr="00175DCB">
              <w:rPr>
                <w:lang w:val="en-AU"/>
              </w:rPr>
              <w:t>(95% CI)</w:t>
            </w:r>
          </w:p>
        </w:tc>
        <w:tc>
          <w:tcPr>
            <w:tcW w:w="551" w:type="pct"/>
            <w:vAlign w:val="center"/>
          </w:tcPr>
          <w:p w:rsidR="00297F31" w:rsidRPr="00175DCB" w:rsidRDefault="00297F31" w:rsidP="005E7A46">
            <w:pPr>
              <w:pStyle w:val="In-tableHeading"/>
              <w:widowControl w:val="0"/>
              <w:jc w:val="center"/>
              <w:rPr>
                <w:lang w:val="en-AU"/>
              </w:rPr>
            </w:pPr>
            <w:r w:rsidRPr="00175DCB">
              <w:rPr>
                <w:lang w:val="en-AU"/>
              </w:rPr>
              <w:t>Progressed (n, %)</w:t>
            </w:r>
          </w:p>
        </w:tc>
        <w:tc>
          <w:tcPr>
            <w:tcW w:w="553" w:type="pct"/>
            <w:vAlign w:val="center"/>
          </w:tcPr>
          <w:p w:rsidR="00297F31" w:rsidRPr="00175DCB" w:rsidRDefault="00297F31" w:rsidP="005E7A46">
            <w:pPr>
              <w:pStyle w:val="TableText0"/>
              <w:jc w:val="center"/>
              <w:rPr>
                <w:b/>
                <w:bCs w:val="0"/>
              </w:rPr>
            </w:pPr>
            <w:r w:rsidRPr="00175DCB">
              <w:rPr>
                <w:b/>
                <w:bCs w:val="0"/>
              </w:rPr>
              <w:t>Median months</w:t>
            </w:r>
          </w:p>
          <w:p w:rsidR="00297F31" w:rsidRPr="00175DCB" w:rsidRDefault="00297F31" w:rsidP="005E7A46">
            <w:pPr>
              <w:pStyle w:val="In-tableHeading"/>
              <w:widowControl w:val="0"/>
              <w:jc w:val="center"/>
              <w:rPr>
                <w:lang w:val="en-AU"/>
              </w:rPr>
            </w:pPr>
            <w:r w:rsidRPr="00175DCB">
              <w:rPr>
                <w:lang w:val="en-AU"/>
              </w:rPr>
              <w:t>(95% CI)</w:t>
            </w:r>
          </w:p>
        </w:tc>
        <w:tc>
          <w:tcPr>
            <w:tcW w:w="630" w:type="pct"/>
            <w:vMerge/>
            <w:vAlign w:val="center"/>
          </w:tcPr>
          <w:p w:rsidR="00297F31" w:rsidRPr="00175DCB" w:rsidRDefault="00297F31" w:rsidP="005E7A46">
            <w:pPr>
              <w:pStyle w:val="In-tableHeading"/>
              <w:jc w:val="center"/>
              <w:rPr>
                <w:lang w:val="en-AU"/>
              </w:rPr>
            </w:pPr>
          </w:p>
        </w:tc>
        <w:tc>
          <w:tcPr>
            <w:tcW w:w="653" w:type="pct"/>
            <w:vMerge/>
            <w:vAlign w:val="center"/>
          </w:tcPr>
          <w:p w:rsidR="00297F31" w:rsidRPr="00175DCB" w:rsidRDefault="00297F31" w:rsidP="005E7A46">
            <w:pPr>
              <w:pStyle w:val="In-tableHeading"/>
              <w:jc w:val="center"/>
              <w:rPr>
                <w:lang w:val="en-AU"/>
              </w:rPr>
            </w:pPr>
          </w:p>
        </w:tc>
        <w:tc>
          <w:tcPr>
            <w:tcW w:w="572" w:type="pct"/>
            <w:gridSpan w:val="2"/>
            <w:vMerge/>
            <w:vAlign w:val="center"/>
          </w:tcPr>
          <w:p w:rsidR="00297F31" w:rsidRPr="00175DCB" w:rsidRDefault="00297F31" w:rsidP="005E7A46">
            <w:pPr>
              <w:pStyle w:val="In-tableHeading"/>
              <w:jc w:val="center"/>
              <w:rPr>
                <w:lang w:val="en-AU"/>
              </w:rPr>
            </w:pPr>
          </w:p>
        </w:tc>
      </w:tr>
      <w:tr w:rsidR="00297F31" w:rsidRPr="00175DCB" w:rsidTr="00B35731">
        <w:trPr>
          <w:cantSplit/>
        </w:trPr>
        <w:tc>
          <w:tcPr>
            <w:tcW w:w="939" w:type="pct"/>
            <w:vAlign w:val="center"/>
          </w:tcPr>
          <w:p w:rsidR="00297F31" w:rsidRPr="00175DCB" w:rsidRDefault="00297F31" w:rsidP="00B35731">
            <w:pPr>
              <w:pStyle w:val="In-tableHeading"/>
              <w:keepNext w:val="0"/>
              <w:widowControl w:val="0"/>
              <w:jc w:val="center"/>
              <w:rPr>
                <w:b w:val="0"/>
                <w:bCs/>
                <w:lang w:val="en-AU"/>
              </w:rPr>
            </w:pPr>
            <w:r w:rsidRPr="00175DCB">
              <w:rPr>
                <w:b w:val="0"/>
                <w:bCs/>
                <w:lang w:val="en-AU"/>
              </w:rPr>
              <w:t xml:space="preserve">Investigator Assessed </w:t>
            </w:r>
          </w:p>
          <w:p w:rsidR="00297F31" w:rsidRPr="00175DCB" w:rsidRDefault="00297F31" w:rsidP="00B35731">
            <w:pPr>
              <w:pStyle w:val="TableText0"/>
            </w:pPr>
            <w:r w:rsidRPr="00175DCB">
              <w:t>(Primary endpoint)</w:t>
            </w:r>
          </w:p>
        </w:tc>
        <w:tc>
          <w:tcPr>
            <w:tcW w:w="550" w:type="pct"/>
            <w:vAlign w:val="center"/>
          </w:tcPr>
          <w:p w:rsidR="00297F31" w:rsidRPr="00175DCB" w:rsidRDefault="00297F31" w:rsidP="00B35731">
            <w:pPr>
              <w:pStyle w:val="TableText0"/>
              <w:jc w:val="center"/>
            </w:pPr>
            <w:r w:rsidRPr="00175DCB">
              <w:t>110 (59.1)</w:t>
            </w:r>
          </w:p>
        </w:tc>
        <w:tc>
          <w:tcPr>
            <w:tcW w:w="552" w:type="pct"/>
            <w:vAlign w:val="center"/>
          </w:tcPr>
          <w:p w:rsidR="00297F31" w:rsidRPr="00175DCB" w:rsidRDefault="00297F31" w:rsidP="00B35731">
            <w:pPr>
              <w:pStyle w:val="TableText0"/>
              <w:jc w:val="center"/>
            </w:pPr>
            <w:r w:rsidRPr="00175DCB">
              <w:t xml:space="preserve">7.7 </w:t>
            </w:r>
          </w:p>
          <w:p w:rsidR="00297F31" w:rsidRPr="00175DCB" w:rsidRDefault="00297F31" w:rsidP="00B35731">
            <w:pPr>
              <w:pStyle w:val="TableText0"/>
              <w:jc w:val="center"/>
            </w:pPr>
            <w:r w:rsidRPr="00175DCB">
              <w:t>(5.7, 10.3)</w:t>
            </w:r>
          </w:p>
        </w:tc>
        <w:tc>
          <w:tcPr>
            <w:tcW w:w="551" w:type="pct"/>
            <w:vAlign w:val="center"/>
          </w:tcPr>
          <w:p w:rsidR="00297F31" w:rsidRPr="00175DCB" w:rsidRDefault="00297F31" w:rsidP="00B35731">
            <w:pPr>
              <w:pStyle w:val="TableText0"/>
              <w:jc w:val="center"/>
            </w:pPr>
            <w:r w:rsidRPr="00175DCB">
              <w:t>131 (70.4)</w:t>
            </w:r>
          </w:p>
        </w:tc>
        <w:tc>
          <w:tcPr>
            <w:tcW w:w="553" w:type="pct"/>
            <w:vAlign w:val="center"/>
          </w:tcPr>
          <w:p w:rsidR="00297F31" w:rsidRPr="00175DCB" w:rsidRDefault="00297F31" w:rsidP="00B35731">
            <w:pPr>
              <w:pStyle w:val="TableText0"/>
              <w:jc w:val="center"/>
            </w:pPr>
            <w:r w:rsidRPr="00175DCB">
              <w:t xml:space="preserve">3.1 </w:t>
            </w:r>
          </w:p>
          <w:p w:rsidR="00297F31" w:rsidRPr="00175DCB" w:rsidRDefault="00297F31" w:rsidP="00B35731">
            <w:pPr>
              <w:pStyle w:val="TableText0"/>
              <w:jc w:val="center"/>
            </w:pPr>
            <w:r w:rsidRPr="00175DCB">
              <w:t>(2.9, 4.1)</w:t>
            </w:r>
          </w:p>
        </w:tc>
        <w:tc>
          <w:tcPr>
            <w:tcW w:w="630" w:type="pct"/>
            <w:vAlign w:val="center"/>
          </w:tcPr>
          <w:p w:rsidR="00297F31" w:rsidRPr="00175DCB" w:rsidRDefault="00297F31" w:rsidP="00B35731">
            <w:pPr>
              <w:pStyle w:val="TableText0"/>
              <w:jc w:val="center"/>
              <w:rPr>
                <w:iCs/>
              </w:rPr>
            </w:pPr>
            <w:r w:rsidRPr="00175DCB">
              <w:rPr>
                <w:iCs/>
              </w:rPr>
              <w:t>4.6</w:t>
            </w:r>
          </w:p>
        </w:tc>
        <w:tc>
          <w:tcPr>
            <w:tcW w:w="657" w:type="pct"/>
            <w:gridSpan w:val="2"/>
            <w:vAlign w:val="center"/>
          </w:tcPr>
          <w:p w:rsidR="00297F31" w:rsidRPr="00175DCB" w:rsidRDefault="00297F31" w:rsidP="00B35731">
            <w:pPr>
              <w:pStyle w:val="TableText0"/>
              <w:jc w:val="center"/>
            </w:pPr>
            <w:r w:rsidRPr="00175DCB">
              <w:rPr>
                <w:b/>
                <w:bCs w:val="0"/>
              </w:rPr>
              <w:t>&lt;0.0001</w:t>
            </w:r>
          </w:p>
        </w:tc>
        <w:tc>
          <w:tcPr>
            <w:tcW w:w="568" w:type="pct"/>
            <w:vAlign w:val="center"/>
          </w:tcPr>
          <w:p w:rsidR="00297F31" w:rsidRPr="00175DCB" w:rsidRDefault="00297F31" w:rsidP="00B35731">
            <w:pPr>
              <w:pStyle w:val="TableText0"/>
              <w:jc w:val="center"/>
              <w:rPr>
                <w:b/>
                <w:bCs w:val="0"/>
              </w:rPr>
            </w:pPr>
            <w:r w:rsidRPr="00175DCB">
              <w:rPr>
                <w:b/>
                <w:bCs w:val="0"/>
              </w:rPr>
              <w:t xml:space="preserve">0.53 </w:t>
            </w:r>
          </w:p>
          <w:p w:rsidR="00297F31" w:rsidRPr="00175DCB" w:rsidRDefault="00297F31" w:rsidP="00B35731">
            <w:pPr>
              <w:pStyle w:val="TableText0"/>
              <w:jc w:val="center"/>
              <w:rPr>
                <w:b/>
                <w:bCs w:val="0"/>
              </w:rPr>
            </w:pPr>
            <w:r w:rsidRPr="00175DCB">
              <w:rPr>
                <w:b/>
                <w:bCs w:val="0"/>
              </w:rPr>
              <w:t>(0.41, 0.69)</w:t>
            </w:r>
          </w:p>
        </w:tc>
      </w:tr>
      <w:tr w:rsidR="00297F31" w:rsidRPr="00175DCB" w:rsidTr="00B35731">
        <w:trPr>
          <w:cantSplit/>
        </w:trPr>
        <w:tc>
          <w:tcPr>
            <w:tcW w:w="939" w:type="pct"/>
            <w:vAlign w:val="center"/>
          </w:tcPr>
          <w:p w:rsidR="00297F31" w:rsidRPr="00175DCB" w:rsidRDefault="00297F31" w:rsidP="00B35731">
            <w:pPr>
              <w:pStyle w:val="In-tableHeading"/>
              <w:keepNext w:val="0"/>
              <w:widowControl w:val="0"/>
              <w:rPr>
                <w:b w:val="0"/>
                <w:bCs/>
                <w:lang w:val="en-AU"/>
              </w:rPr>
            </w:pPr>
            <w:r w:rsidRPr="00175DCB">
              <w:rPr>
                <w:b w:val="0"/>
                <w:bCs/>
                <w:lang w:val="en-AU"/>
              </w:rPr>
              <w:t xml:space="preserve">Independent Review </w:t>
            </w:r>
          </w:p>
          <w:p w:rsidR="00297F31" w:rsidRPr="00175DCB" w:rsidRDefault="00297F31" w:rsidP="00B35731">
            <w:pPr>
              <w:pStyle w:val="TableText0"/>
            </w:pPr>
            <w:r w:rsidRPr="00175DCB">
              <w:t>(Secondary endpoint)</w:t>
            </w:r>
          </w:p>
        </w:tc>
        <w:tc>
          <w:tcPr>
            <w:tcW w:w="550" w:type="pct"/>
            <w:vAlign w:val="center"/>
          </w:tcPr>
          <w:p w:rsidR="00297F31" w:rsidRPr="00175DCB" w:rsidRDefault="00297F31" w:rsidP="00B35731">
            <w:pPr>
              <w:pStyle w:val="TableText0"/>
              <w:jc w:val="center"/>
            </w:pPr>
            <w:r w:rsidRPr="00175DCB">
              <w:t>110 (59.1)</w:t>
            </w:r>
          </w:p>
        </w:tc>
        <w:tc>
          <w:tcPr>
            <w:tcW w:w="552" w:type="pct"/>
            <w:vAlign w:val="center"/>
          </w:tcPr>
          <w:p w:rsidR="00297F31" w:rsidRPr="00175DCB" w:rsidRDefault="00297F31" w:rsidP="00B35731">
            <w:pPr>
              <w:pStyle w:val="TableText0"/>
              <w:jc w:val="center"/>
            </w:pPr>
            <w:r w:rsidRPr="00175DCB">
              <w:t xml:space="preserve">6.7 </w:t>
            </w:r>
          </w:p>
          <w:p w:rsidR="00297F31" w:rsidRPr="00175DCB" w:rsidRDefault="00297F31" w:rsidP="00B35731">
            <w:pPr>
              <w:pStyle w:val="TableText0"/>
              <w:jc w:val="center"/>
            </w:pPr>
            <w:r w:rsidRPr="00175DCB">
              <w:t>(5.6, 9.4)</w:t>
            </w:r>
          </w:p>
        </w:tc>
        <w:tc>
          <w:tcPr>
            <w:tcW w:w="551" w:type="pct"/>
            <w:vAlign w:val="center"/>
          </w:tcPr>
          <w:p w:rsidR="00297F31" w:rsidRPr="00175DCB" w:rsidRDefault="00297F31" w:rsidP="00B35731">
            <w:pPr>
              <w:pStyle w:val="TableText0"/>
              <w:jc w:val="center"/>
            </w:pPr>
            <w:r w:rsidRPr="00175DCB">
              <w:t>122 (65.6)</w:t>
            </w:r>
          </w:p>
        </w:tc>
        <w:tc>
          <w:tcPr>
            <w:tcW w:w="553" w:type="pct"/>
            <w:vAlign w:val="center"/>
          </w:tcPr>
          <w:p w:rsidR="00297F31" w:rsidRPr="00175DCB" w:rsidRDefault="00297F31" w:rsidP="00B35731">
            <w:pPr>
              <w:pStyle w:val="TableText0"/>
              <w:jc w:val="center"/>
            </w:pPr>
            <w:r w:rsidRPr="00175DCB">
              <w:t xml:space="preserve">3.8 </w:t>
            </w:r>
          </w:p>
          <w:p w:rsidR="00297F31" w:rsidRPr="00175DCB" w:rsidRDefault="00297F31" w:rsidP="00B35731">
            <w:pPr>
              <w:pStyle w:val="TableText0"/>
              <w:jc w:val="center"/>
            </w:pPr>
            <w:r w:rsidRPr="00175DCB">
              <w:t>(3.0, 4.7)</w:t>
            </w:r>
          </w:p>
        </w:tc>
        <w:tc>
          <w:tcPr>
            <w:tcW w:w="630" w:type="pct"/>
            <w:vAlign w:val="center"/>
          </w:tcPr>
          <w:p w:rsidR="00297F31" w:rsidRPr="00175DCB" w:rsidRDefault="00297F31" w:rsidP="00B35731">
            <w:pPr>
              <w:pStyle w:val="TableText0"/>
              <w:jc w:val="center"/>
              <w:rPr>
                <w:iCs/>
              </w:rPr>
            </w:pPr>
            <w:r w:rsidRPr="00175DCB">
              <w:rPr>
                <w:iCs/>
              </w:rPr>
              <w:t>2.9</w:t>
            </w:r>
          </w:p>
        </w:tc>
        <w:tc>
          <w:tcPr>
            <w:tcW w:w="657" w:type="pct"/>
            <w:gridSpan w:val="2"/>
            <w:vAlign w:val="center"/>
          </w:tcPr>
          <w:p w:rsidR="00297F31" w:rsidRPr="00175DCB" w:rsidRDefault="00297F31" w:rsidP="00B35731">
            <w:pPr>
              <w:pStyle w:val="TableText0"/>
              <w:jc w:val="center"/>
            </w:pPr>
            <w:r w:rsidRPr="00175DCB">
              <w:rPr>
                <w:b/>
                <w:bCs w:val="0"/>
              </w:rPr>
              <w:t>&lt;0.0007</w:t>
            </w:r>
          </w:p>
        </w:tc>
        <w:tc>
          <w:tcPr>
            <w:tcW w:w="568" w:type="pct"/>
            <w:vAlign w:val="center"/>
          </w:tcPr>
          <w:p w:rsidR="00297F31" w:rsidRPr="00175DCB" w:rsidRDefault="00297F31" w:rsidP="00B35731">
            <w:pPr>
              <w:pStyle w:val="TableText0"/>
              <w:jc w:val="center"/>
              <w:rPr>
                <w:b/>
                <w:bCs w:val="0"/>
              </w:rPr>
            </w:pPr>
            <w:r w:rsidRPr="00175DCB">
              <w:rPr>
                <w:b/>
                <w:bCs w:val="0"/>
              </w:rPr>
              <w:t xml:space="preserve">0.64 </w:t>
            </w:r>
          </w:p>
          <w:p w:rsidR="00297F31" w:rsidRPr="00175DCB" w:rsidRDefault="00297F31" w:rsidP="00B35731">
            <w:pPr>
              <w:pStyle w:val="TableText0"/>
              <w:jc w:val="center"/>
              <w:rPr>
                <w:b/>
                <w:bCs w:val="0"/>
              </w:rPr>
            </w:pPr>
            <w:r w:rsidRPr="00175DCB">
              <w:rPr>
                <w:b/>
                <w:bCs w:val="0"/>
              </w:rPr>
              <w:t>(0.49, 0.84)</w:t>
            </w:r>
          </w:p>
        </w:tc>
      </w:tr>
    </w:tbl>
    <w:p w:rsidR="00297F31" w:rsidRPr="00175DCB" w:rsidRDefault="00297F31" w:rsidP="00297F31">
      <w:pPr>
        <w:pStyle w:val="TableFooter"/>
      </w:pPr>
      <w:r w:rsidRPr="00175DCB">
        <w:t xml:space="preserve">Source: Table 4, </w:t>
      </w:r>
      <w:r w:rsidRPr="00175DCB">
        <w:rPr>
          <w:rFonts w:cstheme="minorHAnsi"/>
        </w:rPr>
        <w:t xml:space="preserve">mogamulizumab PBAC </w:t>
      </w:r>
      <w:r w:rsidR="00F420D6">
        <w:rPr>
          <w:rFonts w:cstheme="minorHAnsi"/>
        </w:rPr>
        <w:t>PSD</w:t>
      </w:r>
      <w:r w:rsidRPr="00175DCB">
        <w:rPr>
          <w:rFonts w:cstheme="minorHAnsi"/>
        </w:rPr>
        <w:t>, July 2020 PBAC Meeting</w:t>
      </w:r>
    </w:p>
    <w:p w:rsidR="00297F31" w:rsidRPr="00175DCB" w:rsidRDefault="00297F31" w:rsidP="00297F31">
      <w:pPr>
        <w:pStyle w:val="TableFooter"/>
      </w:pPr>
      <w:r w:rsidRPr="00175DCB">
        <w:t xml:space="preserve">Abbreviations: CI = confidence interval; HR = hazard ratio; ITT = intent to treat; </w:t>
      </w:r>
      <w:r w:rsidRPr="00175DCB">
        <w:rPr>
          <w:rFonts w:eastAsia="Calibri"/>
        </w:rPr>
        <w:t>n = number of participants with event; N = total participants in group;</w:t>
      </w:r>
      <w:r w:rsidRPr="00175DCB">
        <w:t xml:space="preserve"> PFS = progression free survival. </w:t>
      </w:r>
    </w:p>
    <w:p w:rsidR="00297F31" w:rsidRPr="00175DCB" w:rsidRDefault="00297F31" w:rsidP="00297F31">
      <w:pPr>
        <w:pStyle w:val="TableFooter"/>
        <w:rPr>
          <w:rFonts w:eastAsia="Calibri"/>
        </w:rPr>
      </w:pPr>
      <w:r w:rsidRPr="00175DCB">
        <w:rPr>
          <w:rFonts w:eastAsia="Calibri"/>
        </w:rPr>
        <w:t>Bold indicates statistically significant difference.</w:t>
      </w:r>
    </w:p>
    <w:p w:rsidR="00297F31" w:rsidRPr="00175DCB" w:rsidRDefault="00297F31" w:rsidP="00297F31">
      <w:pPr>
        <w:pStyle w:val="TableFooter"/>
      </w:pPr>
      <w:r w:rsidRPr="00175DCB">
        <w:rPr>
          <w:rFonts w:eastAsia="Calibri"/>
          <w:vertAlign w:val="superscript"/>
        </w:rPr>
        <w:t>a</w:t>
      </w:r>
      <w:r w:rsidRPr="00175DCB">
        <w:rPr>
          <w:rFonts w:eastAsia="Calibri"/>
        </w:rPr>
        <w:t xml:space="preserve"> </w:t>
      </w:r>
      <w:r w:rsidRPr="00175DCB">
        <w:t>Calculated during the July 2020 evaluation</w:t>
      </w:r>
    </w:p>
    <w:p w:rsidR="00297F31" w:rsidRPr="00175DCB" w:rsidRDefault="00297F31" w:rsidP="00297F31">
      <w:pPr>
        <w:pStyle w:val="3Bodytext"/>
        <w:numPr>
          <w:ilvl w:val="0"/>
          <w:numId w:val="0"/>
        </w:numPr>
        <w:jc w:val="both"/>
        <w:rPr>
          <w:rFonts w:cstheme="minorHAnsi"/>
        </w:rPr>
      </w:pPr>
    </w:p>
    <w:p w:rsidR="007A13BA" w:rsidRPr="00175DCB" w:rsidRDefault="008B55A0" w:rsidP="007A13BA">
      <w:pPr>
        <w:pStyle w:val="3Bodytext"/>
        <w:jc w:val="both"/>
        <w:rPr>
          <w:rFonts w:cstheme="minorHAnsi"/>
        </w:rPr>
      </w:pPr>
      <w:r w:rsidRPr="00175DCB">
        <w:rPr>
          <w:iCs/>
        </w:rPr>
        <w:t>In July 2020, t</w:t>
      </w:r>
      <w:r w:rsidR="007A13BA" w:rsidRPr="00175DCB">
        <w:rPr>
          <w:iCs/>
        </w:rPr>
        <w:t xml:space="preserve">he PBAC noted that a statistically significant difference in favour of mogamulizumab was reported for both investigator and </w:t>
      </w:r>
      <w:r w:rsidR="007A13BA" w:rsidRPr="00175DCB">
        <w:rPr>
          <w:rFonts w:cs="Calibri"/>
          <w:iCs/>
          <w:color w:val="000000" w:themeColor="text1"/>
        </w:rPr>
        <w:t xml:space="preserve">IR assessed PFS. </w:t>
      </w:r>
      <w:r w:rsidRPr="00175DCB">
        <w:rPr>
          <w:rFonts w:cs="Calibri"/>
          <w:iCs/>
          <w:color w:val="000000" w:themeColor="text1"/>
        </w:rPr>
        <w:t>At that time, t</w:t>
      </w:r>
      <w:r w:rsidR="007A13BA" w:rsidRPr="00175DCB">
        <w:rPr>
          <w:rFonts w:cs="Calibri"/>
          <w:iCs/>
          <w:color w:val="000000" w:themeColor="text1"/>
        </w:rPr>
        <w:t>he PBAC noted a high number of patients in both arms were censored from the primary analysis for PFS (40.9% of mogamulizumab arm and 29.6% of vo</w:t>
      </w:r>
      <w:r w:rsidRPr="00175DCB">
        <w:rPr>
          <w:rFonts w:cs="Calibri"/>
          <w:iCs/>
          <w:color w:val="000000" w:themeColor="text1"/>
        </w:rPr>
        <w:t>rinostat arm</w:t>
      </w:r>
      <w:r w:rsidR="007A13BA" w:rsidRPr="00175DCB">
        <w:rPr>
          <w:rFonts w:cs="Calibri"/>
          <w:iCs/>
          <w:color w:val="000000" w:themeColor="text1"/>
        </w:rPr>
        <w:t xml:space="preserve">). The PBAC considered that due to </w:t>
      </w:r>
      <w:r w:rsidR="007A13BA" w:rsidRPr="00175DCB">
        <w:rPr>
          <w:rFonts w:cs="Times New Roman"/>
        </w:rPr>
        <w:t>the level of crossover and the extent of censoring that occurred in MAVORIC it was uncertain as to whether the effects on PFS were predominantly the results from the individual treatments or the crossover design</w:t>
      </w:r>
      <w:r w:rsidRPr="00175DCB">
        <w:rPr>
          <w:rFonts w:cs="Times New Roman"/>
        </w:rPr>
        <w:t xml:space="preserve"> (</w:t>
      </w:r>
      <w:r w:rsidRPr="00175DCB">
        <w:rPr>
          <w:rFonts w:cstheme="minorHAnsi"/>
        </w:rPr>
        <w:t xml:space="preserve">paragraph 7.5, mogamulizumab PBAC </w:t>
      </w:r>
      <w:r w:rsidR="00F420D6">
        <w:rPr>
          <w:rFonts w:cstheme="minorHAnsi"/>
        </w:rPr>
        <w:t>PSD</w:t>
      </w:r>
      <w:r w:rsidRPr="00175DCB">
        <w:rPr>
          <w:rFonts w:cstheme="minorHAnsi"/>
        </w:rPr>
        <w:t>, July 2020 PBAC Meeting)</w:t>
      </w:r>
      <w:r w:rsidR="007A13BA" w:rsidRPr="00175DCB">
        <w:rPr>
          <w:rFonts w:cs="Times New Roman"/>
        </w:rPr>
        <w:t>.</w:t>
      </w:r>
    </w:p>
    <w:p w:rsidR="008B55A0" w:rsidRPr="00175DCB" w:rsidRDefault="008B55A0" w:rsidP="007A13BA">
      <w:pPr>
        <w:pStyle w:val="3Bodytext"/>
        <w:jc w:val="both"/>
        <w:rPr>
          <w:rFonts w:cstheme="minorHAnsi"/>
        </w:rPr>
      </w:pPr>
      <w:r w:rsidRPr="00175DCB">
        <w:rPr>
          <w:rFonts w:cs="Calibri"/>
        </w:rPr>
        <w:t>Results for investigator assessed and confirmed ORR based on IR including stratification by CTCL subtypes are presented in Table 5.</w:t>
      </w:r>
    </w:p>
    <w:p w:rsidR="008B55A0" w:rsidRPr="00175DCB" w:rsidRDefault="008B55A0" w:rsidP="004B3A85">
      <w:pPr>
        <w:keepNext/>
        <w:rPr>
          <w:rFonts w:ascii="Arial Narrow" w:hAnsi="Arial Narrow"/>
          <w:b/>
          <w:sz w:val="20"/>
          <w:szCs w:val="22"/>
        </w:rPr>
      </w:pPr>
      <w:r w:rsidRPr="00175DCB">
        <w:rPr>
          <w:rFonts w:ascii="Arial Narrow" w:hAnsi="Arial Narrow"/>
          <w:b/>
          <w:sz w:val="20"/>
          <w:szCs w:val="22"/>
        </w:rPr>
        <w:t>Table 5: Results of overall response rate in MAVORIC (ITT; MF and SS subgroups)</w:t>
      </w:r>
    </w:p>
    <w:tbl>
      <w:tblPr>
        <w:tblStyle w:val="Summarybox1"/>
        <w:tblW w:w="5000" w:type="pct"/>
        <w:tblLook w:val="04A0" w:firstRow="1" w:lastRow="0" w:firstColumn="1" w:lastColumn="0" w:noHBand="0" w:noVBand="1"/>
        <w:tblCaption w:val="Table 5: Results of overall response rate in MAVORIC (ITT; MF and SS subgroups)"/>
      </w:tblPr>
      <w:tblGrid>
        <w:gridCol w:w="2320"/>
        <w:gridCol w:w="2135"/>
        <w:gridCol w:w="2142"/>
        <w:gridCol w:w="1416"/>
        <w:gridCol w:w="1003"/>
      </w:tblGrid>
      <w:tr w:rsidR="008B55A0" w:rsidRPr="00175DCB" w:rsidTr="00B35731">
        <w:trPr>
          <w:trHeight w:val="80"/>
          <w:tblHeader/>
        </w:trPr>
        <w:tc>
          <w:tcPr>
            <w:tcW w:w="1287" w:type="pct"/>
            <w:vMerge w:val="restart"/>
            <w:shd w:val="clear" w:color="auto" w:fill="auto"/>
            <w:vAlign w:val="center"/>
          </w:tcPr>
          <w:p w:rsidR="008B55A0" w:rsidRPr="00175DCB" w:rsidRDefault="008B55A0" w:rsidP="004E6C04">
            <w:pPr>
              <w:pStyle w:val="Table"/>
              <w:keepNext/>
              <w:jc w:val="center"/>
              <w:rPr>
                <w:rFonts w:ascii="Arial Narrow" w:hAnsi="Arial Narrow" w:cs="Arial"/>
                <w:b/>
                <w:bCs/>
                <w:szCs w:val="20"/>
              </w:rPr>
            </w:pPr>
            <w:r w:rsidRPr="00175DCB">
              <w:rPr>
                <w:rFonts w:ascii="Arial Narrow" w:hAnsi="Arial Narrow" w:cs="Arial"/>
                <w:b/>
                <w:bCs/>
                <w:szCs w:val="20"/>
              </w:rPr>
              <w:t>Analysis group</w:t>
            </w:r>
          </w:p>
        </w:tc>
        <w:tc>
          <w:tcPr>
            <w:tcW w:w="2372" w:type="pct"/>
            <w:gridSpan w:val="2"/>
            <w:shd w:val="clear" w:color="auto" w:fill="auto"/>
            <w:vAlign w:val="center"/>
          </w:tcPr>
          <w:p w:rsidR="008B55A0" w:rsidRPr="00175DCB" w:rsidRDefault="008B55A0" w:rsidP="004E6C04">
            <w:pPr>
              <w:pStyle w:val="TableCentre"/>
              <w:keepNext/>
              <w:rPr>
                <w:rFonts w:ascii="Arial Narrow" w:hAnsi="Arial Narrow" w:cs="Arial"/>
                <w:b/>
                <w:bCs/>
                <w:szCs w:val="20"/>
              </w:rPr>
            </w:pPr>
            <w:r w:rsidRPr="00175DCB">
              <w:rPr>
                <w:rFonts w:ascii="Arial Narrow" w:hAnsi="Arial Narrow" w:cs="Arial"/>
                <w:b/>
                <w:bCs/>
                <w:szCs w:val="20"/>
              </w:rPr>
              <w:t>n/N (%)</w:t>
            </w:r>
          </w:p>
        </w:tc>
        <w:tc>
          <w:tcPr>
            <w:tcW w:w="785" w:type="pct"/>
            <w:vMerge w:val="restart"/>
            <w:shd w:val="clear" w:color="auto" w:fill="auto"/>
            <w:vAlign w:val="center"/>
          </w:tcPr>
          <w:p w:rsidR="008B55A0" w:rsidRPr="00175DCB" w:rsidRDefault="008B55A0" w:rsidP="004E6C04">
            <w:pPr>
              <w:pStyle w:val="TableCentre"/>
              <w:keepNext/>
              <w:rPr>
                <w:rFonts w:ascii="Arial Narrow" w:hAnsi="Arial Narrow" w:cs="Arial"/>
                <w:b/>
                <w:bCs/>
                <w:szCs w:val="20"/>
              </w:rPr>
            </w:pPr>
            <w:r w:rsidRPr="00175DCB">
              <w:rPr>
                <w:rFonts w:ascii="Arial Narrow" w:hAnsi="Arial Narrow" w:cs="Arial"/>
                <w:b/>
                <w:bCs/>
                <w:szCs w:val="20"/>
              </w:rPr>
              <w:t>Risk difference</w:t>
            </w:r>
          </w:p>
          <w:p w:rsidR="008B55A0" w:rsidRPr="00175DCB" w:rsidRDefault="008B55A0" w:rsidP="004E6C04">
            <w:pPr>
              <w:pStyle w:val="TableCentre"/>
              <w:keepNext/>
              <w:rPr>
                <w:rFonts w:ascii="Arial Narrow" w:hAnsi="Arial Narrow" w:cs="Arial"/>
                <w:b/>
                <w:bCs/>
                <w:szCs w:val="20"/>
              </w:rPr>
            </w:pPr>
            <w:r w:rsidRPr="00175DCB">
              <w:rPr>
                <w:rFonts w:ascii="Arial Narrow" w:hAnsi="Arial Narrow" w:cs="Arial"/>
                <w:b/>
                <w:bCs/>
                <w:szCs w:val="20"/>
              </w:rPr>
              <w:t>(95% CI)</w:t>
            </w:r>
          </w:p>
        </w:tc>
        <w:tc>
          <w:tcPr>
            <w:tcW w:w="556" w:type="pct"/>
            <w:vMerge w:val="restart"/>
            <w:shd w:val="clear" w:color="auto" w:fill="auto"/>
            <w:vAlign w:val="center"/>
          </w:tcPr>
          <w:p w:rsidR="008B55A0" w:rsidRPr="00175DCB" w:rsidRDefault="008B55A0" w:rsidP="004E6C04">
            <w:pPr>
              <w:pStyle w:val="TableCentre"/>
              <w:keepNext/>
              <w:rPr>
                <w:rFonts w:ascii="Arial Narrow" w:hAnsi="Arial Narrow" w:cs="Arial"/>
                <w:b/>
                <w:bCs/>
                <w:szCs w:val="20"/>
              </w:rPr>
            </w:pPr>
            <w:r w:rsidRPr="00175DCB">
              <w:rPr>
                <w:rFonts w:ascii="Arial Narrow" w:hAnsi="Arial Narrow" w:cs="Arial"/>
                <w:b/>
                <w:bCs/>
                <w:szCs w:val="20"/>
              </w:rPr>
              <w:t>p-value</w:t>
            </w:r>
          </w:p>
        </w:tc>
      </w:tr>
      <w:tr w:rsidR="008B55A0" w:rsidRPr="00175DCB" w:rsidTr="00B35731">
        <w:trPr>
          <w:tblHeader/>
        </w:trPr>
        <w:tc>
          <w:tcPr>
            <w:tcW w:w="1287" w:type="pct"/>
            <w:vMerge/>
            <w:shd w:val="clear" w:color="auto" w:fill="auto"/>
          </w:tcPr>
          <w:p w:rsidR="008B55A0" w:rsidRPr="00175DCB" w:rsidRDefault="008B55A0" w:rsidP="004E6C04">
            <w:pPr>
              <w:pStyle w:val="Table"/>
              <w:keepNext/>
              <w:rPr>
                <w:rFonts w:ascii="Arial Narrow" w:hAnsi="Arial Narrow" w:cs="Arial"/>
                <w:szCs w:val="20"/>
              </w:rPr>
            </w:pPr>
          </w:p>
        </w:tc>
        <w:tc>
          <w:tcPr>
            <w:tcW w:w="1184" w:type="pct"/>
            <w:shd w:val="clear" w:color="auto" w:fill="auto"/>
          </w:tcPr>
          <w:p w:rsidR="008B55A0" w:rsidRPr="00175DCB" w:rsidRDefault="008B55A0" w:rsidP="004E6C04">
            <w:pPr>
              <w:pStyle w:val="TableCentre"/>
              <w:keepNext/>
              <w:rPr>
                <w:rFonts w:ascii="Arial Narrow" w:hAnsi="Arial Narrow" w:cs="Arial"/>
                <w:b/>
                <w:bCs/>
                <w:szCs w:val="20"/>
              </w:rPr>
            </w:pPr>
            <w:r w:rsidRPr="00175DCB">
              <w:rPr>
                <w:rFonts w:ascii="Arial Narrow" w:hAnsi="Arial Narrow"/>
                <w:b/>
                <w:bCs/>
                <w:szCs w:val="20"/>
              </w:rPr>
              <w:t>Mogamulizumab</w:t>
            </w:r>
          </w:p>
        </w:tc>
        <w:tc>
          <w:tcPr>
            <w:tcW w:w="1188" w:type="pct"/>
            <w:shd w:val="clear" w:color="auto" w:fill="auto"/>
          </w:tcPr>
          <w:p w:rsidR="008B55A0" w:rsidRPr="00175DCB" w:rsidRDefault="008B55A0" w:rsidP="004E6C04">
            <w:pPr>
              <w:pStyle w:val="TableCentre"/>
              <w:keepNext/>
              <w:rPr>
                <w:rFonts w:ascii="Arial Narrow" w:hAnsi="Arial Narrow"/>
                <w:b/>
                <w:bCs/>
                <w:szCs w:val="20"/>
              </w:rPr>
            </w:pPr>
            <w:r w:rsidRPr="00175DCB">
              <w:rPr>
                <w:rFonts w:ascii="Arial Narrow" w:hAnsi="Arial Narrow"/>
                <w:b/>
                <w:bCs/>
                <w:szCs w:val="20"/>
              </w:rPr>
              <w:t xml:space="preserve">Vorinostat </w:t>
            </w:r>
          </w:p>
        </w:tc>
        <w:tc>
          <w:tcPr>
            <w:tcW w:w="785" w:type="pct"/>
            <w:vMerge/>
          </w:tcPr>
          <w:p w:rsidR="008B55A0" w:rsidRPr="00175DCB" w:rsidRDefault="008B55A0" w:rsidP="004E6C04">
            <w:pPr>
              <w:pStyle w:val="TableCentre"/>
              <w:keepNext/>
              <w:rPr>
                <w:rFonts w:ascii="Arial Narrow" w:hAnsi="Arial Narrow" w:cs="Arial"/>
                <w:szCs w:val="20"/>
              </w:rPr>
            </w:pPr>
          </w:p>
        </w:tc>
        <w:tc>
          <w:tcPr>
            <w:tcW w:w="556" w:type="pct"/>
            <w:vMerge/>
          </w:tcPr>
          <w:p w:rsidR="008B55A0" w:rsidRPr="00175DCB" w:rsidRDefault="008B55A0" w:rsidP="004E6C04">
            <w:pPr>
              <w:pStyle w:val="TableCentre"/>
              <w:keepNext/>
              <w:rPr>
                <w:rFonts w:ascii="Arial Narrow" w:hAnsi="Arial Narrow" w:cs="Arial"/>
                <w:szCs w:val="20"/>
              </w:rPr>
            </w:pPr>
          </w:p>
        </w:tc>
      </w:tr>
      <w:tr w:rsidR="008B55A0" w:rsidRPr="00175DCB" w:rsidTr="00B35731">
        <w:tc>
          <w:tcPr>
            <w:tcW w:w="5000" w:type="pct"/>
            <w:gridSpan w:val="5"/>
          </w:tcPr>
          <w:p w:rsidR="008B55A0" w:rsidRPr="00175DCB" w:rsidRDefault="008B55A0" w:rsidP="004E6C04">
            <w:pPr>
              <w:pStyle w:val="TableCentre"/>
              <w:keepNext/>
              <w:jc w:val="left"/>
              <w:rPr>
                <w:rFonts w:ascii="Arial Narrow" w:hAnsi="Arial Narrow" w:cs="Arial"/>
                <w:b/>
                <w:bCs/>
                <w:szCs w:val="20"/>
              </w:rPr>
            </w:pPr>
            <w:r w:rsidRPr="00175DCB">
              <w:rPr>
                <w:rFonts w:ascii="Arial Narrow" w:hAnsi="Arial Narrow"/>
                <w:b/>
                <w:bCs/>
                <w:szCs w:val="20"/>
              </w:rPr>
              <w:t>All Subjects (ITT)</w:t>
            </w:r>
          </w:p>
        </w:tc>
      </w:tr>
      <w:tr w:rsidR="008B55A0" w:rsidRPr="00175DCB" w:rsidTr="00B35731">
        <w:tc>
          <w:tcPr>
            <w:tcW w:w="1287" w:type="pct"/>
          </w:tcPr>
          <w:p w:rsidR="008B55A0" w:rsidRPr="00175DCB" w:rsidRDefault="008B55A0" w:rsidP="004E6C04">
            <w:pPr>
              <w:pStyle w:val="Table"/>
              <w:keepNext/>
              <w:rPr>
                <w:rFonts w:ascii="Arial Narrow" w:hAnsi="Arial Narrow" w:cs="Arial"/>
                <w:szCs w:val="20"/>
                <w:vertAlign w:val="superscript"/>
              </w:rPr>
            </w:pPr>
            <w:r w:rsidRPr="00175DCB">
              <w:rPr>
                <w:rFonts w:ascii="Arial Narrow" w:hAnsi="Arial Narrow" w:cs="Arial"/>
                <w:szCs w:val="20"/>
              </w:rPr>
              <w:t xml:space="preserve">Investigator assessed ORR </w:t>
            </w:r>
            <w:r w:rsidRPr="00175DCB">
              <w:rPr>
                <w:rFonts w:ascii="Arial Narrow" w:hAnsi="Arial Narrow" w:cs="Arial"/>
                <w:szCs w:val="20"/>
                <w:vertAlign w:val="superscript"/>
              </w:rPr>
              <w:t>a</w:t>
            </w:r>
          </w:p>
          <w:p w:rsidR="008B55A0" w:rsidRPr="00175DCB" w:rsidRDefault="008B55A0" w:rsidP="004E6C04">
            <w:pPr>
              <w:pStyle w:val="Table"/>
              <w:keepNext/>
              <w:rPr>
                <w:rFonts w:ascii="Arial Narrow" w:hAnsi="Arial Narrow" w:cs="Arial"/>
                <w:szCs w:val="20"/>
              </w:rPr>
            </w:pPr>
            <w:r w:rsidRPr="00175DCB">
              <w:rPr>
                <w:rFonts w:ascii="Arial Narrow" w:hAnsi="Arial Narrow" w:cs="Arial"/>
                <w:szCs w:val="20"/>
              </w:rPr>
              <w:t>(95% CI)</w:t>
            </w:r>
          </w:p>
        </w:tc>
        <w:tc>
          <w:tcPr>
            <w:tcW w:w="1184" w:type="pct"/>
          </w:tcPr>
          <w:p w:rsidR="008B55A0" w:rsidRPr="00175DCB" w:rsidRDefault="008B55A0" w:rsidP="004E6C04">
            <w:pPr>
              <w:pStyle w:val="TableCentre"/>
              <w:keepNext/>
              <w:rPr>
                <w:rFonts w:ascii="Arial Narrow" w:hAnsi="Arial Narrow" w:cs="Arial"/>
                <w:szCs w:val="20"/>
              </w:rPr>
            </w:pPr>
            <w:r w:rsidRPr="00175DCB">
              <w:rPr>
                <w:rFonts w:ascii="Arial Narrow" w:hAnsi="Arial Narrow" w:cs="Arial"/>
                <w:szCs w:val="20"/>
              </w:rPr>
              <w:t>52/186 (28.0)</w:t>
            </w:r>
          </w:p>
          <w:p w:rsidR="008B55A0" w:rsidRPr="00175DCB" w:rsidRDefault="008B55A0" w:rsidP="004E6C04">
            <w:pPr>
              <w:pStyle w:val="TableCentre"/>
              <w:keepNext/>
              <w:rPr>
                <w:rFonts w:ascii="Arial Narrow" w:hAnsi="Arial Narrow" w:cs="Arial"/>
                <w:szCs w:val="20"/>
              </w:rPr>
            </w:pPr>
            <w:r w:rsidRPr="00175DCB">
              <w:rPr>
                <w:rFonts w:ascii="Arial Narrow" w:hAnsi="Arial Narrow"/>
                <w:szCs w:val="20"/>
              </w:rPr>
              <w:t>(21.6, 35.0)</w:t>
            </w:r>
          </w:p>
        </w:tc>
        <w:tc>
          <w:tcPr>
            <w:tcW w:w="1188" w:type="pct"/>
          </w:tcPr>
          <w:p w:rsidR="008B55A0" w:rsidRPr="00175DCB" w:rsidRDefault="008B55A0" w:rsidP="004E6C04">
            <w:pPr>
              <w:pStyle w:val="TableCentre"/>
              <w:keepNext/>
              <w:rPr>
                <w:rFonts w:ascii="Arial Narrow" w:hAnsi="Arial Narrow"/>
                <w:szCs w:val="20"/>
              </w:rPr>
            </w:pPr>
            <w:r w:rsidRPr="00175DCB">
              <w:rPr>
                <w:rFonts w:ascii="Arial Narrow" w:hAnsi="Arial Narrow"/>
                <w:szCs w:val="20"/>
              </w:rPr>
              <w:t>9/186 (4.8)</w:t>
            </w:r>
          </w:p>
          <w:p w:rsidR="008B55A0" w:rsidRPr="00175DCB" w:rsidRDefault="008B55A0" w:rsidP="004E6C04">
            <w:pPr>
              <w:pStyle w:val="TableCentre"/>
              <w:keepNext/>
              <w:rPr>
                <w:rFonts w:ascii="Arial Narrow" w:hAnsi="Arial Narrow" w:cs="Arial"/>
                <w:szCs w:val="20"/>
              </w:rPr>
            </w:pPr>
            <w:r w:rsidRPr="00175DCB">
              <w:rPr>
                <w:rFonts w:ascii="Arial Narrow" w:hAnsi="Arial Narrow"/>
                <w:szCs w:val="20"/>
              </w:rPr>
              <w:t>(2.2, 9.0)</w:t>
            </w:r>
          </w:p>
        </w:tc>
        <w:tc>
          <w:tcPr>
            <w:tcW w:w="785" w:type="pct"/>
          </w:tcPr>
          <w:p w:rsidR="008B55A0" w:rsidRPr="00175DCB" w:rsidRDefault="008B55A0" w:rsidP="004E6C04">
            <w:pPr>
              <w:pStyle w:val="TableCentre"/>
              <w:keepNext/>
              <w:rPr>
                <w:rFonts w:ascii="Arial Narrow" w:hAnsi="Arial Narrow"/>
                <w:b/>
                <w:bCs/>
                <w:szCs w:val="20"/>
              </w:rPr>
            </w:pPr>
            <w:r w:rsidRPr="00175DCB">
              <w:rPr>
                <w:rFonts w:ascii="Arial Narrow" w:hAnsi="Arial Narrow"/>
                <w:b/>
                <w:bCs/>
                <w:szCs w:val="20"/>
              </w:rPr>
              <w:t xml:space="preserve">23.1 </w:t>
            </w:r>
          </w:p>
          <w:p w:rsidR="008B55A0" w:rsidRPr="00175DCB" w:rsidRDefault="008B55A0" w:rsidP="004E6C04">
            <w:pPr>
              <w:pStyle w:val="TableCentre"/>
              <w:keepNext/>
              <w:rPr>
                <w:rFonts w:ascii="Arial Narrow" w:hAnsi="Arial Narrow"/>
                <w:b/>
                <w:bCs/>
                <w:szCs w:val="20"/>
              </w:rPr>
            </w:pPr>
            <w:r w:rsidRPr="00175DCB">
              <w:rPr>
                <w:rFonts w:ascii="Arial Narrow" w:hAnsi="Arial Narrow"/>
                <w:b/>
                <w:bCs/>
                <w:szCs w:val="20"/>
              </w:rPr>
              <w:t>(12.8, 33.1)</w:t>
            </w:r>
          </w:p>
        </w:tc>
        <w:tc>
          <w:tcPr>
            <w:tcW w:w="556" w:type="pct"/>
          </w:tcPr>
          <w:p w:rsidR="008B55A0" w:rsidRPr="00175DCB" w:rsidRDefault="008B55A0" w:rsidP="004E6C04">
            <w:pPr>
              <w:pStyle w:val="TableCentre"/>
              <w:keepNext/>
              <w:rPr>
                <w:rFonts w:ascii="Arial Narrow" w:hAnsi="Arial Narrow" w:cs="Arial"/>
                <w:b/>
                <w:bCs/>
                <w:szCs w:val="20"/>
              </w:rPr>
            </w:pPr>
            <w:r w:rsidRPr="00175DCB">
              <w:rPr>
                <w:rFonts w:ascii="Arial Narrow" w:hAnsi="Arial Narrow"/>
                <w:b/>
                <w:bCs/>
                <w:szCs w:val="20"/>
              </w:rPr>
              <w:t>&lt;0.0001</w:t>
            </w:r>
          </w:p>
        </w:tc>
      </w:tr>
      <w:tr w:rsidR="008B55A0" w:rsidRPr="00175DCB" w:rsidTr="00B35731">
        <w:tc>
          <w:tcPr>
            <w:tcW w:w="1287" w:type="pct"/>
          </w:tcPr>
          <w:p w:rsidR="008B55A0" w:rsidRPr="00175DCB" w:rsidRDefault="008B55A0" w:rsidP="004E6C04">
            <w:pPr>
              <w:pStyle w:val="Table"/>
              <w:keepNext/>
              <w:ind w:left="25" w:firstLine="12"/>
              <w:rPr>
                <w:rFonts w:ascii="Arial Narrow" w:hAnsi="Arial Narrow" w:cs="Arial"/>
                <w:szCs w:val="20"/>
                <w:vertAlign w:val="superscript"/>
              </w:rPr>
            </w:pPr>
            <w:r w:rsidRPr="00175DCB">
              <w:rPr>
                <w:rFonts w:ascii="Arial Narrow" w:hAnsi="Arial Narrow"/>
                <w:szCs w:val="20"/>
              </w:rPr>
              <w:t xml:space="preserve">Independent review ORR </w:t>
            </w:r>
            <w:r w:rsidRPr="00175DCB">
              <w:rPr>
                <w:rFonts w:ascii="Arial Narrow" w:hAnsi="Arial Narrow" w:cs="Arial"/>
                <w:szCs w:val="20"/>
                <w:vertAlign w:val="superscript"/>
              </w:rPr>
              <w:t>a</w:t>
            </w:r>
          </w:p>
          <w:p w:rsidR="008B55A0" w:rsidRPr="00175DCB" w:rsidRDefault="008B55A0" w:rsidP="004E6C04">
            <w:pPr>
              <w:pStyle w:val="Table"/>
              <w:keepNext/>
              <w:ind w:left="25" w:firstLine="12"/>
              <w:rPr>
                <w:rFonts w:ascii="Arial Narrow" w:hAnsi="Arial Narrow"/>
                <w:szCs w:val="20"/>
              </w:rPr>
            </w:pPr>
            <w:r w:rsidRPr="00175DCB">
              <w:rPr>
                <w:rFonts w:ascii="Arial Narrow" w:hAnsi="Arial Narrow" w:cs="Arial"/>
                <w:szCs w:val="20"/>
              </w:rPr>
              <w:t>(95% CI)</w:t>
            </w:r>
          </w:p>
        </w:tc>
        <w:tc>
          <w:tcPr>
            <w:tcW w:w="1184" w:type="pct"/>
          </w:tcPr>
          <w:p w:rsidR="008B55A0" w:rsidRPr="00175DCB" w:rsidRDefault="008B55A0" w:rsidP="004E6C04">
            <w:pPr>
              <w:pStyle w:val="TableCentre"/>
              <w:keepNext/>
              <w:rPr>
                <w:rFonts w:ascii="Arial Narrow" w:hAnsi="Arial Narrow"/>
                <w:szCs w:val="20"/>
              </w:rPr>
            </w:pPr>
            <w:r w:rsidRPr="00175DCB">
              <w:rPr>
                <w:rFonts w:ascii="Arial Narrow" w:hAnsi="Arial Narrow"/>
                <w:szCs w:val="20"/>
              </w:rPr>
              <w:t>43/186 (23.1)</w:t>
            </w:r>
          </w:p>
          <w:p w:rsidR="008B55A0" w:rsidRPr="00175DCB" w:rsidRDefault="008B55A0" w:rsidP="004E6C04">
            <w:pPr>
              <w:pStyle w:val="TableCentre"/>
              <w:keepNext/>
              <w:rPr>
                <w:rFonts w:ascii="Arial Narrow" w:hAnsi="Arial Narrow" w:cs="Arial"/>
                <w:szCs w:val="20"/>
              </w:rPr>
            </w:pPr>
            <w:r w:rsidRPr="00175DCB">
              <w:rPr>
                <w:rFonts w:ascii="Arial Narrow" w:hAnsi="Arial Narrow"/>
                <w:szCs w:val="20"/>
              </w:rPr>
              <w:t>(17.3, 29.8)</w:t>
            </w:r>
          </w:p>
        </w:tc>
        <w:tc>
          <w:tcPr>
            <w:tcW w:w="1188" w:type="pct"/>
          </w:tcPr>
          <w:p w:rsidR="008B55A0" w:rsidRPr="00175DCB" w:rsidRDefault="008B55A0" w:rsidP="004E6C04">
            <w:pPr>
              <w:pStyle w:val="TableCentre"/>
              <w:keepNext/>
              <w:rPr>
                <w:rFonts w:ascii="Arial Narrow" w:hAnsi="Arial Narrow"/>
                <w:szCs w:val="20"/>
              </w:rPr>
            </w:pPr>
            <w:r w:rsidRPr="00175DCB">
              <w:rPr>
                <w:rFonts w:ascii="Arial Narrow" w:hAnsi="Arial Narrow"/>
                <w:szCs w:val="20"/>
              </w:rPr>
              <w:t>7/186 (3.8)</w:t>
            </w:r>
          </w:p>
          <w:p w:rsidR="008B55A0" w:rsidRPr="00175DCB" w:rsidRDefault="008B55A0" w:rsidP="004E6C04">
            <w:pPr>
              <w:pStyle w:val="TableCentre"/>
              <w:keepNext/>
              <w:rPr>
                <w:rFonts w:ascii="Arial Narrow" w:hAnsi="Arial Narrow" w:cs="Arial"/>
                <w:szCs w:val="20"/>
              </w:rPr>
            </w:pPr>
            <w:r w:rsidRPr="00175DCB">
              <w:rPr>
                <w:rFonts w:ascii="Arial Narrow" w:hAnsi="Arial Narrow"/>
                <w:szCs w:val="20"/>
              </w:rPr>
              <w:t>(1.5, 7.6)</w:t>
            </w:r>
          </w:p>
        </w:tc>
        <w:tc>
          <w:tcPr>
            <w:tcW w:w="785" w:type="pct"/>
          </w:tcPr>
          <w:p w:rsidR="008B55A0" w:rsidRPr="00175DCB" w:rsidRDefault="008B55A0" w:rsidP="004E6C04">
            <w:pPr>
              <w:pStyle w:val="TableCentre"/>
              <w:keepNext/>
              <w:rPr>
                <w:rFonts w:ascii="Arial Narrow" w:hAnsi="Arial Narrow"/>
                <w:b/>
                <w:bCs/>
                <w:szCs w:val="20"/>
              </w:rPr>
            </w:pPr>
            <w:r w:rsidRPr="00175DCB">
              <w:rPr>
                <w:rFonts w:ascii="Arial Narrow" w:hAnsi="Arial Narrow"/>
                <w:b/>
                <w:bCs/>
                <w:szCs w:val="20"/>
              </w:rPr>
              <w:t>19.4</w:t>
            </w:r>
          </w:p>
          <w:p w:rsidR="008B55A0" w:rsidRPr="00175DCB" w:rsidRDefault="008B55A0" w:rsidP="004E6C04">
            <w:pPr>
              <w:pStyle w:val="TableCentre"/>
              <w:keepNext/>
              <w:rPr>
                <w:rFonts w:ascii="Arial Narrow" w:hAnsi="Arial Narrow"/>
                <w:b/>
                <w:bCs/>
                <w:szCs w:val="20"/>
              </w:rPr>
            </w:pPr>
            <w:r w:rsidRPr="00175DCB">
              <w:rPr>
                <w:rFonts w:ascii="Arial Narrow" w:hAnsi="Arial Narrow"/>
                <w:b/>
                <w:bCs/>
                <w:szCs w:val="20"/>
              </w:rPr>
              <w:t>(9.0, 29.4)</w:t>
            </w:r>
          </w:p>
        </w:tc>
        <w:tc>
          <w:tcPr>
            <w:tcW w:w="556" w:type="pct"/>
          </w:tcPr>
          <w:p w:rsidR="008B55A0" w:rsidRPr="00175DCB" w:rsidRDefault="008B55A0" w:rsidP="004E6C04">
            <w:pPr>
              <w:pStyle w:val="TableCentre"/>
              <w:keepNext/>
              <w:rPr>
                <w:rFonts w:ascii="Arial Narrow" w:hAnsi="Arial Narrow" w:cs="Arial"/>
                <w:b/>
                <w:bCs/>
                <w:szCs w:val="20"/>
              </w:rPr>
            </w:pPr>
            <w:r w:rsidRPr="00175DCB">
              <w:rPr>
                <w:rFonts w:ascii="Arial Narrow" w:hAnsi="Arial Narrow"/>
                <w:b/>
                <w:bCs/>
                <w:szCs w:val="20"/>
              </w:rPr>
              <w:t>&lt;0.0001</w:t>
            </w:r>
          </w:p>
        </w:tc>
      </w:tr>
      <w:tr w:rsidR="008B55A0" w:rsidRPr="00175DCB" w:rsidTr="00B35731">
        <w:tc>
          <w:tcPr>
            <w:tcW w:w="5000" w:type="pct"/>
            <w:gridSpan w:val="5"/>
          </w:tcPr>
          <w:p w:rsidR="008B55A0" w:rsidRPr="00175DCB" w:rsidRDefault="008B55A0" w:rsidP="004E6C04">
            <w:pPr>
              <w:pStyle w:val="TableCentre"/>
              <w:keepNext/>
              <w:jc w:val="left"/>
              <w:rPr>
                <w:rFonts w:ascii="Arial Narrow" w:hAnsi="Arial Narrow" w:cs="Arial"/>
                <w:b/>
                <w:bCs/>
                <w:szCs w:val="20"/>
              </w:rPr>
            </w:pPr>
            <w:r w:rsidRPr="00175DCB">
              <w:rPr>
                <w:rFonts w:ascii="Arial Narrow" w:hAnsi="Arial Narrow"/>
                <w:b/>
                <w:bCs/>
                <w:szCs w:val="20"/>
              </w:rPr>
              <w:t>MF subtype</w:t>
            </w:r>
          </w:p>
        </w:tc>
      </w:tr>
      <w:tr w:rsidR="008B55A0" w:rsidRPr="00175DCB" w:rsidTr="00B35731">
        <w:tc>
          <w:tcPr>
            <w:tcW w:w="1287" w:type="pct"/>
          </w:tcPr>
          <w:p w:rsidR="008B55A0" w:rsidRPr="00175DCB" w:rsidRDefault="008B55A0" w:rsidP="004E6C04">
            <w:pPr>
              <w:pStyle w:val="Table"/>
              <w:keepNext/>
              <w:rPr>
                <w:rFonts w:ascii="Arial Narrow" w:hAnsi="Arial Narrow" w:cs="Arial"/>
                <w:szCs w:val="20"/>
                <w:vertAlign w:val="superscript"/>
              </w:rPr>
            </w:pPr>
            <w:r w:rsidRPr="00175DCB">
              <w:rPr>
                <w:rFonts w:ascii="Arial Narrow" w:hAnsi="Arial Narrow"/>
                <w:szCs w:val="20"/>
              </w:rPr>
              <w:t xml:space="preserve">Investigator assessed ORR </w:t>
            </w:r>
            <w:r w:rsidRPr="00175DCB">
              <w:rPr>
                <w:rFonts w:ascii="Arial Narrow" w:hAnsi="Arial Narrow" w:cs="Arial"/>
                <w:szCs w:val="20"/>
                <w:vertAlign w:val="superscript"/>
              </w:rPr>
              <w:t>a</w:t>
            </w:r>
          </w:p>
          <w:p w:rsidR="008B55A0" w:rsidRPr="00175DCB" w:rsidRDefault="008B55A0" w:rsidP="004E6C04">
            <w:pPr>
              <w:pStyle w:val="Table"/>
              <w:keepNext/>
              <w:rPr>
                <w:rFonts w:ascii="Arial Narrow" w:hAnsi="Arial Narrow" w:cs="Arial"/>
                <w:szCs w:val="20"/>
              </w:rPr>
            </w:pPr>
            <w:r w:rsidRPr="00175DCB">
              <w:rPr>
                <w:rFonts w:ascii="Arial Narrow" w:hAnsi="Arial Narrow" w:cs="Arial"/>
                <w:szCs w:val="20"/>
              </w:rPr>
              <w:t>(95% CI)</w:t>
            </w:r>
          </w:p>
        </w:tc>
        <w:tc>
          <w:tcPr>
            <w:tcW w:w="1184" w:type="pct"/>
          </w:tcPr>
          <w:p w:rsidR="008B55A0" w:rsidRPr="00175DCB" w:rsidRDefault="008B55A0" w:rsidP="004E6C04">
            <w:pPr>
              <w:pStyle w:val="TableCentre"/>
              <w:keepNext/>
              <w:rPr>
                <w:rFonts w:ascii="Arial Narrow" w:hAnsi="Arial Narrow"/>
                <w:szCs w:val="20"/>
              </w:rPr>
            </w:pPr>
            <w:r w:rsidRPr="00175DCB">
              <w:rPr>
                <w:rFonts w:ascii="Arial Narrow" w:hAnsi="Arial Narrow"/>
                <w:szCs w:val="20"/>
              </w:rPr>
              <w:t>22/105 (21.0)</w:t>
            </w:r>
          </w:p>
          <w:p w:rsidR="008B55A0" w:rsidRPr="00175DCB" w:rsidRDefault="008B55A0" w:rsidP="004E6C04">
            <w:pPr>
              <w:pStyle w:val="TableCentre"/>
              <w:keepNext/>
              <w:rPr>
                <w:rFonts w:ascii="Arial Narrow" w:hAnsi="Arial Narrow" w:cs="Arial"/>
                <w:szCs w:val="20"/>
              </w:rPr>
            </w:pPr>
            <w:r w:rsidRPr="00175DCB">
              <w:rPr>
                <w:rFonts w:ascii="Arial Narrow" w:hAnsi="Arial Narrow"/>
                <w:szCs w:val="20"/>
              </w:rPr>
              <w:t>(13.6, 30.0)</w:t>
            </w:r>
          </w:p>
        </w:tc>
        <w:tc>
          <w:tcPr>
            <w:tcW w:w="1188" w:type="pct"/>
          </w:tcPr>
          <w:p w:rsidR="008B55A0" w:rsidRPr="00175DCB" w:rsidRDefault="008B55A0" w:rsidP="004E6C04">
            <w:pPr>
              <w:pStyle w:val="TableCentre"/>
              <w:keepNext/>
              <w:rPr>
                <w:rFonts w:ascii="Arial Narrow" w:hAnsi="Arial Narrow"/>
                <w:szCs w:val="20"/>
              </w:rPr>
            </w:pPr>
            <w:r w:rsidRPr="00175DCB">
              <w:rPr>
                <w:rFonts w:ascii="Arial Narrow" w:hAnsi="Arial Narrow"/>
                <w:szCs w:val="20"/>
              </w:rPr>
              <w:t>7/99 (7.1)</w:t>
            </w:r>
          </w:p>
          <w:p w:rsidR="008B55A0" w:rsidRPr="00175DCB" w:rsidRDefault="008B55A0" w:rsidP="004E6C04">
            <w:pPr>
              <w:pStyle w:val="TableCentre"/>
              <w:keepNext/>
              <w:rPr>
                <w:rFonts w:ascii="Arial Narrow" w:hAnsi="Arial Narrow" w:cs="Arial"/>
                <w:szCs w:val="20"/>
              </w:rPr>
            </w:pPr>
            <w:r w:rsidRPr="00175DCB">
              <w:rPr>
                <w:rFonts w:ascii="Arial Narrow" w:hAnsi="Arial Narrow"/>
                <w:szCs w:val="20"/>
              </w:rPr>
              <w:t>(2.9, 14.0)</w:t>
            </w:r>
          </w:p>
        </w:tc>
        <w:tc>
          <w:tcPr>
            <w:tcW w:w="785" w:type="pct"/>
          </w:tcPr>
          <w:p w:rsidR="008B55A0" w:rsidRPr="00175DCB" w:rsidRDefault="008B55A0" w:rsidP="004E6C04">
            <w:pPr>
              <w:pStyle w:val="TableCentre"/>
              <w:keepNext/>
              <w:rPr>
                <w:rFonts w:ascii="Arial Narrow" w:hAnsi="Arial Narrow"/>
                <w:b/>
                <w:bCs/>
                <w:szCs w:val="20"/>
              </w:rPr>
            </w:pPr>
            <w:r w:rsidRPr="00175DCB">
              <w:rPr>
                <w:rFonts w:ascii="Arial Narrow" w:hAnsi="Arial Narrow"/>
                <w:b/>
                <w:bCs/>
                <w:szCs w:val="20"/>
              </w:rPr>
              <w:t>13.9</w:t>
            </w:r>
          </w:p>
          <w:p w:rsidR="008B55A0" w:rsidRPr="00175DCB" w:rsidRDefault="008B55A0" w:rsidP="004E6C04">
            <w:pPr>
              <w:pStyle w:val="TableCentre"/>
              <w:keepNext/>
              <w:rPr>
                <w:rFonts w:ascii="Arial Narrow" w:hAnsi="Arial Narrow"/>
                <w:b/>
                <w:bCs/>
                <w:szCs w:val="20"/>
              </w:rPr>
            </w:pPr>
            <w:r w:rsidRPr="00175DCB">
              <w:rPr>
                <w:rFonts w:ascii="Arial Narrow" w:hAnsi="Arial Narrow"/>
                <w:b/>
                <w:bCs/>
                <w:szCs w:val="20"/>
              </w:rPr>
              <w:t>(0.1, 27.4)</w:t>
            </w:r>
          </w:p>
        </w:tc>
        <w:tc>
          <w:tcPr>
            <w:tcW w:w="556" w:type="pct"/>
          </w:tcPr>
          <w:p w:rsidR="008B55A0" w:rsidRPr="00175DCB" w:rsidRDefault="008B55A0" w:rsidP="004E6C04">
            <w:pPr>
              <w:pStyle w:val="TableCentre"/>
              <w:keepNext/>
              <w:rPr>
                <w:rFonts w:ascii="Arial Narrow" w:hAnsi="Arial Narrow" w:cs="Arial"/>
                <w:b/>
                <w:bCs/>
                <w:szCs w:val="20"/>
              </w:rPr>
            </w:pPr>
            <w:r w:rsidRPr="00175DCB">
              <w:rPr>
                <w:rFonts w:ascii="Arial Narrow" w:hAnsi="Arial Narrow"/>
                <w:b/>
                <w:bCs/>
                <w:szCs w:val="20"/>
              </w:rPr>
              <w:t>0.0042</w:t>
            </w:r>
          </w:p>
        </w:tc>
      </w:tr>
      <w:tr w:rsidR="008B55A0" w:rsidRPr="00175DCB" w:rsidTr="00B35731">
        <w:tc>
          <w:tcPr>
            <w:tcW w:w="5000" w:type="pct"/>
            <w:gridSpan w:val="5"/>
          </w:tcPr>
          <w:p w:rsidR="008B55A0" w:rsidRPr="00175DCB" w:rsidRDefault="008B55A0" w:rsidP="004E6C04">
            <w:pPr>
              <w:pStyle w:val="TableCentre"/>
              <w:keepNext/>
              <w:jc w:val="left"/>
              <w:rPr>
                <w:rFonts w:ascii="Arial Narrow" w:hAnsi="Arial Narrow" w:cs="Arial"/>
                <w:b/>
                <w:bCs/>
                <w:szCs w:val="20"/>
              </w:rPr>
            </w:pPr>
            <w:r w:rsidRPr="00175DCB">
              <w:rPr>
                <w:rFonts w:ascii="Arial Narrow" w:hAnsi="Arial Narrow"/>
                <w:b/>
                <w:bCs/>
                <w:szCs w:val="20"/>
              </w:rPr>
              <w:t>SS subtype</w:t>
            </w:r>
          </w:p>
        </w:tc>
      </w:tr>
      <w:tr w:rsidR="008B55A0" w:rsidRPr="00175DCB" w:rsidTr="00B35731">
        <w:tc>
          <w:tcPr>
            <w:tcW w:w="1287" w:type="pct"/>
          </w:tcPr>
          <w:p w:rsidR="008B55A0" w:rsidRPr="00175DCB" w:rsidRDefault="008B55A0" w:rsidP="004E6C04">
            <w:pPr>
              <w:pStyle w:val="Table"/>
              <w:keepNext/>
              <w:rPr>
                <w:rFonts w:ascii="Arial Narrow" w:hAnsi="Arial Narrow" w:cs="Arial"/>
                <w:szCs w:val="20"/>
                <w:vertAlign w:val="superscript"/>
              </w:rPr>
            </w:pPr>
            <w:r w:rsidRPr="00175DCB">
              <w:rPr>
                <w:rFonts w:ascii="Arial Narrow" w:hAnsi="Arial Narrow"/>
                <w:szCs w:val="20"/>
              </w:rPr>
              <w:t xml:space="preserve">Investigator assessed ORR </w:t>
            </w:r>
            <w:r w:rsidRPr="00175DCB">
              <w:rPr>
                <w:rFonts w:ascii="Arial Narrow" w:hAnsi="Arial Narrow" w:cs="Arial"/>
                <w:szCs w:val="20"/>
                <w:vertAlign w:val="superscript"/>
              </w:rPr>
              <w:t>a</w:t>
            </w:r>
          </w:p>
          <w:p w:rsidR="008B55A0" w:rsidRPr="00175DCB" w:rsidRDefault="008B55A0" w:rsidP="004E6C04">
            <w:pPr>
              <w:pStyle w:val="Table"/>
              <w:keepNext/>
              <w:rPr>
                <w:rFonts w:ascii="Arial Narrow" w:hAnsi="Arial Narrow" w:cs="Arial"/>
                <w:szCs w:val="20"/>
              </w:rPr>
            </w:pPr>
            <w:r w:rsidRPr="00175DCB">
              <w:rPr>
                <w:rFonts w:ascii="Arial Narrow" w:hAnsi="Arial Narrow" w:cs="Arial"/>
                <w:szCs w:val="20"/>
              </w:rPr>
              <w:t>(95% CI)</w:t>
            </w:r>
          </w:p>
        </w:tc>
        <w:tc>
          <w:tcPr>
            <w:tcW w:w="1184" w:type="pct"/>
          </w:tcPr>
          <w:p w:rsidR="008B55A0" w:rsidRPr="00175DCB" w:rsidRDefault="008B55A0" w:rsidP="004E6C04">
            <w:pPr>
              <w:pStyle w:val="TableCentre"/>
              <w:keepNext/>
              <w:rPr>
                <w:rFonts w:ascii="Arial Narrow" w:hAnsi="Arial Narrow"/>
                <w:szCs w:val="20"/>
              </w:rPr>
            </w:pPr>
            <w:r w:rsidRPr="00175DCB">
              <w:rPr>
                <w:rFonts w:ascii="Arial Narrow" w:hAnsi="Arial Narrow"/>
                <w:szCs w:val="20"/>
              </w:rPr>
              <w:t>30/81 (37.0)</w:t>
            </w:r>
          </w:p>
          <w:p w:rsidR="008B55A0" w:rsidRPr="00175DCB" w:rsidRDefault="008B55A0" w:rsidP="004E6C04">
            <w:pPr>
              <w:pStyle w:val="TableCentre"/>
              <w:keepNext/>
              <w:rPr>
                <w:rFonts w:ascii="Arial Narrow" w:hAnsi="Arial Narrow" w:cs="Arial"/>
                <w:szCs w:val="20"/>
              </w:rPr>
            </w:pPr>
            <w:r w:rsidRPr="00175DCB">
              <w:rPr>
                <w:rFonts w:ascii="Arial Narrow" w:hAnsi="Arial Narrow"/>
                <w:szCs w:val="20"/>
              </w:rPr>
              <w:t>(26.6, 48.5)</w:t>
            </w:r>
          </w:p>
        </w:tc>
        <w:tc>
          <w:tcPr>
            <w:tcW w:w="1188" w:type="pct"/>
          </w:tcPr>
          <w:p w:rsidR="008B55A0" w:rsidRPr="00175DCB" w:rsidRDefault="008B55A0" w:rsidP="004E6C04">
            <w:pPr>
              <w:pStyle w:val="TableCentre"/>
              <w:keepNext/>
              <w:rPr>
                <w:rFonts w:ascii="Arial Narrow" w:hAnsi="Arial Narrow"/>
                <w:szCs w:val="20"/>
              </w:rPr>
            </w:pPr>
            <w:r w:rsidRPr="00175DCB">
              <w:rPr>
                <w:rFonts w:ascii="Arial Narrow" w:hAnsi="Arial Narrow"/>
                <w:szCs w:val="20"/>
              </w:rPr>
              <w:t>2/87 (2.3)</w:t>
            </w:r>
          </w:p>
          <w:p w:rsidR="008B55A0" w:rsidRPr="00175DCB" w:rsidRDefault="008B55A0" w:rsidP="004E6C04">
            <w:pPr>
              <w:pStyle w:val="TableCentre"/>
              <w:keepNext/>
              <w:rPr>
                <w:rFonts w:ascii="Arial Narrow" w:hAnsi="Arial Narrow" w:cs="Arial"/>
                <w:szCs w:val="20"/>
              </w:rPr>
            </w:pPr>
            <w:r w:rsidRPr="00175DCB">
              <w:rPr>
                <w:rFonts w:ascii="Arial Narrow" w:hAnsi="Arial Narrow"/>
                <w:szCs w:val="20"/>
              </w:rPr>
              <w:t>(0.3, 8.1)</w:t>
            </w:r>
          </w:p>
        </w:tc>
        <w:tc>
          <w:tcPr>
            <w:tcW w:w="785" w:type="pct"/>
          </w:tcPr>
          <w:p w:rsidR="008B55A0" w:rsidRPr="00175DCB" w:rsidRDefault="008B55A0" w:rsidP="004E6C04">
            <w:pPr>
              <w:pStyle w:val="TableCentre"/>
              <w:keepNext/>
              <w:rPr>
                <w:rFonts w:ascii="Arial Narrow" w:hAnsi="Arial Narrow"/>
                <w:b/>
                <w:bCs/>
                <w:szCs w:val="20"/>
              </w:rPr>
            </w:pPr>
            <w:r w:rsidRPr="00175DCB">
              <w:rPr>
                <w:rFonts w:ascii="Arial Narrow" w:hAnsi="Arial Narrow"/>
                <w:b/>
                <w:bCs/>
                <w:szCs w:val="20"/>
              </w:rPr>
              <w:t>34.7</w:t>
            </w:r>
          </w:p>
          <w:p w:rsidR="008B55A0" w:rsidRPr="00175DCB" w:rsidRDefault="008B55A0" w:rsidP="004E6C04">
            <w:pPr>
              <w:pStyle w:val="TableCentre"/>
              <w:keepNext/>
              <w:rPr>
                <w:rFonts w:ascii="Arial Narrow" w:hAnsi="Arial Narrow"/>
                <w:b/>
                <w:bCs/>
                <w:szCs w:val="20"/>
              </w:rPr>
            </w:pPr>
            <w:r w:rsidRPr="00175DCB">
              <w:rPr>
                <w:rFonts w:ascii="Arial Narrow" w:hAnsi="Arial Narrow"/>
                <w:b/>
                <w:bCs/>
                <w:szCs w:val="20"/>
              </w:rPr>
              <w:t>(19.9, 48.4)</w:t>
            </w:r>
          </w:p>
        </w:tc>
        <w:tc>
          <w:tcPr>
            <w:tcW w:w="556" w:type="pct"/>
          </w:tcPr>
          <w:p w:rsidR="008B55A0" w:rsidRPr="00175DCB" w:rsidRDefault="008B55A0" w:rsidP="004E6C04">
            <w:pPr>
              <w:pStyle w:val="TableCentre"/>
              <w:keepNext/>
              <w:rPr>
                <w:rFonts w:ascii="Arial Narrow" w:hAnsi="Arial Narrow" w:cs="Arial"/>
                <w:b/>
                <w:bCs/>
                <w:szCs w:val="20"/>
              </w:rPr>
            </w:pPr>
            <w:r w:rsidRPr="00175DCB">
              <w:rPr>
                <w:rFonts w:ascii="Arial Narrow" w:hAnsi="Arial Narrow"/>
                <w:b/>
                <w:bCs/>
                <w:szCs w:val="20"/>
              </w:rPr>
              <w:t>&lt;0.0001</w:t>
            </w:r>
          </w:p>
        </w:tc>
      </w:tr>
    </w:tbl>
    <w:p w:rsidR="008B55A0" w:rsidRPr="00175DCB" w:rsidRDefault="008B55A0" w:rsidP="004E6C04">
      <w:pPr>
        <w:pStyle w:val="TableFooter"/>
        <w:keepNext/>
      </w:pPr>
      <w:r w:rsidRPr="00175DCB">
        <w:t xml:space="preserve">Source: Table </w:t>
      </w:r>
      <w:r w:rsidR="00B35731" w:rsidRPr="00175DCB">
        <w:t>5</w:t>
      </w:r>
      <w:r w:rsidRPr="00175DCB">
        <w:t xml:space="preserve">, </w:t>
      </w:r>
      <w:r w:rsidRPr="00175DCB">
        <w:rPr>
          <w:rFonts w:cstheme="minorHAnsi"/>
        </w:rPr>
        <w:t xml:space="preserve">mogamulizumab PBAC </w:t>
      </w:r>
      <w:r w:rsidR="00F420D6">
        <w:rPr>
          <w:rFonts w:cstheme="minorHAnsi"/>
        </w:rPr>
        <w:t>PSD</w:t>
      </w:r>
      <w:r w:rsidRPr="00175DCB">
        <w:rPr>
          <w:rFonts w:cstheme="minorHAnsi"/>
        </w:rPr>
        <w:t>, July 2020 PBAC Meeting</w:t>
      </w:r>
    </w:p>
    <w:p w:rsidR="008B55A0" w:rsidRPr="00175DCB" w:rsidRDefault="008B55A0" w:rsidP="004E6C04">
      <w:pPr>
        <w:pStyle w:val="TableFooter"/>
        <w:keepNext/>
      </w:pPr>
      <w:r w:rsidRPr="00175DCB">
        <w:t xml:space="preserve">Abbreviations: CI = confidence interval; CR = complete response; ITT = intent to treat; </w:t>
      </w:r>
      <w:r w:rsidRPr="00175DCB">
        <w:rPr>
          <w:rFonts w:eastAsia="Calibri"/>
        </w:rPr>
        <w:t>n = number of participants with event; MF = mycosis fungoides; N = total participants in group;</w:t>
      </w:r>
      <w:r w:rsidRPr="00175DCB">
        <w:t xml:space="preserve"> NR = not reported; ORR= overall response rate; PR = partial response</w:t>
      </w:r>
    </w:p>
    <w:p w:rsidR="008B55A0" w:rsidRPr="00175DCB" w:rsidRDefault="008B55A0" w:rsidP="004E6C04">
      <w:pPr>
        <w:pStyle w:val="TableFooter"/>
        <w:keepNext/>
        <w:rPr>
          <w:rFonts w:eastAsia="Calibri"/>
        </w:rPr>
      </w:pPr>
      <w:r w:rsidRPr="00175DCB">
        <w:rPr>
          <w:rFonts w:eastAsia="Calibri"/>
        </w:rPr>
        <w:t>Bold indicates statistically significant difference.</w:t>
      </w:r>
    </w:p>
    <w:p w:rsidR="008B55A0" w:rsidRPr="00175DCB" w:rsidRDefault="008B55A0" w:rsidP="00AA1EAF">
      <w:pPr>
        <w:pStyle w:val="TableFooter"/>
        <w:keepNext/>
      </w:pPr>
      <w:r w:rsidRPr="00175DCB">
        <w:rPr>
          <w:vertAlign w:val="superscript"/>
        </w:rPr>
        <w:t xml:space="preserve">a </w:t>
      </w:r>
      <w:r w:rsidRPr="00175DCB">
        <w:t xml:space="preserve">ORR includes patients with confirmed CR + PR </w:t>
      </w:r>
    </w:p>
    <w:p w:rsidR="008B55A0" w:rsidRPr="00175DCB" w:rsidRDefault="008B55A0" w:rsidP="008B55A0">
      <w:pPr>
        <w:pStyle w:val="TableFooter"/>
        <w:rPr>
          <w:rFonts w:eastAsia="Calibri"/>
        </w:rPr>
      </w:pPr>
    </w:p>
    <w:p w:rsidR="008B55A0" w:rsidRPr="00175DCB" w:rsidRDefault="008B55A0" w:rsidP="00A8404E">
      <w:pPr>
        <w:pStyle w:val="3Bodytext"/>
        <w:jc w:val="both"/>
        <w:rPr>
          <w:rFonts w:cstheme="minorHAnsi"/>
        </w:rPr>
      </w:pPr>
      <w:r w:rsidRPr="00175DCB">
        <w:rPr>
          <w:rFonts w:cstheme="minorHAnsi"/>
        </w:rPr>
        <w:t xml:space="preserve">In July 2020, the PBAC noted that both investigator assessed and IR ORR were statistically significant in favour of mogamulizumab. Subgroup analysis by CTCL subtype showed a numerically greater risk difference for patients with SS than with MF, but both subtypes presented statistically significantly higher ORR for mogamulizumab. However, in its July 2020 considerations </w:t>
      </w:r>
      <w:r w:rsidR="00A2603B" w:rsidRPr="00175DCB">
        <w:rPr>
          <w:rFonts w:cstheme="minorHAnsi"/>
        </w:rPr>
        <w:t>the PBAC</w:t>
      </w:r>
      <w:r w:rsidRPr="00175DCB">
        <w:rPr>
          <w:rFonts w:cstheme="minorHAnsi"/>
        </w:rPr>
        <w:t xml:space="preserve"> noted  that the vorinostat ORR in the MAVORIC trial was substantially lower than those reported in the P001 and P005 studies which formed the basis of the March 2017 recommendation for vorinostat listing on the PBS (paragraph 6.12, brentuximab </w:t>
      </w:r>
      <w:r w:rsidR="00B53D30" w:rsidRPr="00175DCB">
        <w:rPr>
          <w:rFonts w:cstheme="minorHAnsi"/>
        </w:rPr>
        <w:t>vedotin</w:t>
      </w:r>
      <w:r w:rsidR="000C4BAB">
        <w:rPr>
          <w:rFonts w:cstheme="minorHAnsi"/>
        </w:rPr>
        <w:t xml:space="preserve"> public summary document</w:t>
      </w:r>
      <w:r w:rsidR="00B53D30" w:rsidRPr="00175DCB">
        <w:rPr>
          <w:rFonts w:cstheme="minorHAnsi"/>
        </w:rPr>
        <w:t xml:space="preserve"> </w:t>
      </w:r>
      <w:r w:rsidR="000C4BAB">
        <w:rPr>
          <w:rFonts w:cstheme="minorHAnsi"/>
        </w:rPr>
        <w:t>(</w:t>
      </w:r>
      <w:r w:rsidRPr="00175DCB">
        <w:rPr>
          <w:rFonts w:cstheme="minorHAnsi"/>
        </w:rPr>
        <w:t>PSD</w:t>
      </w:r>
      <w:r w:rsidR="000C4BAB">
        <w:rPr>
          <w:rFonts w:cstheme="minorHAnsi"/>
        </w:rPr>
        <w:t>)</w:t>
      </w:r>
      <w:r w:rsidRPr="00175DCB">
        <w:rPr>
          <w:rFonts w:cstheme="minorHAnsi"/>
        </w:rPr>
        <w:t xml:space="preserve">, July 2018 PBAC Meeting). </w:t>
      </w:r>
      <w:r w:rsidR="00A8404E" w:rsidRPr="00175DCB">
        <w:rPr>
          <w:rFonts w:cstheme="minorHAnsi"/>
        </w:rPr>
        <w:t>In July 2020, t</w:t>
      </w:r>
      <w:r w:rsidRPr="00175DCB">
        <w:rPr>
          <w:rFonts w:cstheme="minorHAnsi"/>
        </w:rPr>
        <w:t>he PBAC recalled that it had considered the differences in ORR were not fully explained by the use of the “more stringent” 2011 ISCL/EORTC guideline definitions of response in the MAVORIC trial and the Committee considered that the relatively short duration of vorinosta</w:t>
      </w:r>
      <w:r w:rsidR="00A8404E" w:rsidRPr="00175DCB">
        <w:rPr>
          <w:rFonts w:cstheme="minorHAnsi"/>
        </w:rPr>
        <w:t>t treatment</w:t>
      </w:r>
      <w:r w:rsidRPr="00175DCB">
        <w:rPr>
          <w:rFonts w:cstheme="minorHAnsi"/>
        </w:rPr>
        <w:t xml:space="preserve"> may also be a contributing factor</w:t>
      </w:r>
      <w:r w:rsidR="00A8404E" w:rsidRPr="00175DCB">
        <w:rPr>
          <w:rFonts w:cstheme="minorHAnsi"/>
        </w:rPr>
        <w:t xml:space="preserve"> </w:t>
      </w:r>
      <w:r w:rsidR="00A8404E" w:rsidRPr="00175DCB">
        <w:rPr>
          <w:rFonts w:cs="Times New Roman"/>
        </w:rPr>
        <w:t>(</w:t>
      </w:r>
      <w:r w:rsidR="00A8404E" w:rsidRPr="00175DCB">
        <w:rPr>
          <w:rFonts w:cstheme="minorHAnsi"/>
        </w:rPr>
        <w:t xml:space="preserve">paragraph 6.19, mogamulizumab PBAC </w:t>
      </w:r>
      <w:r w:rsidR="00F420D6">
        <w:rPr>
          <w:rFonts w:cstheme="minorHAnsi"/>
        </w:rPr>
        <w:t>PSD</w:t>
      </w:r>
      <w:r w:rsidR="00A8404E" w:rsidRPr="00175DCB">
        <w:rPr>
          <w:rFonts w:cstheme="minorHAnsi"/>
        </w:rPr>
        <w:t>, July 2020 PBAC Meeting)</w:t>
      </w:r>
      <w:r w:rsidRPr="00175DCB">
        <w:rPr>
          <w:rFonts w:cstheme="minorHAnsi"/>
        </w:rPr>
        <w:t xml:space="preserve">. </w:t>
      </w:r>
    </w:p>
    <w:p w:rsidR="00D616AB" w:rsidRPr="00175DCB" w:rsidRDefault="007827E6" w:rsidP="00A8404E">
      <w:pPr>
        <w:pStyle w:val="3Bodytext"/>
        <w:jc w:val="both"/>
        <w:rPr>
          <w:rFonts w:cstheme="minorHAnsi"/>
        </w:rPr>
      </w:pPr>
      <w:r w:rsidRPr="00175DCB">
        <w:rPr>
          <w:rFonts w:cs="Calibri"/>
        </w:rPr>
        <w:t>The median TTR</w:t>
      </w:r>
      <w:r w:rsidR="00D616AB" w:rsidRPr="00175DCB">
        <w:rPr>
          <w:rFonts w:cs="Calibri"/>
        </w:rPr>
        <w:t xml:space="preserve"> was shorter in the mogamulizumab arm at 3.3 months (IQR 2.0 – 6.4), compared to vorinostat at 5.1 months (IQR 2.9 – 8.5; p8 Kim, 2018). </w:t>
      </w:r>
      <w:r w:rsidR="00D616AB" w:rsidRPr="00175DCB">
        <w:rPr>
          <w:rFonts w:cstheme="minorHAnsi"/>
        </w:rPr>
        <w:t>The median investigator</w:t>
      </w:r>
      <w:r w:rsidRPr="00175DCB">
        <w:rPr>
          <w:rFonts w:cstheme="minorHAnsi"/>
        </w:rPr>
        <w:t xml:space="preserve"> DOR</w:t>
      </w:r>
      <w:r w:rsidR="00D616AB" w:rsidRPr="00175DCB">
        <w:rPr>
          <w:rFonts w:cstheme="minorHAnsi"/>
        </w:rPr>
        <w:t xml:space="preserve"> for confirmed responders (as per TTR) was 14.1 months (95% CI: 9.43, 19.17) for mogamulizumab and 9.1 months (95%CI 4.7, not estimable) for vorinostat</w:t>
      </w:r>
      <w:r w:rsidR="00D616AB" w:rsidRPr="00DE602F">
        <w:rPr>
          <w:rFonts w:cstheme="minorHAnsi"/>
        </w:rPr>
        <w:t>. However</w:t>
      </w:r>
      <w:r w:rsidR="00D616AB" w:rsidRPr="00175DCB">
        <w:rPr>
          <w:rFonts w:cs="Calibri"/>
          <w:iCs/>
        </w:rPr>
        <w:t>, this comparison is confounded by the low number of responders for vorinostat (n=9; and 5 of these patients were censored for DOR) (</w:t>
      </w:r>
      <w:r w:rsidR="00D616AB" w:rsidRPr="00175DCB">
        <w:rPr>
          <w:rFonts w:cstheme="minorHAnsi"/>
        </w:rPr>
        <w:t xml:space="preserve">paragraph 6.21, mogamulizumab PBAC </w:t>
      </w:r>
      <w:r w:rsidR="00F420D6">
        <w:rPr>
          <w:rFonts w:cstheme="minorHAnsi"/>
        </w:rPr>
        <w:t>PSD</w:t>
      </w:r>
      <w:r w:rsidR="00D616AB" w:rsidRPr="00175DCB">
        <w:rPr>
          <w:rFonts w:cstheme="minorHAnsi"/>
        </w:rPr>
        <w:t>, July 2020 PBAC Meeting)</w:t>
      </w:r>
      <w:r w:rsidR="00D616AB" w:rsidRPr="00175DCB">
        <w:rPr>
          <w:rFonts w:cs="Calibri"/>
          <w:iCs/>
        </w:rPr>
        <w:t>.</w:t>
      </w:r>
    </w:p>
    <w:p w:rsidR="00A8404E" w:rsidRPr="00175DCB" w:rsidRDefault="00A8404E" w:rsidP="00A8404E">
      <w:pPr>
        <w:pStyle w:val="3Bodytext"/>
        <w:jc w:val="both"/>
        <w:rPr>
          <w:rFonts w:cstheme="minorHAnsi"/>
        </w:rPr>
      </w:pPr>
      <w:r w:rsidRPr="00175DCB">
        <w:rPr>
          <w:color w:val="000000" w:themeColor="text1"/>
        </w:rPr>
        <w:t xml:space="preserve">At the primary analysis </w:t>
      </w:r>
      <w:r w:rsidRPr="00175DCB">
        <w:rPr>
          <w:rFonts w:cs="Calibri"/>
          <w:bCs/>
        </w:rPr>
        <w:t>(31</w:t>
      </w:r>
      <w:r w:rsidRPr="00175DCB">
        <w:rPr>
          <w:rFonts w:cs="Calibri"/>
          <w:bCs/>
          <w:vertAlign w:val="superscript"/>
        </w:rPr>
        <w:t>st</w:t>
      </w:r>
      <w:r w:rsidRPr="00175DCB">
        <w:rPr>
          <w:rFonts w:cs="Calibri"/>
          <w:bCs/>
        </w:rPr>
        <w:t xml:space="preserve"> December, 2016), </w:t>
      </w:r>
      <w:r w:rsidRPr="00175DCB">
        <w:rPr>
          <w:color w:val="000000" w:themeColor="text1"/>
        </w:rPr>
        <w:t>m</w:t>
      </w:r>
      <w:r w:rsidRPr="00175DCB">
        <w:rPr>
          <w:rFonts w:cs="Calibri"/>
          <w:color w:val="000000" w:themeColor="text1"/>
        </w:rPr>
        <w:t xml:space="preserve">edian OS was not reached in the mogamulizumab arm compared to 43.9 months (95%CI 43.6, NR) for vorinostat (HR 0.93; 95%CI 0.61, 1.43; p = 0.94). </w:t>
      </w:r>
      <w:r w:rsidRPr="00175DCB">
        <w:rPr>
          <w:color w:val="000000" w:themeColor="text1"/>
        </w:rPr>
        <w:t>An updated analysis of OS (</w:t>
      </w:r>
      <w:r w:rsidRPr="00175DCB">
        <w:rPr>
          <w:rFonts w:cs="Calibri"/>
          <w:bCs/>
        </w:rPr>
        <w:t>2</w:t>
      </w:r>
      <w:r w:rsidRPr="00175DCB">
        <w:rPr>
          <w:rFonts w:cs="Calibri"/>
          <w:bCs/>
          <w:vertAlign w:val="superscript"/>
        </w:rPr>
        <w:t>nd</w:t>
      </w:r>
      <w:r w:rsidRPr="00175DCB">
        <w:rPr>
          <w:rFonts w:cs="Calibri"/>
          <w:bCs/>
        </w:rPr>
        <w:t xml:space="preserve"> March 2019) was also presented in the submission and did not show any separation in the OS curves (paragraph 6.24, mogamulizumab PBAC </w:t>
      </w:r>
      <w:r w:rsidR="00F420D6">
        <w:rPr>
          <w:rFonts w:cs="Calibri"/>
          <w:bCs/>
        </w:rPr>
        <w:t>PSD</w:t>
      </w:r>
      <w:r w:rsidRPr="00175DCB">
        <w:rPr>
          <w:rFonts w:cs="Calibri"/>
          <w:bCs/>
        </w:rPr>
        <w:t>, July 2020 PBAC Meeting).</w:t>
      </w:r>
    </w:p>
    <w:p w:rsidR="00A8404E" w:rsidRPr="00175DCB" w:rsidRDefault="00CE5F3B" w:rsidP="00224E7B">
      <w:pPr>
        <w:pStyle w:val="3-BodyText"/>
        <w:numPr>
          <w:ilvl w:val="1"/>
          <w:numId w:val="1"/>
        </w:numPr>
        <w:rPr>
          <w:iCs/>
        </w:rPr>
      </w:pPr>
      <w:r w:rsidRPr="00175DCB">
        <w:rPr>
          <w:iCs/>
        </w:rPr>
        <w:t>In July 2020, t</w:t>
      </w:r>
      <w:r w:rsidR="00224E7B" w:rsidRPr="00175DCB">
        <w:rPr>
          <w:iCs/>
        </w:rPr>
        <w:t xml:space="preserve">he PBAC noted that none of the methods applied to adjust OS for treatment switching within the MAVORIC trial resulted in statistically significant hazard ratios for OS for mogamulizumab compared with vorinostat. The PBAC recalled that 73.1% of </w:t>
      </w:r>
      <w:r w:rsidR="00224E7B" w:rsidRPr="00175DCB">
        <w:rPr>
          <w:rFonts w:cs="Calibri"/>
          <w:iCs/>
        </w:rPr>
        <w:t xml:space="preserve">patients in the vorinostat arm crossed over to mogamulizumab and did so early in the trial. As such, the PBAC considered it unlikely that any of the methods applied to adjust OS for treatment switching could obtain valid estimates for the incremental benefit of </w:t>
      </w:r>
      <w:r w:rsidR="00224E7B" w:rsidRPr="00175DCB">
        <w:rPr>
          <w:iCs/>
        </w:rPr>
        <w:t>mogamulizumab over vorinostat (</w:t>
      </w:r>
      <w:r w:rsidR="00224E7B" w:rsidRPr="00175DCB">
        <w:rPr>
          <w:rFonts w:cs="Calibri"/>
          <w:bCs/>
        </w:rPr>
        <w:t xml:space="preserve">paragraph 7.6, mogamulizumab PBAC </w:t>
      </w:r>
      <w:r w:rsidR="00F420D6">
        <w:rPr>
          <w:rFonts w:cs="Calibri"/>
          <w:bCs/>
        </w:rPr>
        <w:t>PSD</w:t>
      </w:r>
      <w:r w:rsidR="00224E7B" w:rsidRPr="00175DCB">
        <w:rPr>
          <w:rFonts w:cs="Calibri"/>
          <w:bCs/>
        </w:rPr>
        <w:t>, July 2020 PBAC Meeting)</w:t>
      </w:r>
      <w:r w:rsidR="00224E7B" w:rsidRPr="00175DCB">
        <w:rPr>
          <w:iCs/>
        </w:rPr>
        <w:t xml:space="preserve">. </w:t>
      </w:r>
    </w:p>
    <w:p w:rsidR="005A3173" w:rsidRPr="00175DCB" w:rsidRDefault="005A3173" w:rsidP="00917D69">
      <w:pPr>
        <w:pStyle w:val="4-SubsectionHeading"/>
        <w:rPr>
          <w:lang w:eastAsia="en-US"/>
        </w:rPr>
      </w:pPr>
      <w:r w:rsidRPr="00175DCB">
        <w:rPr>
          <w:lang w:eastAsia="en-US"/>
        </w:rPr>
        <w:t>Economic analysis</w:t>
      </w:r>
      <w:r w:rsidR="009803E4" w:rsidRPr="00175DCB">
        <w:rPr>
          <w:lang w:eastAsia="en-US"/>
        </w:rPr>
        <w:t xml:space="preserve"> </w:t>
      </w:r>
    </w:p>
    <w:p w:rsidR="00044E26" w:rsidRPr="00175DCB" w:rsidRDefault="00B35731" w:rsidP="00044E26">
      <w:pPr>
        <w:pStyle w:val="3Bodytext"/>
        <w:jc w:val="both"/>
        <w:rPr>
          <w:rFonts w:cstheme="minorHAnsi"/>
          <w:szCs w:val="24"/>
        </w:rPr>
      </w:pPr>
      <w:r w:rsidRPr="00175DCB">
        <w:t xml:space="preserve">The July 2020 submission presented a cost-utility analysis (CUA) comparing mogamulizumab with vorinostat. </w:t>
      </w:r>
      <w:r w:rsidR="00044E26" w:rsidRPr="00175DCB">
        <w:rPr>
          <w:rFonts w:cstheme="minorHAnsi"/>
          <w:szCs w:val="24"/>
        </w:rPr>
        <w:t xml:space="preserve">At that time, </w:t>
      </w:r>
      <w:r w:rsidR="00044E26" w:rsidRPr="00175DCB">
        <w:rPr>
          <w:iCs/>
        </w:rPr>
        <w:t xml:space="preserve">the PBAC noted the ICER was highly </w:t>
      </w:r>
      <w:r w:rsidR="00044E26" w:rsidRPr="00175DCB">
        <w:t xml:space="preserve">sensitive to changes in the time horizon, convergence of the extrapolation functions, the extrapolation function applied to OS for vorinostat and post-progression costs. Furthermore, in July 2020 </w:t>
      </w:r>
      <w:r w:rsidR="00044E26" w:rsidRPr="00175DCB">
        <w:rPr>
          <w:iCs/>
        </w:rPr>
        <w:t>the PBAC noted that estimation of OS in the model was based on the crossover adjusted inverse probability of censoring weighting (IPCW) approach. The PBAC also noted that use of the two-stage method (TSEM) to adjust for the impact of treatment switching on the comparison of survival in MAVORIC increased the base case ICER from $</w:t>
      </w:r>
      <w:r w:rsidR="00003C9A">
        <w:rPr>
          <w:iCs/>
        </w:rPr>
        <w:t>55,000 to &lt;$75,000</w:t>
      </w:r>
      <w:r w:rsidR="00044E26" w:rsidRPr="00175DCB">
        <w:rPr>
          <w:iCs/>
        </w:rPr>
        <w:t xml:space="preserve"> to $1</w:t>
      </w:r>
      <w:r w:rsidR="00003C9A">
        <w:rPr>
          <w:iCs/>
        </w:rPr>
        <w:t>15,000 to &lt;$135,000</w:t>
      </w:r>
      <w:r w:rsidR="00044E26" w:rsidRPr="00175DCB">
        <w:rPr>
          <w:iCs/>
        </w:rPr>
        <w:t xml:space="preserve">. The </w:t>
      </w:r>
      <w:r w:rsidR="00044E26" w:rsidRPr="00175DCB">
        <w:rPr>
          <w:rFonts w:cs="Calibri"/>
          <w:iCs/>
        </w:rPr>
        <w:t xml:space="preserve">PBAC considered it unlikely that any of the methods applied to adjust OS for treatment switching could obtain valid estimates. As such, in July 2020 the PBAC considered the ICER </w:t>
      </w:r>
      <w:r w:rsidR="00044E26" w:rsidRPr="00175DCB">
        <w:rPr>
          <w:iCs/>
        </w:rPr>
        <w:t xml:space="preserve">unacceptably high and uncertain and advised that </w:t>
      </w:r>
      <w:r w:rsidR="00044E26" w:rsidRPr="00175DCB">
        <w:rPr>
          <w:rFonts w:cs="Calibri"/>
          <w:iCs/>
        </w:rPr>
        <w:t xml:space="preserve">a </w:t>
      </w:r>
      <w:r w:rsidR="00752716" w:rsidRPr="00175DCB">
        <w:rPr>
          <w:rFonts w:cs="Calibri"/>
          <w:iCs/>
        </w:rPr>
        <w:t>CUA</w:t>
      </w:r>
      <w:r w:rsidR="00044E26" w:rsidRPr="00175DCB">
        <w:rPr>
          <w:rFonts w:cs="Calibri"/>
          <w:iCs/>
        </w:rPr>
        <w:t xml:space="preserve"> may not be an appropriate method to determine the cost-effectiveness of mogamulizumab based on the data presented (</w:t>
      </w:r>
      <w:r w:rsidR="00044E26" w:rsidRPr="00175DCB">
        <w:rPr>
          <w:rFonts w:cs="Calibri"/>
          <w:bCs/>
        </w:rPr>
        <w:t xml:space="preserve">paragraph 7.10, mogamulizumab PBAC </w:t>
      </w:r>
      <w:r w:rsidR="00AE3A53">
        <w:rPr>
          <w:rFonts w:cs="Calibri"/>
          <w:bCs/>
        </w:rPr>
        <w:t>PSD</w:t>
      </w:r>
      <w:r w:rsidR="00044E26" w:rsidRPr="00175DCB">
        <w:rPr>
          <w:rFonts w:cs="Calibri"/>
          <w:bCs/>
        </w:rPr>
        <w:t>, July 2020 PBAC Meeting)</w:t>
      </w:r>
      <w:r w:rsidR="00044E26" w:rsidRPr="00175DCB">
        <w:rPr>
          <w:rFonts w:cs="Calibri"/>
          <w:iCs/>
        </w:rPr>
        <w:t>.</w:t>
      </w:r>
    </w:p>
    <w:p w:rsidR="00A60220" w:rsidRPr="00175DCB" w:rsidRDefault="00374C31" w:rsidP="00A60220">
      <w:pPr>
        <w:pStyle w:val="3Bodytext"/>
        <w:jc w:val="both"/>
      </w:pPr>
      <w:r w:rsidRPr="00175DCB">
        <w:t>The minor re</w:t>
      </w:r>
      <w:r w:rsidR="009803E4" w:rsidRPr="00175DCB">
        <w:t xml:space="preserve">submission presented a </w:t>
      </w:r>
      <w:r w:rsidR="00B3490B" w:rsidRPr="00175DCB">
        <w:t>trial-based cost per responder (ORR) analysis</w:t>
      </w:r>
      <w:r w:rsidR="00044E26" w:rsidRPr="00175DCB">
        <w:t xml:space="preserve"> </w:t>
      </w:r>
      <w:r w:rsidR="007A657D" w:rsidRPr="00175DCB">
        <w:t>using a revised vial price of $</w:t>
      </w:r>
      <w:r w:rsidR="00DE546F">
        <w:rPr>
          <w:noProof/>
          <w:color w:val="000000"/>
          <w:highlight w:val="black"/>
        </w:rPr>
        <w:t>''''''''</w:t>
      </w:r>
      <w:r w:rsidR="007A657D" w:rsidRPr="00175DCB">
        <w:t xml:space="preserve"> (AEMP)</w:t>
      </w:r>
      <w:r w:rsidR="00B3490B" w:rsidRPr="00175DCB">
        <w:t xml:space="preserve">. </w:t>
      </w:r>
      <w:r w:rsidR="00D9548F" w:rsidRPr="00175DCB">
        <w:t>The minor resubmission stated that utilisation assumptions for each medicine are b</w:t>
      </w:r>
      <w:bookmarkStart w:id="1" w:name="_GoBack"/>
      <w:bookmarkEnd w:id="1"/>
      <w:r w:rsidR="00D9548F" w:rsidRPr="00175DCB">
        <w:t>ased on observed outcomes from the MAVORIC trial.</w:t>
      </w:r>
      <w:r w:rsidR="00B3490B" w:rsidRPr="00175DCB">
        <w:t xml:space="preserve"> </w:t>
      </w:r>
      <w:r w:rsidR="002003EB" w:rsidRPr="00175DCB">
        <w:t xml:space="preserve">An error was identified in the minor submission economic evaluation spreadsheet whereby the average dose intensity had been applied to both the average drug cost per </w:t>
      </w:r>
      <w:r w:rsidR="00290D50" w:rsidRPr="00175DCB">
        <w:t xml:space="preserve">infusion </w:t>
      </w:r>
      <w:r w:rsidR="002003EB" w:rsidRPr="00175DCB">
        <w:t xml:space="preserve">and average total cost per infusion calculations. </w:t>
      </w:r>
      <w:r w:rsidR="00A60220" w:rsidRPr="00175DCB">
        <w:t>Amending this error increased the incremental cost per responder (ORR) from $</w:t>
      </w:r>
      <w:r w:rsidR="00DE546F">
        <w:rPr>
          <w:noProof/>
          <w:color w:val="000000"/>
          <w:highlight w:val="black"/>
        </w:rPr>
        <w:t>'''''''''''''''</w:t>
      </w:r>
      <w:r w:rsidR="00A60220" w:rsidRPr="00175DCB">
        <w:t xml:space="preserve"> to $</w:t>
      </w:r>
      <w:r w:rsidR="00DE546F">
        <w:rPr>
          <w:noProof/>
          <w:color w:val="000000"/>
          <w:highlight w:val="black"/>
        </w:rPr>
        <w:t>''''''''''''''''</w:t>
      </w:r>
      <w:r w:rsidR="00A42EFE">
        <w:t>. The pre-PBAC response</w:t>
      </w:r>
      <w:r w:rsidR="00A60220" w:rsidRPr="00175DCB">
        <w:t xml:space="preserve"> acknowledged the error and agreed the correct base case incremental cost per responder (ORR) was $</w:t>
      </w:r>
      <w:r w:rsidR="00DE546F">
        <w:rPr>
          <w:noProof/>
          <w:color w:val="000000"/>
          <w:highlight w:val="black"/>
        </w:rPr>
        <w:t>''''''''''''''</w:t>
      </w:r>
      <w:r w:rsidR="00A60220" w:rsidRPr="00175DCB">
        <w:t xml:space="preserve">. </w:t>
      </w:r>
    </w:p>
    <w:p w:rsidR="008168D3" w:rsidRPr="00A60220" w:rsidRDefault="008168D3" w:rsidP="00307CCA">
      <w:pPr>
        <w:pStyle w:val="3Bodytext"/>
        <w:keepNext/>
        <w:numPr>
          <w:ilvl w:val="0"/>
          <w:numId w:val="0"/>
        </w:numPr>
        <w:jc w:val="both"/>
        <w:rPr>
          <w:rFonts w:ascii="Arial Narrow" w:eastAsia="Times New Roman" w:hAnsi="Arial Narrow" w:cs="Times New Roman"/>
          <w:b/>
          <w:sz w:val="20"/>
        </w:rPr>
      </w:pPr>
      <w:r w:rsidRPr="00A60220">
        <w:rPr>
          <w:rFonts w:ascii="Arial Narrow" w:eastAsia="Times New Roman" w:hAnsi="Arial Narrow" w:cs="Times New Roman"/>
          <w:b/>
          <w:sz w:val="20"/>
        </w:rPr>
        <w:t xml:space="preserve">Table 6: Trial based cost-effectiveness analysis of mogamulizumab versus vorinostat based on cost per responder </w:t>
      </w:r>
    </w:p>
    <w:tbl>
      <w:tblPr>
        <w:tblStyle w:val="Summarybox1"/>
        <w:tblW w:w="9634" w:type="dxa"/>
        <w:tblLook w:val="04A0" w:firstRow="1" w:lastRow="0" w:firstColumn="1" w:lastColumn="0" w:noHBand="0" w:noVBand="1"/>
        <w:tblCaption w:val="Table 6: Trial based cost-effectiveness analysis of mogamulizumab versus vorinostat based on cost per responder "/>
      </w:tblPr>
      <w:tblGrid>
        <w:gridCol w:w="2689"/>
        <w:gridCol w:w="1275"/>
        <w:gridCol w:w="2552"/>
        <w:gridCol w:w="1700"/>
        <w:gridCol w:w="1418"/>
      </w:tblGrid>
      <w:tr w:rsidR="007A657D" w:rsidRPr="00175DCB" w:rsidTr="00B80F65">
        <w:trPr>
          <w:trHeight w:val="255"/>
          <w:tblHeader/>
        </w:trPr>
        <w:tc>
          <w:tcPr>
            <w:tcW w:w="3964" w:type="dxa"/>
            <w:gridSpan w:val="2"/>
            <w:tcBorders>
              <w:bottom w:val="nil"/>
            </w:tcBorders>
            <w:shd w:val="clear" w:color="auto" w:fill="auto"/>
            <w:noWrap/>
            <w:hideMark/>
          </w:tcPr>
          <w:p w:rsidR="007A657D" w:rsidRPr="00175DCB" w:rsidRDefault="007A657D" w:rsidP="00D17227">
            <w:pPr>
              <w:keepNext/>
              <w:rPr>
                <w:rFonts w:ascii="Arial Narrow" w:eastAsia="Times New Roman" w:hAnsi="Arial Narrow" w:cs="Arial"/>
                <w:b/>
                <w:sz w:val="20"/>
                <w:szCs w:val="20"/>
                <w:lang w:eastAsia="en-AU"/>
              </w:rPr>
            </w:pPr>
            <w:r w:rsidRPr="00175DCB">
              <w:rPr>
                <w:rFonts w:ascii="Arial Narrow" w:hAnsi="Arial Narrow" w:cs="Arial"/>
                <w:b/>
                <w:sz w:val="20"/>
                <w:szCs w:val="20"/>
              </w:rPr>
              <w:t>Vorinostat</w:t>
            </w:r>
          </w:p>
        </w:tc>
        <w:tc>
          <w:tcPr>
            <w:tcW w:w="5670" w:type="dxa"/>
            <w:gridSpan w:val="3"/>
            <w:tcBorders>
              <w:bottom w:val="nil"/>
            </w:tcBorders>
            <w:shd w:val="clear" w:color="auto" w:fill="auto"/>
            <w:noWrap/>
            <w:hideMark/>
          </w:tcPr>
          <w:p w:rsidR="007A657D" w:rsidRPr="00175DCB" w:rsidRDefault="007A657D" w:rsidP="00D17227">
            <w:pPr>
              <w:keepNext/>
              <w:rPr>
                <w:rFonts w:ascii="Arial Narrow" w:eastAsia="Times New Roman" w:hAnsi="Arial Narrow" w:cs="Arial"/>
                <w:b/>
                <w:sz w:val="20"/>
                <w:szCs w:val="20"/>
                <w:lang w:eastAsia="en-AU"/>
              </w:rPr>
            </w:pPr>
            <w:r w:rsidRPr="00175DCB">
              <w:rPr>
                <w:rFonts w:ascii="Arial Narrow" w:hAnsi="Arial Narrow" w:cs="Arial"/>
                <w:b/>
                <w:sz w:val="20"/>
                <w:szCs w:val="20"/>
              </w:rPr>
              <w:t>Mogamulizumab</w:t>
            </w:r>
          </w:p>
        </w:tc>
      </w:tr>
      <w:tr w:rsidR="0009580B" w:rsidRPr="00175DCB" w:rsidTr="0009580B">
        <w:trPr>
          <w:trHeight w:val="255"/>
        </w:trPr>
        <w:tc>
          <w:tcPr>
            <w:tcW w:w="3964" w:type="dxa"/>
            <w:gridSpan w:val="2"/>
            <w:tcBorders>
              <w:top w:val="nil"/>
            </w:tcBorders>
            <w:shd w:val="clear" w:color="auto" w:fill="auto"/>
            <w:noWrap/>
          </w:tcPr>
          <w:p w:rsidR="0009580B" w:rsidRPr="00175DCB" w:rsidRDefault="0009580B" w:rsidP="00D17227">
            <w:pPr>
              <w:keepNext/>
              <w:rPr>
                <w:rFonts w:ascii="Arial Narrow" w:hAnsi="Arial Narrow" w:cs="Arial"/>
                <w:b/>
                <w:sz w:val="20"/>
                <w:szCs w:val="20"/>
              </w:rPr>
            </w:pPr>
          </w:p>
        </w:tc>
        <w:tc>
          <w:tcPr>
            <w:tcW w:w="2552" w:type="dxa"/>
            <w:tcBorders>
              <w:top w:val="nil"/>
              <w:right w:val="nil"/>
            </w:tcBorders>
            <w:shd w:val="clear" w:color="auto" w:fill="auto"/>
            <w:noWrap/>
          </w:tcPr>
          <w:p w:rsidR="0009580B" w:rsidRPr="00175DCB" w:rsidRDefault="0009580B" w:rsidP="00D17227">
            <w:pPr>
              <w:keepNext/>
              <w:rPr>
                <w:rFonts w:ascii="Arial Narrow" w:hAnsi="Arial Narrow" w:cs="Arial"/>
                <w:b/>
                <w:sz w:val="20"/>
                <w:szCs w:val="20"/>
              </w:rPr>
            </w:pPr>
          </w:p>
        </w:tc>
        <w:tc>
          <w:tcPr>
            <w:tcW w:w="1700" w:type="dxa"/>
            <w:tcBorders>
              <w:top w:val="nil"/>
              <w:left w:val="nil"/>
              <w:right w:val="nil"/>
            </w:tcBorders>
            <w:shd w:val="clear" w:color="auto" w:fill="auto"/>
          </w:tcPr>
          <w:p w:rsidR="0009580B" w:rsidRPr="00175DCB" w:rsidRDefault="0009580B" w:rsidP="00D17227">
            <w:pPr>
              <w:keepNext/>
              <w:rPr>
                <w:rFonts w:ascii="Arial Narrow" w:hAnsi="Arial Narrow" w:cs="Arial"/>
                <w:b/>
                <w:sz w:val="20"/>
                <w:szCs w:val="20"/>
              </w:rPr>
            </w:pPr>
            <w:r w:rsidRPr="00175DCB">
              <w:rPr>
                <w:rFonts w:ascii="Arial Narrow" w:hAnsi="Arial Narrow" w:cs="Arial"/>
                <w:b/>
                <w:sz w:val="20"/>
                <w:szCs w:val="20"/>
              </w:rPr>
              <w:t>Minor submission</w:t>
            </w:r>
          </w:p>
        </w:tc>
        <w:tc>
          <w:tcPr>
            <w:tcW w:w="1418" w:type="dxa"/>
            <w:tcBorders>
              <w:top w:val="nil"/>
              <w:left w:val="nil"/>
            </w:tcBorders>
            <w:shd w:val="clear" w:color="auto" w:fill="auto"/>
          </w:tcPr>
          <w:p w:rsidR="0009580B" w:rsidRPr="00175DCB" w:rsidRDefault="0009580B" w:rsidP="00D17227">
            <w:pPr>
              <w:keepNext/>
              <w:rPr>
                <w:rFonts w:ascii="Arial Narrow" w:hAnsi="Arial Narrow" w:cs="Arial"/>
                <w:b/>
                <w:sz w:val="20"/>
                <w:szCs w:val="20"/>
                <w:vertAlign w:val="superscript"/>
              </w:rPr>
            </w:pPr>
            <w:r w:rsidRPr="00175DCB">
              <w:rPr>
                <w:rFonts w:ascii="Arial Narrow" w:hAnsi="Arial Narrow" w:cs="Arial"/>
                <w:b/>
                <w:sz w:val="20"/>
                <w:szCs w:val="20"/>
              </w:rPr>
              <w:t>Revised</w:t>
            </w:r>
            <w:r w:rsidRPr="00175DCB">
              <w:rPr>
                <w:rFonts w:ascii="Arial Narrow" w:hAnsi="Arial Narrow" w:cs="Arial"/>
                <w:b/>
                <w:sz w:val="20"/>
                <w:szCs w:val="20"/>
                <w:vertAlign w:val="superscript"/>
              </w:rPr>
              <w:t>a</w:t>
            </w:r>
          </w:p>
        </w:tc>
      </w:tr>
      <w:tr w:rsidR="0093351E" w:rsidRPr="00175DCB" w:rsidTr="0009580B">
        <w:trPr>
          <w:trHeight w:val="255"/>
        </w:trPr>
        <w:tc>
          <w:tcPr>
            <w:tcW w:w="2689"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Effective DPMQ (120 x 100 mg)</w:t>
            </w:r>
          </w:p>
        </w:tc>
        <w:tc>
          <w:tcPr>
            <w:tcW w:w="1275"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$4,454.24</w:t>
            </w:r>
          </w:p>
        </w:tc>
        <w:tc>
          <w:tcPr>
            <w:tcW w:w="2552"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Effective AEMP per vial (20 mg)</w:t>
            </w:r>
          </w:p>
        </w:tc>
        <w:tc>
          <w:tcPr>
            <w:tcW w:w="1700"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w:t>
            </w:r>
            <w:r w:rsidR="00DE546F">
              <w:rPr>
                <w:rFonts w:ascii="Arial Narrow" w:eastAsia="Times New Roman" w:hAnsi="Arial Narrow" w:cs="Arial"/>
                <w:noProof/>
                <w:color w:val="000000"/>
                <w:szCs w:val="20"/>
                <w:highlight w:val="black"/>
                <w:lang w:eastAsia="en-AU" w:bidi="ar-SA"/>
              </w:rPr>
              <w:t>''''''''''''''''''</w:t>
            </w:r>
          </w:p>
        </w:tc>
        <w:tc>
          <w:tcPr>
            <w:tcW w:w="1418" w:type="dxa"/>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w:t>
            </w:r>
            <w:r w:rsidR="00DE546F">
              <w:rPr>
                <w:rFonts w:ascii="Arial Narrow" w:eastAsia="Times New Roman" w:hAnsi="Arial Narrow" w:cs="Arial"/>
                <w:noProof/>
                <w:color w:val="000000"/>
                <w:szCs w:val="20"/>
                <w:highlight w:val="black"/>
                <w:lang w:eastAsia="en-AU" w:bidi="ar-SA"/>
              </w:rPr>
              <w:t>'''''''''''''''</w:t>
            </w:r>
          </w:p>
        </w:tc>
      </w:tr>
      <w:tr w:rsidR="0093351E" w:rsidRPr="00175DCB" w:rsidTr="0009580B">
        <w:trPr>
          <w:trHeight w:val="255"/>
        </w:trPr>
        <w:tc>
          <w:tcPr>
            <w:tcW w:w="2689" w:type="dxa"/>
            <w:noWrap/>
            <w:hideMark/>
          </w:tcPr>
          <w:p w:rsidR="0093351E" w:rsidRPr="00175DCB" w:rsidRDefault="00455235"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Milligrams</w:t>
            </w:r>
            <w:r w:rsidR="0093351E" w:rsidRPr="00175DCB">
              <w:rPr>
                <w:rFonts w:ascii="Arial Narrow" w:hAnsi="Arial Narrow" w:cs="Arial"/>
                <w:sz w:val="20"/>
                <w:szCs w:val="20"/>
              </w:rPr>
              <w:t xml:space="preserve"> per pack</w:t>
            </w:r>
          </w:p>
        </w:tc>
        <w:tc>
          <w:tcPr>
            <w:tcW w:w="1275"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12,000</w:t>
            </w:r>
          </w:p>
        </w:tc>
        <w:tc>
          <w:tcPr>
            <w:tcW w:w="2552"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Average vials per administration</w:t>
            </w:r>
          </w:p>
        </w:tc>
        <w:tc>
          <w:tcPr>
            <w:tcW w:w="1700"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4.0</w:t>
            </w:r>
          </w:p>
        </w:tc>
        <w:tc>
          <w:tcPr>
            <w:tcW w:w="1418" w:type="dxa"/>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4.0</w:t>
            </w:r>
          </w:p>
        </w:tc>
      </w:tr>
      <w:tr w:rsidR="0093351E" w:rsidRPr="00175DCB" w:rsidTr="0009580B">
        <w:trPr>
          <w:trHeight w:val="255"/>
        </w:trPr>
        <w:tc>
          <w:tcPr>
            <w:tcW w:w="2689"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Target daily dose</w:t>
            </w:r>
          </w:p>
        </w:tc>
        <w:tc>
          <w:tcPr>
            <w:tcW w:w="1275"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400</w:t>
            </w:r>
          </w:p>
        </w:tc>
        <w:tc>
          <w:tcPr>
            <w:tcW w:w="2552"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Average supply chain costs</w:t>
            </w:r>
          </w:p>
        </w:tc>
        <w:tc>
          <w:tcPr>
            <w:tcW w:w="1700"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$254.52</w:t>
            </w:r>
          </w:p>
        </w:tc>
        <w:tc>
          <w:tcPr>
            <w:tcW w:w="1418" w:type="dxa"/>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$254.52</w:t>
            </w:r>
          </w:p>
        </w:tc>
      </w:tr>
      <w:tr w:rsidR="0093351E" w:rsidRPr="00175DCB" w:rsidTr="0009580B">
        <w:trPr>
          <w:trHeight w:val="255"/>
        </w:trPr>
        <w:tc>
          <w:tcPr>
            <w:tcW w:w="2689"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Average dose intensity</w:t>
            </w:r>
          </w:p>
        </w:tc>
        <w:tc>
          <w:tcPr>
            <w:tcW w:w="1275"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88.91%</w:t>
            </w:r>
          </w:p>
        </w:tc>
        <w:tc>
          <w:tcPr>
            <w:tcW w:w="2552"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Average dose intensity</w:t>
            </w:r>
          </w:p>
        </w:tc>
        <w:tc>
          <w:tcPr>
            <w:tcW w:w="1700"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94.41%</w:t>
            </w:r>
          </w:p>
        </w:tc>
        <w:tc>
          <w:tcPr>
            <w:tcW w:w="1418" w:type="dxa"/>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94.41%</w:t>
            </w:r>
          </w:p>
        </w:tc>
      </w:tr>
      <w:tr w:rsidR="0093351E" w:rsidRPr="00175DCB" w:rsidTr="0009580B">
        <w:trPr>
          <w:trHeight w:val="255"/>
        </w:trPr>
        <w:tc>
          <w:tcPr>
            <w:tcW w:w="2689"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Average daily dose</w:t>
            </w:r>
          </w:p>
        </w:tc>
        <w:tc>
          <w:tcPr>
            <w:tcW w:w="1275"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355.64</w:t>
            </w:r>
          </w:p>
        </w:tc>
        <w:tc>
          <w:tcPr>
            <w:tcW w:w="2552"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Average drug cost per infusion</w:t>
            </w:r>
          </w:p>
        </w:tc>
        <w:tc>
          <w:tcPr>
            <w:tcW w:w="1700"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w:t>
            </w:r>
            <w:r w:rsidR="00DE546F">
              <w:rPr>
                <w:rFonts w:ascii="Arial Narrow" w:eastAsia="Times New Roman" w:hAnsi="Arial Narrow" w:cs="Arial"/>
                <w:noProof/>
                <w:color w:val="000000"/>
                <w:szCs w:val="20"/>
                <w:highlight w:val="black"/>
                <w:lang w:eastAsia="en-AU" w:bidi="ar-SA"/>
              </w:rPr>
              <w:t>''''''''''''''''''''</w:t>
            </w:r>
          </w:p>
        </w:tc>
        <w:tc>
          <w:tcPr>
            <w:tcW w:w="1418" w:type="dxa"/>
          </w:tcPr>
          <w:p w:rsidR="0093351E" w:rsidRPr="00175DCB" w:rsidRDefault="004028C2"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w:t>
            </w:r>
            <w:r w:rsidR="00DE546F">
              <w:rPr>
                <w:rFonts w:ascii="Arial Narrow" w:eastAsia="Times New Roman" w:hAnsi="Arial Narrow" w:cs="Arial"/>
                <w:noProof/>
                <w:color w:val="000000"/>
                <w:szCs w:val="20"/>
                <w:highlight w:val="black"/>
                <w:lang w:eastAsia="en-AU" w:bidi="ar-SA"/>
              </w:rPr>
              <w:t>'''''''''''''''''''''</w:t>
            </w:r>
          </w:p>
        </w:tc>
      </w:tr>
      <w:tr w:rsidR="0093351E" w:rsidRPr="00175DCB" w:rsidTr="0009580B">
        <w:trPr>
          <w:trHeight w:val="255"/>
        </w:trPr>
        <w:tc>
          <w:tcPr>
            <w:tcW w:w="2689"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Days per pack</w:t>
            </w:r>
          </w:p>
        </w:tc>
        <w:tc>
          <w:tcPr>
            <w:tcW w:w="1275"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33.74</w:t>
            </w:r>
          </w:p>
        </w:tc>
        <w:tc>
          <w:tcPr>
            <w:tcW w:w="2552"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IV administration cost</w:t>
            </w:r>
          </w:p>
        </w:tc>
        <w:tc>
          <w:tcPr>
            <w:tcW w:w="1700"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$99.50</w:t>
            </w:r>
          </w:p>
        </w:tc>
        <w:tc>
          <w:tcPr>
            <w:tcW w:w="1418" w:type="dxa"/>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$99.50</w:t>
            </w:r>
          </w:p>
        </w:tc>
      </w:tr>
      <w:tr w:rsidR="0093351E" w:rsidRPr="00175DCB" w:rsidTr="0009580B">
        <w:trPr>
          <w:trHeight w:val="255"/>
        </w:trPr>
        <w:tc>
          <w:tcPr>
            <w:tcW w:w="2689"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Cycle length</w:t>
            </w:r>
          </w:p>
        </w:tc>
        <w:tc>
          <w:tcPr>
            <w:tcW w:w="1275"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28.00</w:t>
            </w:r>
          </w:p>
        </w:tc>
        <w:tc>
          <w:tcPr>
            <w:tcW w:w="2552"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Average total cost per infusion</w:t>
            </w:r>
          </w:p>
        </w:tc>
        <w:tc>
          <w:tcPr>
            <w:tcW w:w="1700"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w:t>
            </w:r>
            <w:r w:rsidR="00DE546F">
              <w:rPr>
                <w:rFonts w:ascii="Arial Narrow" w:eastAsia="Times New Roman" w:hAnsi="Arial Narrow" w:cs="Arial"/>
                <w:noProof/>
                <w:color w:val="000000"/>
                <w:szCs w:val="20"/>
                <w:highlight w:val="black"/>
                <w:lang w:eastAsia="en-AU" w:bidi="ar-SA"/>
              </w:rPr>
              <w:t>'''''''''''''''''''</w:t>
            </w:r>
          </w:p>
        </w:tc>
        <w:tc>
          <w:tcPr>
            <w:tcW w:w="1418" w:type="dxa"/>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w:t>
            </w:r>
            <w:r w:rsidR="00DE546F">
              <w:rPr>
                <w:rFonts w:ascii="Arial Narrow" w:eastAsia="Times New Roman" w:hAnsi="Arial Narrow" w:cs="Arial"/>
                <w:noProof/>
                <w:color w:val="000000"/>
                <w:szCs w:val="20"/>
                <w:highlight w:val="black"/>
                <w:lang w:eastAsia="en-AU" w:bidi="ar-SA"/>
              </w:rPr>
              <w:t>'''''''''''''''''''</w:t>
            </w:r>
          </w:p>
        </w:tc>
      </w:tr>
      <w:tr w:rsidR="0093351E" w:rsidRPr="00175DCB" w:rsidTr="0009580B">
        <w:trPr>
          <w:trHeight w:val="255"/>
        </w:trPr>
        <w:tc>
          <w:tcPr>
            <w:tcW w:w="2689"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Packs per cycle</w:t>
            </w:r>
          </w:p>
        </w:tc>
        <w:tc>
          <w:tcPr>
            <w:tcW w:w="1275"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0.83</w:t>
            </w:r>
          </w:p>
        </w:tc>
        <w:tc>
          <w:tcPr>
            <w:tcW w:w="2552"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Infusions Cycle 1</w:t>
            </w:r>
          </w:p>
        </w:tc>
        <w:tc>
          <w:tcPr>
            <w:tcW w:w="1700"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4.00</w:t>
            </w:r>
          </w:p>
        </w:tc>
        <w:tc>
          <w:tcPr>
            <w:tcW w:w="1418" w:type="dxa"/>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4.00</w:t>
            </w:r>
          </w:p>
        </w:tc>
      </w:tr>
      <w:tr w:rsidR="0093351E" w:rsidRPr="00175DCB" w:rsidTr="0009580B">
        <w:trPr>
          <w:trHeight w:val="255"/>
        </w:trPr>
        <w:tc>
          <w:tcPr>
            <w:tcW w:w="2689"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Average cost per cycle</w:t>
            </w:r>
          </w:p>
        </w:tc>
        <w:tc>
          <w:tcPr>
            <w:tcW w:w="1275"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$3,696.25</w:t>
            </w:r>
          </w:p>
        </w:tc>
        <w:tc>
          <w:tcPr>
            <w:tcW w:w="2552"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Infusions Cycle 2+</w:t>
            </w:r>
          </w:p>
        </w:tc>
        <w:tc>
          <w:tcPr>
            <w:tcW w:w="1700"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2.00</w:t>
            </w:r>
          </w:p>
        </w:tc>
        <w:tc>
          <w:tcPr>
            <w:tcW w:w="1418" w:type="dxa"/>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2.00</w:t>
            </w:r>
          </w:p>
        </w:tc>
      </w:tr>
      <w:tr w:rsidR="0093351E" w:rsidRPr="00175DCB" w:rsidTr="0009580B">
        <w:trPr>
          <w:trHeight w:val="255"/>
        </w:trPr>
        <w:tc>
          <w:tcPr>
            <w:tcW w:w="2689"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Mean number of cycles</w:t>
            </w:r>
          </w:p>
        </w:tc>
        <w:tc>
          <w:tcPr>
            <w:tcW w:w="1275"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5.40</w:t>
            </w:r>
          </w:p>
        </w:tc>
        <w:tc>
          <w:tcPr>
            <w:tcW w:w="2552"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Mean number of cycles</w:t>
            </w:r>
          </w:p>
        </w:tc>
        <w:tc>
          <w:tcPr>
            <w:tcW w:w="1700"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9.10</w:t>
            </w:r>
          </w:p>
        </w:tc>
        <w:tc>
          <w:tcPr>
            <w:tcW w:w="1418" w:type="dxa"/>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9.10</w:t>
            </w:r>
          </w:p>
        </w:tc>
      </w:tr>
      <w:tr w:rsidR="0093351E" w:rsidRPr="00175DCB" w:rsidTr="0009580B">
        <w:trPr>
          <w:trHeight w:val="255"/>
        </w:trPr>
        <w:tc>
          <w:tcPr>
            <w:tcW w:w="2689"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Average total cost of treatment</w:t>
            </w:r>
          </w:p>
        </w:tc>
        <w:tc>
          <w:tcPr>
            <w:tcW w:w="1275"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$19,959.73</w:t>
            </w:r>
          </w:p>
        </w:tc>
        <w:tc>
          <w:tcPr>
            <w:tcW w:w="2552"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Average total cost of treatment</w:t>
            </w:r>
          </w:p>
        </w:tc>
        <w:tc>
          <w:tcPr>
            <w:tcW w:w="1700"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w:t>
            </w:r>
            <w:r w:rsidR="00DE546F">
              <w:rPr>
                <w:rFonts w:ascii="Arial Narrow" w:eastAsia="Times New Roman" w:hAnsi="Arial Narrow" w:cs="Arial"/>
                <w:noProof/>
                <w:color w:val="000000"/>
                <w:szCs w:val="20"/>
                <w:highlight w:val="black"/>
                <w:lang w:eastAsia="en-AU" w:bidi="ar-SA"/>
              </w:rPr>
              <w:t>'''''''''''''''''''''''</w:t>
            </w:r>
          </w:p>
        </w:tc>
        <w:tc>
          <w:tcPr>
            <w:tcW w:w="1418" w:type="dxa"/>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w:t>
            </w:r>
            <w:r w:rsidR="00DE546F">
              <w:rPr>
                <w:rFonts w:ascii="Arial Narrow" w:eastAsia="Times New Roman" w:hAnsi="Arial Narrow" w:cs="Arial"/>
                <w:noProof/>
                <w:color w:val="000000"/>
                <w:szCs w:val="20"/>
                <w:highlight w:val="black"/>
                <w:lang w:eastAsia="en-AU" w:bidi="ar-SA"/>
              </w:rPr>
              <w:t>''''''''''''''''''''''</w:t>
            </w:r>
          </w:p>
        </w:tc>
      </w:tr>
      <w:tr w:rsidR="0093351E" w:rsidRPr="00175DCB" w:rsidTr="0009580B">
        <w:trPr>
          <w:trHeight w:val="255"/>
        </w:trPr>
        <w:tc>
          <w:tcPr>
            <w:tcW w:w="2689"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 xml:space="preserve">Overall Response Rate </w:t>
            </w:r>
          </w:p>
        </w:tc>
        <w:tc>
          <w:tcPr>
            <w:tcW w:w="1275"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4.80%</w:t>
            </w:r>
          </w:p>
        </w:tc>
        <w:tc>
          <w:tcPr>
            <w:tcW w:w="2552"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 xml:space="preserve">Overall Response Rate </w:t>
            </w:r>
          </w:p>
        </w:tc>
        <w:tc>
          <w:tcPr>
            <w:tcW w:w="1700"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28.00%</w:t>
            </w:r>
          </w:p>
        </w:tc>
        <w:tc>
          <w:tcPr>
            <w:tcW w:w="1418" w:type="dxa"/>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28.00%</w:t>
            </w:r>
          </w:p>
        </w:tc>
      </w:tr>
      <w:tr w:rsidR="0093351E" w:rsidRPr="00175DCB" w:rsidTr="0009580B">
        <w:trPr>
          <w:trHeight w:val="255"/>
        </w:trPr>
        <w:tc>
          <w:tcPr>
            <w:tcW w:w="2689"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Cost per responder</w:t>
            </w:r>
          </w:p>
        </w:tc>
        <w:tc>
          <w:tcPr>
            <w:tcW w:w="1275"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$415,828</w:t>
            </w:r>
          </w:p>
        </w:tc>
        <w:tc>
          <w:tcPr>
            <w:tcW w:w="2552"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Cost per responder</w:t>
            </w:r>
          </w:p>
        </w:tc>
        <w:tc>
          <w:tcPr>
            <w:tcW w:w="1700"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w:t>
            </w:r>
            <w:r w:rsidR="00DE546F">
              <w:rPr>
                <w:rFonts w:ascii="Arial Narrow" w:eastAsia="Times New Roman" w:hAnsi="Arial Narrow" w:cs="Arial"/>
                <w:noProof/>
                <w:color w:val="000000"/>
                <w:szCs w:val="20"/>
                <w:highlight w:val="black"/>
                <w:lang w:eastAsia="en-AU" w:bidi="ar-SA"/>
              </w:rPr>
              <w:t>'''''''''''''''''''''</w:t>
            </w:r>
          </w:p>
        </w:tc>
        <w:tc>
          <w:tcPr>
            <w:tcW w:w="1418" w:type="dxa"/>
          </w:tcPr>
          <w:p w:rsidR="0093351E" w:rsidRPr="00175DCB" w:rsidRDefault="004028C2"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w:t>
            </w:r>
            <w:r w:rsidR="00DE546F">
              <w:rPr>
                <w:rFonts w:ascii="Arial Narrow" w:eastAsia="Times New Roman" w:hAnsi="Arial Narrow" w:cs="Arial"/>
                <w:noProof/>
                <w:color w:val="000000"/>
                <w:szCs w:val="20"/>
                <w:highlight w:val="black"/>
                <w:lang w:eastAsia="en-AU" w:bidi="ar-SA"/>
              </w:rPr>
              <w:t>''''''''''''''''''''''</w:t>
            </w:r>
          </w:p>
        </w:tc>
      </w:tr>
      <w:tr w:rsidR="0093351E" w:rsidRPr="00175DCB" w:rsidTr="0009580B">
        <w:trPr>
          <w:trHeight w:val="255"/>
        </w:trPr>
        <w:tc>
          <w:tcPr>
            <w:tcW w:w="2689"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Duration of Response</w:t>
            </w:r>
            <w:r w:rsidR="00455235" w:rsidRPr="00175DCB">
              <w:rPr>
                <w:rFonts w:ascii="Arial Narrow" w:hAnsi="Arial Narrow" w:cs="Arial"/>
                <w:sz w:val="20"/>
                <w:szCs w:val="20"/>
              </w:rPr>
              <w:t xml:space="preserve"> months</w:t>
            </w:r>
          </w:p>
        </w:tc>
        <w:tc>
          <w:tcPr>
            <w:tcW w:w="1275"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9.30</w:t>
            </w:r>
          </w:p>
        </w:tc>
        <w:tc>
          <w:tcPr>
            <w:tcW w:w="2552"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Duration of Response</w:t>
            </w:r>
            <w:r w:rsidR="00455235" w:rsidRPr="00175DCB">
              <w:rPr>
                <w:rFonts w:ascii="Arial Narrow" w:hAnsi="Arial Narrow" w:cs="Arial"/>
                <w:sz w:val="20"/>
                <w:szCs w:val="20"/>
              </w:rPr>
              <w:t xml:space="preserve"> months</w:t>
            </w:r>
          </w:p>
        </w:tc>
        <w:tc>
          <w:tcPr>
            <w:tcW w:w="1700"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14.07</w:t>
            </w:r>
          </w:p>
        </w:tc>
        <w:tc>
          <w:tcPr>
            <w:tcW w:w="1418" w:type="dxa"/>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14.07</w:t>
            </w:r>
          </w:p>
        </w:tc>
      </w:tr>
      <w:tr w:rsidR="0093351E" w:rsidRPr="00175DCB" w:rsidTr="0009580B">
        <w:trPr>
          <w:trHeight w:val="255"/>
        </w:trPr>
        <w:tc>
          <w:tcPr>
            <w:tcW w:w="2689"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Average response months</w:t>
            </w:r>
          </w:p>
        </w:tc>
        <w:tc>
          <w:tcPr>
            <w:tcW w:w="1275"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0.45</w:t>
            </w:r>
          </w:p>
        </w:tc>
        <w:tc>
          <w:tcPr>
            <w:tcW w:w="2552"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Average response months</w:t>
            </w:r>
          </w:p>
        </w:tc>
        <w:tc>
          <w:tcPr>
            <w:tcW w:w="1700"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3.94</w:t>
            </w:r>
          </w:p>
        </w:tc>
        <w:tc>
          <w:tcPr>
            <w:tcW w:w="1418" w:type="dxa"/>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3.94</w:t>
            </w:r>
          </w:p>
        </w:tc>
      </w:tr>
      <w:tr w:rsidR="0093351E" w:rsidRPr="00175DCB" w:rsidTr="0009580B">
        <w:trPr>
          <w:trHeight w:val="255"/>
        </w:trPr>
        <w:tc>
          <w:tcPr>
            <w:tcW w:w="2689" w:type="dxa"/>
            <w:tcBorders>
              <w:bottom w:val="single" w:sz="4" w:space="0" w:color="auto"/>
            </w:tcBorders>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Cost per month of response</w:t>
            </w:r>
          </w:p>
        </w:tc>
        <w:tc>
          <w:tcPr>
            <w:tcW w:w="1275" w:type="dxa"/>
            <w:tcBorders>
              <w:bottom w:val="single" w:sz="4" w:space="0" w:color="auto"/>
            </w:tcBorders>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$44,713</w:t>
            </w:r>
          </w:p>
        </w:tc>
        <w:tc>
          <w:tcPr>
            <w:tcW w:w="2552" w:type="dxa"/>
            <w:noWrap/>
            <w:hideMark/>
          </w:tcPr>
          <w:p w:rsidR="0093351E" w:rsidRPr="00175DCB" w:rsidRDefault="0093351E" w:rsidP="0093351E">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Cost per month of response</w:t>
            </w:r>
          </w:p>
        </w:tc>
        <w:tc>
          <w:tcPr>
            <w:tcW w:w="1700" w:type="dxa"/>
            <w:noWrap/>
            <w:hideMark/>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w:t>
            </w:r>
            <w:r w:rsidR="00DE546F">
              <w:rPr>
                <w:rFonts w:ascii="Arial Narrow" w:eastAsia="Times New Roman" w:hAnsi="Arial Narrow" w:cs="Arial"/>
                <w:noProof/>
                <w:color w:val="000000"/>
                <w:szCs w:val="20"/>
                <w:highlight w:val="black"/>
                <w:lang w:eastAsia="en-AU" w:bidi="ar-SA"/>
              </w:rPr>
              <w:t>''''''''''''''''</w:t>
            </w:r>
          </w:p>
        </w:tc>
        <w:tc>
          <w:tcPr>
            <w:tcW w:w="1418" w:type="dxa"/>
          </w:tcPr>
          <w:p w:rsidR="0093351E" w:rsidRPr="00175DCB" w:rsidRDefault="0093351E" w:rsidP="0093351E">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w:t>
            </w:r>
            <w:r w:rsidR="00DE546F">
              <w:rPr>
                <w:rFonts w:ascii="Arial Narrow" w:eastAsia="Times New Roman" w:hAnsi="Arial Narrow" w:cs="Arial"/>
                <w:noProof/>
                <w:color w:val="000000"/>
                <w:szCs w:val="20"/>
                <w:highlight w:val="black"/>
                <w:lang w:eastAsia="en-AU" w:bidi="ar-SA"/>
              </w:rPr>
              <w:t>''''''''''''''''</w:t>
            </w:r>
          </w:p>
        </w:tc>
      </w:tr>
      <w:tr w:rsidR="0009580B" w:rsidRPr="00175DCB" w:rsidTr="00F03F93">
        <w:trPr>
          <w:trHeight w:val="255"/>
        </w:trPr>
        <w:tc>
          <w:tcPr>
            <w:tcW w:w="2689" w:type="dxa"/>
            <w:tcBorders>
              <w:right w:val="nil"/>
            </w:tcBorders>
            <w:noWrap/>
          </w:tcPr>
          <w:p w:rsidR="0009580B" w:rsidRPr="00175DCB" w:rsidRDefault="0009580B" w:rsidP="0093351E">
            <w:pPr>
              <w:keepNext/>
              <w:keepLines/>
              <w:jc w:val="left"/>
              <w:rPr>
                <w:rFonts w:ascii="Arial Narrow" w:hAnsi="Arial Narrow" w:cs="Arial"/>
                <w:sz w:val="20"/>
                <w:szCs w:val="20"/>
              </w:rPr>
            </w:pPr>
          </w:p>
        </w:tc>
        <w:tc>
          <w:tcPr>
            <w:tcW w:w="1275" w:type="dxa"/>
            <w:tcBorders>
              <w:left w:val="nil"/>
            </w:tcBorders>
            <w:noWrap/>
          </w:tcPr>
          <w:p w:rsidR="0009580B" w:rsidRPr="00175DCB" w:rsidRDefault="0009580B" w:rsidP="0093351E">
            <w:pPr>
              <w:pStyle w:val="TableCentre"/>
              <w:keepNext/>
              <w:keepLines/>
              <w:jc w:val="left"/>
              <w:rPr>
                <w:rFonts w:ascii="Arial Narrow" w:eastAsia="Times New Roman" w:hAnsi="Arial Narrow" w:cs="Arial"/>
                <w:szCs w:val="20"/>
                <w:lang w:eastAsia="en-AU" w:bidi="ar-SA"/>
              </w:rPr>
            </w:pPr>
          </w:p>
        </w:tc>
        <w:tc>
          <w:tcPr>
            <w:tcW w:w="2552" w:type="dxa"/>
            <w:noWrap/>
          </w:tcPr>
          <w:p w:rsidR="0009580B" w:rsidRPr="00175DCB" w:rsidRDefault="0009580B" w:rsidP="0093351E">
            <w:pPr>
              <w:keepNext/>
              <w:keepLines/>
              <w:jc w:val="left"/>
              <w:rPr>
                <w:rFonts w:ascii="Arial Narrow" w:hAnsi="Arial Narrow" w:cs="Arial"/>
                <w:sz w:val="20"/>
                <w:szCs w:val="20"/>
              </w:rPr>
            </w:pPr>
            <w:r w:rsidRPr="00175DCB">
              <w:rPr>
                <w:rFonts w:ascii="Arial Narrow" w:hAnsi="Arial Narrow" w:cs="Arial"/>
                <w:b/>
                <w:sz w:val="20"/>
                <w:szCs w:val="20"/>
              </w:rPr>
              <w:t>Minor submission</w:t>
            </w:r>
          </w:p>
        </w:tc>
        <w:tc>
          <w:tcPr>
            <w:tcW w:w="3118" w:type="dxa"/>
            <w:gridSpan w:val="2"/>
            <w:noWrap/>
          </w:tcPr>
          <w:p w:rsidR="0009580B" w:rsidRPr="00175DCB" w:rsidRDefault="0009580B" w:rsidP="0093351E">
            <w:pPr>
              <w:pStyle w:val="TableCentre"/>
              <w:keepNext/>
              <w:keepLines/>
              <w:jc w:val="left"/>
              <w:rPr>
                <w:rFonts w:ascii="Arial Narrow" w:eastAsia="Times New Roman" w:hAnsi="Arial Narrow" w:cs="Arial"/>
                <w:b/>
                <w:szCs w:val="20"/>
                <w:vertAlign w:val="superscript"/>
                <w:lang w:eastAsia="en-AU" w:bidi="ar-SA"/>
              </w:rPr>
            </w:pPr>
            <w:r w:rsidRPr="00175DCB">
              <w:rPr>
                <w:rFonts w:ascii="Arial Narrow" w:hAnsi="Arial Narrow" w:cs="Arial"/>
                <w:b/>
                <w:szCs w:val="20"/>
              </w:rPr>
              <w:t>Revised</w:t>
            </w:r>
            <w:r w:rsidRPr="00175DCB">
              <w:rPr>
                <w:rFonts w:ascii="Arial Narrow" w:hAnsi="Arial Narrow" w:cs="Arial"/>
                <w:b/>
                <w:szCs w:val="20"/>
                <w:vertAlign w:val="superscript"/>
              </w:rPr>
              <w:t>a</w:t>
            </w:r>
          </w:p>
        </w:tc>
      </w:tr>
      <w:tr w:rsidR="0009580B" w:rsidRPr="00175DCB" w:rsidTr="0009580B">
        <w:trPr>
          <w:trHeight w:val="255"/>
        </w:trPr>
        <w:tc>
          <w:tcPr>
            <w:tcW w:w="3964" w:type="dxa"/>
            <w:gridSpan w:val="2"/>
            <w:noWrap/>
            <w:hideMark/>
          </w:tcPr>
          <w:p w:rsidR="0009580B" w:rsidRPr="00175DCB" w:rsidRDefault="0009580B" w:rsidP="00D17227">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Incremental cost per responder</w:t>
            </w:r>
          </w:p>
        </w:tc>
        <w:tc>
          <w:tcPr>
            <w:tcW w:w="2552" w:type="dxa"/>
            <w:noWrap/>
            <w:hideMark/>
          </w:tcPr>
          <w:p w:rsidR="0009580B" w:rsidRPr="00175DCB" w:rsidRDefault="0009580B" w:rsidP="0009580B">
            <w:pPr>
              <w:pStyle w:val="TableCentre"/>
              <w:keepNext/>
              <w:keepLines/>
              <w:jc w:val="left"/>
              <w:rPr>
                <w:rFonts w:ascii="Arial Narrow" w:eastAsia="Times New Roman" w:hAnsi="Arial Narrow" w:cs="Arial"/>
                <w:b/>
                <w:i/>
                <w:szCs w:val="20"/>
                <w:lang w:eastAsia="en-AU" w:bidi="ar-SA"/>
              </w:rPr>
            </w:pPr>
            <w:r w:rsidRPr="00175DCB">
              <w:rPr>
                <w:rFonts w:ascii="Arial Narrow" w:eastAsia="Times New Roman" w:hAnsi="Arial Narrow" w:cs="Arial"/>
                <w:szCs w:val="20"/>
                <w:lang w:eastAsia="en-AU" w:bidi="ar-SA"/>
              </w:rPr>
              <w:t>$</w:t>
            </w:r>
            <w:r w:rsidR="00DE546F">
              <w:rPr>
                <w:rFonts w:ascii="Arial Narrow" w:eastAsia="Times New Roman" w:hAnsi="Arial Narrow" w:cs="Arial"/>
                <w:noProof/>
                <w:color w:val="000000"/>
                <w:szCs w:val="20"/>
                <w:highlight w:val="black"/>
                <w:lang w:eastAsia="en-AU" w:bidi="ar-SA"/>
              </w:rPr>
              <w:t>''''''''''''''''''''</w:t>
            </w:r>
            <w:r w:rsidRPr="00175DCB">
              <w:rPr>
                <w:rFonts w:ascii="Arial Narrow" w:eastAsia="Times New Roman" w:hAnsi="Arial Narrow" w:cs="Arial"/>
                <w:szCs w:val="20"/>
                <w:lang w:eastAsia="en-AU" w:bidi="ar-SA"/>
              </w:rPr>
              <w:t xml:space="preserve"> </w:t>
            </w:r>
          </w:p>
        </w:tc>
        <w:tc>
          <w:tcPr>
            <w:tcW w:w="3118" w:type="dxa"/>
            <w:gridSpan w:val="2"/>
          </w:tcPr>
          <w:p w:rsidR="0009580B" w:rsidRPr="00175DCB" w:rsidRDefault="0009580B" w:rsidP="00D17227">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w:t>
            </w:r>
            <w:r w:rsidR="00DE546F">
              <w:rPr>
                <w:rFonts w:ascii="Arial Narrow" w:eastAsia="Times New Roman" w:hAnsi="Arial Narrow" w:cs="Arial"/>
                <w:noProof/>
                <w:color w:val="000000"/>
                <w:szCs w:val="20"/>
                <w:highlight w:val="black"/>
                <w:lang w:eastAsia="en-AU" w:bidi="ar-SA"/>
              </w:rPr>
              <w:t>'''''''''''''''''''</w:t>
            </w:r>
          </w:p>
        </w:tc>
      </w:tr>
      <w:tr w:rsidR="0009580B" w:rsidRPr="00175DCB" w:rsidTr="0009580B">
        <w:trPr>
          <w:trHeight w:val="255"/>
        </w:trPr>
        <w:tc>
          <w:tcPr>
            <w:tcW w:w="3964" w:type="dxa"/>
            <w:gridSpan w:val="2"/>
            <w:noWrap/>
            <w:hideMark/>
          </w:tcPr>
          <w:p w:rsidR="0009580B" w:rsidRPr="00175DCB" w:rsidRDefault="0009580B" w:rsidP="00D17227">
            <w:pPr>
              <w:keepNext/>
              <w:keepLines/>
              <w:jc w:val="left"/>
              <w:rPr>
                <w:rFonts w:ascii="Arial Narrow" w:eastAsia="Times New Roman" w:hAnsi="Arial Narrow" w:cs="Arial"/>
                <w:sz w:val="20"/>
                <w:szCs w:val="20"/>
                <w:lang w:eastAsia="en-AU"/>
              </w:rPr>
            </w:pPr>
            <w:r w:rsidRPr="00175DCB">
              <w:rPr>
                <w:rFonts w:ascii="Arial Narrow" w:hAnsi="Arial Narrow" w:cs="Arial"/>
                <w:sz w:val="20"/>
                <w:szCs w:val="20"/>
              </w:rPr>
              <w:t>Incremental cost per month of response</w:t>
            </w:r>
          </w:p>
        </w:tc>
        <w:tc>
          <w:tcPr>
            <w:tcW w:w="2552" w:type="dxa"/>
            <w:noWrap/>
            <w:hideMark/>
          </w:tcPr>
          <w:p w:rsidR="0009580B" w:rsidRPr="00175DCB" w:rsidRDefault="0009580B" w:rsidP="0009580B">
            <w:pPr>
              <w:pStyle w:val="TableCentre"/>
              <w:keepNext/>
              <w:keepLines/>
              <w:jc w:val="left"/>
              <w:rPr>
                <w:rFonts w:ascii="Arial Narrow" w:eastAsia="Times New Roman" w:hAnsi="Arial Narrow" w:cs="Arial"/>
                <w:b/>
                <w:szCs w:val="20"/>
                <w:lang w:eastAsia="en-AU" w:bidi="ar-SA"/>
              </w:rPr>
            </w:pPr>
            <w:r w:rsidRPr="00175DCB">
              <w:rPr>
                <w:rFonts w:ascii="Arial Narrow" w:eastAsia="Times New Roman" w:hAnsi="Arial Narrow" w:cs="Arial"/>
                <w:szCs w:val="20"/>
                <w:lang w:eastAsia="en-AU" w:bidi="ar-SA"/>
              </w:rPr>
              <w:t>$</w:t>
            </w:r>
            <w:r w:rsidR="00DE546F">
              <w:rPr>
                <w:rFonts w:ascii="Arial Narrow" w:eastAsia="Times New Roman" w:hAnsi="Arial Narrow" w:cs="Arial"/>
                <w:noProof/>
                <w:color w:val="000000"/>
                <w:szCs w:val="20"/>
                <w:highlight w:val="black"/>
                <w:lang w:eastAsia="en-AU" w:bidi="ar-SA"/>
              </w:rPr>
              <w:t>'''''''''''''''</w:t>
            </w:r>
            <w:r w:rsidRPr="00175DCB">
              <w:rPr>
                <w:rFonts w:ascii="Arial Narrow" w:eastAsia="Times New Roman" w:hAnsi="Arial Narrow" w:cs="Arial"/>
                <w:szCs w:val="20"/>
                <w:lang w:eastAsia="en-AU" w:bidi="ar-SA"/>
              </w:rPr>
              <w:t xml:space="preserve"> </w:t>
            </w:r>
          </w:p>
        </w:tc>
        <w:tc>
          <w:tcPr>
            <w:tcW w:w="3118" w:type="dxa"/>
            <w:gridSpan w:val="2"/>
          </w:tcPr>
          <w:p w:rsidR="0009580B" w:rsidRPr="00175DCB" w:rsidRDefault="0009580B" w:rsidP="00D17227">
            <w:pPr>
              <w:pStyle w:val="TableCentre"/>
              <w:keepNext/>
              <w:keepLines/>
              <w:jc w:val="left"/>
              <w:rPr>
                <w:rFonts w:ascii="Arial Narrow" w:eastAsia="Times New Roman" w:hAnsi="Arial Narrow" w:cs="Arial"/>
                <w:szCs w:val="20"/>
                <w:lang w:eastAsia="en-AU" w:bidi="ar-SA"/>
              </w:rPr>
            </w:pPr>
            <w:r w:rsidRPr="00175DCB">
              <w:rPr>
                <w:rFonts w:ascii="Arial Narrow" w:eastAsia="Times New Roman" w:hAnsi="Arial Narrow" w:cs="Arial"/>
                <w:szCs w:val="20"/>
                <w:lang w:eastAsia="en-AU" w:bidi="ar-SA"/>
              </w:rPr>
              <w:t>$</w:t>
            </w:r>
            <w:r w:rsidR="00DE546F">
              <w:rPr>
                <w:rFonts w:ascii="Arial Narrow" w:eastAsia="Times New Roman" w:hAnsi="Arial Narrow" w:cs="Arial"/>
                <w:noProof/>
                <w:color w:val="000000"/>
                <w:szCs w:val="20"/>
                <w:highlight w:val="black"/>
                <w:lang w:eastAsia="en-AU" w:bidi="ar-SA"/>
              </w:rPr>
              <w:t>'''''''''''''''</w:t>
            </w:r>
          </w:p>
        </w:tc>
      </w:tr>
    </w:tbl>
    <w:p w:rsidR="007A657D" w:rsidRPr="00175DCB" w:rsidRDefault="00AD61B0" w:rsidP="00D17227">
      <w:pPr>
        <w:pStyle w:val="TableFooter"/>
        <w:keepNext/>
      </w:pPr>
      <w:r w:rsidRPr="00175DCB">
        <w:t xml:space="preserve">Source: Table 3, </w:t>
      </w:r>
      <w:r w:rsidR="00A1263F" w:rsidRPr="00175DCB">
        <w:t>pg.</w:t>
      </w:r>
      <w:r w:rsidRPr="00175DCB">
        <w:t xml:space="preserve"> 7 minor resubmission</w:t>
      </w:r>
    </w:p>
    <w:p w:rsidR="0009580B" w:rsidRPr="00175DCB" w:rsidRDefault="0009580B" w:rsidP="00D17227">
      <w:pPr>
        <w:pStyle w:val="TableFooter"/>
        <w:keepNext/>
      </w:pPr>
      <w:r w:rsidRPr="00175DCB">
        <w:rPr>
          <w:vertAlign w:val="superscript"/>
        </w:rPr>
        <w:t xml:space="preserve">a </w:t>
      </w:r>
      <w:r w:rsidR="00301BA7" w:rsidRPr="00175DCB">
        <w:t>Formula for E11</w:t>
      </w:r>
      <w:r w:rsidR="005C3DE1" w:rsidRPr="00175DCB">
        <w:t xml:space="preserve"> changed from </w:t>
      </w:r>
      <w:r w:rsidR="00301BA7" w:rsidRPr="00175DCB">
        <w:t>E9*E8+E10 to E9+E10</w:t>
      </w:r>
      <w:r w:rsidR="005C3DE1" w:rsidRPr="00175DCB">
        <w:t xml:space="preserve"> in Minor submission economic evaluation workbook</w:t>
      </w:r>
    </w:p>
    <w:p w:rsidR="00AD61B0" w:rsidRPr="00175DCB" w:rsidRDefault="00AD61B0" w:rsidP="00AD61B0">
      <w:pPr>
        <w:pStyle w:val="TableFooter"/>
        <w:rPr>
          <w:rFonts w:cstheme="minorHAnsi"/>
          <w:szCs w:val="24"/>
        </w:rPr>
      </w:pPr>
    </w:p>
    <w:p w:rsidR="00D9548F" w:rsidRPr="00175DCB" w:rsidRDefault="00086991" w:rsidP="00AD61B0">
      <w:pPr>
        <w:pStyle w:val="3Bodytext"/>
        <w:jc w:val="both"/>
        <w:rPr>
          <w:rFonts w:cstheme="minorHAnsi"/>
          <w:szCs w:val="24"/>
        </w:rPr>
      </w:pPr>
      <w:r w:rsidRPr="00175DCB">
        <w:t>The PBAC noted that a</w:t>
      </w:r>
      <w:r w:rsidR="00374C31" w:rsidRPr="00175DCB">
        <w:t xml:space="preserve">s a minor </w:t>
      </w:r>
      <w:r w:rsidR="007A657D" w:rsidRPr="00175DCB">
        <w:t>re</w:t>
      </w:r>
      <w:r w:rsidR="00374C31" w:rsidRPr="00175DCB">
        <w:t xml:space="preserve">submission, the </w:t>
      </w:r>
      <w:r w:rsidR="007A657D" w:rsidRPr="00175DCB">
        <w:t xml:space="preserve">cost-effectiveness analysis of mogamulizumab versus vorinostat </w:t>
      </w:r>
      <w:r w:rsidR="008168D3" w:rsidRPr="00175DCB">
        <w:t xml:space="preserve">based on cost per responder (ORR) presented in Table 6 </w:t>
      </w:r>
      <w:r w:rsidRPr="00175DCB">
        <w:t>was</w:t>
      </w:r>
      <w:r w:rsidR="008168D3" w:rsidRPr="00175DCB">
        <w:t xml:space="preserve"> not evaluated</w:t>
      </w:r>
      <w:r w:rsidR="00AC0079" w:rsidRPr="00175DCB">
        <w:t xml:space="preserve"> (although the calculations </w:t>
      </w:r>
      <w:r w:rsidRPr="00175DCB">
        <w:t>were</w:t>
      </w:r>
      <w:r w:rsidR="00AC0079" w:rsidRPr="00175DCB">
        <w:t xml:space="preserve"> checked)</w:t>
      </w:r>
      <w:r w:rsidR="008168D3" w:rsidRPr="00175DCB">
        <w:t>.</w:t>
      </w:r>
    </w:p>
    <w:p w:rsidR="003C2FB5" w:rsidRPr="00175DCB" w:rsidRDefault="005A07CF" w:rsidP="00917D69">
      <w:pPr>
        <w:pStyle w:val="4-SubsectionHeading"/>
        <w:rPr>
          <w:lang w:eastAsia="en-US"/>
        </w:rPr>
      </w:pPr>
      <w:r w:rsidRPr="00175DCB">
        <w:rPr>
          <w:lang w:eastAsia="en-US"/>
        </w:rPr>
        <w:t>Drug cost/patient/year: $</w:t>
      </w:r>
      <w:r w:rsidR="00DE546F">
        <w:rPr>
          <w:noProof/>
          <w:color w:val="000000"/>
          <w:highlight w:val="black"/>
          <w:lang w:eastAsia="en-US"/>
        </w:rPr>
        <w:t>'''''''''''''''''''</w:t>
      </w:r>
    </w:p>
    <w:p w:rsidR="00A55FEE" w:rsidRPr="00175DCB" w:rsidRDefault="00BC235D" w:rsidP="00A603F2">
      <w:pPr>
        <w:pStyle w:val="3Bodytext"/>
        <w:jc w:val="both"/>
      </w:pPr>
      <w:r w:rsidRPr="00175DCB">
        <w:t xml:space="preserve">Accounting for the </w:t>
      </w:r>
      <w:r w:rsidR="00DE602F">
        <w:t>error outlined in paragraph 5.15</w:t>
      </w:r>
      <w:r w:rsidRPr="00175DCB">
        <w:t xml:space="preserve"> t</w:t>
      </w:r>
      <w:r w:rsidR="003064AF" w:rsidRPr="00175DCB">
        <w:t>he estimated drug cost</w:t>
      </w:r>
      <w:r w:rsidR="0052792D" w:rsidRPr="00175DCB">
        <w:t>/patient</w:t>
      </w:r>
      <w:r w:rsidR="00CA48D9" w:rsidRPr="00175DCB">
        <w:t xml:space="preserve"> per year</w:t>
      </w:r>
      <w:r w:rsidR="0052792D" w:rsidRPr="00175DCB">
        <w:t xml:space="preserve"> would be </w:t>
      </w:r>
      <w:r w:rsidR="005C3DE1" w:rsidRPr="00175DCB">
        <w:t>$</w:t>
      </w:r>
      <w:r w:rsidR="00DE546F">
        <w:rPr>
          <w:noProof/>
          <w:color w:val="000000"/>
          <w:highlight w:val="black"/>
        </w:rPr>
        <w:t>''''''''''''''''''</w:t>
      </w:r>
      <w:r w:rsidR="005C3DE1" w:rsidRPr="00175DCB">
        <w:t>. The results of the drug cost per patient for the proposed drug and its comparator are summarised in Table 7.</w:t>
      </w:r>
    </w:p>
    <w:p w:rsidR="00EA289A" w:rsidRPr="00175DCB" w:rsidRDefault="00EA289A" w:rsidP="00673939">
      <w:pPr>
        <w:pStyle w:val="TableFigureHeading"/>
        <w:rPr>
          <w:rFonts w:eastAsia="Times New Roman" w:cs="Times New Roman"/>
          <w:bCs w:val="0"/>
          <w:szCs w:val="22"/>
        </w:rPr>
      </w:pPr>
      <w:r w:rsidRPr="00175DCB">
        <w:rPr>
          <w:rFonts w:eastAsia="Times New Roman" w:cs="Times New Roman"/>
          <w:bCs w:val="0"/>
          <w:szCs w:val="22"/>
        </w:rPr>
        <w:t>Table 7: Drug cost per patient for mogamulizumab and vorinostat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3"/>
        <w:gridCol w:w="1417"/>
        <w:gridCol w:w="1417"/>
        <w:gridCol w:w="1417"/>
        <w:gridCol w:w="1275"/>
        <w:gridCol w:w="1098"/>
        <w:gridCol w:w="1259"/>
      </w:tblGrid>
      <w:tr w:rsidR="00EA289A" w:rsidRPr="00175DCB" w:rsidTr="00EA289A">
        <w:trPr>
          <w:cantSplit/>
          <w:tblHeader/>
          <w:jc w:val="center"/>
        </w:trPr>
        <w:tc>
          <w:tcPr>
            <w:tcW w:w="628" w:type="pct"/>
            <w:shd w:val="clear" w:color="auto" w:fill="auto"/>
            <w:vAlign w:val="center"/>
          </w:tcPr>
          <w:p w:rsidR="00EA289A" w:rsidRPr="00A47EA3" w:rsidRDefault="00EA289A" w:rsidP="00F03F93">
            <w:pPr>
              <w:pStyle w:val="In-tableHeading"/>
              <w:jc w:val="center"/>
              <w:rPr>
                <w:lang w:val="en-AU"/>
              </w:rPr>
            </w:pPr>
          </w:p>
        </w:tc>
        <w:tc>
          <w:tcPr>
            <w:tcW w:w="786" w:type="pct"/>
            <w:shd w:val="clear" w:color="auto" w:fill="auto"/>
            <w:vAlign w:val="center"/>
          </w:tcPr>
          <w:p w:rsidR="00EA289A" w:rsidRPr="00A47EA3" w:rsidRDefault="00EA289A" w:rsidP="00F03F93">
            <w:pPr>
              <w:pStyle w:val="In-tableHeading"/>
              <w:jc w:val="center"/>
              <w:rPr>
                <w:lang w:val="en-AU"/>
              </w:rPr>
            </w:pPr>
            <w:r w:rsidRPr="00A47EA3">
              <w:rPr>
                <w:lang w:val="en-AU"/>
              </w:rPr>
              <w:t>Mogamulizumab Trial dose and duration</w:t>
            </w:r>
          </w:p>
        </w:tc>
        <w:tc>
          <w:tcPr>
            <w:tcW w:w="786" w:type="pct"/>
            <w:shd w:val="clear" w:color="auto" w:fill="auto"/>
            <w:vAlign w:val="center"/>
          </w:tcPr>
          <w:p w:rsidR="00EA289A" w:rsidRPr="00A47EA3" w:rsidRDefault="00EA289A" w:rsidP="00F03F93">
            <w:pPr>
              <w:pStyle w:val="In-tableHeading"/>
              <w:jc w:val="center"/>
              <w:rPr>
                <w:lang w:val="en-AU"/>
              </w:rPr>
            </w:pPr>
            <w:r w:rsidRPr="00A47EA3">
              <w:rPr>
                <w:lang w:val="en-AU"/>
              </w:rPr>
              <w:t>Mogamulizumab Model</w:t>
            </w:r>
          </w:p>
        </w:tc>
        <w:tc>
          <w:tcPr>
            <w:tcW w:w="786" w:type="pct"/>
            <w:shd w:val="clear" w:color="auto" w:fill="auto"/>
            <w:vAlign w:val="center"/>
          </w:tcPr>
          <w:p w:rsidR="00EA289A" w:rsidRPr="00A47EA3" w:rsidRDefault="00EA289A" w:rsidP="00F03F93">
            <w:pPr>
              <w:pStyle w:val="In-tableHeading"/>
              <w:jc w:val="center"/>
              <w:rPr>
                <w:lang w:val="en-AU"/>
              </w:rPr>
            </w:pPr>
            <w:r w:rsidRPr="00A47EA3">
              <w:rPr>
                <w:lang w:val="en-AU"/>
              </w:rPr>
              <w:t>Mogamulizumab Financial estimates</w:t>
            </w:r>
          </w:p>
        </w:tc>
        <w:tc>
          <w:tcPr>
            <w:tcW w:w="707" w:type="pct"/>
            <w:shd w:val="clear" w:color="auto" w:fill="auto"/>
            <w:vAlign w:val="center"/>
          </w:tcPr>
          <w:p w:rsidR="00EA289A" w:rsidRPr="00A47EA3" w:rsidRDefault="00EA289A" w:rsidP="00F03F93">
            <w:pPr>
              <w:pStyle w:val="In-tableHeading"/>
              <w:jc w:val="center"/>
              <w:rPr>
                <w:lang w:val="en-AU"/>
              </w:rPr>
            </w:pPr>
            <w:r w:rsidRPr="00A47EA3">
              <w:rPr>
                <w:lang w:val="en-AU"/>
              </w:rPr>
              <w:t>Vorinostat</w:t>
            </w:r>
          </w:p>
          <w:p w:rsidR="00EA289A" w:rsidRPr="00A47EA3" w:rsidRDefault="00EA289A" w:rsidP="00F03F93">
            <w:pPr>
              <w:pStyle w:val="In-tableHeading"/>
              <w:jc w:val="center"/>
              <w:rPr>
                <w:lang w:val="en-AU"/>
              </w:rPr>
            </w:pPr>
            <w:r w:rsidRPr="00A47EA3">
              <w:rPr>
                <w:lang w:val="en-AU"/>
              </w:rPr>
              <w:t>Trial dose and duration</w:t>
            </w:r>
          </w:p>
        </w:tc>
        <w:tc>
          <w:tcPr>
            <w:tcW w:w="609" w:type="pct"/>
            <w:shd w:val="clear" w:color="auto" w:fill="auto"/>
            <w:vAlign w:val="center"/>
          </w:tcPr>
          <w:p w:rsidR="00EA289A" w:rsidRPr="00A47EA3" w:rsidRDefault="00EA289A" w:rsidP="00F03F93">
            <w:pPr>
              <w:pStyle w:val="In-tableHeading"/>
              <w:jc w:val="center"/>
              <w:rPr>
                <w:lang w:val="en-AU"/>
              </w:rPr>
            </w:pPr>
            <w:r w:rsidRPr="00A47EA3">
              <w:rPr>
                <w:lang w:val="en-AU"/>
              </w:rPr>
              <w:t>Vorinostat Model</w:t>
            </w:r>
          </w:p>
        </w:tc>
        <w:tc>
          <w:tcPr>
            <w:tcW w:w="698" w:type="pct"/>
          </w:tcPr>
          <w:p w:rsidR="00EA289A" w:rsidRPr="00A47EA3" w:rsidRDefault="00EA289A" w:rsidP="00F03F93">
            <w:pPr>
              <w:pStyle w:val="In-tableHeading"/>
              <w:jc w:val="center"/>
              <w:rPr>
                <w:lang w:val="en-AU"/>
              </w:rPr>
            </w:pPr>
            <w:r w:rsidRPr="00A47EA3">
              <w:rPr>
                <w:lang w:val="en-AU"/>
              </w:rPr>
              <w:t>Vorinostat Financial estimates</w:t>
            </w:r>
          </w:p>
        </w:tc>
      </w:tr>
      <w:tr w:rsidR="00EA289A" w:rsidRPr="00175DCB" w:rsidTr="00EA289A">
        <w:trPr>
          <w:cantSplit/>
          <w:jc w:val="center"/>
        </w:trPr>
        <w:tc>
          <w:tcPr>
            <w:tcW w:w="628" w:type="pct"/>
            <w:shd w:val="clear" w:color="auto" w:fill="auto"/>
            <w:vAlign w:val="center"/>
          </w:tcPr>
          <w:p w:rsidR="00EA289A" w:rsidRPr="00A47EA3" w:rsidRDefault="00EA289A" w:rsidP="00F03F93">
            <w:pPr>
              <w:pStyle w:val="TableText0"/>
            </w:pPr>
            <w:r w:rsidRPr="00A47EA3">
              <w:t>Mean dose intensity</w:t>
            </w:r>
          </w:p>
        </w:tc>
        <w:tc>
          <w:tcPr>
            <w:tcW w:w="786" w:type="pct"/>
            <w:shd w:val="clear" w:color="auto" w:fill="auto"/>
            <w:vAlign w:val="center"/>
          </w:tcPr>
          <w:p w:rsidR="00EA289A" w:rsidRPr="00A47EA3" w:rsidRDefault="00EA289A" w:rsidP="00F03F93">
            <w:pPr>
              <w:pStyle w:val="TableText0"/>
              <w:jc w:val="center"/>
            </w:pPr>
            <w:r w:rsidRPr="00A47EA3">
              <w:t>94.41%</w:t>
            </w:r>
          </w:p>
        </w:tc>
        <w:tc>
          <w:tcPr>
            <w:tcW w:w="786" w:type="pct"/>
            <w:shd w:val="clear" w:color="auto" w:fill="auto"/>
            <w:vAlign w:val="center"/>
          </w:tcPr>
          <w:p w:rsidR="00EA289A" w:rsidRPr="00A47EA3" w:rsidRDefault="00EA289A" w:rsidP="00F03F93">
            <w:pPr>
              <w:pStyle w:val="TableText0"/>
              <w:jc w:val="center"/>
            </w:pPr>
            <w:r w:rsidRPr="00A47EA3">
              <w:t>94.41%</w:t>
            </w:r>
          </w:p>
        </w:tc>
        <w:tc>
          <w:tcPr>
            <w:tcW w:w="786" w:type="pct"/>
            <w:shd w:val="clear" w:color="auto" w:fill="auto"/>
            <w:vAlign w:val="center"/>
          </w:tcPr>
          <w:p w:rsidR="00EA289A" w:rsidRPr="00A47EA3" w:rsidRDefault="00EA289A" w:rsidP="00F03F93">
            <w:pPr>
              <w:pStyle w:val="TableText0"/>
              <w:jc w:val="center"/>
            </w:pPr>
            <w:r w:rsidRPr="00A47EA3">
              <w:t>95.00%</w:t>
            </w:r>
          </w:p>
        </w:tc>
        <w:tc>
          <w:tcPr>
            <w:tcW w:w="707" w:type="pct"/>
            <w:shd w:val="clear" w:color="auto" w:fill="auto"/>
            <w:vAlign w:val="center"/>
          </w:tcPr>
          <w:p w:rsidR="00EA289A" w:rsidRPr="00A47EA3" w:rsidRDefault="00EA289A" w:rsidP="00F03F93">
            <w:pPr>
              <w:pStyle w:val="TableText0"/>
              <w:jc w:val="center"/>
            </w:pPr>
            <w:r w:rsidRPr="00A47EA3">
              <w:t>88.96%</w:t>
            </w:r>
          </w:p>
        </w:tc>
        <w:tc>
          <w:tcPr>
            <w:tcW w:w="609" w:type="pct"/>
            <w:shd w:val="clear" w:color="auto" w:fill="auto"/>
            <w:vAlign w:val="center"/>
          </w:tcPr>
          <w:p w:rsidR="00EA289A" w:rsidRPr="00A47EA3" w:rsidRDefault="00EA289A" w:rsidP="00F03F93">
            <w:pPr>
              <w:pStyle w:val="TableText0"/>
              <w:jc w:val="center"/>
            </w:pPr>
            <w:r w:rsidRPr="00A47EA3">
              <w:t>88.91%</w:t>
            </w:r>
          </w:p>
        </w:tc>
        <w:tc>
          <w:tcPr>
            <w:tcW w:w="698" w:type="pct"/>
            <w:vAlign w:val="center"/>
          </w:tcPr>
          <w:p w:rsidR="00EA289A" w:rsidRPr="00A47EA3" w:rsidRDefault="00EA289A" w:rsidP="00F03F93">
            <w:pPr>
              <w:pStyle w:val="TableText0"/>
              <w:jc w:val="center"/>
            </w:pPr>
            <w:r w:rsidRPr="00A47EA3">
              <w:t>89.00%</w:t>
            </w:r>
          </w:p>
        </w:tc>
      </w:tr>
      <w:tr w:rsidR="00EA289A" w:rsidRPr="00175DCB" w:rsidTr="00EA289A">
        <w:trPr>
          <w:cantSplit/>
          <w:jc w:val="center"/>
        </w:trPr>
        <w:tc>
          <w:tcPr>
            <w:tcW w:w="628" w:type="pct"/>
            <w:shd w:val="clear" w:color="auto" w:fill="auto"/>
            <w:vAlign w:val="center"/>
          </w:tcPr>
          <w:p w:rsidR="00EA289A" w:rsidRPr="00A47EA3" w:rsidRDefault="00EA289A" w:rsidP="00F03F93">
            <w:pPr>
              <w:pStyle w:val="TableText0"/>
            </w:pPr>
            <w:r w:rsidRPr="00A47EA3">
              <w:t>Mean duration</w:t>
            </w:r>
          </w:p>
        </w:tc>
        <w:tc>
          <w:tcPr>
            <w:tcW w:w="786" w:type="pct"/>
            <w:shd w:val="clear" w:color="auto" w:fill="auto"/>
            <w:vAlign w:val="center"/>
          </w:tcPr>
          <w:p w:rsidR="00EA289A" w:rsidRPr="00A47EA3" w:rsidRDefault="00EA289A" w:rsidP="00F03F93">
            <w:pPr>
              <w:pStyle w:val="TableText0"/>
              <w:jc w:val="center"/>
            </w:pPr>
            <w:r w:rsidRPr="00A47EA3">
              <w:t>19.10 infusions</w:t>
            </w:r>
          </w:p>
        </w:tc>
        <w:tc>
          <w:tcPr>
            <w:tcW w:w="786" w:type="pct"/>
            <w:shd w:val="clear" w:color="auto" w:fill="auto"/>
            <w:vAlign w:val="center"/>
          </w:tcPr>
          <w:p w:rsidR="00EA289A" w:rsidRPr="00A47EA3" w:rsidRDefault="001B1CBD" w:rsidP="00F03F93">
            <w:pPr>
              <w:pStyle w:val="TableText0"/>
              <w:jc w:val="center"/>
            </w:pPr>
            <w:r w:rsidRPr="00A47EA3">
              <w:rPr>
                <w:iCs/>
              </w:rPr>
              <w:t>20.7</w:t>
            </w:r>
            <w:r w:rsidR="006972A4" w:rsidRPr="00A47EA3">
              <w:rPr>
                <w:iCs/>
              </w:rPr>
              <w:t>7</w:t>
            </w:r>
            <w:r w:rsidR="00EA289A" w:rsidRPr="00A47EA3">
              <w:t xml:space="preserve"> infusions</w:t>
            </w:r>
          </w:p>
        </w:tc>
        <w:tc>
          <w:tcPr>
            <w:tcW w:w="786" w:type="pct"/>
            <w:shd w:val="clear" w:color="auto" w:fill="auto"/>
            <w:vAlign w:val="center"/>
          </w:tcPr>
          <w:p w:rsidR="00EA289A" w:rsidRPr="00A47EA3" w:rsidRDefault="00EA289A" w:rsidP="00F03F93">
            <w:pPr>
              <w:pStyle w:val="TableText0"/>
              <w:jc w:val="center"/>
            </w:pPr>
            <w:r w:rsidRPr="00A47EA3">
              <w:rPr>
                <w:iCs/>
              </w:rPr>
              <w:t>24.80</w:t>
            </w:r>
            <w:r w:rsidRPr="00A47EA3">
              <w:t xml:space="preserve"> infusions </w:t>
            </w:r>
          </w:p>
        </w:tc>
        <w:tc>
          <w:tcPr>
            <w:tcW w:w="707" w:type="pct"/>
            <w:shd w:val="clear" w:color="auto" w:fill="auto"/>
            <w:vAlign w:val="center"/>
          </w:tcPr>
          <w:p w:rsidR="00EA289A" w:rsidRPr="00A47EA3" w:rsidRDefault="00EA289A" w:rsidP="00F03F93">
            <w:pPr>
              <w:pStyle w:val="TableText0"/>
              <w:jc w:val="center"/>
            </w:pPr>
            <w:r w:rsidRPr="00A47EA3">
              <w:rPr>
                <w:iCs/>
              </w:rPr>
              <w:t>20.60</w:t>
            </w:r>
            <w:r w:rsidRPr="00A47EA3">
              <w:t xml:space="preserve"> weeks</w:t>
            </w:r>
          </w:p>
        </w:tc>
        <w:tc>
          <w:tcPr>
            <w:tcW w:w="609" w:type="pct"/>
            <w:shd w:val="clear" w:color="auto" w:fill="auto"/>
            <w:vAlign w:val="center"/>
          </w:tcPr>
          <w:p w:rsidR="00EA289A" w:rsidRPr="00A47EA3" w:rsidRDefault="00EA289A" w:rsidP="00F03F93">
            <w:pPr>
              <w:pStyle w:val="TableText0"/>
              <w:jc w:val="center"/>
            </w:pPr>
            <w:r w:rsidRPr="00A47EA3">
              <w:rPr>
                <w:iCs/>
              </w:rPr>
              <w:t>2</w:t>
            </w:r>
            <w:r w:rsidR="001B1CBD" w:rsidRPr="00A47EA3">
              <w:rPr>
                <w:iCs/>
              </w:rPr>
              <w:t>1.6</w:t>
            </w:r>
            <w:r w:rsidRPr="00A47EA3">
              <w:t xml:space="preserve"> weeks</w:t>
            </w:r>
          </w:p>
        </w:tc>
        <w:tc>
          <w:tcPr>
            <w:tcW w:w="698" w:type="pct"/>
          </w:tcPr>
          <w:p w:rsidR="00EA289A" w:rsidRPr="00A47EA3" w:rsidRDefault="00EA289A" w:rsidP="00F03F93">
            <w:pPr>
              <w:pStyle w:val="TableText0"/>
              <w:jc w:val="center"/>
            </w:pPr>
            <w:r w:rsidRPr="00A47EA3">
              <w:rPr>
                <w:iCs/>
              </w:rPr>
              <w:t>4.80</w:t>
            </w:r>
            <w:r w:rsidRPr="00A47EA3">
              <w:t xml:space="preserve"> 30-day scripts</w:t>
            </w:r>
          </w:p>
        </w:tc>
      </w:tr>
      <w:tr w:rsidR="00EA289A" w:rsidRPr="00175DCB" w:rsidTr="00EA289A">
        <w:trPr>
          <w:cantSplit/>
          <w:jc w:val="center"/>
        </w:trPr>
        <w:tc>
          <w:tcPr>
            <w:tcW w:w="628" w:type="pct"/>
            <w:shd w:val="clear" w:color="auto" w:fill="auto"/>
            <w:vAlign w:val="center"/>
          </w:tcPr>
          <w:p w:rsidR="00EA289A" w:rsidRPr="00A47EA3" w:rsidRDefault="00EA289A" w:rsidP="00F03F93">
            <w:pPr>
              <w:pStyle w:val="TableText0"/>
              <w:rPr>
                <w:vertAlign w:val="superscript"/>
              </w:rPr>
            </w:pPr>
            <w:r w:rsidRPr="00A47EA3">
              <w:t>Cost</w:t>
            </w:r>
          </w:p>
        </w:tc>
        <w:tc>
          <w:tcPr>
            <w:tcW w:w="786" w:type="pct"/>
            <w:shd w:val="clear" w:color="auto" w:fill="auto"/>
            <w:vAlign w:val="center"/>
          </w:tcPr>
          <w:p w:rsidR="00EA289A" w:rsidRPr="00A47EA3" w:rsidRDefault="003F3079" w:rsidP="00F03F93">
            <w:pPr>
              <w:pStyle w:val="TableText0"/>
              <w:jc w:val="center"/>
            </w:pPr>
            <w:r w:rsidRPr="00A47EA3">
              <w:t>$</w:t>
            </w:r>
            <w:r w:rsidR="00DE546F">
              <w:rPr>
                <w:noProof/>
                <w:color w:val="000000"/>
                <w:highlight w:val="black"/>
              </w:rPr>
              <w:t>'''''''''''''''''''</w:t>
            </w:r>
          </w:p>
        </w:tc>
        <w:tc>
          <w:tcPr>
            <w:tcW w:w="786" w:type="pct"/>
            <w:shd w:val="clear" w:color="auto" w:fill="auto"/>
            <w:vAlign w:val="center"/>
          </w:tcPr>
          <w:p w:rsidR="00EA289A" w:rsidRPr="00A47EA3" w:rsidRDefault="00DB45C2" w:rsidP="00F03F93">
            <w:pPr>
              <w:pStyle w:val="TableText0"/>
              <w:jc w:val="center"/>
            </w:pPr>
            <w:r w:rsidRPr="00175DCB">
              <w:rPr>
                <w:rFonts w:eastAsia="Times New Roman" w:cs="Arial"/>
                <w:szCs w:val="20"/>
              </w:rPr>
              <w:t>$</w:t>
            </w:r>
            <w:r w:rsidR="00DE546F">
              <w:rPr>
                <w:rFonts w:eastAsia="Times New Roman" w:cs="Arial"/>
                <w:noProof/>
                <w:color w:val="000000"/>
                <w:szCs w:val="20"/>
                <w:highlight w:val="black"/>
              </w:rPr>
              <w:t>'''''''''''''''''''''</w:t>
            </w:r>
          </w:p>
        </w:tc>
        <w:tc>
          <w:tcPr>
            <w:tcW w:w="786" w:type="pct"/>
            <w:shd w:val="clear" w:color="auto" w:fill="auto"/>
            <w:vAlign w:val="center"/>
          </w:tcPr>
          <w:p w:rsidR="00EA289A" w:rsidRPr="00A47EA3" w:rsidRDefault="0033141F" w:rsidP="00DB45C2">
            <w:pPr>
              <w:pStyle w:val="TableText0"/>
              <w:jc w:val="center"/>
            </w:pPr>
            <w:r w:rsidRPr="00175DCB">
              <w:rPr>
                <w:rFonts w:eastAsia="Times New Roman" w:cs="Arial"/>
                <w:szCs w:val="20"/>
              </w:rPr>
              <w:t>$</w:t>
            </w:r>
            <w:r w:rsidR="00DE546F">
              <w:rPr>
                <w:rFonts w:eastAsia="Times New Roman" w:cs="Arial"/>
                <w:noProof/>
                <w:color w:val="000000"/>
                <w:szCs w:val="20"/>
                <w:highlight w:val="black"/>
              </w:rPr>
              <w:t>''''''''''''''''''''</w:t>
            </w:r>
          </w:p>
        </w:tc>
        <w:tc>
          <w:tcPr>
            <w:tcW w:w="707" w:type="pct"/>
            <w:shd w:val="clear" w:color="auto" w:fill="auto"/>
            <w:vAlign w:val="center"/>
          </w:tcPr>
          <w:p w:rsidR="00EA289A" w:rsidRPr="00A47EA3" w:rsidRDefault="00EA289A" w:rsidP="00F03F93">
            <w:pPr>
              <w:pStyle w:val="TableText0"/>
              <w:jc w:val="center"/>
            </w:pPr>
            <w:r w:rsidRPr="00A47EA3">
              <w:t>$1,039.32 (per week)</w:t>
            </w:r>
          </w:p>
        </w:tc>
        <w:tc>
          <w:tcPr>
            <w:tcW w:w="609" w:type="pct"/>
            <w:shd w:val="clear" w:color="auto" w:fill="auto"/>
            <w:vAlign w:val="center"/>
          </w:tcPr>
          <w:p w:rsidR="00EA289A" w:rsidRPr="00A47EA3" w:rsidRDefault="00EA289A" w:rsidP="00F03F93">
            <w:pPr>
              <w:pStyle w:val="TableText0"/>
              <w:jc w:val="center"/>
            </w:pPr>
            <w:r w:rsidRPr="00A47EA3">
              <w:t>$1,039.32 (per week)</w:t>
            </w:r>
          </w:p>
        </w:tc>
        <w:tc>
          <w:tcPr>
            <w:tcW w:w="698" w:type="pct"/>
          </w:tcPr>
          <w:p w:rsidR="00EA289A" w:rsidRPr="00A47EA3" w:rsidRDefault="00EA289A" w:rsidP="00F03F93">
            <w:pPr>
              <w:pStyle w:val="TableText0"/>
              <w:jc w:val="center"/>
            </w:pPr>
            <w:r w:rsidRPr="00A47EA3">
              <w:t>$4,</w:t>
            </w:r>
            <w:r w:rsidR="00C81106" w:rsidRPr="00A47EA3">
              <w:t>479.08</w:t>
            </w:r>
            <w:r w:rsidRPr="00A47EA3">
              <w:t xml:space="preserve"> (per 30-day script)</w:t>
            </w:r>
          </w:p>
        </w:tc>
      </w:tr>
      <w:tr w:rsidR="00EA289A" w:rsidRPr="00175DCB" w:rsidTr="00EA289A">
        <w:trPr>
          <w:cantSplit/>
          <w:jc w:val="center"/>
        </w:trPr>
        <w:tc>
          <w:tcPr>
            <w:tcW w:w="628" w:type="pct"/>
            <w:shd w:val="clear" w:color="auto" w:fill="auto"/>
            <w:vAlign w:val="center"/>
          </w:tcPr>
          <w:p w:rsidR="00EA289A" w:rsidRPr="00A47EA3" w:rsidRDefault="00EA289A" w:rsidP="00F03F93">
            <w:pPr>
              <w:pStyle w:val="TableText0"/>
              <w:rPr>
                <w:vertAlign w:val="superscript"/>
              </w:rPr>
            </w:pPr>
            <w:r w:rsidRPr="00A47EA3">
              <w:t>Cost/patient</w:t>
            </w:r>
          </w:p>
        </w:tc>
        <w:tc>
          <w:tcPr>
            <w:tcW w:w="786" w:type="pct"/>
            <w:shd w:val="clear" w:color="auto" w:fill="auto"/>
            <w:vAlign w:val="center"/>
          </w:tcPr>
          <w:p w:rsidR="00EA289A" w:rsidRPr="00A47EA3" w:rsidRDefault="003F3079" w:rsidP="00F03F93">
            <w:pPr>
              <w:pStyle w:val="TableText0"/>
              <w:jc w:val="center"/>
              <w:rPr>
                <w:iCs/>
              </w:rPr>
            </w:pPr>
            <w:r w:rsidRPr="00A47EA3">
              <w:rPr>
                <w:iCs/>
              </w:rPr>
              <w:t>$</w:t>
            </w:r>
            <w:r w:rsidR="00DE546F">
              <w:rPr>
                <w:iCs/>
                <w:noProof/>
                <w:color w:val="000000"/>
                <w:highlight w:val="black"/>
              </w:rPr>
              <w:t>''''''''''''''''''''''''</w:t>
            </w:r>
          </w:p>
        </w:tc>
        <w:tc>
          <w:tcPr>
            <w:tcW w:w="786" w:type="pct"/>
            <w:shd w:val="clear" w:color="auto" w:fill="auto"/>
            <w:vAlign w:val="center"/>
          </w:tcPr>
          <w:p w:rsidR="00EA289A" w:rsidRPr="00A47EA3" w:rsidRDefault="003F3079" w:rsidP="00F03F93">
            <w:pPr>
              <w:pStyle w:val="TableText0"/>
              <w:jc w:val="center"/>
              <w:rPr>
                <w:iCs/>
              </w:rPr>
            </w:pPr>
            <w:r w:rsidRPr="00A47EA3">
              <w:rPr>
                <w:iCs/>
              </w:rPr>
              <w:t>$</w:t>
            </w:r>
            <w:r w:rsidR="00DE546F">
              <w:rPr>
                <w:iCs/>
                <w:noProof/>
                <w:color w:val="000000"/>
                <w:highlight w:val="black"/>
              </w:rPr>
              <w:t>''''''''''''''''''''''''''</w:t>
            </w:r>
          </w:p>
        </w:tc>
        <w:tc>
          <w:tcPr>
            <w:tcW w:w="786" w:type="pct"/>
            <w:shd w:val="clear" w:color="auto" w:fill="auto"/>
            <w:vAlign w:val="center"/>
          </w:tcPr>
          <w:p w:rsidR="00EA289A" w:rsidRPr="00A47EA3" w:rsidRDefault="0028788E" w:rsidP="00F03F93">
            <w:pPr>
              <w:pStyle w:val="TableText0"/>
              <w:jc w:val="center"/>
              <w:rPr>
                <w:iCs/>
              </w:rPr>
            </w:pPr>
            <w:r w:rsidRPr="00A47EA3">
              <w:rPr>
                <w:iCs/>
              </w:rPr>
              <w:t>$</w:t>
            </w:r>
            <w:r w:rsidR="00DE546F">
              <w:rPr>
                <w:iCs/>
                <w:noProof/>
                <w:color w:val="000000"/>
                <w:highlight w:val="black"/>
              </w:rPr>
              <w:t>'''''''''''''''''''''''</w:t>
            </w:r>
          </w:p>
        </w:tc>
        <w:tc>
          <w:tcPr>
            <w:tcW w:w="707" w:type="pct"/>
            <w:shd w:val="clear" w:color="auto" w:fill="auto"/>
            <w:vAlign w:val="center"/>
          </w:tcPr>
          <w:p w:rsidR="00EA289A" w:rsidRPr="00A47EA3" w:rsidRDefault="00EA289A" w:rsidP="00F03F93">
            <w:pPr>
              <w:pStyle w:val="TableText0"/>
              <w:jc w:val="center"/>
              <w:rPr>
                <w:iCs/>
              </w:rPr>
            </w:pPr>
            <w:r w:rsidRPr="00A47EA3">
              <w:rPr>
                <w:rFonts w:cs="Calibri"/>
                <w:iCs/>
                <w:color w:val="000000"/>
                <w:szCs w:val="20"/>
              </w:rPr>
              <w:t>$19,046.33</w:t>
            </w:r>
          </w:p>
        </w:tc>
        <w:tc>
          <w:tcPr>
            <w:tcW w:w="609" w:type="pct"/>
            <w:shd w:val="clear" w:color="auto" w:fill="auto"/>
            <w:vAlign w:val="center"/>
          </w:tcPr>
          <w:p w:rsidR="00EA289A" w:rsidRPr="00A47EA3" w:rsidRDefault="00EA289A" w:rsidP="003F3079">
            <w:pPr>
              <w:pStyle w:val="TableText0"/>
              <w:jc w:val="center"/>
              <w:rPr>
                <w:iCs/>
              </w:rPr>
            </w:pPr>
            <w:r w:rsidRPr="00A47EA3">
              <w:rPr>
                <w:rFonts w:cs="Calibri"/>
                <w:iCs/>
                <w:color w:val="000000"/>
                <w:szCs w:val="20"/>
              </w:rPr>
              <w:t>$</w:t>
            </w:r>
            <w:r w:rsidR="001B1CBD" w:rsidRPr="00A47EA3">
              <w:rPr>
                <w:rFonts w:cs="Calibri"/>
                <w:iCs/>
                <w:color w:val="000000"/>
                <w:szCs w:val="20"/>
              </w:rPr>
              <w:t>19,959.73</w:t>
            </w:r>
          </w:p>
        </w:tc>
        <w:tc>
          <w:tcPr>
            <w:tcW w:w="698" w:type="pct"/>
            <w:vAlign w:val="center"/>
          </w:tcPr>
          <w:p w:rsidR="00EA289A" w:rsidRPr="00A47EA3" w:rsidRDefault="00EA289A" w:rsidP="00C81106">
            <w:pPr>
              <w:pStyle w:val="TableText0"/>
              <w:jc w:val="center"/>
              <w:rPr>
                <w:iCs/>
              </w:rPr>
            </w:pPr>
            <w:r w:rsidRPr="00A47EA3">
              <w:rPr>
                <w:rFonts w:cs="Calibri"/>
                <w:iCs/>
                <w:color w:val="000000"/>
                <w:szCs w:val="20"/>
              </w:rPr>
              <w:t>$</w:t>
            </w:r>
            <w:r w:rsidR="00C81106" w:rsidRPr="00A47EA3">
              <w:rPr>
                <w:rFonts w:cs="Calibri"/>
                <w:iCs/>
                <w:color w:val="000000"/>
                <w:szCs w:val="20"/>
              </w:rPr>
              <w:t>19,134.62</w:t>
            </w:r>
          </w:p>
        </w:tc>
      </w:tr>
    </w:tbl>
    <w:p w:rsidR="0033141F" w:rsidRPr="00175DCB" w:rsidRDefault="00EA289A" w:rsidP="00EA289A">
      <w:pPr>
        <w:pStyle w:val="TableFooter"/>
        <w:keepNext/>
      </w:pPr>
      <w:r w:rsidRPr="00175DCB">
        <w:t xml:space="preserve">Source: </w:t>
      </w:r>
      <w:r w:rsidR="003A4003" w:rsidRPr="00175DCB">
        <w:t xml:space="preserve">Table 17, </w:t>
      </w:r>
      <w:r w:rsidR="003A4003" w:rsidRPr="00175DCB">
        <w:rPr>
          <w:rFonts w:cstheme="minorHAnsi"/>
        </w:rPr>
        <w:t xml:space="preserve">mogamulizumab PBAC </w:t>
      </w:r>
      <w:r w:rsidR="00AE3A53">
        <w:rPr>
          <w:rFonts w:cstheme="minorHAnsi"/>
        </w:rPr>
        <w:t>PSD</w:t>
      </w:r>
      <w:r w:rsidR="003A4003" w:rsidRPr="00175DCB">
        <w:rPr>
          <w:rFonts w:cstheme="minorHAnsi"/>
        </w:rPr>
        <w:t>, July 2020 PBAC Meeting,</w:t>
      </w:r>
      <w:r w:rsidR="003A4003" w:rsidRPr="00175DCB">
        <w:t xml:space="preserve"> Minor submission economic workbook, Section 4 workbook minor</w:t>
      </w:r>
    </w:p>
    <w:p w:rsidR="00216590" w:rsidRPr="00175DCB" w:rsidRDefault="00216590" w:rsidP="00C66FF3">
      <w:pPr>
        <w:pStyle w:val="3Bodytext"/>
        <w:jc w:val="both"/>
      </w:pPr>
      <w:r w:rsidRPr="00175DCB">
        <w:t>The mean duration used for the financial estimates was based on the average time on treatment estimated from the July 2020 model (45 weeks which translated into 24.89 infusions of mogamulizumab</w:t>
      </w:r>
      <w:r w:rsidR="006E1E7F" w:rsidRPr="00175DCB">
        <w:t xml:space="preserve">, </w:t>
      </w:r>
      <w:r w:rsidRPr="00175DCB">
        <w:t xml:space="preserve">paragraph 6.68, </w:t>
      </w:r>
      <w:r w:rsidRPr="00175DCB">
        <w:rPr>
          <w:rFonts w:cs="Calibri"/>
          <w:bCs/>
        </w:rPr>
        <w:t xml:space="preserve">mogamulizumab PBAC </w:t>
      </w:r>
      <w:r w:rsidR="00AE3A53">
        <w:rPr>
          <w:rFonts w:cs="Calibri"/>
          <w:bCs/>
        </w:rPr>
        <w:t>PSD</w:t>
      </w:r>
      <w:r w:rsidRPr="00175DCB">
        <w:rPr>
          <w:rFonts w:cs="Calibri"/>
          <w:bCs/>
        </w:rPr>
        <w:t>, July 2020 PBAC Meeting)</w:t>
      </w:r>
      <w:r w:rsidRPr="00175DCB">
        <w:t xml:space="preserve">. The mean duration reported for the minor submission economic model </w:t>
      </w:r>
      <w:r w:rsidR="006972A4" w:rsidRPr="00175DCB">
        <w:t>(20.77</w:t>
      </w:r>
      <w:r w:rsidRPr="00175DCB">
        <w:t xml:space="preserve"> infusions) was lower than that reported in July 2020. </w:t>
      </w:r>
    </w:p>
    <w:p w:rsidR="005A3173" w:rsidRPr="00175DCB" w:rsidRDefault="005A3173" w:rsidP="00917D69">
      <w:pPr>
        <w:pStyle w:val="4-SubsectionHeading"/>
        <w:rPr>
          <w:lang w:eastAsia="en-US"/>
        </w:rPr>
      </w:pPr>
      <w:r w:rsidRPr="00175DCB">
        <w:rPr>
          <w:lang w:eastAsia="en-US"/>
        </w:rPr>
        <w:t>Estimated PBS usage &amp; financial implications</w:t>
      </w:r>
    </w:p>
    <w:p w:rsidR="00A076A5" w:rsidRDefault="00695213" w:rsidP="00695213">
      <w:pPr>
        <w:pStyle w:val="3Bodytext"/>
        <w:jc w:val="both"/>
      </w:pPr>
      <w:r w:rsidRPr="00175DCB">
        <w:t>The minor resubmission</w:t>
      </w:r>
      <w:r w:rsidR="00154EED" w:rsidRPr="00175DCB">
        <w:t xml:space="preserve"> presented revised estimates of utilisation and financial </w:t>
      </w:r>
      <w:r w:rsidR="00A1263F" w:rsidRPr="00175DCB">
        <w:t>impact, which</w:t>
      </w:r>
      <w:r w:rsidR="00154EED" w:rsidRPr="00175DCB">
        <w:t xml:space="preserve"> the resubmission stated reflect the narrowing of the eligible population to MF and SS, the reduction in the effective AEMP and suggestions and corrections identified during the evaluation of the July 2020 submission</w:t>
      </w:r>
      <w:r w:rsidR="00175DCB">
        <w:t xml:space="preserve">. </w:t>
      </w:r>
      <w:r w:rsidR="003A4003" w:rsidRPr="00175DCB">
        <w:t>Table 8</w:t>
      </w:r>
      <w:r w:rsidRPr="00175DCB">
        <w:t xml:space="preserve"> summarises the data sources used in the resubmission’s estimates and indicates whether the source is (u</w:t>
      </w:r>
      <w:r w:rsidR="008F7744" w:rsidRPr="00175DCB">
        <w:t>n)changed from the July 2020</w:t>
      </w:r>
      <w:r w:rsidRPr="00175DCB">
        <w:t xml:space="preserve"> submission.</w:t>
      </w:r>
    </w:p>
    <w:p w:rsidR="00A076A5" w:rsidRDefault="00A076A5">
      <w:pPr>
        <w:jc w:val="left"/>
        <w:rPr>
          <w:rFonts w:asciiTheme="minorHAnsi" w:eastAsiaTheme="minorHAnsi" w:hAnsiTheme="minorHAnsi" w:cstheme="minorBidi"/>
          <w:szCs w:val="22"/>
        </w:rPr>
      </w:pPr>
      <w:r>
        <w:br w:type="page"/>
      </w:r>
    </w:p>
    <w:p w:rsidR="00695213" w:rsidRPr="00A47EA3" w:rsidRDefault="00695213" w:rsidP="00695213">
      <w:pPr>
        <w:pStyle w:val="TableFigureHeading"/>
        <w:rPr>
          <w:rStyle w:val="CommentReference"/>
          <w:b w:val="0"/>
        </w:rPr>
      </w:pPr>
      <w:r w:rsidRPr="00A47EA3">
        <w:rPr>
          <w:rFonts w:eastAsia="Times New Roman" w:cs="Times New Roman"/>
          <w:bCs w:val="0"/>
          <w:szCs w:val="22"/>
        </w:rPr>
        <w:t xml:space="preserve">Table </w:t>
      </w:r>
      <w:r w:rsidR="003A4003" w:rsidRPr="00175DCB">
        <w:rPr>
          <w:rFonts w:eastAsia="Times New Roman" w:cs="Times New Roman"/>
          <w:bCs w:val="0"/>
          <w:szCs w:val="22"/>
        </w:rPr>
        <w:t>8</w:t>
      </w:r>
      <w:r w:rsidRPr="00175DCB">
        <w:rPr>
          <w:rFonts w:eastAsia="Times New Roman" w:cs="Times New Roman"/>
          <w:bCs w:val="0"/>
          <w:szCs w:val="22"/>
        </w:rPr>
        <w:t>: Key inputs for financial estimates</w:t>
      </w: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62"/>
        <w:gridCol w:w="3836"/>
        <w:gridCol w:w="4536"/>
      </w:tblGrid>
      <w:tr w:rsidR="008F7744" w:rsidRPr="00175DCB" w:rsidTr="008F7744">
        <w:trPr>
          <w:tblHeader/>
        </w:trPr>
        <w:tc>
          <w:tcPr>
            <w:tcW w:w="655" w:type="pct"/>
            <w:shd w:val="clear" w:color="auto" w:fill="auto"/>
            <w:vAlign w:val="center"/>
          </w:tcPr>
          <w:p w:rsidR="008F7744" w:rsidRPr="00175DCB" w:rsidRDefault="008F7744" w:rsidP="00C66FF3">
            <w:pPr>
              <w:pStyle w:val="In-tableHeading"/>
              <w:keepNext w:val="0"/>
              <w:rPr>
                <w:lang w:val="en-AU"/>
              </w:rPr>
            </w:pPr>
            <w:r w:rsidRPr="00175DCB">
              <w:rPr>
                <w:lang w:val="en-AU"/>
              </w:rPr>
              <w:t>Parameter</w:t>
            </w:r>
          </w:p>
        </w:tc>
        <w:tc>
          <w:tcPr>
            <w:tcW w:w="1991" w:type="pct"/>
            <w:shd w:val="clear" w:color="auto" w:fill="auto"/>
            <w:vAlign w:val="center"/>
          </w:tcPr>
          <w:p w:rsidR="008F7744" w:rsidRPr="00175DCB" w:rsidRDefault="008F7744" w:rsidP="00C66FF3">
            <w:pPr>
              <w:pStyle w:val="In-tableHeading"/>
              <w:keepNext w:val="0"/>
              <w:rPr>
                <w:lang w:val="en-AU"/>
              </w:rPr>
            </w:pPr>
            <w:r w:rsidRPr="00175DCB">
              <w:rPr>
                <w:lang w:val="en-AU"/>
              </w:rPr>
              <w:t>July 2020 submission</w:t>
            </w:r>
          </w:p>
          <w:p w:rsidR="008F7744" w:rsidRPr="00175DCB" w:rsidRDefault="008F7744" w:rsidP="00C66FF3">
            <w:pPr>
              <w:pStyle w:val="In-tableHeading"/>
              <w:keepNext w:val="0"/>
              <w:rPr>
                <w:lang w:val="en-AU"/>
              </w:rPr>
            </w:pPr>
            <w:r w:rsidRPr="00175DCB">
              <w:rPr>
                <w:lang w:val="en-AU"/>
              </w:rPr>
              <w:t>Value applied and source</w:t>
            </w:r>
          </w:p>
          <w:p w:rsidR="008F7744" w:rsidRPr="00175DCB" w:rsidRDefault="008F7744" w:rsidP="00C66FF3">
            <w:pPr>
              <w:pStyle w:val="In-tableHeading"/>
              <w:keepNext w:val="0"/>
              <w:rPr>
                <w:lang w:val="en-AU"/>
              </w:rPr>
            </w:pPr>
            <w:r w:rsidRPr="00175DCB">
              <w:rPr>
                <w:lang w:val="en-AU"/>
              </w:rPr>
              <w:t>(Comment)</w:t>
            </w:r>
          </w:p>
        </w:tc>
        <w:tc>
          <w:tcPr>
            <w:tcW w:w="2354" w:type="pct"/>
            <w:shd w:val="clear" w:color="auto" w:fill="auto"/>
            <w:vAlign w:val="center"/>
          </w:tcPr>
          <w:p w:rsidR="008F7744" w:rsidRPr="00175DCB" w:rsidRDefault="008F7744" w:rsidP="00C66FF3">
            <w:pPr>
              <w:pStyle w:val="In-tableHeading"/>
              <w:keepNext w:val="0"/>
              <w:rPr>
                <w:lang w:val="en-AU"/>
              </w:rPr>
            </w:pPr>
            <w:r w:rsidRPr="00175DCB">
              <w:rPr>
                <w:lang w:val="en-AU"/>
              </w:rPr>
              <w:t>Current resubmission</w:t>
            </w:r>
          </w:p>
          <w:p w:rsidR="008F7744" w:rsidRPr="00175DCB" w:rsidRDefault="008F7744" w:rsidP="00C66FF3">
            <w:pPr>
              <w:pStyle w:val="In-tableHeading"/>
              <w:keepNext w:val="0"/>
              <w:rPr>
                <w:lang w:val="en-AU"/>
              </w:rPr>
            </w:pPr>
            <w:r w:rsidRPr="00175DCB">
              <w:rPr>
                <w:lang w:val="en-AU"/>
              </w:rPr>
              <w:t>Value applied and source</w:t>
            </w:r>
          </w:p>
        </w:tc>
      </w:tr>
      <w:tr w:rsidR="008F7744" w:rsidRPr="00175DCB" w:rsidTr="008F7744">
        <w:tc>
          <w:tcPr>
            <w:tcW w:w="655" w:type="pct"/>
            <w:shd w:val="clear" w:color="auto" w:fill="auto"/>
            <w:vAlign w:val="center"/>
          </w:tcPr>
          <w:p w:rsidR="008F7744" w:rsidRPr="00175DCB" w:rsidRDefault="008F7744" w:rsidP="00C66FF3">
            <w:pPr>
              <w:pStyle w:val="TableText0"/>
              <w:keepNext w:val="0"/>
            </w:pPr>
            <w:r w:rsidRPr="00175DCB">
              <w:t>Prevalent population</w:t>
            </w:r>
          </w:p>
        </w:tc>
        <w:tc>
          <w:tcPr>
            <w:tcW w:w="1991" w:type="pct"/>
            <w:shd w:val="clear" w:color="auto" w:fill="auto"/>
            <w:vAlign w:val="center"/>
          </w:tcPr>
          <w:p w:rsidR="00EA255A" w:rsidRPr="00175DCB" w:rsidRDefault="008F7744" w:rsidP="00C66FF3">
            <w:pPr>
              <w:pStyle w:val="TableText0"/>
              <w:keepNext w:val="0"/>
            </w:pPr>
            <w:r w:rsidRPr="00175DCB">
              <w:t xml:space="preserve">Using reported 33-year prevalence of NHL reported by AIHW in 2014 (44,783 patients), the submission projected 51,442 patients with NHL in 2021 (assuming 2% growth of the Australian population; ABS). </w:t>
            </w:r>
          </w:p>
          <w:p w:rsidR="00EA255A" w:rsidRPr="00175DCB" w:rsidRDefault="00EA255A" w:rsidP="00C66FF3">
            <w:pPr>
              <w:pStyle w:val="TableText0"/>
              <w:keepNext w:val="0"/>
            </w:pPr>
          </w:p>
          <w:p w:rsidR="00EA255A" w:rsidRPr="00175DCB" w:rsidRDefault="008F7744" w:rsidP="00C66FF3">
            <w:pPr>
              <w:pStyle w:val="TableText0"/>
              <w:keepNext w:val="0"/>
            </w:pPr>
            <w:r w:rsidRPr="00175DCB">
              <w:t>The submission assumed 3% of NHL was CTCL based on LRC 2019 and Hu</w:t>
            </w:r>
            <w:r w:rsidR="009B722A" w:rsidRPr="00175DCB">
              <w:t>g</w:t>
            </w:r>
            <w:r w:rsidRPr="00175DCB">
              <w:t xml:space="preserve">hes et al. 2016. </w:t>
            </w:r>
          </w:p>
          <w:p w:rsidR="00E86430" w:rsidRPr="00175DCB" w:rsidRDefault="00E86430" w:rsidP="00C66FF3">
            <w:pPr>
              <w:pStyle w:val="TableText0"/>
              <w:keepNext w:val="0"/>
            </w:pPr>
          </w:p>
          <w:p w:rsidR="00EA255A" w:rsidRPr="00175DCB" w:rsidRDefault="00EA255A" w:rsidP="00C66FF3">
            <w:pPr>
              <w:pStyle w:val="TableText0"/>
              <w:keepNext w:val="0"/>
            </w:pPr>
          </w:p>
          <w:p w:rsidR="008F7744" w:rsidRPr="00175DCB" w:rsidRDefault="008F7744" w:rsidP="00C66FF3">
            <w:pPr>
              <w:pStyle w:val="TableText0"/>
              <w:keepNext w:val="0"/>
            </w:pPr>
            <w:r w:rsidRPr="00175DCB">
              <w:t>This resulted in the estimated number patients with CTCL of 1,543 in 2021.</w:t>
            </w:r>
          </w:p>
          <w:p w:rsidR="008F7744" w:rsidRPr="00175DCB" w:rsidRDefault="008F7744" w:rsidP="00C66FF3">
            <w:pPr>
              <w:pStyle w:val="TableText0"/>
              <w:keepNext w:val="0"/>
            </w:pPr>
            <w:r w:rsidRPr="00175DCB">
              <w:t xml:space="preserve"> </w:t>
            </w:r>
          </w:p>
          <w:p w:rsidR="008F7744" w:rsidRPr="00175DCB" w:rsidRDefault="008F7744" w:rsidP="00C66FF3">
            <w:pPr>
              <w:pStyle w:val="TableText0"/>
              <w:keepNext w:val="0"/>
            </w:pPr>
            <w:r w:rsidRPr="00175DCB">
              <w:t>(July 2020 commentary stated – May be reasonable)</w:t>
            </w:r>
          </w:p>
        </w:tc>
        <w:tc>
          <w:tcPr>
            <w:tcW w:w="2354" w:type="pct"/>
            <w:shd w:val="clear" w:color="auto" w:fill="auto"/>
          </w:tcPr>
          <w:p w:rsidR="008F7744" w:rsidRPr="00175DCB" w:rsidRDefault="00EA255A" w:rsidP="00C66FF3">
            <w:pPr>
              <w:pStyle w:val="TableText0"/>
              <w:keepNext w:val="0"/>
            </w:pPr>
            <w:r w:rsidRPr="00175DCB">
              <w:t xml:space="preserve">Unchanged </w:t>
            </w:r>
          </w:p>
          <w:p w:rsidR="00EA255A" w:rsidRPr="00175DCB" w:rsidRDefault="00EA255A" w:rsidP="00C66FF3">
            <w:pPr>
              <w:pStyle w:val="TableText0"/>
              <w:keepNext w:val="0"/>
            </w:pPr>
          </w:p>
          <w:p w:rsidR="00EA255A" w:rsidRPr="00175DCB" w:rsidRDefault="00EA255A" w:rsidP="00C66FF3">
            <w:pPr>
              <w:pStyle w:val="TableText0"/>
              <w:keepNext w:val="0"/>
            </w:pPr>
          </w:p>
          <w:p w:rsidR="00EA255A" w:rsidRPr="00175DCB" w:rsidRDefault="00EA255A" w:rsidP="00C66FF3">
            <w:pPr>
              <w:pStyle w:val="TableText0"/>
              <w:keepNext w:val="0"/>
            </w:pPr>
          </w:p>
          <w:p w:rsidR="00EA255A" w:rsidRPr="00175DCB" w:rsidRDefault="00EA255A" w:rsidP="00C66FF3">
            <w:pPr>
              <w:pStyle w:val="TableText0"/>
              <w:keepNext w:val="0"/>
            </w:pPr>
          </w:p>
          <w:p w:rsidR="00EA255A" w:rsidRPr="00175DCB" w:rsidRDefault="00EA255A" w:rsidP="00C66FF3">
            <w:pPr>
              <w:pStyle w:val="TableText0"/>
              <w:keepNext w:val="0"/>
            </w:pPr>
            <w:r w:rsidRPr="00175DCB">
              <w:t xml:space="preserve">The resubmission assumed 3.5% of NHL was CTCL based on Smith et al 2015. </w:t>
            </w:r>
            <w:r w:rsidR="00E86430" w:rsidRPr="00175DCB">
              <w:t>New estimates of the proportion of CTCL classified as MF (55.5%) and SS (2.5%) were derived from UK registry data</w:t>
            </w:r>
            <w:r w:rsidR="00E86430" w:rsidRPr="00175DCB">
              <w:rPr>
                <w:vertAlign w:val="superscript"/>
              </w:rPr>
              <w:t>a</w:t>
            </w:r>
            <w:r w:rsidR="00175DCB">
              <w:t xml:space="preserve">. </w:t>
            </w:r>
          </w:p>
          <w:p w:rsidR="00EA255A" w:rsidRPr="00175DCB" w:rsidRDefault="00EA255A" w:rsidP="00C66FF3">
            <w:pPr>
              <w:pStyle w:val="TableText0"/>
              <w:keepNext w:val="0"/>
            </w:pPr>
          </w:p>
          <w:p w:rsidR="00EA255A" w:rsidRPr="00175DCB" w:rsidRDefault="00E86430" w:rsidP="00C66FF3">
            <w:pPr>
              <w:pStyle w:val="TableText0"/>
              <w:keepNext w:val="0"/>
            </w:pPr>
            <w:r w:rsidRPr="00175DCB">
              <w:t>This resulted in the estimated number of patients with CTCL with MF or SS of 999 in 2021.</w:t>
            </w:r>
          </w:p>
        </w:tc>
      </w:tr>
      <w:tr w:rsidR="008F7744" w:rsidRPr="00175DCB" w:rsidTr="008F7744">
        <w:tc>
          <w:tcPr>
            <w:tcW w:w="655" w:type="pct"/>
            <w:shd w:val="clear" w:color="auto" w:fill="auto"/>
            <w:vAlign w:val="center"/>
          </w:tcPr>
          <w:p w:rsidR="008F7744" w:rsidRPr="00175DCB" w:rsidRDefault="008F7744" w:rsidP="00C66FF3">
            <w:pPr>
              <w:pStyle w:val="TableText0"/>
              <w:keepNext w:val="0"/>
            </w:pPr>
            <w:r w:rsidRPr="00175DCB">
              <w:t>Total patients</w:t>
            </w:r>
          </w:p>
        </w:tc>
        <w:tc>
          <w:tcPr>
            <w:tcW w:w="1991" w:type="pct"/>
            <w:shd w:val="clear" w:color="auto" w:fill="auto"/>
            <w:vAlign w:val="center"/>
          </w:tcPr>
          <w:p w:rsidR="008F7744" w:rsidRPr="00175DCB" w:rsidRDefault="008F7744" w:rsidP="00CB706A">
            <w:pPr>
              <w:pStyle w:val="TableText0"/>
              <w:keepNext w:val="0"/>
              <w:numPr>
                <w:ilvl w:val="0"/>
                <w:numId w:val="8"/>
              </w:numPr>
              <w:ind w:left="165" w:hanging="165"/>
            </w:pPr>
            <w:r w:rsidRPr="00175DCB">
              <w:t>20% of patients have RR after ≥ 1 prior systemic therapy (assumption)</w:t>
            </w:r>
          </w:p>
          <w:p w:rsidR="00E86430" w:rsidRPr="00175DCB" w:rsidRDefault="00E86430" w:rsidP="00C66FF3">
            <w:pPr>
              <w:pStyle w:val="TableText0"/>
              <w:keepNext w:val="0"/>
              <w:ind w:left="165"/>
            </w:pPr>
          </w:p>
          <w:p w:rsidR="008F7744" w:rsidRPr="00175DCB" w:rsidRDefault="008F7744" w:rsidP="00CB706A">
            <w:pPr>
              <w:pStyle w:val="TableText0"/>
              <w:keepNext w:val="0"/>
              <w:numPr>
                <w:ilvl w:val="0"/>
                <w:numId w:val="8"/>
              </w:numPr>
              <w:ind w:left="165" w:hanging="165"/>
            </w:pPr>
            <w:r w:rsidRPr="00175DCB">
              <w:t>50% of eligible patients elect further pharmacotherapy (assumption)</w:t>
            </w:r>
          </w:p>
          <w:p w:rsidR="008F7744" w:rsidRPr="00175DCB" w:rsidRDefault="008F7744" w:rsidP="00C66FF3">
            <w:pPr>
              <w:pStyle w:val="TableText0"/>
              <w:keepNext w:val="0"/>
            </w:pPr>
          </w:p>
          <w:p w:rsidR="008F7744" w:rsidRPr="00175DCB" w:rsidRDefault="008F7744" w:rsidP="00C66FF3">
            <w:pPr>
              <w:pStyle w:val="TableText0"/>
              <w:keepNext w:val="0"/>
            </w:pPr>
            <w:r w:rsidRPr="00175DCB">
              <w:t>(July 2020 commentary stated – Uncertain and unjustified in the submission)</w:t>
            </w:r>
          </w:p>
        </w:tc>
        <w:tc>
          <w:tcPr>
            <w:tcW w:w="2354" w:type="pct"/>
            <w:shd w:val="clear" w:color="auto" w:fill="auto"/>
          </w:tcPr>
          <w:p w:rsidR="00E86430" w:rsidRPr="00175DCB" w:rsidRDefault="00E86430" w:rsidP="00CB706A">
            <w:pPr>
              <w:pStyle w:val="TableText0"/>
              <w:keepNext w:val="0"/>
              <w:numPr>
                <w:ilvl w:val="0"/>
                <w:numId w:val="8"/>
              </w:numPr>
              <w:ind w:left="165" w:hanging="165"/>
            </w:pPr>
            <w:r w:rsidRPr="00175DCB">
              <w:t>25% of patients have RR after ≥ 1 prior systemic therapy (assumption)</w:t>
            </w:r>
          </w:p>
          <w:p w:rsidR="00E86430" w:rsidRPr="00175DCB" w:rsidRDefault="00E86430" w:rsidP="00C66FF3">
            <w:pPr>
              <w:pStyle w:val="TableText0"/>
              <w:keepNext w:val="0"/>
              <w:ind w:left="165"/>
            </w:pPr>
          </w:p>
          <w:p w:rsidR="008F7744" w:rsidRPr="00175DCB" w:rsidRDefault="00E86430" w:rsidP="00CB706A">
            <w:pPr>
              <w:pStyle w:val="TableText0"/>
              <w:keepNext w:val="0"/>
              <w:numPr>
                <w:ilvl w:val="0"/>
                <w:numId w:val="8"/>
              </w:numPr>
              <w:ind w:left="165" w:hanging="165"/>
            </w:pPr>
            <w:r w:rsidRPr="00175DCB">
              <w:t xml:space="preserve">Unchanged (50% of eligible patients elect further pharmacotherapy [assumption]) </w:t>
            </w:r>
          </w:p>
        </w:tc>
      </w:tr>
      <w:tr w:rsidR="008F7744" w:rsidRPr="00175DCB" w:rsidTr="008F7744">
        <w:tc>
          <w:tcPr>
            <w:tcW w:w="655" w:type="pct"/>
            <w:shd w:val="clear" w:color="auto" w:fill="auto"/>
            <w:vAlign w:val="center"/>
          </w:tcPr>
          <w:p w:rsidR="008F7744" w:rsidRPr="00175DCB" w:rsidRDefault="008F7744" w:rsidP="00C66FF3">
            <w:pPr>
              <w:pStyle w:val="TableText0"/>
              <w:keepNext w:val="0"/>
            </w:pPr>
            <w:r w:rsidRPr="00175DCB">
              <w:t>Uptake rate</w:t>
            </w:r>
          </w:p>
        </w:tc>
        <w:tc>
          <w:tcPr>
            <w:tcW w:w="1991" w:type="pct"/>
            <w:shd w:val="clear" w:color="auto" w:fill="auto"/>
            <w:vAlign w:val="center"/>
          </w:tcPr>
          <w:p w:rsidR="008F7744" w:rsidRPr="00175DCB" w:rsidRDefault="008F7744" w:rsidP="00C66FF3">
            <w:pPr>
              <w:pStyle w:val="TableText0"/>
              <w:keepNext w:val="0"/>
            </w:pPr>
            <w:r w:rsidRPr="00175DCB">
              <w:t>14% in Year 1 increasing to 40% in Year 4-6. Based on overseas experience and local market research</w:t>
            </w:r>
          </w:p>
          <w:p w:rsidR="008F7744" w:rsidRPr="00175DCB" w:rsidRDefault="008F7744" w:rsidP="00C66FF3">
            <w:pPr>
              <w:pStyle w:val="TableText0"/>
              <w:keepNext w:val="0"/>
            </w:pPr>
          </w:p>
          <w:p w:rsidR="008F7744" w:rsidRPr="00175DCB" w:rsidRDefault="008F7744" w:rsidP="00C66FF3">
            <w:pPr>
              <w:pStyle w:val="TableText0"/>
              <w:keepNext w:val="0"/>
            </w:pPr>
            <w:r w:rsidRPr="00175DCB">
              <w:t>(July 2020 commentary stated – Appears reasonable based on the available data)</w:t>
            </w:r>
          </w:p>
        </w:tc>
        <w:tc>
          <w:tcPr>
            <w:tcW w:w="2354" w:type="pct"/>
            <w:shd w:val="clear" w:color="auto" w:fill="auto"/>
          </w:tcPr>
          <w:p w:rsidR="008F7744" w:rsidRPr="00175DCB" w:rsidRDefault="00F05C36" w:rsidP="00C66FF3">
            <w:pPr>
              <w:pStyle w:val="TableText0"/>
              <w:keepNext w:val="0"/>
            </w:pPr>
            <w:r w:rsidRPr="00175DCB">
              <w:t xml:space="preserve">25% in Year 1 increasing to 45% in Year 3-6. Assumption. </w:t>
            </w:r>
          </w:p>
        </w:tc>
      </w:tr>
      <w:tr w:rsidR="008F7744" w:rsidRPr="00175DCB" w:rsidTr="008F7744">
        <w:tc>
          <w:tcPr>
            <w:tcW w:w="655" w:type="pct"/>
            <w:shd w:val="clear" w:color="auto" w:fill="auto"/>
            <w:vAlign w:val="center"/>
          </w:tcPr>
          <w:p w:rsidR="008F7744" w:rsidRPr="00175DCB" w:rsidRDefault="008F7744" w:rsidP="00C66FF3">
            <w:pPr>
              <w:pStyle w:val="TableText0"/>
              <w:keepNext w:val="0"/>
            </w:pPr>
            <w:r w:rsidRPr="00175DCB">
              <w:t>Compliance rate</w:t>
            </w:r>
          </w:p>
          <w:p w:rsidR="008F7744" w:rsidRPr="00175DCB" w:rsidRDefault="008F7744" w:rsidP="00C66FF3">
            <w:pPr>
              <w:pStyle w:val="TableText0"/>
              <w:keepNext w:val="0"/>
            </w:pPr>
          </w:p>
        </w:tc>
        <w:tc>
          <w:tcPr>
            <w:tcW w:w="1991" w:type="pct"/>
            <w:shd w:val="clear" w:color="auto" w:fill="auto"/>
          </w:tcPr>
          <w:p w:rsidR="008F7744" w:rsidRPr="00175DCB" w:rsidRDefault="008F7744" w:rsidP="00C66FF3">
            <w:pPr>
              <w:pStyle w:val="TableText0"/>
              <w:keepNext w:val="0"/>
            </w:pPr>
            <w:r w:rsidRPr="00175DCB">
              <w:t>95% compliance rate based on MAVORIC</w:t>
            </w:r>
          </w:p>
          <w:p w:rsidR="008F7744" w:rsidRPr="00175DCB" w:rsidRDefault="008F7744" w:rsidP="00C66FF3">
            <w:pPr>
              <w:pStyle w:val="TableText0"/>
              <w:keepNext w:val="0"/>
            </w:pPr>
          </w:p>
          <w:p w:rsidR="008F7744" w:rsidRPr="00175DCB" w:rsidRDefault="008F7744" w:rsidP="00C66FF3">
            <w:pPr>
              <w:pStyle w:val="TableText0"/>
              <w:keepNext w:val="0"/>
            </w:pPr>
            <w:r w:rsidRPr="00175DCB">
              <w:t>(July 2020 commentary stated – Reasonable)</w:t>
            </w:r>
          </w:p>
        </w:tc>
        <w:tc>
          <w:tcPr>
            <w:tcW w:w="2354" w:type="pct"/>
            <w:shd w:val="clear" w:color="auto" w:fill="auto"/>
          </w:tcPr>
          <w:p w:rsidR="008F7744" w:rsidRPr="00175DCB" w:rsidRDefault="00F05C36" w:rsidP="00C66FF3">
            <w:pPr>
              <w:pStyle w:val="TableText0"/>
              <w:keepNext w:val="0"/>
            </w:pPr>
            <w:r w:rsidRPr="00175DCB">
              <w:t>Unchanged</w:t>
            </w:r>
          </w:p>
        </w:tc>
      </w:tr>
      <w:tr w:rsidR="008F7744" w:rsidRPr="00175DCB" w:rsidTr="008F7744">
        <w:tc>
          <w:tcPr>
            <w:tcW w:w="655" w:type="pct"/>
            <w:shd w:val="clear" w:color="auto" w:fill="auto"/>
            <w:vAlign w:val="center"/>
          </w:tcPr>
          <w:p w:rsidR="008F7744" w:rsidRPr="00175DCB" w:rsidRDefault="008F7744" w:rsidP="00C66FF3">
            <w:pPr>
              <w:pStyle w:val="TableText0"/>
              <w:keepNext w:val="0"/>
            </w:pPr>
            <w:r w:rsidRPr="00175DCB">
              <w:t>Dose/duration</w:t>
            </w:r>
          </w:p>
        </w:tc>
        <w:tc>
          <w:tcPr>
            <w:tcW w:w="1991" w:type="pct"/>
            <w:shd w:val="clear" w:color="auto" w:fill="auto"/>
            <w:vAlign w:val="center"/>
          </w:tcPr>
          <w:p w:rsidR="008F7744" w:rsidRPr="00175DCB" w:rsidRDefault="008F7744" w:rsidP="00C66FF3">
            <w:pPr>
              <w:pStyle w:val="TableText0"/>
              <w:keepNext w:val="0"/>
            </w:pPr>
            <w:r w:rsidRPr="00175DCB">
              <w:t>24.8 scripts a year; 8 scripts for initial treatment; 24 scripts for continuing treatment (70% of initial patients based on MAVORIC)</w:t>
            </w:r>
          </w:p>
          <w:p w:rsidR="008F7744" w:rsidRPr="00175DCB" w:rsidRDefault="008F7744" w:rsidP="00C66FF3">
            <w:pPr>
              <w:pStyle w:val="TableText0"/>
              <w:keepNext w:val="0"/>
            </w:pPr>
          </w:p>
          <w:p w:rsidR="008F7744" w:rsidRPr="00175DCB" w:rsidRDefault="008F7744" w:rsidP="00C66FF3">
            <w:pPr>
              <w:pStyle w:val="TableText0"/>
              <w:keepNext w:val="0"/>
              <w:jc w:val="both"/>
            </w:pPr>
            <w:r w:rsidRPr="00175DCB">
              <w:t>(July 2020 commentary stated - Consistent with the dose/duration in the economic evaluation)</w:t>
            </w:r>
          </w:p>
        </w:tc>
        <w:tc>
          <w:tcPr>
            <w:tcW w:w="2354" w:type="pct"/>
            <w:shd w:val="clear" w:color="auto" w:fill="auto"/>
          </w:tcPr>
          <w:p w:rsidR="008F7744" w:rsidRPr="00175DCB" w:rsidRDefault="001C0872" w:rsidP="00C66FF3">
            <w:pPr>
              <w:pStyle w:val="TableText0"/>
              <w:keepNext w:val="0"/>
            </w:pPr>
            <w:r w:rsidRPr="00175DCB">
              <w:t>Unchanged</w:t>
            </w:r>
          </w:p>
          <w:p w:rsidR="00A603F2" w:rsidRPr="00175DCB" w:rsidRDefault="00A603F2" w:rsidP="00C66FF3">
            <w:pPr>
              <w:pStyle w:val="TableText0"/>
              <w:keepNext w:val="0"/>
            </w:pPr>
          </w:p>
          <w:p w:rsidR="00A603F2" w:rsidRPr="00175DCB" w:rsidRDefault="00555408" w:rsidP="00C66FF3">
            <w:pPr>
              <w:pStyle w:val="TableText0"/>
              <w:keepNext w:val="0"/>
            </w:pPr>
            <w:r w:rsidRPr="00175DCB">
              <w:t xml:space="preserve">The </w:t>
            </w:r>
            <w:r w:rsidR="00216590" w:rsidRPr="00175DCB">
              <w:t xml:space="preserve">mean duration in the minor submission economic model translates </w:t>
            </w:r>
            <w:r w:rsidR="006E1E7F" w:rsidRPr="00175DCB">
              <w:t>in</w:t>
            </w:r>
            <w:r w:rsidR="00216590" w:rsidRPr="00175DCB">
              <w:t xml:space="preserve">to </w:t>
            </w:r>
            <w:r w:rsidR="006972A4" w:rsidRPr="00175DCB">
              <w:t>20.77</w:t>
            </w:r>
            <w:r w:rsidR="00216590" w:rsidRPr="00175DCB">
              <w:t xml:space="preserve"> </w:t>
            </w:r>
            <w:r w:rsidR="00A1263F" w:rsidRPr="00175DCB">
              <w:t>infusions,</w:t>
            </w:r>
            <w:r w:rsidR="00752716" w:rsidRPr="00175DCB">
              <w:t xml:space="preserve"> which </w:t>
            </w:r>
            <w:r w:rsidR="006E1E7F" w:rsidRPr="00175DCB">
              <w:t xml:space="preserve">is </w:t>
            </w:r>
            <w:r w:rsidR="00752716" w:rsidRPr="00175DCB">
              <w:t xml:space="preserve">lower </w:t>
            </w:r>
            <w:r w:rsidR="006E1E7F" w:rsidRPr="00175DCB">
              <w:t>than the number of scripts per</w:t>
            </w:r>
            <w:r w:rsidR="00752716" w:rsidRPr="00175DCB">
              <w:t xml:space="preserve"> </w:t>
            </w:r>
            <w:r w:rsidR="006E1E7F" w:rsidRPr="00175DCB">
              <w:t xml:space="preserve">year </w:t>
            </w:r>
            <w:r w:rsidR="00752716" w:rsidRPr="00175DCB">
              <w:t xml:space="preserve">used in the financial estimates </w:t>
            </w:r>
            <w:r w:rsidR="00216590" w:rsidRPr="00175DCB">
              <w:t xml:space="preserve">(see paragraph 5.17). </w:t>
            </w:r>
          </w:p>
        </w:tc>
      </w:tr>
      <w:tr w:rsidR="008F7744" w:rsidRPr="00175DCB" w:rsidTr="008F7744">
        <w:tc>
          <w:tcPr>
            <w:tcW w:w="655" w:type="pct"/>
            <w:shd w:val="clear" w:color="auto" w:fill="auto"/>
            <w:vAlign w:val="center"/>
          </w:tcPr>
          <w:p w:rsidR="008F7744" w:rsidRPr="00175DCB" w:rsidRDefault="008F7744" w:rsidP="00C66FF3">
            <w:pPr>
              <w:pStyle w:val="TableText0"/>
              <w:keepNext w:val="0"/>
            </w:pPr>
            <w:r w:rsidRPr="00175DCB">
              <w:t>Offsets for comparator/ subsequent therapies</w:t>
            </w:r>
          </w:p>
        </w:tc>
        <w:tc>
          <w:tcPr>
            <w:tcW w:w="1991" w:type="pct"/>
            <w:shd w:val="clear" w:color="auto" w:fill="auto"/>
            <w:vAlign w:val="center"/>
          </w:tcPr>
          <w:p w:rsidR="008F7744" w:rsidRPr="00175DCB" w:rsidRDefault="008F7744" w:rsidP="00C66FF3">
            <w:pPr>
              <w:pStyle w:val="TableText0"/>
              <w:keepNext w:val="0"/>
            </w:pPr>
            <w:r w:rsidRPr="00175DCB">
              <w:t>50% of mogamulizumab use will be as a replacement for vorinostat and brentuximab</w:t>
            </w:r>
            <w:r w:rsidR="00B53D30" w:rsidRPr="00175DCB">
              <w:t xml:space="preserve"> vedotin</w:t>
            </w:r>
            <w:r w:rsidRPr="00175DCB">
              <w:t xml:space="preserve"> (70% of replacement is for vorinostat and 30% for brentuximab</w:t>
            </w:r>
            <w:r w:rsidR="00B53D30" w:rsidRPr="00175DCB">
              <w:t xml:space="preserve"> vedotin</w:t>
            </w:r>
            <w:r w:rsidRPr="00175DCB">
              <w:t>)</w:t>
            </w:r>
          </w:p>
          <w:p w:rsidR="008F7744" w:rsidRPr="00175DCB" w:rsidRDefault="008F7744" w:rsidP="00C66FF3">
            <w:pPr>
              <w:pStyle w:val="TableText0"/>
              <w:keepNext w:val="0"/>
            </w:pPr>
          </w:p>
          <w:p w:rsidR="008F7744" w:rsidRPr="00175DCB" w:rsidRDefault="008F7744" w:rsidP="00C66FF3">
            <w:pPr>
              <w:pStyle w:val="TableText0"/>
              <w:keepNext w:val="0"/>
            </w:pPr>
            <w:r w:rsidRPr="00175DCB">
              <w:t xml:space="preserve">(July 2020 commentary stated - </w:t>
            </w:r>
            <w:r w:rsidRPr="00175DCB">
              <w:rPr>
                <w:iCs/>
              </w:rPr>
              <w:t xml:space="preserve">Unjustified. Brentuximab </w:t>
            </w:r>
            <w:r w:rsidR="00B53D30" w:rsidRPr="00175DCB">
              <w:rPr>
                <w:iCs/>
              </w:rPr>
              <w:t xml:space="preserve">vedotin </w:t>
            </w:r>
            <w:r w:rsidRPr="00175DCB">
              <w:rPr>
                <w:iCs/>
              </w:rPr>
              <w:t>was not included in the economic evaluation)</w:t>
            </w:r>
          </w:p>
        </w:tc>
        <w:tc>
          <w:tcPr>
            <w:tcW w:w="2354" w:type="pct"/>
            <w:shd w:val="clear" w:color="auto" w:fill="auto"/>
          </w:tcPr>
          <w:p w:rsidR="008F7744" w:rsidRPr="00175DCB" w:rsidRDefault="001C0872" w:rsidP="00C66FF3">
            <w:pPr>
              <w:pStyle w:val="TableText0"/>
              <w:keepNext w:val="0"/>
              <w:rPr>
                <w:iCs/>
              </w:rPr>
            </w:pPr>
            <w:r w:rsidRPr="00175DCB">
              <w:rPr>
                <w:iCs/>
              </w:rPr>
              <w:t xml:space="preserve">50% of mogamulizumab use will be as a replacement for vorinostat. </w:t>
            </w:r>
          </w:p>
          <w:p w:rsidR="00113428" w:rsidRPr="00175DCB" w:rsidRDefault="00113428" w:rsidP="00C66FF3">
            <w:pPr>
              <w:pStyle w:val="TableText0"/>
              <w:keepNext w:val="0"/>
              <w:rPr>
                <w:iCs/>
              </w:rPr>
            </w:pPr>
          </w:p>
          <w:p w:rsidR="00113428" w:rsidRPr="00175DCB" w:rsidRDefault="00113428" w:rsidP="00C66FF3">
            <w:pPr>
              <w:pStyle w:val="TableText0"/>
              <w:keepNext w:val="0"/>
              <w:rPr>
                <w:iCs/>
              </w:rPr>
            </w:pPr>
            <w:r w:rsidRPr="00175DCB">
              <w:t xml:space="preserve">It is assumed that brentuximab </w:t>
            </w:r>
            <w:r w:rsidR="00B53D30" w:rsidRPr="00175DCB">
              <w:t xml:space="preserve">vedotin </w:t>
            </w:r>
            <w:r w:rsidRPr="00175DCB">
              <w:t>would be a preferred option in the minority of patients with CD30+ disease and that mogamulizumab will only impact vorinostat</w:t>
            </w:r>
            <w:r w:rsidR="00175DCB">
              <w:t xml:space="preserve">. </w:t>
            </w:r>
            <w:r w:rsidRPr="00175DCB">
              <w:t xml:space="preserve"> </w:t>
            </w:r>
          </w:p>
        </w:tc>
      </w:tr>
      <w:tr w:rsidR="008F7744" w:rsidRPr="00175DCB" w:rsidTr="008F7744">
        <w:tc>
          <w:tcPr>
            <w:tcW w:w="655" w:type="pct"/>
            <w:shd w:val="clear" w:color="auto" w:fill="auto"/>
            <w:vAlign w:val="center"/>
          </w:tcPr>
          <w:p w:rsidR="008F7744" w:rsidRPr="00175DCB" w:rsidRDefault="008F7744" w:rsidP="00C66FF3">
            <w:pPr>
              <w:pStyle w:val="TableText0"/>
              <w:keepNext w:val="0"/>
            </w:pPr>
            <w:r w:rsidRPr="00175DCB">
              <w:t>MBS</w:t>
            </w:r>
          </w:p>
        </w:tc>
        <w:tc>
          <w:tcPr>
            <w:tcW w:w="1991" w:type="pct"/>
            <w:shd w:val="clear" w:color="auto" w:fill="auto"/>
            <w:vAlign w:val="center"/>
          </w:tcPr>
          <w:p w:rsidR="008F7744" w:rsidRPr="00175DCB" w:rsidRDefault="008F7744" w:rsidP="00C66FF3">
            <w:pPr>
              <w:pStyle w:val="TableText0"/>
              <w:keepNext w:val="0"/>
            </w:pPr>
            <w:r w:rsidRPr="00175DCB">
              <w:t>None</w:t>
            </w:r>
          </w:p>
          <w:p w:rsidR="008F7744" w:rsidRPr="00175DCB" w:rsidRDefault="008F7744" w:rsidP="00C66FF3">
            <w:pPr>
              <w:pStyle w:val="TableText0"/>
              <w:keepNext w:val="0"/>
            </w:pPr>
          </w:p>
          <w:p w:rsidR="008F7744" w:rsidRPr="00175DCB" w:rsidRDefault="008F7744" w:rsidP="00C66FF3">
            <w:pPr>
              <w:pStyle w:val="TableText0"/>
              <w:keepNext w:val="0"/>
            </w:pPr>
            <w:r w:rsidRPr="00175DCB">
              <w:t>(July 2020 commentary stated - Administration cost ($99.50 per infusion) while included in the economic model, it was not included in the financial estimate)</w:t>
            </w:r>
          </w:p>
        </w:tc>
        <w:tc>
          <w:tcPr>
            <w:tcW w:w="2354" w:type="pct"/>
            <w:shd w:val="clear" w:color="auto" w:fill="auto"/>
          </w:tcPr>
          <w:p w:rsidR="008F7744" w:rsidRPr="00175DCB" w:rsidRDefault="008F7744" w:rsidP="00C66FF3">
            <w:pPr>
              <w:pStyle w:val="TableText0"/>
              <w:keepNext w:val="0"/>
              <w:rPr>
                <w:iCs/>
              </w:rPr>
            </w:pPr>
            <w:r w:rsidRPr="00175DCB">
              <w:t xml:space="preserve"> </w:t>
            </w:r>
            <w:r w:rsidR="00CA13E8" w:rsidRPr="00175DCB">
              <w:t>Unchanged</w:t>
            </w:r>
          </w:p>
        </w:tc>
      </w:tr>
    </w:tbl>
    <w:p w:rsidR="00695213" w:rsidRPr="00175DCB" w:rsidRDefault="00695213" w:rsidP="00695213">
      <w:pPr>
        <w:pStyle w:val="TableFigureFooter"/>
      </w:pPr>
      <w:r w:rsidRPr="00175DCB">
        <w:t xml:space="preserve">Source: Table 18, </w:t>
      </w:r>
      <w:r w:rsidRPr="00175DCB">
        <w:rPr>
          <w:rFonts w:cstheme="minorHAnsi"/>
        </w:rPr>
        <w:t xml:space="preserve">mogamulizumab PBAC </w:t>
      </w:r>
      <w:r w:rsidR="00AE3A53">
        <w:rPr>
          <w:rFonts w:cstheme="minorHAnsi"/>
        </w:rPr>
        <w:t>PSD</w:t>
      </w:r>
      <w:r w:rsidRPr="00175DCB">
        <w:rPr>
          <w:rFonts w:cstheme="minorHAnsi"/>
        </w:rPr>
        <w:t>, July 2020 PBAC Meeting</w:t>
      </w:r>
      <w:r w:rsidR="00E86430" w:rsidRPr="00175DCB">
        <w:rPr>
          <w:rFonts w:cstheme="minorHAnsi"/>
        </w:rPr>
        <w:t>, Mogamulizumab minor resubmission and Section 4 workbook minor.</w:t>
      </w:r>
    </w:p>
    <w:p w:rsidR="00695213" w:rsidRPr="00175DCB" w:rsidRDefault="00695213" w:rsidP="00695213">
      <w:pPr>
        <w:pStyle w:val="TableFigureFooter"/>
        <w:spacing w:after="0"/>
      </w:pPr>
      <w:r w:rsidRPr="00175DCB">
        <w:t xml:space="preserve">Abbreviations: ABS = Australia Bureau of Statistics; AIHW = Australia Institute of Health and Welfare; CTCL = Cutaneous T-cell lymphoma; MBS = </w:t>
      </w:r>
      <w:r w:rsidRPr="00175DCB">
        <w:rPr>
          <w:szCs w:val="18"/>
        </w:rPr>
        <w:t>Medical Benefits Schedule</w:t>
      </w:r>
      <w:r w:rsidRPr="00175DCB">
        <w:t>; NHL = Non-Hodgkin’s Lymphoma; PBS = Pharmaceutical Benefits Scheme; RR = relapsed or refractory.</w:t>
      </w:r>
    </w:p>
    <w:p w:rsidR="00695213" w:rsidRPr="00175DCB" w:rsidRDefault="00E86430" w:rsidP="00CA13E8">
      <w:pPr>
        <w:pStyle w:val="EndNoteBibliography"/>
        <w:rPr>
          <w:rFonts w:ascii="Arial Narrow" w:eastAsia="Times New Roman" w:hAnsi="Arial Narrow" w:cs="Arial"/>
          <w:noProof w:val="0"/>
          <w:snapToGrid w:val="0"/>
          <w:sz w:val="18"/>
          <w:szCs w:val="18"/>
          <w:lang w:val="en-AU" w:eastAsia="en-AU" w:bidi="ar-SA"/>
        </w:rPr>
      </w:pPr>
      <w:r w:rsidRPr="00175DCB">
        <w:rPr>
          <w:rFonts w:ascii="Arial Narrow" w:eastAsia="Times New Roman" w:hAnsi="Arial Narrow" w:cs="Arial"/>
          <w:noProof w:val="0"/>
          <w:snapToGrid w:val="0"/>
          <w:sz w:val="18"/>
          <w:szCs w:val="18"/>
          <w:vertAlign w:val="superscript"/>
          <w:lang w:val="en-AU" w:eastAsia="en-AU" w:bidi="ar-SA"/>
        </w:rPr>
        <w:t>a</w:t>
      </w:r>
      <w:r w:rsidRPr="00175DCB">
        <w:rPr>
          <w:rFonts w:ascii="Arial Narrow" w:eastAsia="Times New Roman" w:hAnsi="Arial Narrow" w:cs="Arial"/>
          <w:noProof w:val="0"/>
          <w:snapToGrid w:val="0"/>
          <w:sz w:val="18"/>
          <w:szCs w:val="18"/>
          <w:lang w:val="en-AU" w:eastAsia="en-AU" w:bidi="ar-SA"/>
        </w:rPr>
        <w:t xml:space="preserve"> Public Health England. 2016. National Cancer Registration and Analysis Services Short Report 2016397 (accessed 27th March 2019) http://www.ncin.org.uk/view?rid=3275.</w:t>
      </w:r>
    </w:p>
    <w:p w:rsidR="00D85BE1" w:rsidRPr="00175DCB" w:rsidRDefault="00D85BE1" w:rsidP="008B765F">
      <w:pPr>
        <w:pStyle w:val="3Bodytext"/>
        <w:jc w:val="both"/>
      </w:pPr>
      <w:r w:rsidRPr="00175DCB">
        <w:t>Th</w:t>
      </w:r>
      <w:r w:rsidR="00D17227" w:rsidRPr="00175DCB">
        <w:t xml:space="preserve">e </w:t>
      </w:r>
      <w:r w:rsidR="00D02007" w:rsidRPr="00175DCB">
        <w:t>minor submission entered the incorrect dose per period for MF and SS patients when determining the number o</w:t>
      </w:r>
      <w:r w:rsidR="003A4003" w:rsidRPr="00175DCB">
        <w:t>f mogamulizumab scripts (Table 9</w:t>
      </w:r>
      <w:r w:rsidR="00D02007" w:rsidRPr="00175DCB">
        <w:t xml:space="preserve">). This resulted in an incorrect number of scripts per treatment. </w:t>
      </w:r>
    </w:p>
    <w:p w:rsidR="00D02007" w:rsidRPr="00175DCB" w:rsidRDefault="003A4003" w:rsidP="00673939">
      <w:pPr>
        <w:pStyle w:val="TableFigureHeading"/>
        <w:rPr>
          <w:rFonts w:eastAsia="Times New Roman" w:cs="Times New Roman"/>
          <w:bCs w:val="0"/>
          <w:szCs w:val="22"/>
        </w:rPr>
      </w:pPr>
      <w:r w:rsidRPr="00175DCB">
        <w:rPr>
          <w:rFonts w:eastAsia="Times New Roman"/>
          <w:bCs w:val="0"/>
        </w:rPr>
        <w:t>Table 9</w:t>
      </w:r>
      <w:r w:rsidR="00D02007" w:rsidRPr="00175DCB">
        <w:rPr>
          <w:rFonts w:eastAsia="Times New Roman"/>
          <w:bCs w:val="0"/>
        </w:rPr>
        <w:t xml:space="preserve">: Error corrected in 3a. Scripts – new worksheet of Section 4 Workbook minor  </w:t>
      </w:r>
    </w:p>
    <w:tbl>
      <w:tblPr>
        <w:tblStyle w:val="TableGrid"/>
        <w:tblW w:w="0" w:type="auto"/>
        <w:tblInd w:w="-5" w:type="dxa"/>
        <w:tblLook w:val="04A0" w:firstRow="1" w:lastRow="0" w:firstColumn="1" w:lastColumn="0" w:noHBand="0" w:noVBand="1"/>
        <w:tblCaption w:val="Table 9: Error corrected in 3a. Scripts – new worksheet of Section 4 Workbook minor  "/>
      </w:tblPr>
      <w:tblGrid>
        <w:gridCol w:w="2268"/>
        <w:gridCol w:w="2268"/>
        <w:gridCol w:w="2127"/>
        <w:gridCol w:w="2358"/>
      </w:tblGrid>
      <w:tr w:rsidR="00D02007" w:rsidRPr="00175DCB" w:rsidTr="00B80F65">
        <w:trPr>
          <w:tblHeader/>
        </w:trPr>
        <w:tc>
          <w:tcPr>
            <w:tcW w:w="2268" w:type="dxa"/>
          </w:tcPr>
          <w:p w:rsidR="00D02007" w:rsidRPr="00175DCB" w:rsidRDefault="00D02007" w:rsidP="00D02007">
            <w:pPr>
              <w:pStyle w:val="TableText0"/>
              <w:rPr>
                <w:b/>
              </w:rPr>
            </w:pPr>
            <w:r w:rsidRPr="00175DCB">
              <w:rPr>
                <w:b/>
              </w:rPr>
              <w:t>Drug/molecule</w:t>
            </w:r>
          </w:p>
        </w:tc>
        <w:tc>
          <w:tcPr>
            <w:tcW w:w="2268" w:type="dxa"/>
          </w:tcPr>
          <w:p w:rsidR="00D02007" w:rsidRPr="00175DCB" w:rsidRDefault="00D02007" w:rsidP="00D02007">
            <w:pPr>
              <w:pStyle w:val="TableText0"/>
              <w:rPr>
                <w:b/>
              </w:rPr>
            </w:pPr>
            <w:r w:rsidRPr="00175DCB">
              <w:rPr>
                <w:b/>
              </w:rPr>
              <w:t>Treatment phase</w:t>
            </w:r>
          </w:p>
        </w:tc>
        <w:tc>
          <w:tcPr>
            <w:tcW w:w="2127" w:type="dxa"/>
          </w:tcPr>
          <w:p w:rsidR="00D02007" w:rsidRPr="00175DCB" w:rsidRDefault="00D02007" w:rsidP="00D02007">
            <w:pPr>
              <w:pStyle w:val="TableText0"/>
              <w:rPr>
                <w:b/>
              </w:rPr>
            </w:pPr>
            <w:r w:rsidRPr="00175DCB">
              <w:rPr>
                <w:b/>
              </w:rPr>
              <w:t>Doses / period</w:t>
            </w:r>
          </w:p>
        </w:tc>
        <w:tc>
          <w:tcPr>
            <w:tcW w:w="2358" w:type="dxa"/>
          </w:tcPr>
          <w:p w:rsidR="00D02007" w:rsidRPr="00175DCB" w:rsidRDefault="00D02007" w:rsidP="00D02007">
            <w:pPr>
              <w:pStyle w:val="TableText0"/>
              <w:rPr>
                <w:b/>
                <w:i/>
              </w:rPr>
            </w:pPr>
            <w:r w:rsidRPr="00175DCB">
              <w:rPr>
                <w:b/>
                <w:i/>
              </w:rPr>
              <w:t>Corrected doses / period</w:t>
            </w:r>
          </w:p>
        </w:tc>
      </w:tr>
      <w:tr w:rsidR="00D02007" w:rsidRPr="00175DCB" w:rsidTr="00D02007">
        <w:tc>
          <w:tcPr>
            <w:tcW w:w="2268" w:type="dxa"/>
          </w:tcPr>
          <w:p w:rsidR="00D02007" w:rsidRPr="00175DCB" w:rsidRDefault="00D02007" w:rsidP="00D02007">
            <w:pPr>
              <w:pStyle w:val="TableText0"/>
            </w:pPr>
            <w:r w:rsidRPr="00175DCB">
              <w:t>Mogamulizumab MF</w:t>
            </w:r>
            <w:r w:rsidR="00AD571E" w:rsidRPr="00175DCB">
              <w:t xml:space="preserve"> </w:t>
            </w:r>
          </w:p>
        </w:tc>
        <w:tc>
          <w:tcPr>
            <w:tcW w:w="2268" w:type="dxa"/>
          </w:tcPr>
          <w:p w:rsidR="00D02007" w:rsidRPr="00175DCB" w:rsidRDefault="00D02007" w:rsidP="00D02007">
            <w:pPr>
              <w:pStyle w:val="TableText0"/>
            </w:pPr>
            <w:r w:rsidRPr="00175DCB">
              <w:t>Initial</w:t>
            </w:r>
            <w:r w:rsidR="00AD571E" w:rsidRPr="00175DCB">
              <w:t xml:space="preserve"> </w:t>
            </w:r>
          </w:p>
        </w:tc>
        <w:tc>
          <w:tcPr>
            <w:tcW w:w="2127" w:type="dxa"/>
          </w:tcPr>
          <w:p w:rsidR="00D02007" w:rsidRPr="00175DCB" w:rsidRDefault="00D02007" w:rsidP="00D02007">
            <w:pPr>
              <w:pStyle w:val="TableText0"/>
            </w:pPr>
            <w:r w:rsidRPr="00175DCB">
              <w:t xml:space="preserve">8.0 </w:t>
            </w:r>
            <w:r w:rsidR="00AD571E" w:rsidRPr="00175DCB">
              <w:t>(L81)</w:t>
            </w:r>
          </w:p>
        </w:tc>
        <w:tc>
          <w:tcPr>
            <w:tcW w:w="2358" w:type="dxa"/>
          </w:tcPr>
          <w:p w:rsidR="00D02007" w:rsidRPr="00175DCB" w:rsidRDefault="00D02007" w:rsidP="00D02007">
            <w:pPr>
              <w:pStyle w:val="TableText0"/>
            </w:pPr>
            <w:r w:rsidRPr="00175DCB">
              <w:t>8.0</w:t>
            </w:r>
            <w:r w:rsidR="00AD571E" w:rsidRPr="00175DCB">
              <w:t xml:space="preserve"> (L81)</w:t>
            </w:r>
          </w:p>
        </w:tc>
      </w:tr>
      <w:tr w:rsidR="00D02007" w:rsidRPr="00175DCB" w:rsidTr="00D02007">
        <w:tc>
          <w:tcPr>
            <w:tcW w:w="2268" w:type="dxa"/>
          </w:tcPr>
          <w:p w:rsidR="00D02007" w:rsidRPr="00175DCB" w:rsidRDefault="00D02007" w:rsidP="00D02007">
            <w:pPr>
              <w:pStyle w:val="TableText0"/>
            </w:pPr>
            <w:r w:rsidRPr="00175DCB">
              <w:t>Mogamulizumab SS</w:t>
            </w:r>
            <w:r w:rsidR="00AD571E" w:rsidRPr="00175DCB">
              <w:t xml:space="preserve"> </w:t>
            </w:r>
          </w:p>
        </w:tc>
        <w:tc>
          <w:tcPr>
            <w:tcW w:w="2268" w:type="dxa"/>
          </w:tcPr>
          <w:p w:rsidR="00D02007" w:rsidRPr="00175DCB" w:rsidRDefault="00D02007" w:rsidP="00D02007">
            <w:pPr>
              <w:pStyle w:val="TableText0"/>
            </w:pPr>
            <w:r w:rsidRPr="00175DCB">
              <w:t>Initial</w:t>
            </w:r>
            <w:r w:rsidR="00AD571E" w:rsidRPr="00175DCB">
              <w:t xml:space="preserve"> </w:t>
            </w:r>
          </w:p>
        </w:tc>
        <w:tc>
          <w:tcPr>
            <w:tcW w:w="2127" w:type="dxa"/>
          </w:tcPr>
          <w:p w:rsidR="00D02007" w:rsidRPr="00175DCB" w:rsidRDefault="00D02007" w:rsidP="00D02007">
            <w:pPr>
              <w:pStyle w:val="TableText0"/>
            </w:pPr>
            <w:r w:rsidRPr="00175DCB">
              <w:t xml:space="preserve">24.0 </w:t>
            </w:r>
            <w:r w:rsidR="00AD571E" w:rsidRPr="00175DCB">
              <w:t>(L82)</w:t>
            </w:r>
          </w:p>
        </w:tc>
        <w:tc>
          <w:tcPr>
            <w:tcW w:w="2358" w:type="dxa"/>
          </w:tcPr>
          <w:p w:rsidR="00D02007" w:rsidRPr="00175DCB" w:rsidRDefault="00D02007" w:rsidP="00D02007">
            <w:pPr>
              <w:pStyle w:val="TableText0"/>
            </w:pPr>
            <w:r w:rsidRPr="00175DCB">
              <w:t>8.0</w:t>
            </w:r>
            <w:r w:rsidR="00AD571E" w:rsidRPr="00175DCB">
              <w:t xml:space="preserve"> (L82)</w:t>
            </w:r>
          </w:p>
        </w:tc>
      </w:tr>
      <w:tr w:rsidR="00D02007" w:rsidRPr="00175DCB" w:rsidTr="00D02007">
        <w:tc>
          <w:tcPr>
            <w:tcW w:w="2268" w:type="dxa"/>
          </w:tcPr>
          <w:p w:rsidR="00D02007" w:rsidRPr="00175DCB" w:rsidRDefault="00D02007" w:rsidP="00D02007">
            <w:pPr>
              <w:pStyle w:val="TableText0"/>
            </w:pPr>
            <w:r w:rsidRPr="00175DCB">
              <w:t>Mogamulizumab MF</w:t>
            </w:r>
            <w:r w:rsidR="00AD571E" w:rsidRPr="00175DCB">
              <w:t xml:space="preserve"> </w:t>
            </w:r>
          </w:p>
        </w:tc>
        <w:tc>
          <w:tcPr>
            <w:tcW w:w="2268" w:type="dxa"/>
          </w:tcPr>
          <w:p w:rsidR="00D02007" w:rsidRPr="00175DCB" w:rsidRDefault="00D02007" w:rsidP="00D02007">
            <w:pPr>
              <w:pStyle w:val="TableText0"/>
            </w:pPr>
            <w:r w:rsidRPr="00175DCB">
              <w:t>Continuing</w:t>
            </w:r>
            <w:r w:rsidR="00AD571E" w:rsidRPr="00175DCB">
              <w:t xml:space="preserve"> </w:t>
            </w:r>
          </w:p>
        </w:tc>
        <w:tc>
          <w:tcPr>
            <w:tcW w:w="2127" w:type="dxa"/>
          </w:tcPr>
          <w:p w:rsidR="00D02007" w:rsidRPr="00175DCB" w:rsidRDefault="00D02007" w:rsidP="00D02007">
            <w:pPr>
              <w:pStyle w:val="TableText0"/>
            </w:pPr>
            <w:r w:rsidRPr="00175DCB">
              <w:t xml:space="preserve">8.0 </w:t>
            </w:r>
            <w:r w:rsidR="00AD571E" w:rsidRPr="00175DCB">
              <w:t>(L83)</w:t>
            </w:r>
          </w:p>
        </w:tc>
        <w:tc>
          <w:tcPr>
            <w:tcW w:w="2358" w:type="dxa"/>
          </w:tcPr>
          <w:p w:rsidR="00D02007" w:rsidRPr="00175DCB" w:rsidRDefault="00D02007" w:rsidP="00D02007">
            <w:pPr>
              <w:pStyle w:val="TableText0"/>
            </w:pPr>
            <w:r w:rsidRPr="00175DCB">
              <w:t>24.0</w:t>
            </w:r>
            <w:r w:rsidR="00AD571E" w:rsidRPr="00175DCB">
              <w:t xml:space="preserve"> (L83)</w:t>
            </w:r>
          </w:p>
        </w:tc>
      </w:tr>
      <w:tr w:rsidR="00D02007" w:rsidRPr="00175DCB" w:rsidTr="00D02007">
        <w:tc>
          <w:tcPr>
            <w:tcW w:w="2268" w:type="dxa"/>
          </w:tcPr>
          <w:p w:rsidR="00D02007" w:rsidRPr="00175DCB" w:rsidRDefault="00D02007" w:rsidP="00D02007">
            <w:pPr>
              <w:pStyle w:val="TableText0"/>
            </w:pPr>
            <w:r w:rsidRPr="00175DCB">
              <w:t>Mogamulizumab SS</w:t>
            </w:r>
            <w:r w:rsidR="00AD571E" w:rsidRPr="00175DCB">
              <w:t xml:space="preserve"> </w:t>
            </w:r>
          </w:p>
        </w:tc>
        <w:tc>
          <w:tcPr>
            <w:tcW w:w="2268" w:type="dxa"/>
          </w:tcPr>
          <w:p w:rsidR="00D02007" w:rsidRPr="00175DCB" w:rsidRDefault="00D02007" w:rsidP="00D02007">
            <w:pPr>
              <w:pStyle w:val="TableText0"/>
            </w:pPr>
            <w:r w:rsidRPr="00175DCB">
              <w:t>Continuing</w:t>
            </w:r>
          </w:p>
        </w:tc>
        <w:tc>
          <w:tcPr>
            <w:tcW w:w="2127" w:type="dxa"/>
          </w:tcPr>
          <w:p w:rsidR="00D02007" w:rsidRPr="00175DCB" w:rsidRDefault="00D02007" w:rsidP="00D02007">
            <w:pPr>
              <w:pStyle w:val="TableText0"/>
            </w:pPr>
            <w:r w:rsidRPr="00175DCB">
              <w:t xml:space="preserve">24.0 </w:t>
            </w:r>
            <w:r w:rsidR="00AD571E" w:rsidRPr="00175DCB">
              <w:t>(L84)</w:t>
            </w:r>
          </w:p>
        </w:tc>
        <w:tc>
          <w:tcPr>
            <w:tcW w:w="2358" w:type="dxa"/>
          </w:tcPr>
          <w:p w:rsidR="00D02007" w:rsidRPr="00175DCB" w:rsidRDefault="00D02007" w:rsidP="00D02007">
            <w:pPr>
              <w:pStyle w:val="TableText0"/>
            </w:pPr>
            <w:r w:rsidRPr="00175DCB">
              <w:t>24.0</w:t>
            </w:r>
            <w:r w:rsidR="00AD571E" w:rsidRPr="00175DCB">
              <w:t xml:space="preserve"> (L84)</w:t>
            </w:r>
          </w:p>
        </w:tc>
      </w:tr>
    </w:tbl>
    <w:p w:rsidR="00D02007" w:rsidRPr="00175DCB" w:rsidRDefault="00D17227" w:rsidP="00D17227">
      <w:pPr>
        <w:pStyle w:val="3Bodytext"/>
        <w:numPr>
          <w:ilvl w:val="0"/>
          <w:numId w:val="0"/>
        </w:numPr>
        <w:ind w:left="720" w:hanging="720"/>
        <w:jc w:val="both"/>
        <w:rPr>
          <w:rFonts w:ascii="Arial Narrow" w:eastAsia="Times New Roman" w:hAnsi="Arial Narrow" w:cs="Arial"/>
          <w:snapToGrid w:val="0"/>
          <w:sz w:val="18"/>
        </w:rPr>
      </w:pPr>
      <w:r w:rsidRPr="00175DCB">
        <w:rPr>
          <w:rFonts w:ascii="Arial Narrow" w:eastAsia="Times New Roman" w:hAnsi="Arial Narrow" w:cs="Arial"/>
          <w:snapToGrid w:val="0"/>
          <w:sz w:val="18"/>
        </w:rPr>
        <w:t xml:space="preserve">Source: Compiled during the development of the minor overview. </w:t>
      </w:r>
    </w:p>
    <w:p w:rsidR="00E078D9" w:rsidRPr="00175DCB" w:rsidRDefault="00AD571E" w:rsidP="008B765F">
      <w:pPr>
        <w:pStyle w:val="3Bodytext"/>
        <w:jc w:val="both"/>
      </w:pPr>
      <w:r w:rsidRPr="00175DCB">
        <w:t xml:space="preserve">After correcting the </w:t>
      </w:r>
      <w:r w:rsidR="00CE2CC5" w:rsidRPr="00175DCB">
        <w:t>error outlined in paragraph 5.20</w:t>
      </w:r>
      <w:r w:rsidRPr="00175DCB">
        <w:t xml:space="preserve"> the </w:t>
      </w:r>
      <w:r w:rsidR="00FF2801" w:rsidRPr="00175DCB">
        <w:t>estimated</w:t>
      </w:r>
      <w:r w:rsidR="00C00DA7" w:rsidRPr="00175DCB">
        <w:t xml:space="preserve"> net </w:t>
      </w:r>
      <w:r w:rsidR="008B765F" w:rsidRPr="00175DCB">
        <w:t>cost</w:t>
      </w:r>
      <w:r w:rsidR="008B765F" w:rsidRPr="00175DCB">
        <w:rPr>
          <w:color w:val="FF0000"/>
        </w:rPr>
        <w:t xml:space="preserve"> </w:t>
      </w:r>
      <w:r w:rsidR="00C00DA7" w:rsidRPr="00175DCB">
        <w:t>to the PBS</w:t>
      </w:r>
      <w:r w:rsidRPr="00175DCB">
        <w:t>/RPBS</w:t>
      </w:r>
      <w:r w:rsidR="00C00DA7" w:rsidRPr="00175DCB">
        <w:t xml:space="preserve"> </w:t>
      </w:r>
      <w:r w:rsidR="00F30A9A" w:rsidRPr="00175DCB">
        <w:t xml:space="preserve">at the effective price </w:t>
      </w:r>
      <w:r w:rsidRPr="00175DCB">
        <w:t>in</w:t>
      </w:r>
      <w:r w:rsidR="00C00DA7" w:rsidRPr="00175DCB">
        <w:t xml:space="preserve"> Year </w:t>
      </w:r>
      <w:r w:rsidR="00977BF3" w:rsidRPr="00175DCB">
        <w:t>6</w:t>
      </w:r>
      <w:r w:rsidR="00C00DA7" w:rsidRPr="00175DCB">
        <w:t xml:space="preserve"> of listing</w:t>
      </w:r>
      <w:r w:rsidRPr="00175DCB">
        <w:t xml:space="preserve"> was $</w:t>
      </w:r>
      <w:r w:rsidR="00F27CA4">
        <w:t>0 to &lt;$10 million</w:t>
      </w:r>
      <w:r w:rsidR="00C00DA7" w:rsidRPr="00175DCB">
        <w:t xml:space="preserve">, with a total net </w:t>
      </w:r>
      <w:r w:rsidR="008B765F" w:rsidRPr="00175DCB">
        <w:t>cost</w:t>
      </w:r>
      <w:r w:rsidR="00C00DA7" w:rsidRPr="00175DCB">
        <w:t xml:space="preserve"> to the PBS of </w:t>
      </w:r>
      <w:r w:rsidRPr="00175DCB">
        <w:t>$</w:t>
      </w:r>
      <w:r w:rsidR="00F27CA4">
        <w:t>30 to &lt;$40 million</w:t>
      </w:r>
      <w:r w:rsidR="00C7409E" w:rsidRPr="00175DCB">
        <w:t xml:space="preserve"> </w:t>
      </w:r>
      <w:r w:rsidR="00C00DA7" w:rsidRPr="00175DCB">
        <w:t>ove</w:t>
      </w:r>
      <w:r w:rsidR="00C7409E" w:rsidRPr="00175DCB">
        <w:t xml:space="preserve">r the first </w:t>
      </w:r>
      <w:r w:rsidR="00977BF3" w:rsidRPr="00175DCB">
        <w:t>6</w:t>
      </w:r>
      <w:r w:rsidR="00C7409E" w:rsidRPr="00175DCB">
        <w:t xml:space="preserve"> years of listing. </w:t>
      </w:r>
      <w:r w:rsidR="00C00DA7" w:rsidRPr="00175DCB">
        <w:t xml:space="preserve">This is summarised in the table below </w:t>
      </w:r>
      <w:r w:rsidR="00977BF3" w:rsidRPr="00175DCB">
        <w:t xml:space="preserve">as well as the expected patient and </w:t>
      </w:r>
      <w:r w:rsidR="00C00DA7" w:rsidRPr="00175DCB">
        <w:t xml:space="preserve">prescription numbers. </w:t>
      </w:r>
      <w:r w:rsidR="002D00D7" w:rsidRPr="00175DCB">
        <w:t>The pre-PBAC response</w:t>
      </w:r>
      <w:r w:rsidR="00F27CA4">
        <w:t xml:space="preserve"> </w:t>
      </w:r>
      <w:r w:rsidR="002D00D7" w:rsidRPr="00175DCB">
        <w:t>acknowledged the error and agreed with the corrected estimated use and financial implications provided in Table 10.</w:t>
      </w:r>
    </w:p>
    <w:p w:rsidR="00C7409E" w:rsidRPr="00175DCB" w:rsidRDefault="00C7409E" w:rsidP="0061085F">
      <w:pPr>
        <w:pStyle w:val="Tabletitles"/>
        <w:keepNext/>
        <w:spacing w:after="0"/>
      </w:pPr>
      <w:r w:rsidRPr="00175DCB">
        <w:rPr>
          <w:rStyle w:val="CommentReference"/>
          <w:sz w:val="20"/>
          <w:szCs w:val="22"/>
        </w:rPr>
        <w:t>Table</w:t>
      </w:r>
      <w:r w:rsidR="008B765F" w:rsidRPr="00175DCB">
        <w:rPr>
          <w:rFonts w:eastAsiaTheme="majorEastAsia"/>
        </w:rPr>
        <w:t xml:space="preserve"> </w:t>
      </w:r>
      <w:r w:rsidR="003A4003" w:rsidRPr="00175DCB">
        <w:rPr>
          <w:rFonts w:eastAsiaTheme="majorEastAsia"/>
        </w:rPr>
        <w:t>10</w:t>
      </w:r>
      <w:r w:rsidR="00EE31A2" w:rsidRPr="00175DCB">
        <w:rPr>
          <w:rFonts w:eastAsiaTheme="majorEastAsia"/>
        </w:rPr>
        <w:t xml:space="preserve">: </w:t>
      </w:r>
      <w:r w:rsidRPr="00175DCB">
        <w:rPr>
          <w:rStyle w:val="CommentReference"/>
          <w:sz w:val="20"/>
          <w:szCs w:val="22"/>
        </w:rPr>
        <w:t>Estimated use and financial implications</w:t>
      </w:r>
      <w:r w:rsidR="002B3129" w:rsidRPr="00175DCB">
        <w:rPr>
          <w:rStyle w:val="CommentReference"/>
          <w:sz w:val="20"/>
          <w:szCs w:val="22"/>
        </w:rPr>
        <w:t xml:space="preserve"> </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3"/>
        <w:gridCol w:w="13"/>
        <w:gridCol w:w="1141"/>
        <w:gridCol w:w="25"/>
        <w:gridCol w:w="1132"/>
        <w:gridCol w:w="36"/>
        <w:gridCol w:w="1123"/>
        <w:gridCol w:w="45"/>
        <w:gridCol w:w="1114"/>
        <w:gridCol w:w="54"/>
        <w:gridCol w:w="1105"/>
        <w:gridCol w:w="63"/>
        <w:gridCol w:w="1096"/>
      </w:tblGrid>
      <w:tr w:rsidR="00C7409E" w:rsidRPr="00175DCB" w:rsidTr="00B4669A">
        <w:trPr>
          <w:tblHeader/>
        </w:trPr>
        <w:tc>
          <w:tcPr>
            <w:tcW w:w="1115" w:type="pct"/>
            <w:shd w:val="clear" w:color="auto" w:fill="auto"/>
            <w:vAlign w:val="center"/>
          </w:tcPr>
          <w:p w:rsidR="00C7409E" w:rsidRPr="00175DCB" w:rsidRDefault="00C7409E" w:rsidP="00F37ECA">
            <w:pPr>
              <w:pStyle w:val="TableText0"/>
            </w:pPr>
          </w:p>
        </w:tc>
        <w:tc>
          <w:tcPr>
            <w:tcW w:w="646" w:type="pct"/>
            <w:gridSpan w:val="2"/>
            <w:shd w:val="clear" w:color="auto" w:fill="auto"/>
            <w:vAlign w:val="center"/>
          </w:tcPr>
          <w:p w:rsidR="00C7409E" w:rsidRPr="00175DCB" w:rsidRDefault="00C7409E" w:rsidP="00F37ECA">
            <w:pPr>
              <w:pStyle w:val="TableText0"/>
              <w:rPr>
                <w:b/>
              </w:rPr>
            </w:pPr>
            <w:r w:rsidRPr="00175DCB">
              <w:rPr>
                <w:b/>
              </w:rPr>
              <w:t>Year 1</w:t>
            </w:r>
          </w:p>
        </w:tc>
        <w:tc>
          <w:tcPr>
            <w:tcW w:w="647" w:type="pct"/>
            <w:gridSpan w:val="2"/>
            <w:shd w:val="clear" w:color="auto" w:fill="auto"/>
            <w:vAlign w:val="center"/>
          </w:tcPr>
          <w:p w:rsidR="00C7409E" w:rsidRPr="00175DCB" w:rsidRDefault="00C7409E" w:rsidP="00F37ECA">
            <w:pPr>
              <w:pStyle w:val="TableText0"/>
              <w:rPr>
                <w:b/>
              </w:rPr>
            </w:pPr>
            <w:r w:rsidRPr="00175DCB">
              <w:rPr>
                <w:b/>
              </w:rPr>
              <w:t>Year 2</w:t>
            </w:r>
          </w:p>
        </w:tc>
        <w:tc>
          <w:tcPr>
            <w:tcW w:w="648" w:type="pct"/>
            <w:gridSpan w:val="2"/>
            <w:shd w:val="clear" w:color="auto" w:fill="auto"/>
            <w:vAlign w:val="center"/>
          </w:tcPr>
          <w:p w:rsidR="00C7409E" w:rsidRPr="00175DCB" w:rsidRDefault="00C7409E" w:rsidP="00F37ECA">
            <w:pPr>
              <w:pStyle w:val="TableText0"/>
              <w:rPr>
                <w:b/>
              </w:rPr>
            </w:pPr>
            <w:r w:rsidRPr="00175DCB">
              <w:rPr>
                <w:b/>
              </w:rPr>
              <w:t>Year 3</w:t>
            </w:r>
          </w:p>
        </w:tc>
        <w:tc>
          <w:tcPr>
            <w:tcW w:w="648" w:type="pct"/>
            <w:gridSpan w:val="2"/>
            <w:shd w:val="clear" w:color="auto" w:fill="auto"/>
            <w:vAlign w:val="center"/>
          </w:tcPr>
          <w:p w:rsidR="00C7409E" w:rsidRPr="00175DCB" w:rsidRDefault="00C7409E" w:rsidP="00F37ECA">
            <w:pPr>
              <w:pStyle w:val="TableText0"/>
              <w:rPr>
                <w:b/>
              </w:rPr>
            </w:pPr>
            <w:r w:rsidRPr="00175DCB">
              <w:rPr>
                <w:b/>
              </w:rPr>
              <w:t>Year 4</w:t>
            </w:r>
          </w:p>
        </w:tc>
        <w:tc>
          <w:tcPr>
            <w:tcW w:w="648" w:type="pct"/>
            <w:gridSpan w:val="2"/>
            <w:shd w:val="clear" w:color="auto" w:fill="auto"/>
            <w:vAlign w:val="center"/>
          </w:tcPr>
          <w:p w:rsidR="00C7409E" w:rsidRPr="00175DCB" w:rsidRDefault="00C7409E" w:rsidP="00F37ECA">
            <w:pPr>
              <w:pStyle w:val="TableText0"/>
              <w:rPr>
                <w:b/>
              </w:rPr>
            </w:pPr>
            <w:r w:rsidRPr="00175DCB">
              <w:rPr>
                <w:b/>
              </w:rPr>
              <w:t>Year 5</w:t>
            </w:r>
          </w:p>
        </w:tc>
        <w:tc>
          <w:tcPr>
            <w:tcW w:w="647" w:type="pct"/>
            <w:gridSpan w:val="2"/>
          </w:tcPr>
          <w:p w:rsidR="00C7409E" w:rsidRPr="00175DCB" w:rsidRDefault="00C7409E" w:rsidP="00F37ECA">
            <w:pPr>
              <w:pStyle w:val="TableText0"/>
              <w:rPr>
                <w:b/>
              </w:rPr>
            </w:pPr>
            <w:r w:rsidRPr="00175DCB">
              <w:rPr>
                <w:b/>
              </w:rPr>
              <w:t>Year 6</w:t>
            </w:r>
          </w:p>
        </w:tc>
      </w:tr>
      <w:tr w:rsidR="00C7409E" w:rsidRPr="00175DCB" w:rsidTr="007F3B9E">
        <w:tc>
          <w:tcPr>
            <w:tcW w:w="5000" w:type="pct"/>
            <w:gridSpan w:val="13"/>
            <w:shd w:val="clear" w:color="auto" w:fill="auto"/>
            <w:vAlign w:val="center"/>
          </w:tcPr>
          <w:p w:rsidR="00C7409E" w:rsidRPr="00175DCB" w:rsidRDefault="00C7409E" w:rsidP="00F37ECA">
            <w:pPr>
              <w:pStyle w:val="TableText0"/>
              <w:rPr>
                <w:b/>
                <w:color w:val="000000"/>
              </w:rPr>
            </w:pPr>
            <w:r w:rsidRPr="00175DCB">
              <w:rPr>
                <w:b/>
                <w:color w:val="000000"/>
              </w:rPr>
              <w:t>Estimated extent of use</w:t>
            </w:r>
          </w:p>
        </w:tc>
      </w:tr>
      <w:tr w:rsidR="00C7409E" w:rsidRPr="00175DCB" w:rsidTr="00C41CAD">
        <w:tc>
          <w:tcPr>
            <w:tcW w:w="1115" w:type="pct"/>
            <w:shd w:val="clear" w:color="auto" w:fill="auto"/>
            <w:vAlign w:val="center"/>
          </w:tcPr>
          <w:p w:rsidR="00C7409E" w:rsidRPr="00175DCB" w:rsidRDefault="00C7409E" w:rsidP="00F37ECA">
            <w:pPr>
              <w:pStyle w:val="TableText0"/>
            </w:pPr>
            <w:r w:rsidRPr="00175DCB">
              <w:t>Number of patients treated</w:t>
            </w:r>
          </w:p>
        </w:tc>
        <w:tc>
          <w:tcPr>
            <w:tcW w:w="646" w:type="pct"/>
            <w:gridSpan w:val="2"/>
            <w:shd w:val="clear" w:color="auto" w:fill="auto"/>
            <w:vAlign w:val="center"/>
          </w:tcPr>
          <w:p w:rsidR="00C7409E" w:rsidRPr="00B46CB6" w:rsidRDefault="00DE546F" w:rsidP="00F37ECA">
            <w:pPr>
              <w:pStyle w:val="TableText0"/>
              <w:rPr>
                <w:color w:val="000000"/>
                <w:vertAlign w:val="superscript"/>
              </w:rPr>
            </w:pPr>
            <w:r>
              <w:rPr>
                <w:noProof/>
                <w:color w:val="000000"/>
                <w:highlight w:val="black"/>
              </w:rPr>
              <w:t>''''''</w:t>
            </w:r>
            <w:r w:rsidR="00BB3B04">
              <w:rPr>
                <w:color w:val="000000"/>
                <w:vertAlign w:val="superscript"/>
              </w:rPr>
              <w:t>1</w:t>
            </w:r>
          </w:p>
        </w:tc>
        <w:tc>
          <w:tcPr>
            <w:tcW w:w="647" w:type="pct"/>
            <w:gridSpan w:val="2"/>
            <w:shd w:val="clear" w:color="auto" w:fill="auto"/>
            <w:vAlign w:val="center"/>
          </w:tcPr>
          <w:p w:rsidR="00C7409E" w:rsidRPr="00DE546F" w:rsidRDefault="00DE546F" w:rsidP="00F37ECA">
            <w:pPr>
              <w:pStyle w:val="TableText0"/>
              <w:rPr>
                <w:color w:val="000000"/>
              </w:rPr>
            </w:pPr>
            <w:r>
              <w:rPr>
                <w:noProof/>
                <w:color w:val="000000"/>
                <w:highlight w:val="black"/>
              </w:rPr>
              <w:t>''''''</w:t>
            </w:r>
            <w:r w:rsidR="00BB3B04">
              <w:rPr>
                <w:color w:val="000000"/>
                <w:vertAlign w:val="superscript"/>
              </w:rPr>
              <w:t>1</w:t>
            </w:r>
          </w:p>
        </w:tc>
        <w:tc>
          <w:tcPr>
            <w:tcW w:w="648" w:type="pct"/>
            <w:gridSpan w:val="2"/>
            <w:shd w:val="clear" w:color="auto" w:fill="auto"/>
            <w:vAlign w:val="center"/>
          </w:tcPr>
          <w:p w:rsidR="00C7409E" w:rsidRPr="00DE546F" w:rsidRDefault="00DE546F" w:rsidP="00F37ECA">
            <w:pPr>
              <w:pStyle w:val="TableText0"/>
              <w:rPr>
                <w:color w:val="000000"/>
              </w:rPr>
            </w:pPr>
            <w:r>
              <w:rPr>
                <w:noProof/>
                <w:color w:val="000000"/>
                <w:highlight w:val="black"/>
              </w:rPr>
              <w:t>'''''</w:t>
            </w:r>
            <w:r w:rsidR="00BB3B04">
              <w:rPr>
                <w:color w:val="000000"/>
                <w:vertAlign w:val="superscript"/>
              </w:rPr>
              <w:t>1</w:t>
            </w:r>
          </w:p>
        </w:tc>
        <w:tc>
          <w:tcPr>
            <w:tcW w:w="648" w:type="pct"/>
            <w:gridSpan w:val="2"/>
            <w:shd w:val="clear" w:color="auto" w:fill="auto"/>
            <w:vAlign w:val="center"/>
          </w:tcPr>
          <w:p w:rsidR="00C7409E" w:rsidRPr="00DE546F" w:rsidRDefault="00DE546F" w:rsidP="00F37ECA">
            <w:pPr>
              <w:pStyle w:val="TableText0"/>
              <w:rPr>
                <w:color w:val="000000"/>
              </w:rPr>
            </w:pPr>
            <w:r>
              <w:rPr>
                <w:noProof/>
                <w:color w:val="000000"/>
                <w:highlight w:val="black"/>
              </w:rPr>
              <w:t>'''''</w:t>
            </w:r>
            <w:r w:rsidR="00BB3B04">
              <w:rPr>
                <w:color w:val="000000"/>
                <w:vertAlign w:val="superscript"/>
              </w:rPr>
              <w:t>1</w:t>
            </w:r>
          </w:p>
        </w:tc>
        <w:tc>
          <w:tcPr>
            <w:tcW w:w="648" w:type="pct"/>
            <w:gridSpan w:val="2"/>
            <w:shd w:val="clear" w:color="auto" w:fill="auto"/>
            <w:vAlign w:val="center"/>
          </w:tcPr>
          <w:p w:rsidR="00C7409E" w:rsidRPr="00DE546F" w:rsidRDefault="00DE546F" w:rsidP="00F37ECA">
            <w:pPr>
              <w:pStyle w:val="TableText0"/>
              <w:rPr>
                <w:color w:val="000000"/>
              </w:rPr>
            </w:pPr>
            <w:r>
              <w:rPr>
                <w:noProof/>
                <w:color w:val="000000"/>
                <w:highlight w:val="black"/>
              </w:rPr>
              <w:t>'''''''</w:t>
            </w:r>
            <w:r w:rsidR="00BB3B04">
              <w:rPr>
                <w:color w:val="000000"/>
                <w:vertAlign w:val="superscript"/>
              </w:rPr>
              <w:t>1</w:t>
            </w:r>
          </w:p>
        </w:tc>
        <w:tc>
          <w:tcPr>
            <w:tcW w:w="647" w:type="pct"/>
            <w:gridSpan w:val="2"/>
            <w:vAlign w:val="center"/>
          </w:tcPr>
          <w:p w:rsidR="00C7409E" w:rsidRPr="00DE546F" w:rsidRDefault="00DE546F" w:rsidP="00C41CAD">
            <w:pPr>
              <w:pStyle w:val="TableText0"/>
              <w:rPr>
                <w:color w:val="000000"/>
              </w:rPr>
            </w:pPr>
            <w:r>
              <w:rPr>
                <w:noProof/>
                <w:color w:val="000000"/>
                <w:highlight w:val="black"/>
              </w:rPr>
              <w:t>''''''</w:t>
            </w:r>
            <w:r w:rsidR="00BB3B04">
              <w:rPr>
                <w:color w:val="000000"/>
                <w:vertAlign w:val="superscript"/>
              </w:rPr>
              <w:t>1</w:t>
            </w:r>
          </w:p>
        </w:tc>
      </w:tr>
      <w:tr w:rsidR="00C7409E" w:rsidRPr="00175DCB" w:rsidTr="00B4669A">
        <w:tc>
          <w:tcPr>
            <w:tcW w:w="1115" w:type="pct"/>
            <w:shd w:val="clear" w:color="auto" w:fill="auto"/>
            <w:vAlign w:val="center"/>
          </w:tcPr>
          <w:p w:rsidR="00C7409E" w:rsidRPr="00175DCB" w:rsidRDefault="00C7409E" w:rsidP="00F37ECA">
            <w:pPr>
              <w:pStyle w:val="TableText0"/>
            </w:pPr>
            <w:r w:rsidRPr="00175DCB">
              <w:t>Number of scripts dispensed</w:t>
            </w:r>
          </w:p>
        </w:tc>
        <w:tc>
          <w:tcPr>
            <w:tcW w:w="646" w:type="pct"/>
            <w:gridSpan w:val="2"/>
            <w:shd w:val="clear" w:color="auto" w:fill="auto"/>
            <w:vAlign w:val="center"/>
          </w:tcPr>
          <w:p w:rsidR="00C7409E" w:rsidRPr="00B46CB6" w:rsidRDefault="00DE546F" w:rsidP="00F37ECA">
            <w:pPr>
              <w:pStyle w:val="TableText0"/>
              <w:rPr>
                <w:color w:val="000000"/>
                <w:vertAlign w:val="superscript"/>
              </w:rPr>
            </w:pPr>
            <w:r>
              <w:rPr>
                <w:noProof/>
                <w:color w:val="000000"/>
                <w:highlight w:val="black"/>
              </w:rPr>
              <w:t>'''''''''</w:t>
            </w:r>
            <w:r w:rsidR="00BB3B04">
              <w:rPr>
                <w:color w:val="000000"/>
                <w:vertAlign w:val="superscript"/>
              </w:rPr>
              <w:t>2</w:t>
            </w:r>
          </w:p>
        </w:tc>
        <w:tc>
          <w:tcPr>
            <w:tcW w:w="647" w:type="pct"/>
            <w:gridSpan w:val="2"/>
            <w:shd w:val="clear" w:color="auto" w:fill="auto"/>
            <w:vAlign w:val="center"/>
          </w:tcPr>
          <w:p w:rsidR="00C7409E" w:rsidRPr="00DE546F" w:rsidRDefault="00DE546F" w:rsidP="00F37ECA">
            <w:pPr>
              <w:pStyle w:val="TableText0"/>
              <w:rPr>
                <w:color w:val="000000"/>
              </w:rPr>
            </w:pPr>
            <w:r>
              <w:rPr>
                <w:noProof/>
                <w:color w:val="000000"/>
                <w:highlight w:val="black"/>
              </w:rPr>
              <w:t>''''''''''</w:t>
            </w:r>
            <w:r w:rsidR="00BB3B04">
              <w:rPr>
                <w:color w:val="000000"/>
                <w:vertAlign w:val="superscript"/>
              </w:rPr>
              <w:t>2</w:t>
            </w:r>
          </w:p>
        </w:tc>
        <w:tc>
          <w:tcPr>
            <w:tcW w:w="648" w:type="pct"/>
            <w:gridSpan w:val="2"/>
            <w:shd w:val="clear" w:color="auto" w:fill="auto"/>
            <w:vAlign w:val="center"/>
          </w:tcPr>
          <w:p w:rsidR="00C7409E" w:rsidRPr="00DE546F" w:rsidRDefault="00DE546F" w:rsidP="00F37ECA">
            <w:pPr>
              <w:pStyle w:val="TableText0"/>
              <w:rPr>
                <w:color w:val="000000"/>
              </w:rPr>
            </w:pPr>
            <w:r>
              <w:rPr>
                <w:noProof/>
                <w:color w:val="000000"/>
                <w:highlight w:val="black"/>
              </w:rPr>
              <w:t>''''''''''''''</w:t>
            </w:r>
            <w:r w:rsidR="00BB3B04">
              <w:rPr>
                <w:color w:val="000000"/>
                <w:vertAlign w:val="superscript"/>
              </w:rPr>
              <w:t>2</w:t>
            </w:r>
          </w:p>
        </w:tc>
        <w:tc>
          <w:tcPr>
            <w:tcW w:w="648" w:type="pct"/>
            <w:gridSpan w:val="2"/>
            <w:shd w:val="clear" w:color="auto" w:fill="auto"/>
            <w:vAlign w:val="center"/>
          </w:tcPr>
          <w:p w:rsidR="00C7409E" w:rsidRPr="00DE546F" w:rsidRDefault="00DE546F" w:rsidP="00F37ECA">
            <w:pPr>
              <w:pStyle w:val="TableText0"/>
              <w:rPr>
                <w:color w:val="000000"/>
              </w:rPr>
            </w:pPr>
            <w:r>
              <w:rPr>
                <w:noProof/>
                <w:color w:val="000000"/>
                <w:highlight w:val="black"/>
              </w:rPr>
              <w:t>'''''''''''''</w:t>
            </w:r>
            <w:r w:rsidR="00BB3B04">
              <w:rPr>
                <w:color w:val="000000"/>
                <w:vertAlign w:val="superscript"/>
              </w:rPr>
              <w:t>2</w:t>
            </w:r>
          </w:p>
        </w:tc>
        <w:tc>
          <w:tcPr>
            <w:tcW w:w="648" w:type="pct"/>
            <w:gridSpan w:val="2"/>
            <w:shd w:val="clear" w:color="auto" w:fill="auto"/>
            <w:vAlign w:val="center"/>
          </w:tcPr>
          <w:p w:rsidR="00C7409E" w:rsidRPr="00DE546F" w:rsidRDefault="00DE546F" w:rsidP="00F37ECA">
            <w:pPr>
              <w:pStyle w:val="TableText0"/>
              <w:rPr>
                <w:color w:val="000000"/>
              </w:rPr>
            </w:pPr>
            <w:r>
              <w:rPr>
                <w:noProof/>
                <w:color w:val="000000"/>
                <w:highlight w:val="black"/>
              </w:rPr>
              <w:t>''''''''''''</w:t>
            </w:r>
            <w:r w:rsidR="00BB3B04">
              <w:rPr>
                <w:color w:val="000000"/>
                <w:vertAlign w:val="superscript"/>
              </w:rPr>
              <w:t>2</w:t>
            </w:r>
          </w:p>
        </w:tc>
        <w:tc>
          <w:tcPr>
            <w:tcW w:w="647" w:type="pct"/>
            <w:gridSpan w:val="2"/>
            <w:vAlign w:val="center"/>
          </w:tcPr>
          <w:p w:rsidR="00C7409E" w:rsidRPr="00DE546F" w:rsidRDefault="00DE546F" w:rsidP="000A6C11">
            <w:pPr>
              <w:pStyle w:val="TableText0"/>
              <w:rPr>
                <w:color w:val="000000"/>
              </w:rPr>
            </w:pPr>
            <w:r>
              <w:rPr>
                <w:noProof/>
                <w:color w:val="000000"/>
                <w:highlight w:val="black"/>
              </w:rPr>
              <w:t>''''''''''''''</w:t>
            </w:r>
            <w:r w:rsidR="00BB3B04">
              <w:rPr>
                <w:color w:val="000000"/>
                <w:vertAlign w:val="superscript"/>
              </w:rPr>
              <w:t>2</w:t>
            </w:r>
          </w:p>
        </w:tc>
      </w:tr>
      <w:tr w:rsidR="002B3129" w:rsidRPr="00175DCB" w:rsidTr="00B4669A">
        <w:tc>
          <w:tcPr>
            <w:tcW w:w="1115" w:type="pct"/>
            <w:shd w:val="clear" w:color="auto" w:fill="auto"/>
            <w:vAlign w:val="center"/>
          </w:tcPr>
          <w:p w:rsidR="002B3129" w:rsidRPr="00175DCB" w:rsidRDefault="002B3129" w:rsidP="002B3129">
            <w:pPr>
              <w:pStyle w:val="TableText0"/>
              <w:rPr>
                <w:vertAlign w:val="superscript"/>
              </w:rPr>
            </w:pPr>
            <w:r w:rsidRPr="00175DCB">
              <w:t>Corrected number of scripts dispensed</w:t>
            </w:r>
            <w:r w:rsidR="00D85BE1" w:rsidRPr="00175DCB">
              <w:rPr>
                <w:vertAlign w:val="superscript"/>
              </w:rPr>
              <w:t>a</w:t>
            </w:r>
          </w:p>
        </w:tc>
        <w:tc>
          <w:tcPr>
            <w:tcW w:w="646" w:type="pct"/>
            <w:gridSpan w:val="2"/>
            <w:shd w:val="clear" w:color="auto" w:fill="auto"/>
            <w:vAlign w:val="center"/>
          </w:tcPr>
          <w:p w:rsidR="002B3129" w:rsidRPr="00DE546F" w:rsidRDefault="00DE546F" w:rsidP="002B3129">
            <w:pPr>
              <w:pStyle w:val="TableText0"/>
              <w:rPr>
                <w:color w:val="000000"/>
              </w:rPr>
            </w:pPr>
            <w:r>
              <w:rPr>
                <w:noProof/>
                <w:color w:val="000000"/>
                <w:highlight w:val="black"/>
              </w:rPr>
              <w:t>'''''''''</w:t>
            </w:r>
            <w:r w:rsidR="00BB3B04">
              <w:rPr>
                <w:color w:val="000000"/>
                <w:vertAlign w:val="superscript"/>
              </w:rPr>
              <w:t>2</w:t>
            </w:r>
            <w:r>
              <w:rPr>
                <w:noProof/>
                <w:color w:val="000000"/>
                <w:highlight w:val="black"/>
              </w:rPr>
              <w:t xml:space="preserve"> </w:t>
            </w:r>
          </w:p>
        </w:tc>
        <w:tc>
          <w:tcPr>
            <w:tcW w:w="647" w:type="pct"/>
            <w:gridSpan w:val="2"/>
            <w:shd w:val="clear" w:color="auto" w:fill="auto"/>
            <w:vAlign w:val="center"/>
          </w:tcPr>
          <w:p w:rsidR="002B3129" w:rsidRPr="00DE546F" w:rsidRDefault="00DE546F" w:rsidP="002B3129">
            <w:pPr>
              <w:pStyle w:val="TableText0"/>
              <w:rPr>
                <w:color w:val="000000"/>
              </w:rPr>
            </w:pPr>
            <w:r>
              <w:rPr>
                <w:noProof/>
                <w:color w:val="000000"/>
                <w:highlight w:val="black"/>
              </w:rPr>
              <w:t>'''''''''''''</w:t>
            </w:r>
            <w:r w:rsidR="00BB3B04">
              <w:rPr>
                <w:color w:val="000000"/>
                <w:vertAlign w:val="superscript"/>
              </w:rPr>
              <w:t>2</w:t>
            </w:r>
            <w:r>
              <w:rPr>
                <w:noProof/>
                <w:color w:val="000000"/>
                <w:highlight w:val="black"/>
              </w:rPr>
              <w:t xml:space="preserve"> </w:t>
            </w:r>
          </w:p>
        </w:tc>
        <w:tc>
          <w:tcPr>
            <w:tcW w:w="648" w:type="pct"/>
            <w:gridSpan w:val="2"/>
            <w:shd w:val="clear" w:color="auto" w:fill="auto"/>
            <w:vAlign w:val="center"/>
          </w:tcPr>
          <w:p w:rsidR="002B3129" w:rsidRPr="00DE546F" w:rsidRDefault="00DE546F" w:rsidP="002B3129">
            <w:pPr>
              <w:pStyle w:val="TableText0"/>
              <w:rPr>
                <w:color w:val="000000"/>
              </w:rPr>
            </w:pPr>
            <w:r>
              <w:rPr>
                <w:noProof/>
                <w:color w:val="000000"/>
                <w:highlight w:val="black"/>
              </w:rPr>
              <w:t>'''''''''''''''</w:t>
            </w:r>
            <w:r w:rsidR="00BB3B04">
              <w:rPr>
                <w:color w:val="000000"/>
                <w:vertAlign w:val="superscript"/>
              </w:rPr>
              <w:t>2</w:t>
            </w:r>
          </w:p>
        </w:tc>
        <w:tc>
          <w:tcPr>
            <w:tcW w:w="648" w:type="pct"/>
            <w:gridSpan w:val="2"/>
            <w:shd w:val="clear" w:color="auto" w:fill="auto"/>
            <w:vAlign w:val="center"/>
          </w:tcPr>
          <w:p w:rsidR="002B3129" w:rsidRPr="00DE546F" w:rsidRDefault="00DE546F" w:rsidP="002B3129">
            <w:pPr>
              <w:pStyle w:val="TableText0"/>
              <w:rPr>
                <w:color w:val="000000"/>
              </w:rPr>
            </w:pPr>
            <w:r>
              <w:rPr>
                <w:noProof/>
                <w:color w:val="000000"/>
                <w:highlight w:val="black"/>
              </w:rPr>
              <w:t>'''''''''''''''</w:t>
            </w:r>
            <w:r w:rsidR="00BB3B04">
              <w:rPr>
                <w:color w:val="000000"/>
                <w:vertAlign w:val="superscript"/>
              </w:rPr>
              <w:t>2</w:t>
            </w:r>
            <w:r>
              <w:rPr>
                <w:noProof/>
                <w:color w:val="000000"/>
                <w:highlight w:val="black"/>
              </w:rPr>
              <w:t xml:space="preserve"> </w:t>
            </w:r>
          </w:p>
        </w:tc>
        <w:tc>
          <w:tcPr>
            <w:tcW w:w="648" w:type="pct"/>
            <w:gridSpan w:val="2"/>
            <w:shd w:val="clear" w:color="auto" w:fill="auto"/>
            <w:vAlign w:val="center"/>
          </w:tcPr>
          <w:p w:rsidR="002B3129" w:rsidRPr="00DE546F" w:rsidRDefault="00DE546F" w:rsidP="002B3129">
            <w:pPr>
              <w:pStyle w:val="TableText0"/>
              <w:rPr>
                <w:color w:val="000000"/>
              </w:rPr>
            </w:pPr>
            <w:r>
              <w:rPr>
                <w:noProof/>
                <w:color w:val="000000"/>
                <w:highlight w:val="black"/>
              </w:rPr>
              <w:t>''''''''''''</w:t>
            </w:r>
            <w:r w:rsidR="00BB3B04">
              <w:rPr>
                <w:color w:val="000000"/>
                <w:vertAlign w:val="superscript"/>
              </w:rPr>
              <w:t>2</w:t>
            </w:r>
          </w:p>
        </w:tc>
        <w:tc>
          <w:tcPr>
            <w:tcW w:w="647" w:type="pct"/>
            <w:gridSpan w:val="2"/>
            <w:vAlign w:val="center"/>
          </w:tcPr>
          <w:p w:rsidR="002B3129" w:rsidRPr="00DE546F" w:rsidRDefault="00DE546F" w:rsidP="002B3129">
            <w:pPr>
              <w:pStyle w:val="TableText0"/>
              <w:rPr>
                <w:color w:val="000000"/>
              </w:rPr>
            </w:pPr>
            <w:r>
              <w:rPr>
                <w:noProof/>
                <w:color w:val="000000"/>
                <w:highlight w:val="black"/>
              </w:rPr>
              <w:t>'''''''''''''</w:t>
            </w:r>
            <w:r w:rsidR="00BB3B04">
              <w:rPr>
                <w:color w:val="000000"/>
                <w:vertAlign w:val="superscript"/>
              </w:rPr>
              <w:t>2</w:t>
            </w:r>
          </w:p>
        </w:tc>
      </w:tr>
      <w:tr w:rsidR="00C7409E" w:rsidRPr="00175DCB" w:rsidTr="007F3B9E">
        <w:tc>
          <w:tcPr>
            <w:tcW w:w="5000" w:type="pct"/>
            <w:gridSpan w:val="13"/>
            <w:shd w:val="clear" w:color="auto" w:fill="auto"/>
            <w:vAlign w:val="center"/>
          </w:tcPr>
          <w:p w:rsidR="00C7409E" w:rsidRPr="00175DCB" w:rsidRDefault="00C7409E" w:rsidP="00F37ECA">
            <w:pPr>
              <w:pStyle w:val="TableText0"/>
              <w:rPr>
                <w:b/>
                <w:color w:val="000000"/>
              </w:rPr>
            </w:pPr>
            <w:r w:rsidRPr="00175DCB">
              <w:rPr>
                <w:b/>
                <w:color w:val="000000"/>
              </w:rPr>
              <w:t>Estimated financial implic</w:t>
            </w:r>
            <w:r w:rsidR="000A6C11" w:rsidRPr="00175DCB">
              <w:rPr>
                <w:b/>
                <w:color w:val="000000"/>
              </w:rPr>
              <w:t>ations of mogamulizumab</w:t>
            </w:r>
          </w:p>
        </w:tc>
      </w:tr>
      <w:tr w:rsidR="0033559F" w:rsidRPr="00175DCB" w:rsidTr="00B4669A">
        <w:tc>
          <w:tcPr>
            <w:tcW w:w="1115" w:type="pct"/>
            <w:shd w:val="clear" w:color="auto" w:fill="auto"/>
            <w:vAlign w:val="center"/>
          </w:tcPr>
          <w:p w:rsidR="0033559F" w:rsidRPr="00175DCB" w:rsidRDefault="0033559F" w:rsidP="0033559F">
            <w:pPr>
              <w:pStyle w:val="TableText0"/>
            </w:pPr>
            <w:r w:rsidRPr="00175DCB">
              <w:t>Cost to PBS/RPBS less copayments</w:t>
            </w:r>
          </w:p>
        </w:tc>
        <w:tc>
          <w:tcPr>
            <w:tcW w:w="646" w:type="pct"/>
            <w:gridSpan w:val="2"/>
            <w:shd w:val="clear" w:color="auto" w:fill="auto"/>
            <w:vAlign w:val="center"/>
          </w:tcPr>
          <w:p w:rsidR="0033559F" w:rsidRPr="00175DCB" w:rsidRDefault="0033559F" w:rsidP="002B3129">
            <w:pPr>
              <w:pStyle w:val="TableText0"/>
              <w:rPr>
                <w:color w:val="000000"/>
              </w:rPr>
            </w:pPr>
            <w:r w:rsidRPr="00175DCB">
              <w:rPr>
                <w:color w:val="000000"/>
              </w:rPr>
              <w:t>$</w:t>
            </w:r>
            <w:r w:rsidR="00DE546F">
              <w:rPr>
                <w:noProof/>
                <w:color w:val="000000"/>
                <w:highlight w:val="black"/>
              </w:rPr>
              <w:t>'''''''''''''''''''''''''</w:t>
            </w:r>
            <w:r w:rsidR="00BB3B04">
              <w:rPr>
                <w:color w:val="000000"/>
                <w:vertAlign w:val="superscript"/>
              </w:rPr>
              <w:t>3</w:t>
            </w:r>
          </w:p>
        </w:tc>
        <w:tc>
          <w:tcPr>
            <w:tcW w:w="647" w:type="pct"/>
            <w:gridSpan w:val="2"/>
            <w:shd w:val="clear" w:color="auto" w:fill="auto"/>
            <w:vAlign w:val="center"/>
          </w:tcPr>
          <w:p w:rsidR="0033559F" w:rsidRPr="00175DCB" w:rsidRDefault="0033559F" w:rsidP="002B3129">
            <w:pPr>
              <w:pStyle w:val="TableText0"/>
              <w:rPr>
                <w:color w:val="000000"/>
              </w:rPr>
            </w:pPr>
            <w:r w:rsidRPr="00175DCB">
              <w:rPr>
                <w:color w:val="000000"/>
              </w:rPr>
              <w:t>$</w:t>
            </w:r>
            <w:r w:rsidR="00DE546F">
              <w:rPr>
                <w:noProof/>
                <w:color w:val="000000"/>
                <w:highlight w:val="black"/>
              </w:rPr>
              <w:t>'''''''''''''''''''''''</w:t>
            </w:r>
            <w:r w:rsidR="00BB3B04">
              <w:rPr>
                <w:color w:val="000000"/>
                <w:vertAlign w:val="superscript"/>
              </w:rPr>
              <w:t>3</w:t>
            </w:r>
          </w:p>
        </w:tc>
        <w:tc>
          <w:tcPr>
            <w:tcW w:w="648" w:type="pct"/>
            <w:gridSpan w:val="2"/>
            <w:shd w:val="clear" w:color="auto" w:fill="auto"/>
            <w:vAlign w:val="center"/>
          </w:tcPr>
          <w:p w:rsidR="0033559F" w:rsidRPr="00175DCB" w:rsidRDefault="0033559F" w:rsidP="002B3129">
            <w:pPr>
              <w:pStyle w:val="TableText0"/>
              <w:rPr>
                <w:color w:val="000000"/>
              </w:rPr>
            </w:pPr>
            <w:r w:rsidRPr="00175DCB">
              <w:rPr>
                <w:color w:val="000000"/>
              </w:rPr>
              <w:t>$</w:t>
            </w:r>
            <w:r w:rsidR="00DE546F">
              <w:rPr>
                <w:noProof/>
                <w:color w:val="000000"/>
                <w:highlight w:val="black"/>
              </w:rPr>
              <w:t>''''''''''''''''''''''''''</w:t>
            </w:r>
            <w:r w:rsidR="00BB3B04">
              <w:rPr>
                <w:color w:val="000000"/>
                <w:vertAlign w:val="superscript"/>
              </w:rPr>
              <w:t>3</w:t>
            </w:r>
          </w:p>
        </w:tc>
        <w:tc>
          <w:tcPr>
            <w:tcW w:w="648" w:type="pct"/>
            <w:gridSpan w:val="2"/>
            <w:shd w:val="clear" w:color="auto" w:fill="auto"/>
            <w:vAlign w:val="center"/>
          </w:tcPr>
          <w:p w:rsidR="0033559F" w:rsidRPr="00175DCB" w:rsidRDefault="0033559F" w:rsidP="002B3129">
            <w:pPr>
              <w:pStyle w:val="TableText0"/>
              <w:rPr>
                <w:color w:val="000000"/>
              </w:rPr>
            </w:pPr>
            <w:r w:rsidRPr="00175DCB">
              <w:rPr>
                <w:color w:val="000000"/>
              </w:rPr>
              <w:t>$</w:t>
            </w:r>
            <w:r w:rsidR="00DE546F">
              <w:rPr>
                <w:noProof/>
                <w:color w:val="000000"/>
                <w:highlight w:val="black"/>
              </w:rPr>
              <w:t>''''''''''''''''''''''''</w:t>
            </w:r>
            <w:r w:rsidR="00BB3B04">
              <w:rPr>
                <w:color w:val="000000"/>
                <w:vertAlign w:val="superscript"/>
              </w:rPr>
              <w:t>3</w:t>
            </w:r>
          </w:p>
        </w:tc>
        <w:tc>
          <w:tcPr>
            <w:tcW w:w="648" w:type="pct"/>
            <w:gridSpan w:val="2"/>
            <w:shd w:val="clear" w:color="auto" w:fill="auto"/>
            <w:vAlign w:val="center"/>
          </w:tcPr>
          <w:p w:rsidR="0033559F" w:rsidRPr="00175DCB" w:rsidRDefault="0033559F" w:rsidP="002B3129">
            <w:pPr>
              <w:pStyle w:val="TableText0"/>
              <w:rPr>
                <w:color w:val="000000"/>
              </w:rPr>
            </w:pPr>
            <w:r w:rsidRPr="00175DCB">
              <w:rPr>
                <w:color w:val="000000"/>
              </w:rPr>
              <w:t>$</w:t>
            </w:r>
            <w:r w:rsidR="00DE546F">
              <w:rPr>
                <w:noProof/>
                <w:color w:val="000000"/>
                <w:highlight w:val="black"/>
              </w:rPr>
              <w:t>'''''''''''''''''''''''</w:t>
            </w:r>
            <w:r w:rsidR="00BB3B04">
              <w:rPr>
                <w:color w:val="000000"/>
                <w:vertAlign w:val="superscript"/>
              </w:rPr>
              <w:t>3</w:t>
            </w:r>
          </w:p>
        </w:tc>
        <w:tc>
          <w:tcPr>
            <w:tcW w:w="647" w:type="pct"/>
            <w:gridSpan w:val="2"/>
            <w:vAlign w:val="center"/>
          </w:tcPr>
          <w:p w:rsidR="0033559F" w:rsidRPr="00175DCB" w:rsidRDefault="0033559F" w:rsidP="002B3129">
            <w:pPr>
              <w:pStyle w:val="TableText0"/>
              <w:rPr>
                <w:color w:val="000000"/>
              </w:rPr>
            </w:pPr>
            <w:r w:rsidRPr="00175DCB">
              <w:rPr>
                <w:color w:val="000000"/>
              </w:rPr>
              <w:t>$</w:t>
            </w:r>
            <w:r w:rsidR="00DE546F">
              <w:rPr>
                <w:noProof/>
                <w:color w:val="000000"/>
                <w:highlight w:val="black"/>
              </w:rPr>
              <w:t>''''''''''''''''''''''</w:t>
            </w:r>
            <w:r w:rsidR="00BB3B04">
              <w:rPr>
                <w:color w:val="000000"/>
                <w:vertAlign w:val="superscript"/>
              </w:rPr>
              <w:t>3</w:t>
            </w:r>
          </w:p>
        </w:tc>
      </w:tr>
      <w:tr w:rsidR="002B3129" w:rsidRPr="00175DCB" w:rsidTr="00B4669A">
        <w:tc>
          <w:tcPr>
            <w:tcW w:w="1115" w:type="pct"/>
            <w:shd w:val="clear" w:color="auto" w:fill="auto"/>
            <w:vAlign w:val="center"/>
          </w:tcPr>
          <w:p w:rsidR="002B3129" w:rsidRPr="00175DCB" w:rsidRDefault="002B3129" w:rsidP="002B3129">
            <w:pPr>
              <w:pStyle w:val="TableText0"/>
              <w:rPr>
                <w:vertAlign w:val="superscript"/>
              </w:rPr>
            </w:pPr>
            <w:r w:rsidRPr="00175DCB">
              <w:t>Corrected cost to PBS/RPBS less copayments</w:t>
            </w:r>
            <w:r w:rsidR="00D85BE1" w:rsidRPr="00175DCB">
              <w:rPr>
                <w:vertAlign w:val="superscript"/>
              </w:rPr>
              <w:t>a</w:t>
            </w:r>
          </w:p>
        </w:tc>
        <w:tc>
          <w:tcPr>
            <w:tcW w:w="646" w:type="pct"/>
            <w:gridSpan w:val="2"/>
            <w:shd w:val="clear" w:color="auto" w:fill="auto"/>
            <w:vAlign w:val="center"/>
          </w:tcPr>
          <w:p w:rsidR="002B3129" w:rsidRPr="00175DCB" w:rsidRDefault="002B3129" w:rsidP="002B3129">
            <w:pPr>
              <w:pStyle w:val="TableText0"/>
              <w:rPr>
                <w:color w:val="000000"/>
              </w:rPr>
            </w:pPr>
            <w:r w:rsidRPr="00175DCB">
              <w:t>$</w:t>
            </w:r>
            <w:r w:rsidR="00DE546F">
              <w:rPr>
                <w:noProof/>
                <w:color w:val="000000"/>
                <w:highlight w:val="black"/>
              </w:rPr>
              <w:t>''''''''''''''''''''''''</w:t>
            </w:r>
            <w:r w:rsidR="00BB3B04">
              <w:rPr>
                <w:color w:val="000000"/>
                <w:vertAlign w:val="superscript"/>
              </w:rPr>
              <w:t>3</w:t>
            </w:r>
          </w:p>
        </w:tc>
        <w:tc>
          <w:tcPr>
            <w:tcW w:w="647" w:type="pct"/>
            <w:gridSpan w:val="2"/>
            <w:shd w:val="clear" w:color="auto" w:fill="auto"/>
            <w:vAlign w:val="center"/>
          </w:tcPr>
          <w:p w:rsidR="002B3129" w:rsidRPr="00175DCB" w:rsidRDefault="002B3129" w:rsidP="002B3129">
            <w:pPr>
              <w:pStyle w:val="TableText0"/>
              <w:rPr>
                <w:color w:val="000000"/>
              </w:rPr>
            </w:pPr>
            <w:r w:rsidRPr="00175DCB">
              <w:t>$</w:t>
            </w:r>
            <w:r w:rsidR="00DE546F">
              <w:rPr>
                <w:noProof/>
                <w:color w:val="000000"/>
                <w:highlight w:val="black"/>
              </w:rPr>
              <w:t>''''''''''''''''''''''''</w:t>
            </w:r>
            <w:r w:rsidR="00BB3B04">
              <w:rPr>
                <w:color w:val="000000"/>
                <w:vertAlign w:val="superscript"/>
              </w:rPr>
              <w:t>3</w:t>
            </w:r>
          </w:p>
        </w:tc>
        <w:tc>
          <w:tcPr>
            <w:tcW w:w="648" w:type="pct"/>
            <w:gridSpan w:val="2"/>
            <w:shd w:val="clear" w:color="auto" w:fill="auto"/>
            <w:vAlign w:val="center"/>
          </w:tcPr>
          <w:p w:rsidR="002B3129" w:rsidRPr="00175DCB" w:rsidRDefault="002B3129" w:rsidP="002B3129">
            <w:pPr>
              <w:pStyle w:val="TableText0"/>
              <w:rPr>
                <w:color w:val="000000"/>
              </w:rPr>
            </w:pPr>
            <w:r w:rsidRPr="00175DCB">
              <w:t>$</w:t>
            </w:r>
            <w:r w:rsidR="00DE546F">
              <w:rPr>
                <w:noProof/>
                <w:color w:val="000000"/>
                <w:highlight w:val="black"/>
              </w:rPr>
              <w:t>'''''''''''''''''''''''</w:t>
            </w:r>
            <w:r w:rsidR="00BB3B04">
              <w:rPr>
                <w:color w:val="000000"/>
                <w:vertAlign w:val="superscript"/>
              </w:rPr>
              <w:t>3</w:t>
            </w:r>
          </w:p>
        </w:tc>
        <w:tc>
          <w:tcPr>
            <w:tcW w:w="648" w:type="pct"/>
            <w:gridSpan w:val="2"/>
            <w:shd w:val="clear" w:color="auto" w:fill="auto"/>
            <w:vAlign w:val="center"/>
          </w:tcPr>
          <w:p w:rsidR="002B3129" w:rsidRPr="00175DCB" w:rsidRDefault="002B3129" w:rsidP="002B3129">
            <w:pPr>
              <w:pStyle w:val="TableText0"/>
              <w:rPr>
                <w:color w:val="000000"/>
              </w:rPr>
            </w:pPr>
            <w:r w:rsidRPr="00175DCB">
              <w:t>$</w:t>
            </w:r>
            <w:r w:rsidR="00DE546F">
              <w:rPr>
                <w:noProof/>
                <w:color w:val="000000"/>
                <w:highlight w:val="black"/>
              </w:rPr>
              <w:t>'''''''''''''''''''''''''</w:t>
            </w:r>
            <w:r w:rsidR="00BB3B04">
              <w:rPr>
                <w:color w:val="000000"/>
                <w:vertAlign w:val="superscript"/>
              </w:rPr>
              <w:t>3</w:t>
            </w:r>
          </w:p>
        </w:tc>
        <w:tc>
          <w:tcPr>
            <w:tcW w:w="648" w:type="pct"/>
            <w:gridSpan w:val="2"/>
            <w:shd w:val="clear" w:color="auto" w:fill="auto"/>
            <w:vAlign w:val="center"/>
          </w:tcPr>
          <w:p w:rsidR="002B3129" w:rsidRPr="00175DCB" w:rsidRDefault="002B3129" w:rsidP="002B3129">
            <w:pPr>
              <w:pStyle w:val="TableText0"/>
              <w:rPr>
                <w:color w:val="000000"/>
              </w:rPr>
            </w:pPr>
            <w:r w:rsidRPr="00175DCB">
              <w:t>$</w:t>
            </w:r>
            <w:r w:rsidR="00DE546F">
              <w:rPr>
                <w:noProof/>
                <w:color w:val="000000"/>
                <w:highlight w:val="black"/>
              </w:rPr>
              <w:t>'''''''''''''''''''''''</w:t>
            </w:r>
            <w:r w:rsidR="00BB3B04">
              <w:rPr>
                <w:color w:val="000000"/>
                <w:vertAlign w:val="superscript"/>
              </w:rPr>
              <w:t>3</w:t>
            </w:r>
          </w:p>
        </w:tc>
        <w:tc>
          <w:tcPr>
            <w:tcW w:w="647" w:type="pct"/>
            <w:gridSpan w:val="2"/>
            <w:vAlign w:val="center"/>
          </w:tcPr>
          <w:p w:rsidR="002B3129" w:rsidRPr="00175DCB" w:rsidRDefault="002B3129" w:rsidP="002B3129">
            <w:pPr>
              <w:pStyle w:val="TableText0"/>
              <w:rPr>
                <w:color w:val="000000"/>
              </w:rPr>
            </w:pPr>
            <w:r w:rsidRPr="00175DCB">
              <w:t>$</w:t>
            </w:r>
            <w:r w:rsidR="00DE546F">
              <w:rPr>
                <w:noProof/>
                <w:color w:val="000000"/>
                <w:highlight w:val="black"/>
              </w:rPr>
              <w:t>''''''''''''''''''''''''</w:t>
            </w:r>
            <w:r w:rsidR="00BB3B04">
              <w:rPr>
                <w:color w:val="000000"/>
                <w:vertAlign w:val="superscript"/>
              </w:rPr>
              <w:t>3</w:t>
            </w:r>
          </w:p>
        </w:tc>
      </w:tr>
      <w:tr w:rsidR="00C7409E" w:rsidRPr="00175DCB" w:rsidTr="007F3B9E">
        <w:tc>
          <w:tcPr>
            <w:tcW w:w="5000" w:type="pct"/>
            <w:gridSpan w:val="13"/>
            <w:shd w:val="clear" w:color="auto" w:fill="auto"/>
            <w:vAlign w:val="center"/>
          </w:tcPr>
          <w:p w:rsidR="00C7409E" w:rsidRPr="00175DCB" w:rsidRDefault="00C7409E" w:rsidP="0033559F">
            <w:pPr>
              <w:pStyle w:val="TableText0"/>
              <w:rPr>
                <w:color w:val="000000"/>
              </w:rPr>
            </w:pPr>
            <w:r w:rsidRPr="00175DCB">
              <w:rPr>
                <w:b/>
                <w:color w:val="000000"/>
              </w:rPr>
              <w:t>Estimated financial i</w:t>
            </w:r>
            <w:r w:rsidR="0033559F" w:rsidRPr="00175DCB">
              <w:rPr>
                <w:b/>
                <w:color w:val="000000"/>
              </w:rPr>
              <w:t>mplications for vorinostat</w:t>
            </w:r>
          </w:p>
        </w:tc>
      </w:tr>
      <w:tr w:rsidR="0033559F" w:rsidRPr="00175DCB" w:rsidTr="00B4669A">
        <w:tc>
          <w:tcPr>
            <w:tcW w:w="1115" w:type="pct"/>
            <w:shd w:val="clear" w:color="auto" w:fill="auto"/>
            <w:vAlign w:val="center"/>
          </w:tcPr>
          <w:p w:rsidR="0033559F" w:rsidRPr="00175DCB" w:rsidRDefault="0033559F" w:rsidP="0033559F">
            <w:pPr>
              <w:pStyle w:val="TableText0"/>
              <w:rPr>
                <w:vertAlign w:val="superscript"/>
              </w:rPr>
            </w:pPr>
            <w:r w:rsidRPr="00175DCB">
              <w:t>Cost to PBS/RPBS less copayments</w:t>
            </w:r>
            <w:r w:rsidR="00D85BE1" w:rsidRPr="00175DCB">
              <w:rPr>
                <w:vertAlign w:val="superscript"/>
              </w:rPr>
              <w:t>b</w:t>
            </w:r>
          </w:p>
        </w:tc>
        <w:tc>
          <w:tcPr>
            <w:tcW w:w="646" w:type="pct"/>
            <w:gridSpan w:val="2"/>
            <w:shd w:val="clear" w:color="auto" w:fill="auto"/>
            <w:vAlign w:val="center"/>
          </w:tcPr>
          <w:p w:rsidR="0033559F" w:rsidRPr="00175DCB" w:rsidRDefault="0033559F" w:rsidP="0033559F">
            <w:pPr>
              <w:pStyle w:val="TableText0"/>
              <w:rPr>
                <w:color w:val="000000"/>
              </w:rPr>
            </w:pPr>
            <w:r w:rsidRPr="00175DCB">
              <w:t>($</w:t>
            </w:r>
            <w:r w:rsidR="00DE546F">
              <w:rPr>
                <w:noProof/>
                <w:color w:val="000000"/>
                <w:highlight w:val="black"/>
              </w:rPr>
              <w:t>'''''''''''''''''''''</w:t>
            </w:r>
            <w:r w:rsidR="00850EA8">
              <w:rPr>
                <w:color w:val="000000"/>
                <w:vertAlign w:val="superscript"/>
              </w:rPr>
              <w:t>3</w:t>
            </w:r>
            <w:r w:rsidRPr="00175DCB">
              <w:t>)</w:t>
            </w:r>
          </w:p>
        </w:tc>
        <w:tc>
          <w:tcPr>
            <w:tcW w:w="647" w:type="pct"/>
            <w:gridSpan w:val="2"/>
            <w:shd w:val="clear" w:color="auto" w:fill="auto"/>
            <w:vAlign w:val="center"/>
          </w:tcPr>
          <w:p w:rsidR="0033559F" w:rsidRPr="00175DCB" w:rsidRDefault="0033559F" w:rsidP="0033559F">
            <w:pPr>
              <w:pStyle w:val="TableText0"/>
              <w:rPr>
                <w:color w:val="000000"/>
              </w:rPr>
            </w:pPr>
            <w:r w:rsidRPr="00175DCB">
              <w:t>($</w:t>
            </w:r>
            <w:r w:rsidR="00DE546F">
              <w:rPr>
                <w:noProof/>
                <w:color w:val="000000"/>
                <w:highlight w:val="black"/>
              </w:rPr>
              <w:t>''''''''''''''''''''''</w:t>
            </w:r>
            <w:r w:rsidR="00850EA8">
              <w:rPr>
                <w:color w:val="000000"/>
                <w:vertAlign w:val="superscript"/>
              </w:rPr>
              <w:t>3</w:t>
            </w:r>
            <w:r w:rsidRPr="00175DCB">
              <w:t>)</w:t>
            </w:r>
          </w:p>
        </w:tc>
        <w:tc>
          <w:tcPr>
            <w:tcW w:w="648" w:type="pct"/>
            <w:gridSpan w:val="2"/>
            <w:shd w:val="clear" w:color="auto" w:fill="auto"/>
            <w:vAlign w:val="center"/>
          </w:tcPr>
          <w:p w:rsidR="0033559F" w:rsidRPr="00175DCB" w:rsidRDefault="0033559F" w:rsidP="0033559F">
            <w:pPr>
              <w:pStyle w:val="TableText0"/>
              <w:rPr>
                <w:color w:val="000000"/>
              </w:rPr>
            </w:pPr>
            <w:r w:rsidRPr="00175DCB">
              <w:t>($</w:t>
            </w:r>
            <w:r w:rsidR="00DE546F">
              <w:rPr>
                <w:noProof/>
                <w:color w:val="000000"/>
                <w:highlight w:val="black"/>
              </w:rPr>
              <w:t>'''''''''''''''''''</w:t>
            </w:r>
            <w:r w:rsidR="00850EA8">
              <w:rPr>
                <w:color w:val="000000"/>
                <w:vertAlign w:val="superscript"/>
              </w:rPr>
              <w:t>3</w:t>
            </w:r>
            <w:r w:rsidRPr="00175DCB">
              <w:t>)</w:t>
            </w:r>
          </w:p>
        </w:tc>
        <w:tc>
          <w:tcPr>
            <w:tcW w:w="648" w:type="pct"/>
            <w:gridSpan w:val="2"/>
            <w:shd w:val="clear" w:color="auto" w:fill="auto"/>
            <w:vAlign w:val="center"/>
          </w:tcPr>
          <w:p w:rsidR="0033559F" w:rsidRPr="00175DCB" w:rsidRDefault="0033559F" w:rsidP="0033559F">
            <w:pPr>
              <w:pStyle w:val="TableText0"/>
              <w:rPr>
                <w:color w:val="000000"/>
              </w:rPr>
            </w:pPr>
            <w:r w:rsidRPr="00175DCB">
              <w:t>($</w:t>
            </w:r>
            <w:r w:rsidR="00DE546F">
              <w:rPr>
                <w:noProof/>
                <w:color w:val="000000"/>
                <w:highlight w:val="black"/>
              </w:rPr>
              <w:t>''''''''''''''''''</w:t>
            </w:r>
            <w:r w:rsidR="00850EA8">
              <w:rPr>
                <w:color w:val="000000"/>
                <w:vertAlign w:val="superscript"/>
              </w:rPr>
              <w:t>3</w:t>
            </w:r>
            <w:r w:rsidRPr="00175DCB">
              <w:t>)</w:t>
            </w:r>
          </w:p>
        </w:tc>
        <w:tc>
          <w:tcPr>
            <w:tcW w:w="648" w:type="pct"/>
            <w:gridSpan w:val="2"/>
            <w:shd w:val="clear" w:color="auto" w:fill="auto"/>
            <w:vAlign w:val="center"/>
          </w:tcPr>
          <w:p w:rsidR="0033559F" w:rsidRPr="00175DCB" w:rsidRDefault="0033559F" w:rsidP="0033559F">
            <w:pPr>
              <w:pStyle w:val="TableText0"/>
              <w:rPr>
                <w:color w:val="000000"/>
              </w:rPr>
            </w:pPr>
            <w:r w:rsidRPr="00175DCB">
              <w:t>($</w:t>
            </w:r>
            <w:r w:rsidR="00DE546F">
              <w:rPr>
                <w:noProof/>
                <w:color w:val="000000"/>
                <w:highlight w:val="black"/>
              </w:rPr>
              <w:t>''''''''''''''''''</w:t>
            </w:r>
            <w:r w:rsidR="00850EA8">
              <w:rPr>
                <w:color w:val="000000"/>
                <w:vertAlign w:val="superscript"/>
              </w:rPr>
              <w:t>3</w:t>
            </w:r>
            <w:r w:rsidRPr="00175DCB">
              <w:t>)</w:t>
            </w:r>
          </w:p>
        </w:tc>
        <w:tc>
          <w:tcPr>
            <w:tcW w:w="647" w:type="pct"/>
            <w:gridSpan w:val="2"/>
            <w:vAlign w:val="center"/>
          </w:tcPr>
          <w:p w:rsidR="0033559F" w:rsidRPr="00175DCB" w:rsidRDefault="0033559F" w:rsidP="0033559F">
            <w:pPr>
              <w:pStyle w:val="TableText0"/>
              <w:rPr>
                <w:color w:val="000000"/>
              </w:rPr>
            </w:pPr>
            <w:r w:rsidRPr="00175DCB">
              <w:t>($</w:t>
            </w:r>
            <w:r w:rsidR="00DE546F">
              <w:rPr>
                <w:noProof/>
                <w:color w:val="000000"/>
                <w:highlight w:val="black"/>
              </w:rPr>
              <w:t>''''''''''''''''''''''</w:t>
            </w:r>
            <w:r w:rsidR="00850EA8">
              <w:rPr>
                <w:color w:val="000000"/>
                <w:vertAlign w:val="superscript"/>
              </w:rPr>
              <w:t>3</w:t>
            </w:r>
            <w:r w:rsidRPr="00175DCB">
              <w:t>)</w:t>
            </w:r>
          </w:p>
        </w:tc>
      </w:tr>
      <w:tr w:rsidR="00C7409E" w:rsidRPr="00175DCB" w:rsidTr="007F3B9E">
        <w:tc>
          <w:tcPr>
            <w:tcW w:w="5000" w:type="pct"/>
            <w:gridSpan w:val="13"/>
            <w:shd w:val="clear" w:color="auto" w:fill="auto"/>
            <w:vAlign w:val="center"/>
          </w:tcPr>
          <w:p w:rsidR="00C7409E" w:rsidRPr="00175DCB" w:rsidRDefault="00C7409E" w:rsidP="0033559F">
            <w:pPr>
              <w:pStyle w:val="TableText0"/>
              <w:rPr>
                <w:b/>
                <w:color w:val="000000"/>
              </w:rPr>
            </w:pPr>
            <w:r w:rsidRPr="00175DCB">
              <w:rPr>
                <w:b/>
                <w:color w:val="000000"/>
              </w:rPr>
              <w:t>Net financial implications</w:t>
            </w:r>
            <w:r w:rsidRPr="00175DCB">
              <w:rPr>
                <w:b/>
                <w:color w:val="4BACC6" w:themeColor="accent5"/>
              </w:rPr>
              <w:t xml:space="preserve"> </w:t>
            </w:r>
          </w:p>
        </w:tc>
      </w:tr>
      <w:tr w:rsidR="0033559F" w:rsidRPr="00175DCB" w:rsidTr="00B4669A">
        <w:tc>
          <w:tcPr>
            <w:tcW w:w="1115" w:type="pct"/>
            <w:shd w:val="clear" w:color="auto" w:fill="auto"/>
            <w:vAlign w:val="center"/>
          </w:tcPr>
          <w:p w:rsidR="0033559F" w:rsidRPr="00175DCB" w:rsidRDefault="0033559F" w:rsidP="0033559F">
            <w:pPr>
              <w:pStyle w:val="TableText0"/>
            </w:pPr>
            <w:r w:rsidRPr="00175DCB">
              <w:t>Net cost to PBS/RPB</w:t>
            </w:r>
            <w:r w:rsidRPr="00175DCB">
              <w:rPr>
                <w:color w:val="000000" w:themeColor="text1"/>
              </w:rPr>
              <w:t>S</w:t>
            </w:r>
            <w:r w:rsidRPr="00175DCB">
              <w:rPr>
                <w:color w:val="FF0000"/>
              </w:rPr>
              <w:t xml:space="preserve"> </w:t>
            </w:r>
          </w:p>
        </w:tc>
        <w:tc>
          <w:tcPr>
            <w:tcW w:w="646" w:type="pct"/>
            <w:gridSpan w:val="2"/>
            <w:shd w:val="clear" w:color="auto" w:fill="auto"/>
          </w:tcPr>
          <w:p w:rsidR="0033559F" w:rsidRPr="00175DCB" w:rsidRDefault="0033559F" w:rsidP="0033559F">
            <w:pPr>
              <w:pStyle w:val="TableText0"/>
              <w:rPr>
                <w:color w:val="000000"/>
              </w:rPr>
            </w:pPr>
            <w:r w:rsidRPr="00175DCB">
              <w:t>$</w:t>
            </w:r>
            <w:r w:rsidR="00DE546F">
              <w:rPr>
                <w:noProof/>
                <w:color w:val="000000"/>
                <w:highlight w:val="black"/>
              </w:rPr>
              <w:t>''''''''''''''''''''''''</w:t>
            </w:r>
            <w:r w:rsidR="00850EA8">
              <w:rPr>
                <w:color w:val="000000"/>
                <w:vertAlign w:val="superscript"/>
              </w:rPr>
              <w:t>3</w:t>
            </w:r>
            <w:r w:rsidRPr="00175DCB">
              <w:t xml:space="preserve"> </w:t>
            </w:r>
          </w:p>
        </w:tc>
        <w:tc>
          <w:tcPr>
            <w:tcW w:w="647" w:type="pct"/>
            <w:gridSpan w:val="2"/>
            <w:shd w:val="clear" w:color="auto" w:fill="auto"/>
          </w:tcPr>
          <w:p w:rsidR="0033559F" w:rsidRPr="00175DCB" w:rsidRDefault="0033559F" w:rsidP="0033559F">
            <w:pPr>
              <w:pStyle w:val="TableText0"/>
              <w:rPr>
                <w:color w:val="000000"/>
              </w:rPr>
            </w:pPr>
            <w:r w:rsidRPr="00175DCB">
              <w:t>$</w:t>
            </w:r>
            <w:r w:rsidR="00DE546F">
              <w:rPr>
                <w:noProof/>
                <w:color w:val="000000"/>
                <w:highlight w:val="black"/>
              </w:rPr>
              <w:t>'''''''''''''''''''''''</w:t>
            </w:r>
            <w:r w:rsidR="00850EA8">
              <w:rPr>
                <w:color w:val="000000"/>
                <w:vertAlign w:val="superscript"/>
              </w:rPr>
              <w:t>3</w:t>
            </w:r>
            <w:r w:rsidRPr="00175DCB">
              <w:t xml:space="preserve"> </w:t>
            </w:r>
          </w:p>
        </w:tc>
        <w:tc>
          <w:tcPr>
            <w:tcW w:w="648" w:type="pct"/>
            <w:gridSpan w:val="2"/>
            <w:shd w:val="clear" w:color="auto" w:fill="auto"/>
          </w:tcPr>
          <w:p w:rsidR="0033559F" w:rsidRPr="00175DCB" w:rsidRDefault="0033559F" w:rsidP="0033559F">
            <w:pPr>
              <w:pStyle w:val="TableText0"/>
              <w:rPr>
                <w:color w:val="000000"/>
              </w:rPr>
            </w:pPr>
            <w:r w:rsidRPr="00175DCB">
              <w:t>$</w:t>
            </w:r>
            <w:r w:rsidR="00DE546F">
              <w:rPr>
                <w:noProof/>
                <w:color w:val="000000"/>
                <w:highlight w:val="black"/>
              </w:rPr>
              <w:t>''''''''''''''''''''''</w:t>
            </w:r>
            <w:r w:rsidR="00850EA8">
              <w:rPr>
                <w:color w:val="000000"/>
                <w:vertAlign w:val="superscript"/>
              </w:rPr>
              <w:t>3</w:t>
            </w:r>
            <w:r w:rsidRPr="00175DCB">
              <w:t xml:space="preserve"> </w:t>
            </w:r>
          </w:p>
        </w:tc>
        <w:tc>
          <w:tcPr>
            <w:tcW w:w="648" w:type="pct"/>
            <w:gridSpan w:val="2"/>
            <w:shd w:val="clear" w:color="auto" w:fill="auto"/>
          </w:tcPr>
          <w:p w:rsidR="0033559F" w:rsidRPr="00175DCB" w:rsidRDefault="0033559F" w:rsidP="0033559F">
            <w:pPr>
              <w:pStyle w:val="TableText0"/>
              <w:rPr>
                <w:color w:val="000000"/>
              </w:rPr>
            </w:pPr>
            <w:r w:rsidRPr="00175DCB">
              <w:t>$</w:t>
            </w:r>
            <w:r w:rsidR="00DE546F">
              <w:rPr>
                <w:noProof/>
                <w:color w:val="000000"/>
                <w:highlight w:val="black"/>
              </w:rPr>
              <w:t>''''''''''''''''''''''</w:t>
            </w:r>
            <w:r w:rsidR="00850EA8">
              <w:rPr>
                <w:color w:val="000000"/>
                <w:vertAlign w:val="superscript"/>
              </w:rPr>
              <w:t>3</w:t>
            </w:r>
            <w:r w:rsidRPr="00175DCB">
              <w:t xml:space="preserve"> </w:t>
            </w:r>
          </w:p>
        </w:tc>
        <w:tc>
          <w:tcPr>
            <w:tcW w:w="648" w:type="pct"/>
            <w:gridSpan w:val="2"/>
            <w:shd w:val="clear" w:color="auto" w:fill="auto"/>
          </w:tcPr>
          <w:p w:rsidR="0033559F" w:rsidRPr="00175DCB" w:rsidRDefault="0033559F" w:rsidP="0033559F">
            <w:pPr>
              <w:pStyle w:val="TableText0"/>
              <w:rPr>
                <w:color w:val="000000"/>
              </w:rPr>
            </w:pPr>
            <w:r w:rsidRPr="00175DCB">
              <w:t>$</w:t>
            </w:r>
            <w:r w:rsidR="00DE546F">
              <w:rPr>
                <w:noProof/>
                <w:color w:val="000000"/>
                <w:highlight w:val="black"/>
              </w:rPr>
              <w:t>''''''''''''''''''''''''</w:t>
            </w:r>
            <w:r w:rsidR="00850EA8">
              <w:rPr>
                <w:color w:val="000000"/>
                <w:vertAlign w:val="superscript"/>
              </w:rPr>
              <w:t>3</w:t>
            </w:r>
            <w:r w:rsidRPr="00175DCB">
              <w:t xml:space="preserve"> </w:t>
            </w:r>
          </w:p>
        </w:tc>
        <w:tc>
          <w:tcPr>
            <w:tcW w:w="647" w:type="pct"/>
            <w:gridSpan w:val="2"/>
          </w:tcPr>
          <w:p w:rsidR="0033559F" w:rsidRPr="00175DCB" w:rsidRDefault="0033559F" w:rsidP="0033559F">
            <w:pPr>
              <w:pStyle w:val="TableText0"/>
              <w:rPr>
                <w:color w:val="000000"/>
              </w:rPr>
            </w:pPr>
            <w:r w:rsidRPr="00175DCB">
              <w:t>$</w:t>
            </w:r>
            <w:r w:rsidR="00DE546F">
              <w:rPr>
                <w:noProof/>
                <w:color w:val="000000"/>
                <w:highlight w:val="black"/>
              </w:rPr>
              <w:t>'''''''''''''''''''''''</w:t>
            </w:r>
            <w:r w:rsidR="00850EA8">
              <w:rPr>
                <w:color w:val="000000"/>
                <w:vertAlign w:val="superscript"/>
              </w:rPr>
              <w:t>3</w:t>
            </w:r>
            <w:r w:rsidRPr="00175DCB">
              <w:t xml:space="preserve"> </w:t>
            </w:r>
          </w:p>
        </w:tc>
      </w:tr>
      <w:tr w:rsidR="002B3129" w:rsidRPr="00850EA8" w:rsidTr="00B4669A">
        <w:tc>
          <w:tcPr>
            <w:tcW w:w="1115" w:type="pct"/>
            <w:shd w:val="clear" w:color="auto" w:fill="auto"/>
            <w:vAlign w:val="center"/>
          </w:tcPr>
          <w:p w:rsidR="002B3129" w:rsidRPr="00175DCB" w:rsidRDefault="002B3129" w:rsidP="002B3129">
            <w:pPr>
              <w:pStyle w:val="TableText0"/>
              <w:rPr>
                <w:vertAlign w:val="superscript"/>
              </w:rPr>
            </w:pPr>
            <w:r w:rsidRPr="00175DCB">
              <w:t>Corrected net cost to PBS/RPBS</w:t>
            </w:r>
            <w:r w:rsidR="00D85BE1" w:rsidRPr="00175DCB">
              <w:rPr>
                <w:vertAlign w:val="superscript"/>
              </w:rPr>
              <w:t>a</w:t>
            </w:r>
          </w:p>
        </w:tc>
        <w:tc>
          <w:tcPr>
            <w:tcW w:w="646" w:type="pct"/>
            <w:gridSpan w:val="2"/>
            <w:shd w:val="clear" w:color="auto" w:fill="auto"/>
            <w:vAlign w:val="center"/>
          </w:tcPr>
          <w:p w:rsidR="002B3129" w:rsidRPr="00175DCB" w:rsidRDefault="002B3129" w:rsidP="002B3129">
            <w:pPr>
              <w:pStyle w:val="TableText0"/>
            </w:pPr>
            <w:r w:rsidRPr="00175DCB">
              <w:t>$</w:t>
            </w:r>
            <w:r w:rsidR="00DE546F">
              <w:rPr>
                <w:noProof/>
                <w:color w:val="000000"/>
                <w:highlight w:val="black"/>
              </w:rPr>
              <w:t>'''''''''''''''''''''</w:t>
            </w:r>
            <w:r w:rsidR="00850EA8">
              <w:rPr>
                <w:color w:val="000000"/>
                <w:vertAlign w:val="superscript"/>
              </w:rPr>
              <w:t>3</w:t>
            </w:r>
            <w:r w:rsidRPr="00175DCB">
              <w:t xml:space="preserve"> </w:t>
            </w:r>
          </w:p>
        </w:tc>
        <w:tc>
          <w:tcPr>
            <w:tcW w:w="647" w:type="pct"/>
            <w:gridSpan w:val="2"/>
            <w:shd w:val="clear" w:color="auto" w:fill="auto"/>
            <w:vAlign w:val="center"/>
          </w:tcPr>
          <w:p w:rsidR="002B3129" w:rsidRPr="00175DCB" w:rsidRDefault="002B3129" w:rsidP="002B3129">
            <w:pPr>
              <w:pStyle w:val="TableText0"/>
            </w:pPr>
            <w:r w:rsidRPr="00175DCB">
              <w:t>$</w:t>
            </w:r>
            <w:r w:rsidR="00DE546F">
              <w:rPr>
                <w:noProof/>
                <w:color w:val="000000"/>
                <w:highlight w:val="black"/>
              </w:rPr>
              <w:t>'''''''''''''''''''''''''</w:t>
            </w:r>
            <w:r w:rsidR="00850EA8">
              <w:rPr>
                <w:color w:val="000000"/>
                <w:vertAlign w:val="superscript"/>
              </w:rPr>
              <w:t>3</w:t>
            </w:r>
            <w:r w:rsidRPr="00175DCB">
              <w:t xml:space="preserve"> </w:t>
            </w:r>
          </w:p>
        </w:tc>
        <w:tc>
          <w:tcPr>
            <w:tcW w:w="648" w:type="pct"/>
            <w:gridSpan w:val="2"/>
            <w:shd w:val="clear" w:color="auto" w:fill="auto"/>
            <w:vAlign w:val="center"/>
          </w:tcPr>
          <w:p w:rsidR="002B3129" w:rsidRPr="00175DCB" w:rsidRDefault="002B3129" w:rsidP="002B3129">
            <w:pPr>
              <w:pStyle w:val="TableText0"/>
            </w:pPr>
            <w:r w:rsidRPr="00175DCB">
              <w:t>$</w:t>
            </w:r>
            <w:r w:rsidR="00DE546F">
              <w:rPr>
                <w:noProof/>
                <w:color w:val="000000"/>
                <w:highlight w:val="black"/>
              </w:rPr>
              <w:t>'''''''''''''''''''''''''</w:t>
            </w:r>
            <w:r w:rsidR="00850EA8">
              <w:rPr>
                <w:color w:val="000000"/>
                <w:vertAlign w:val="superscript"/>
              </w:rPr>
              <w:t>3</w:t>
            </w:r>
            <w:r w:rsidRPr="00175DCB">
              <w:t xml:space="preserve"> </w:t>
            </w:r>
          </w:p>
        </w:tc>
        <w:tc>
          <w:tcPr>
            <w:tcW w:w="648" w:type="pct"/>
            <w:gridSpan w:val="2"/>
            <w:shd w:val="clear" w:color="auto" w:fill="auto"/>
            <w:vAlign w:val="center"/>
          </w:tcPr>
          <w:p w:rsidR="002B3129" w:rsidRPr="00175DCB" w:rsidRDefault="002B3129" w:rsidP="002B3129">
            <w:pPr>
              <w:pStyle w:val="TableText0"/>
            </w:pPr>
            <w:r w:rsidRPr="00175DCB">
              <w:t>$</w:t>
            </w:r>
            <w:r w:rsidR="00DE546F">
              <w:rPr>
                <w:noProof/>
                <w:color w:val="000000"/>
                <w:highlight w:val="black"/>
              </w:rPr>
              <w:t>'''''''''''''''''''''''''</w:t>
            </w:r>
            <w:r w:rsidR="00850EA8">
              <w:rPr>
                <w:color w:val="000000"/>
                <w:vertAlign w:val="superscript"/>
              </w:rPr>
              <w:t>3</w:t>
            </w:r>
            <w:r w:rsidRPr="00175DCB">
              <w:t xml:space="preserve"> </w:t>
            </w:r>
          </w:p>
        </w:tc>
        <w:tc>
          <w:tcPr>
            <w:tcW w:w="648" w:type="pct"/>
            <w:gridSpan w:val="2"/>
            <w:shd w:val="clear" w:color="auto" w:fill="auto"/>
            <w:vAlign w:val="center"/>
          </w:tcPr>
          <w:p w:rsidR="002B3129" w:rsidRPr="00175DCB" w:rsidRDefault="002B3129" w:rsidP="002B3129">
            <w:pPr>
              <w:pStyle w:val="TableText0"/>
            </w:pPr>
            <w:r w:rsidRPr="00175DCB">
              <w:t>$</w:t>
            </w:r>
            <w:r w:rsidR="00DE546F">
              <w:rPr>
                <w:noProof/>
                <w:color w:val="000000"/>
                <w:highlight w:val="black"/>
              </w:rPr>
              <w:t>'''''''''''''''''''''''</w:t>
            </w:r>
            <w:r w:rsidR="00850EA8">
              <w:rPr>
                <w:color w:val="000000"/>
                <w:vertAlign w:val="superscript"/>
              </w:rPr>
              <w:t>3</w:t>
            </w:r>
          </w:p>
        </w:tc>
        <w:tc>
          <w:tcPr>
            <w:tcW w:w="647" w:type="pct"/>
            <w:gridSpan w:val="2"/>
            <w:vAlign w:val="center"/>
          </w:tcPr>
          <w:p w:rsidR="002B3129" w:rsidRPr="00DE546F" w:rsidRDefault="00DE546F" w:rsidP="002B3129">
            <w:pPr>
              <w:pStyle w:val="TableText0"/>
            </w:pPr>
            <w:r>
              <w:rPr>
                <w:noProof/>
                <w:color w:val="000000"/>
                <w:highlight w:val="black"/>
              </w:rPr>
              <w:t>''''''''''''''''''''''''</w:t>
            </w:r>
            <w:r w:rsidR="00850EA8">
              <w:rPr>
                <w:color w:val="000000"/>
                <w:vertAlign w:val="superscript"/>
              </w:rPr>
              <w:t>3</w:t>
            </w:r>
            <w:r>
              <w:rPr>
                <w:noProof/>
                <w:color w:val="000000"/>
                <w:highlight w:val="black"/>
              </w:rPr>
              <w:t xml:space="preserve"> </w:t>
            </w:r>
          </w:p>
        </w:tc>
      </w:tr>
      <w:tr w:rsidR="007F3B9E" w:rsidRPr="00175DCB" w:rsidTr="007F3B9E">
        <w:tc>
          <w:tcPr>
            <w:tcW w:w="5000" w:type="pct"/>
            <w:gridSpan w:val="13"/>
            <w:shd w:val="clear" w:color="auto" w:fill="D9D9D9" w:themeFill="background1" w:themeFillShade="D9"/>
            <w:vAlign w:val="center"/>
          </w:tcPr>
          <w:p w:rsidR="007F3B9E" w:rsidRPr="00175DCB" w:rsidRDefault="007F3B9E" w:rsidP="002B3129">
            <w:pPr>
              <w:pStyle w:val="TableText0"/>
              <w:rPr>
                <w:b/>
              </w:rPr>
            </w:pPr>
            <w:r w:rsidRPr="00175DCB">
              <w:rPr>
                <w:b/>
              </w:rPr>
              <w:t>Previous submission (July 2020) – estimated use and financial implications</w:t>
            </w:r>
          </w:p>
        </w:tc>
      </w:tr>
      <w:tr w:rsidR="007F3B9E" w:rsidRPr="00175DCB" w:rsidTr="007F3B9E">
        <w:tc>
          <w:tcPr>
            <w:tcW w:w="5000" w:type="pct"/>
            <w:gridSpan w:val="13"/>
            <w:shd w:val="clear" w:color="auto" w:fill="D9D9D9" w:themeFill="background1" w:themeFillShade="D9"/>
          </w:tcPr>
          <w:p w:rsidR="007F3B9E" w:rsidRPr="00175DCB" w:rsidRDefault="007F3B9E" w:rsidP="007F3B9E">
            <w:pPr>
              <w:pStyle w:val="TableText0"/>
              <w:rPr>
                <w:b/>
              </w:rPr>
            </w:pPr>
            <w:r w:rsidRPr="00175DCB">
              <w:rPr>
                <w:b/>
              </w:rPr>
              <w:t>Estimated extent of use</w:t>
            </w:r>
          </w:p>
        </w:tc>
      </w:tr>
      <w:tr w:rsidR="007F3B9E" w:rsidRPr="00175DCB" w:rsidTr="00B4669A">
        <w:tc>
          <w:tcPr>
            <w:tcW w:w="1115" w:type="pct"/>
            <w:shd w:val="clear" w:color="auto" w:fill="D9D9D9" w:themeFill="background1" w:themeFillShade="D9"/>
          </w:tcPr>
          <w:p w:rsidR="007F3B9E" w:rsidRPr="00175DCB" w:rsidRDefault="007F3B9E" w:rsidP="007F3B9E">
            <w:pPr>
              <w:pStyle w:val="TableText0"/>
            </w:pPr>
            <w:r w:rsidRPr="00175DCB">
              <w:t>Number of patients treated</w:t>
            </w:r>
          </w:p>
        </w:tc>
        <w:tc>
          <w:tcPr>
            <w:tcW w:w="646" w:type="pct"/>
            <w:gridSpan w:val="2"/>
            <w:shd w:val="clear" w:color="auto" w:fill="D9D9D9" w:themeFill="background1" w:themeFillShade="D9"/>
          </w:tcPr>
          <w:p w:rsidR="007F3B9E" w:rsidRPr="00DE546F" w:rsidRDefault="00DE546F" w:rsidP="007F3B9E">
            <w:pPr>
              <w:pStyle w:val="TableText0"/>
            </w:pPr>
            <w:r>
              <w:rPr>
                <w:noProof/>
                <w:color w:val="000000"/>
                <w:highlight w:val="black"/>
              </w:rPr>
              <w:t>''''''</w:t>
            </w:r>
            <w:r w:rsidR="00850EA8">
              <w:rPr>
                <w:color w:val="000000"/>
                <w:vertAlign w:val="superscript"/>
              </w:rPr>
              <w:t>1</w:t>
            </w:r>
          </w:p>
        </w:tc>
        <w:tc>
          <w:tcPr>
            <w:tcW w:w="647" w:type="pct"/>
            <w:gridSpan w:val="2"/>
            <w:shd w:val="clear" w:color="auto" w:fill="D9D9D9" w:themeFill="background1" w:themeFillShade="D9"/>
          </w:tcPr>
          <w:p w:rsidR="007F3B9E" w:rsidRPr="00DE546F" w:rsidRDefault="00DE546F" w:rsidP="007F3B9E">
            <w:pPr>
              <w:pStyle w:val="TableText0"/>
            </w:pPr>
            <w:r>
              <w:rPr>
                <w:noProof/>
                <w:color w:val="000000"/>
                <w:highlight w:val="black"/>
              </w:rPr>
              <w:t>'''''</w:t>
            </w:r>
            <w:r w:rsidR="00850EA8">
              <w:rPr>
                <w:color w:val="000000"/>
                <w:vertAlign w:val="superscript"/>
              </w:rPr>
              <w:t>1</w:t>
            </w:r>
          </w:p>
        </w:tc>
        <w:tc>
          <w:tcPr>
            <w:tcW w:w="648" w:type="pct"/>
            <w:gridSpan w:val="2"/>
            <w:shd w:val="clear" w:color="auto" w:fill="D9D9D9" w:themeFill="background1" w:themeFillShade="D9"/>
          </w:tcPr>
          <w:p w:rsidR="007F3B9E" w:rsidRPr="00DE546F" w:rsidRDefault="00DE546F" w:rsidP="007F3B9E">
            <w:pPr>
              <w:pStyle w:val="TableText0"/>
            </w:pPr>
            <w:r>
              <w:rPr>
                <w:noProof/>
                <w:color w:val="000000"/>
                <w:highlight w:val="black"/>
              </w:rPr>
              <w:t>'''''''</w:t>
            </w:r>
            <w:r w:rsidR="00850EA8">
              <w:rPr>
                <w:color w:val="000000"/>
                <w:vertAlign w:val="superscript"/>
              </w:rPr>
              <w:t>1</w:t>
            </w:r>
          </w:p>
        </w:tc>
        <w:tc>
          <w:tcPr>
            <w:tcW w:w="648" w:type="pct"/>
            <w:gridSpan w:val="2"/>
            <w:shd w:val="clear" w:color="auto" w:fill="D9D9D9" w:themeFill="background1" w:themeFillShade="D9"/>
          </w:tcPr>
          <w:p w:rsidR="007F3B9E" w:rsidRPr="00DE546F" w:rsidRDefault="00DE546F" w:rsidP="007F3B9E">
            <w:pPr>
              <w:pStyle w:val="TableText0"/>
            </w:pPr>
            <w:r>
              <w:rPr>
                <w:noProof/>
                <w:color w:val="000000"/>
                <w:highlight w:val="black"/>
              </w:rPr>
              <w:t>'''''''</w:t>
            </w:r>
            <w:r w:rsidR="00850EA8">
              <w:rPr>
                <w:color w:val="000000"/>
                <w:vertAlign w:val="superscript"/>
              </w:rPr>
              <w:t>1</w:t>
            </w:r>
          </w:p>
        </w:tc>
        <w:tc>
          <w:tcPr>
            <w:tcW w:w="648" w:type="pct"/>
            <w:gridSpan w:val="2"/>
            <w:shd w:val="clear" w:color="auto" w:fill="D9D9D9" w:themeFill="background1" w:themeFillShade="D9"/>
          </w:tcPr>
          <w:p w:rsidR="007F3B9E" w:rsidRPr="00DE546F" w:rsidRDefault="00DE546F" w:rsidP="007F3B9E">
            <w:pPr>
              <w:pStyle w:val="TableText0"/>
            </w:pPr>
            <w:r>
              <w:rPr>
                <w:noProof/>
                <w:color w:val="000000"/>
                <w:highlight w:val="black"/>
              </w:rPr>
              <w:t>''''''</w:t>
            </w:r>
            <w:r w:rsidR="00850EA8">
              <w:rPr>
                <w:color w:val="000000"/>
                <w:vertAlign w:val="superscript"/>
              </w:rPr>
              <w:t>1</w:t>
            </w:r>
          </w:p>
        </w:tc>
        <w:tc>
          <w:tcPr>
            <w:tcW w:w="647" w:type="pct"/>
            <w:gridSpan w:val="2"/>
            <w:shd w:val="clear" w:color="auto" w:fill="D9D9D9" w:themeFill="background1" w:themeFillShade="D9"/>
          </w:tcPr>
          <w:p w:rsidR="007F3B9E" w:rsidRPr="00DE546F" w:rsidRDefault="00DE546F" w:rsidP="007F3B9E">
            <w:pPr>
              <w:pStyle w:val="TableText0"/>
            </w:pPr>
            <w:r>
              <w:rPr>
                <w:noProof/>
                <w:color w:val="000000"/>
                <w:highlight w:val="black"/>
              </w:rPr>
              <w:t>'''''</w:t>
            </w:r>
            <w:r w:rsidR="00850EA8">
              <w:rPr>
                <w:color w:val="000000"/>
                <w:vertAlign w:val="superscript"/>
              </w:rPr>
              <w:t>1</w:t>
            </w:r>
          </w:p>
        </w:tc>
      </w:tr>
      <w:tr w:rsidR="007F3B9E" w:rsidRPr="00175DCB" w:rsidTr="00B4669A">
        <w:tc>
          <w:tcPr>
            <w:tcW w:w="1115" w:type="pct"/>
            <w:shd w:val="clear" w:color="auto" w:fill="D9D9D9" w:themeFill="background1" w:themeFillShade="D9"/>
          </w:tcPr>
          <w:p w:rsidR="007F3B9E" w:rsidRPr="00175DCB" w:rsidRDefault="007F3B9E" w:rsidP="007F3B9E">
            <w:pPr>
              <w:pStyle w:val="TableText0"/>
            </w:pPr>
            <w:r w:rsidRPr="00175DCB">
              <w:t>Number of scripts dispensed</w:t>
            </w:r>
          </w:p>
        </w:tc>
        <w:tc>
          <w:tcPr>
            <w:tcW w:w="646" w:type="pct"/>
            <w:gridSpan w:val="2"/>
            <w:shd w:val="clear" w:color="auto" w:fill="D9D9D9" w:themeFill="background1" w:themeFillShade="D9"/>
          </w:tcPr>
          <w:p w:rsidR="007F3B9E" w:rsidRPr="00DE546F" w:rsidRDefault="00DE546F" w:rsidP="007F3B9E">
            <w:pPr>
              <w:pStyle w:val="TableText0"/>
            </w:pPr>
            <w:r>
              <w:rPr>
                <w:noProof/>
                <w:color w:val="000000"/>
                <w:highlight w:val="black"/>
              </w:rPr>
              <w:t>''''''''</w:t>
            </w:r>
            <w:r w:rsidR="00850EA8" w:rsidRPr="007A0D95">
              <w:rPr>
                <w:color w:val="000000"/>
                <w:vertAlign w:val="superscript"/>
              </w:rPr>
              <w:t>2</w:t>
            </w:r>
          </w:p>
        </w:tc>
        <w:tc>
          <w:tcPr>
            <w:tcW w:w="647" w:type="pct"/>
            <w:gridSpan w:val="2"/>
            <w:shd w:val="clear" w:color="auto" w:fill="D9D9D9" w:themeFill="background1" w:themeFillShade="D9"/>
          </w:tcPr>
          <w:p w:rsidR="007F3B9E" w:rsidRPr="00DE546F" w:rsidRDefault="00DE546F" w:rsidP="007F3B9E">
            <w:pPr>
              <w:pStyle w:val="TableText0"/>
            </w:pPr>
            <w:r>
              <w:rPr>
                <w:noProof/>
                <w:color w:val="000000"/>
                <w:highlight w:val="black"/>
              </w:rPr>
              <w:t>'''''''''''''</w:t>
            </w:r>
            <w:r w:rsidR="00850EA8" w:rsidRPr="00D63F79">
              <w:rPr>
                <w:color w:val="000000"/>
                <w:vertAlign w:val="superscript"/>
              </w:rPr>
              <w:t>2</w:t>
            </w:r>
          </w:p>
        </w:tc>
        <w:tc>
          <w:tcPr>
            <w:tcW w:w="648" w:type="pct"/>
            <w:gridSpan w:val="2"/>
            <w:shd w:val="clear" w:color="auto" w:fill="D9D9D9" w:themeFill="background1" w:themeFillShade="D9"/>
          </w:tcPr>
          <w:p w:rsidR="007F3B9E" w:rsidRPr="00DE546F" w:rsidRDefault="00DE546F" w:rsidP="007F3B9E">
            <w:pPr>
              <w:pStyle w:val="TableText0"/>
            </w:pPr>
            <w:r>
              <w:rPr>
                <w:noProof/>
                <w:color w:val="000000"/>
                <w:highlight w:val="black"/>
              </w:rPr>
              <w:t>'''''''''''''</w:t>
            </w:r>
            <w:r w:rsidR="00850EA8" w:rsidRPr="00D63F79">
              <w:rPr>
                <w:color w:val="000000"/>
                <w:vertAlign w:val="superscript"/>
              </w:rPr>
              <w:t>2</w:t>
            </w:r>
          </w:p>
        </w:tc>
        <w:tc>
          <w:tcPr>
            <w:tcW w:w="648" w:type="pct"/>
            <w:gridSpan w:val="2"/>
            <w:shd w:val="clear" w:color="auto" w:fill="D9D9D9" w:themeFill="background1" w:themeFillShade="D9"/>
          </w:tcPr>
          <w:p w:rsidR="007F3B9E" w:rsidRPr="00DE546F" w:rsidRDefault="00DE546F" w:rsidP="007F3B9E">
            <w:pPr>
              <w:pStyle w:val="TableText0"/>
            </w:pPr>
            <w:r>
              <w:rPr>
                <w:noProof/>
                <w:color w:val="000000"/>
                <w:highlight w:val="black"/>
              </w:rPr>
              <w:t>'''''''''''''</w:t>
            </w:r>
            <w:r w:rsidR="00850EA8" w:rsidRPr="00D63F79">
              <w:rPr>
                <w:color w:val="000000"/>
                <w:vertAlign w:val="superscript"/>
              </w:rPr>
              <w:t>2</w:t>
            </w:r>
          </w:p>
        </w:tc>
        <w:tc>
          <w:tcPr>
            <w:tcW w:w="648" w:type="pct"/>
            <w:gridSpan w:val="2"/>
            <w:shd w:val="clear" w:color="auto" w:fill="D9D9D9" w:themeFill="background1" w:themeFillShade="D9"/>
          </w:tcPr>
          <w:p w:rsidR="007F3B9E" w:rsidRPr="00DE546F" w:rsidRDefault="00DE546F" w:rsidP="007F3B9E">
            <w:pPr>
              <w:pStyle w:val="TableText0"/>
            </w:pPr>
            <w:r>
              <w:rPr>
                <w:noProof/>
                <w:color w:val="000000"/>
                <w:highlight w:val="black"/>
              </w:rPr>
              <w:t>'''''''''''''''</w:t>
            </w:r>
            <w:r w:rsidR="00850EA8" w:rsidRPr="00D63F79">
              <w:rPr>
                <w:color w:val="000000"/>
                <w:vertAlign w:val="superscript"/>
              </w:rPr>
              <w:t>2</w:t>
            </w:r>
          </w:p>
        </w:tc>
        <w:tc>
          <w:tcPr>
            <w:tcW w:w="647" w:type="pct"/>
            <w:gridSpan w:val="2"/>
            <w:shd w:val="clear" w:color="auto" w:fill="D9D9D9" w:themeFill="background1" w:themeFillShade="D9"/>
          </w:tcPr>
          <w:p w:rsidR="007F3B9E" w:rsidRPr="00DE546F" w:rsidRDefault="00DE546F" w:rsidP="007F3B9E">
            <w:pPr>
              <w:pStyle w:val="TableText0"/>
            </w:pPr>
            <w:r>
              <w:rPr>
                <w:noProof/>
                <w:color w:val="000000"/>
                <w:highlight w:val="black"/>
              </w:rPr>
              <w:t>''''''''''''''</w:t>
            </w:r>
            <w:r w:rsidR="00850EA8" w:rsidRPr="00D63F79">
              <w:rPr>
                <w:color w:val="000000"/>
                <w:vertAlign w:val="superscript"/>
              </w:rPr>
              <w:t>2</w:t>
            </w:r>
          </w:p>
        </w:tc>
      </w:tr>
      <w:tr w:rsidR="007F3B9E" w:rsidRPr="00175DCB" w:rsidTr="007F3B9E">
        <w:tc>
          <w:tcPr>
            <w:tcW w:w="5000" w:type="pct"/>
            <w:gridSpan w:val="13"/>
            <w:shd w:val="clear" w:color="auto" w:fill="D9D9D9" w:themeFill="background1" w:themeFillShade="D9"/>
            <w:vAlign w:val="center"/>
          </w:tcPr>
          <w:p w:rsidR="007F3B9E" w:rsidRPr="00175DCB" w:rsidRDefault="007F3B9E" w:rsidP="00E773A3">
            <w:pPr>
              <w:pStyle w:val="In-tableHeading"/>
              <w:rPr>
                <w:lang w:val="en-AU"/>
              </w:rPr>
            </w:pPr>
            <w:r w:rsidRPr="00175DCB">
              <w:rPr>
                <w:lang w:val="en-AU"/>
              </w:rPr>
              <w:t>Estimated financial implications of mogamulizumab</w:t>
            </w:r>
          </w:p>
        </w:tc>
      </w:tr>
      <w:tr w:rsidR="007F3B9E" w:rsidRPr="00175DCB" w:rsidTr="00B4669A">
        <w:tc>
          <w:tcPr>
            <w:tcW w:w="1123" w:type="pct"/>
            <w:gridSpan w:val="2"/>
            <w:shd w:val="clear" w:color="auto" w:fill="D9D9D9" w:themeFill="background1" w:themeFillShade="D9"/>
            <w:vAlign w:val="center"/>
          </w:tcPr>
          <w:p w:rsidR="007F3B9E" w:rsidRPr="00175DCB" w:rsidRDefault="007F3B9E" w:rsidP="00E773A3">
            <w:pPr>
              <w:pStyle w:val="TableText0"/>
              <w:rPr>
                <w:sz w:val="19"/>
                <w:szCs w:val="19"/>
              </w:rPr>
            </w:pPr>
            <w:r w:rsidRPr="00175DCB">
              <w:rPr>
                <w:sz w:val="19"/>
                <w:szCs w:val="19"/>
              </w:rPr>
              <w:t>Cost to PBS/RPBS less copayments</w:t>
            </w:r>
          </w:p>
        </w:tc>
        <w:tc>
          <w:tcPr>
            <w:tcW w:w="652" w:type="pct"/>
            <w:gridSpan w:val="2"/>
            <w:shd w:val="clear" w:color="auto" w:fill="D9D9D9" w:themeFill="background1" w:themeFillShade="D9"/>
          </w:tcPr>
          <w:p w:rsidR="007F3B9E" w:rsidRPr="00175DCB" w:rsidRDefault="007F3B9E" w:rsidP="00E773A3">
            <w:pPr>
              <w:pStyle w:val="TableText0"/>
              <w:jc w:val="center"/>
            </w:pPr>
            <w:r w:rsidRPr="00175DCB">
              <w:rPr>
                <w:szCs w:val="20"/>
              </w:rPr>
              <w:t>$</w:t>
            </w:r>
            <w:r w:rsidR="00DE546F">
              <w:rPr>
                <w:noProof/>
                <w:color w:val="000000"/>
                <w:szCs w:val="20"/>
                <w:highlight w:val="black"/>
              </w:rPr>
              <w:t>'''''''''''''''''''''''</w:t>
            </w:r>
            <w:r w:rsidR="00850EA8">
              <w:rPr>
                <w:color w:val="000000"/>
                <w:vertAlign w:val="superscript"/>
              </w:rPr>
              <w:t>3</w:t>
            </w:r>
          </w:p>
        </w:tc>
        <w:tc>
          <w:tcPr>
            <w:tcW w:w="653" w:type="pct"/>
            <w:gridSpan w:val="2"/>
            <w:shd w:val="clear" w:color="auto" w:fill="D9D9D9" w:themeFill="background1" w:themeFillShade="D9"/>
          </w:tcPr>
          <w:p w:rsidR="007F3B9E" w:rsidRPr="00175DCB" w:rsidRDefault="007F3B9E" w:rsidP="00E773A3">
            <w:pPr>
              <w:pStyle w:val="TableText0"/>
              <w:jc w:val="center"/>
            </w:pPr>
            <w:r w:rsidRPr="00175DCB">
              <w:rPr>
                <w:szCs w:val="20"/>
              </w:rPr>
              <w:t>$</w:t>
            </w:r>
            <w:r w:rsidR="00DE546F">
              <w:rPr>
                <w:noProof/>
                <w:color w:val="000000"/>
                <w:szCs w:val="20"/>
                <w:highlight w:val="black"/>
              </w:rPr>
              <w:t>'''''''''''''''''''''''</w:t>
            </w:r>
            <w:r w:rsidR="00850EA8">
              <w:rPr>
                <w:color w:val="000000"/>
                <w:vertAlign w:val="superscript"/>
              </w:rPr>
              <w:t>3</w:t>
            </w:r>
            <w:r w:rsidRPr="00175DCB">
              <w:rPr>
                <w:szCs w:val="20"/>
              </w:rPr>
              <w:t xml:space="preserve"> </w:t>
            </w:r>
          </w:p>
        </w:tc>
        <w:tc>
          <w:tcPr>
            <w:tcW w:w="653" w:type="pct"/>
            <w:gridSpan w:val="2"/>
            <w:shd w:val="clear" w:color="auto" w:fill="D9D9D9" w:themeFill="background1" w:themeFillShade="D9"/>
          </w:tcPr>
          <w:p w:rsidR="007F3B9E" w:rsidRPr="00175DCB" w:rsidRDefault="007F3B9E" w:rsidP="00E773A3">
            <w:pPr>
              <w:pStyle w:val="TableText0"/>
              <w:jc w:val="center"/>
            </w:pPr>
            <w:r w:rsidRPr="00175DCB">
              <w:rPr>
                <w:szCs w:val="20"/>
              </w:rPr>
              <w:t>$</w:t>
            </w:r>
            <w:r w:rsidR="00DE546F">
              <w:rPr>
                <w:noProof/>
                <w:color w:val="000000"/>
                <w:szCs w:val="20"/>
                <w:highlight w:val="black"/>
              </w:rPr>
              <w:t>''''''''''''''''''''''</w:t>
            </w:r>
            <w:r w:rsidR="00850EA8">
              <w:rPr>
                <w:color w:val="000000"/>
                <w:vertAlign w:val="superscript"/>
              </w:rPr>
              <w:t>3</w:t>
            </w:r>
            <w:r w:rsidRPr="00175DCB">
              <w:rPr>
                <w:szCs w:val="20"/>
              </w:rPr>
              <w:t xml:space="preserve"> </w:t>
            </w:r>
          </w:p>
        </w:tc>
        <w:tc>
          <w:tcPr>
            <w:tcW w:w="653" w:type="pct"/>
            <w:gridSpan w:val="2"/>
            <w:shd w:val="clear" w:color="auto" w:fill="D9D9D9" w:themeFill="background1" w:themeFillShade="D9"/>
          </w:tcPr>
          <w:p w:rsidR="007F3B9E" w:rsidRPr="00175DCB" w:rsidRDefault="007F3B9E" w:rsidP="00E773A3">
            <w:pPr>
              <w:pStyle w:val="TableText0"/>
              <w:jc w:val="center"/>
            </w:pPr>
            <w:r w:rsidRPr="00175DCB">
              <w:rPr>
                <w:szCs w:val="20"/>
              </w:rPr>
              <w:t>$</w:t>
            </w:r>
            <w:r w:rsidR="00DE546F">
              <w:rPr>
                <w:noProof/>
                <w:color w:val="000000"/>
                <w:szCs w:val="20"/>
                <w:highlight w:val="black"/>
              </w:rPr>
              <w:t>''''''''''''''''''''''''</w:t>
            </w:r>
            <w:r w:rsidR="00850EA8">
              <w:rPr>
                <w:color w:val="000000"/>
                <w:vertAlign w:val="superscript"/>
              </w:rPr>
              <w:t>3</w:t>
            </w:r>
            <w:r w:rsidRPr="00175DCB">
              <w:rPr>
                <w:szCs w:val="20"/>
              </w:rPr>
              <w:t xml:space="preserve"> </w:t>
            </w:r>
          </w:p>
        </w:tc>
        <w:tc>
          <w:tcPr>
            <w:tcW w:w="653" w:type="pct"/>
            <w:gridSpan w:val="2"/>
            <w:shd w:val="clear" w:color="auto" w:fill="D9D9D9" w:themeFill="background1" w:themeFillShade="D9"/>
          </w:tcPr>
          <w:p w:rsidR="007F3B9E" w:rsidRPr="00175DCB" w:rsidRDefault="007F3B9E" w:rsidP="00E773A3">
            <w:pPr>
              <w:pStyle w:val="TableText0"/>
              <w:jc w:val="center"/>
            </w:pPr>
            <w:r w:rsidRPr="00175DCB">
              <w:rPr>
                <w:szCs w:val="20"/>
              </w:rPr>
              <w:t>$</w:t>
            </w:r>
            <w:r w:rsidR="00DE546F">
              <w:rPr>
                <w:noProof/>
                <w:color w:val="000000"/>
                <w:szCs w:val="20"/>
                <w:highlight w:val="black"/>
              </w:rPr>
              <w:t>'''''''''''''''''''''''</w:t>
            </w:r>
            <w:r w:rsidR="00850EA8">
              <w:rPr>
                <w:color w:val="000000"/>
                <w:vertAlign w:val="superscript"/>
              </w:rPr>
              <w:t>3</w:t>
            </w:r>
            <w:r w:rsidRPr="00175DCB">
              <w:rPr>
                <w:szCs w:val="20"/>
              </w:rPr>
              <w:t xml:space="preserve"> </w:t>
            </w:r>
          </w:p>
        </w:tc>
        <w:tc>
          <w:tcPr>
            <w:tcW w:w="612" w:type="pct"/>
            <w:shd w:val="clear" w:color="auto" w:fill="D9D9D9" w:themeFill="background1" w:themeFillShade="D9"/>
          </w:tcPr>
          <w:p w:rsidR="007F3B9E" w:rsidRPr="00175DCB" w:rsidRDefault="007F3B9E" w:rsidP="00E773A3">
            <w:pPr>
              <w:pStyle w:val="TableText0"/>
              <w:jc w:val="center"/>
            </w:pPr>
            <w:r w:rsidRPr="00175DCB">
              <w:rPr>
                <w:szCs w:val="20"/>
              </w:rPr>
              <w:t>$</w:t>
            </w:r>
            <w:r w:rsidR="00DE546F">
              <w:rPr>
                <w:noProof/>
                <w:color w:val="000000"/>
                <w:szCs w:val="20"/>
                <w:highlight w:val="black"/>
              </w:rPr>
              <w:t>'''''''''''''''''''''''</w:t>
            </w:r>
            <w:r w:rsidR="00850EA8">
              <w:rPr>
                <w:color w:val="000000"/>
                <w:vertAlign w:val="superscript"/>
              </w:rPr>
              <w:t>3</w:t>
            </w:r>
            <w:r w:rsidRPr="00175DCB">
              <w:rPr>
                <w:szCs w:val="20"/>
              </w:rPr>
              <w:t xml:space="preserve"> </w:t>
            </w:r>
          </w:p>
        </w:tc>
      </w:tr>
      <w:tr w:rsidR="007F3B9E" w:rsidRPr="00175DCB" w:rsidTr="007F3B9E">
        <w:tc>
          <w:tcPr>
            <w:tcW w:w="5000" w:type="pct"/>
            <w:gridSpan w:val="13"/>
            <w:shd w:val="clear" w:color="auto" w:fill="D9D9D9" w:themeFill="background1" w:themeFillShade="D9"/>
            <w:vAlign w:val="center"/>
          </w:tcPr>
          <w:p w:rsidR="007F3B9E" w:rsidRPr="00175DCB" w:rsidRDefault="007F3B9E" w:rsidP="00E773A3">
            <w:pPr>
              <w:pStyle w:val="TableText0"/>
              <w:rPr>
                <w:b/>
              </w:rPr>
            </w:pPr>
            <w:r w:rsidRPr="00175DCB">
              <w:rPr>
                <w:b/>
              </w:rPr>
              <w:t>Estimated financial implications for vorinostat and brentuximab</w:t>
            </w:r>
            <w:r w:rsidR="00B53D30" w:rsidRPr="00175DCB">
              <w:rPr>
                <w:b/>
              </w:rPr>
              <w:t xml:space="preserve"> vedotin</w:t>
            </w:r>
          </w:p>
        </w:tc>
      </w:tr>
      <w:tr w:rsidR="007F3B9E" w:rsidRPr="00175DCB" w:rsidTr="00B4669A">
        <w:tc>
          <w:tcPr>
            <w:tcW w:w="1123" w:type="pct"/>
            <w:gridSpan w:val="2"/>
            <w:shd w:val="clear" w:color="auto" w:fill="D9D9D9" w:themeFill="background1" w:themeFillShade="D9"/>
            <w:vAlign w:val="center"/>
          </w:tcPr>
          <w:p w:rsidR="007F3B9E" w:rsidRPr="00175DCB" w:rsidRDefault="007F3B9E" w:rsidP="00E773A3">
            <w:pPr>
              <w:pStyle w:val="TableText0"/>
              <w:rPr>
                <w:sz w:val="19"/>
                <w:szCs w:val="19"/>
              </w:rPr>
            </w:pPr>
            <w:r w:rsidRPr="00175DCB">
              <w:rPr>
                <w:sz w:val="19"/>
                <w:szCs w:val="19"/>
              </w:rPr>
              <w:t>Cost to PBS/RPBS less copayments</w:t>
            </w:r>
          </w:p>
        </w:tc>
        <w:tc>
          <w:tcPr>
            <w:tcW w:w="652" w:type="pct"/>
            <w:gridSpan w:val="2"/>
            <w:shd w:val="clear" w:color="auto" w:fill="D9D9D9" w:themeFill="background1" w:themeFillShade="D9"/>
          </w:tcPr>
          <w:p w:rsidR="007F3B9E" w:rsidRPr="00175DCB" w:rsidRDefault="007F3B9E" w:rsidP="00E773A3">
            <w:pPr>
              <w:pStyle w:val="TableText0"/>
              <w:jc w:val="center"/>
            </w:pPr>
            <w:r w:rsidRPr="00175DCB">
              <w:t>($</w:t>
            </w:r>
            <w:r w:rsidR="00DE546F">
              <w:rPr>
                <w:noProof/>
                <w:color w:val="000000"/>
                <w:highlight w:val="black"/>
              </w:rPr>
              <w:t>''''''''''''''''''</w:t>
            </w:r>
            <w:r w:rsidR="00850EA8">
              <w:rPr>
                <w:color w:val="000000"/>
                <w:vertAlign w:val="superscript"/>
              </w:rPr>
              <w:t>3</w:t>
            </w:r>
            <w:r w:rsidRPr="00175DCB">
              <w:t>)</w:t>
            </w:r>
          </w:p>
        </w:tc>
        <w:tc>
          <w:tcPr>
            <w:tcW w:w="653" w:type="pct"/>
            <w:gridSpan w:val="2"/>
            <w:shd w:val="clear" w:color="auto" w:fill="D9D9D9" w:themeFill="background1" w:themeFillShade="D9"/>
          </w:tcPr>
          <w:p w:rsidR="007F3B9E" w:rsidRPr="00175DCB" w:rsidRDefault="007F3B9E" w:rsidP="00E773A3">
            <w:pPr>
              <w:pStyle w:val="TableText0"/>
              <w:jc w:val="center"/>
            </w:pPr>
            <w:r w:rsidRPr="00175DCB">
              <w:t>($</w:t>
            </w:r>
            <w:r w:rsidR="00DE546F">
              <w:rPr>
                <w:noProof/>
                <w:color w:val="000000"/>
                <w:highlight w:val="black"/>
              </w:rPr>
              <w:t>'''''''''''''''''''''''''</w:t>
            </w:r>
            <w:r w:rsidR="00850EA8">
              <w:rPr>
                <w:color w:val="000000"/>
                <w:vertAlign w:val="superscript"/>
              </w:rPr>
              <w:t>3</w:t>
            </w:r>
            <w:r w:rsidRPr="00175DCB">
              <w:t>)</w:t>
            </w:r>
          </w:p>
        </w:tc>
        <w:tc>
          <w:tcPr>
            <w:tcW w:w="653" w:type="pct"/>
            <w:gridSpan w:val="2"/>
            <w:shd w:val="clear" w:color="auto" w:fill="D9D9D9" w:themeFill="background1" w:themeFillShade="D9"/>
          </w:tcPr>
          <w:p w:rsidR="007F3B9E" w:rsidRPr="00175DCB" w:rsidRDefault="007F3B9E" w:rsidP="00E773A3">
            <w:pPr>
              <w:pStyle w:val="TableText0"/>
              <w:jc w:val="center"/>
            </w:pPr>
            <w:r w:rsidRPr="00175DCB">
              <w:t>($</w:t>
            </w:r>
            <w:r w:rsidR="00DE546F">
              <w:rPr>
                <w:noProof/>
                <w:color w:val="000000"/>
                <w:highlight w:val="black"/>
              </w:rPr>
              <w:t>'''''''''''''''''''''''''</w:t>
            </w:r>
            <w:r w:rsidR="00850EA8">
              <w:rPr>
                <w:color w:val="000000"/>
                <w:vertAlign w:val="superscript"/>
              </w:rPr>
              <w:t>3</w:t>
            </w:r>
            <w:r w:rsidRPr="00175DCB">
              <w:t>)</w:t>
            </w:r>
          </w:p>
        </w:tc>
        <w:tc>
          <w:tcPr>
            <w:tcW w:w="653" w:type="pct"/>
            <w:gridSpan w:val="2"/>
            <w:shd w:val="clear" w:color="auto" w:fill="D9D9D9" w:themeFill="background1" w:themeFillShade="D9"/>
          </w:tcPr>
          <w:p w:rsidR="007F3B9E" w:rsidRPr="00175DCB" w:rsidRDefault="007F3B9E" w:rsidP="00E773A3">
            <w:pPr>
              <w:pStyle w:val="TableText0"/>
              <w:jc w:val="center"/>
            </w:pPr>
            <w:r w:rsidRPr="00175DCB">
              <w:t>($</w:t>
            </w:r>
            <w:r w:rsidR="00DE546F">
              <w:rPr>
                <w:noProof/>
                <w:color w:val="000000"/>
                <w:highlight w:val="black"/>
              </w:rPr>
              <w:t>'''''''''''''''''''''''</w:t>
            </w:r>
            <w:r w:rsidR="00850EA8">
              <w:rPr>
                <w:color w:val="000000"/>
                <w:vertAlign w:val="superscript"/>
              </w:rPr>
              <w:t>3</w:t>
            </w:r>
            <w:r w:rsidRPr="00175DCB">
              <w:t>)</w:t>
            </w:r>
          </w:p>
        </w:tc>
        <w:tc>
          <w:tcPr>
            <w:tcW w:w="653" w:type="pct"/>
            <w:gridSpan w:val="2"/>
            <w:shd w:val="clear" w:color="auto" w:fill="D9D9D9" w:themeFill="background1" w:themeFillShade="D9"/>
          </w:tcPr>
          <w:p w:rsidR="007F3B9E" w:rsidRPr="00175DCB" w:rsidRDefault="007F3B9E" w:rsidP="00E773A3">
            <w:pPr>
              <w:pStyle w:val="TableText0"/>
              <w:jc w:val="center"/>
            </w:pPr>
            <w:r w:rsidRPr="00175DCB">
              <w:t>($</w:t>
            </w:r>
            <w:r w:rsidR="00DE546F">
              <w:rPr>
                <w:noProof/>
                <w:color w:val="000000"/>
                <w:highlight w:val="black"/>
              </w:rPr>
              <w:t>''''''''''''''''''''''</w:t>
            </w:r>
            <w:r w:rsidR="00850EA8">
              <w:rPr>
                <w:color w:val="000000"/>
                <w:vertAlign w:val="superscript"/>
              </w:rPr>
              <w:t>3</w:t>
            </w:r>
            <w:r w:rsidRPr="00175DCB">
              <w:t>)</w:t>
            </w:r>
          </w:p>
        </w:tc>
        <w:tc>
          <w:tcPr>
            <w:tcW w:w="612" w:type="pct"/>
            <w:shd w:val="clear" w:color="auto" w:fill="D9D9D9" w:themeFill="background1" w:themeFillShade="D9"/>
          </w:tcPr>
          <w:p w:rsidR="007F3B9E" w:rsidRPr="00175DCB" w:rsidRDefault="007F3B9E" w:rsidP="00E773A3">
            <w:pPr>
              <w:pStyle w:val="TableText0"/>
              <w:jc w:val="center"/>
            </w:pPr>
            <w:r w:rsidRPr="00175DCB">
              <w:t>($</w:t>
            </w:r>
            <w:r w:rsidR="00DE546F">
              <w:rPr>
                <w:noProof/>
                <w:color w:val="000000"/>
                <w:highlight w:val="black"/>
              </w:rPr>
              <w:t>''''''''''''''''''''''</w:t>
            </w:r>
            <w:r w:rsidR="00850EA8">
              <w:rPr>
                <w:color w:val="000000"/>
                <w:vertAlign w:val="superscript"/>
              </w:rPr>
              <w:t>3</w:t>
            </w:r>
            <w:r w:rsidRPr="00175DCB">
              <w:t>)</w:t>
            </w:r>
          </w:p>
        </w:tc>
      </w:tr>
      <w:tr w:rsidR="007F3B9E" w:rsidRPr="00175DCB" w:rsidTr="007F3B9E">
        <w:tc>
          <w:tcPr>
            <w:tcW w:w="5000" w:type="pct"/>
            <w:gridSpan w:val="13"/>
            <w:shd w:val="clear" w:color="auto" w:fill="D9D9D9" w:themeFill="background1" w:themeFillShade="D9"/>
            <w:vAlign w:val="center"/>
          </w:tcPr>
          <w:p w:rsidR="007F3B9E" w:rsidRPr="00175DCB" w:rsidRDefault="007F3B9E" w:rsidP="00E773A3">
            <w:pPr>
              <w:pStyle w:val="In-tableHeading"/>
              <w:rPr>
                <w:lang w:val="en-AU"/>
              </w:rPr>
            </w:pPr>
            <w:r w:rsidRPr="00175DCB">
              <w:rPr>
                <w:lang w:val="en-AU"/>
              </w:rPr>
              <w:t>Net financial implications</w:t>
            </w:r>
          </w:p>
        </w:tc>
      </w:tr>
      <w:tr w:rsidR="007F3B9E" w:rsidRPr="00175DCB" w:rsidTr="00B4669A">
        <w:tc>
          <w:tcPr>
            <w:tcW w:w="1123" w:type="pct"/>
            <w:gridSpan w:val="2"/>
            <w:shd w:val="clear" w:color="auto" w:fill="D9D9D9" w:themeFill="background1" w:themeFillShade="D9"/>
            <w:vAlign w:val="center"/>
          </w:tcPr>
          <w:p w:rsidR="007F3B9E" w:rsidRPr="00175DCB" w:rsidRDefault="007F3B9E" w:rsidP="00E773A3">
            <w:pPr>
              <w:pStyle w:val="TableText0"/>
              <w:rPr>
                <w:sz w:val="19"/>
                <w:szCs w:val="19"/>
              </w:rPr>
            </w:pPr>
            <w:r w:rsidRPr="00175DCB">
              <w:rPr>
                <w:sz w:val="19"/>
                <w:szCs w:val="19"/>
              </w:rPr>
              <w:t>Net cost to PBS/RPBS</w:t>
            </w:r>
          </w:p>
        </w:tc>
        <w:tc>
          <w:tcPr>
            <w:tcW w:w="652" w:type="pct"/>
            <w:gridSpan w:val="2"/>
            <w:shd w:val="clear" w:color="auto" w:fill="D9D9D9" w:themeFill="background1" w:themeFillShade="D9"/>
          </w:tcPr>
          <w:p w:rsidR="007F3B9E" w:rsidRPr="00175DCB" w:rsidRDefault="007F3B9E" w:rsidP="00E773A3">
            <w:pPr>
              <w:pStyle w:val="TableText0"/>
              <w:jc w:val="center"/>
            </w:pPr>
            <w:r w:rsidRPr="00175DCB">
              <w:rPr>
                <w:szCs w:val="20"/>
              </w:rPr>
              <w:t>$</w:t>
            </w:r>
            <w:r w:rsidR="00DE546F">
              <w:rPr>
                <w:noProof/>
                <w:color w:val="000000"/>
                <w:szCs w:val="20"/>
                <w:highlight w:val="black"/>
              </w:rPr>
              <w:t>'''''''''''''''''''''''''</w:t>
            </w:r>
            <w:r w:rsidR="00850EA8">
              <w:rPr>
                <w:color w:val="000000"/>
                <w:vertAlign w:val="superscript"/>
              </w:rPr>
              <w:t>3</w:t>
            </w:r>
          </w:p>
        </w:tc>
        <w:tc>
          <w:tcPr>
            <w:tcW w:w="653" w:type="pct"/>
            <w:gridSpan w:val="2"/>
            <w:shd w:val="clear" w:color="auto" w:fill="D9D9D9" w:themeFill="background1" w:themeFillShade="D9"/>
          </w:tcPr>
          <w:p w:rsidR="007F3B9E" w:rsidRPr="00175DCB" w:rsidRDefault="007F3B9E" w:rsidP="00E773A3">
            <w:pPr>
              <w:pStyle w:val="TableText0"/>
              <w:jc w:val="center"/>
            </w:pPr>
            <w:r w:rsidRPr="00175DCB">
              <w:rPr>
                <w:szCs w:val="20"/>
              </w:rPr>
              <w:t>$</w:t>
            </w:r>
            <w:r w:rsidR="00DE546F">
              <w:rPr>
                <w:noProof/>
                <w:color w:val="000000"/>
                <w:szCs w:val="20"/>
                <w:highlight w:val="black"/>
              </w:rPr>
              <w:t>''''''''''''''''''''''</w:t>
            </w:r>
            <w:r w:rsidR="00850EA8">
              <w:rPr>
                <w:color w:val="000000"/>
                <w:vertAlign w:val="superscript"/>
              </w:rPr>
              <w:t>3</w:t>
            </w:r>
            <w:r w:rsidRPr="00175DCB">
              <w:rPr>
                <w:szCs w:val="20"/>
              </w:rPr>
              <w:t xml:space="preserve"> </w:t>
            </w:r>
          </w:p>
        </w:tc>
        <w:tc>
          <w:tcPr>
            <w:tcW w:w="653" w:type="pct"/>
            <w:gridSpan w:val="2"/>
            <w:shd w:val="clear" w:color="auto" w:fill="D9D9D9" w:themeFill="background1" w:themeFillShade="D9"/>
          </w:tcPr>
          <w:p w:rsidR="007F3B9E" w:rsidRPr="00175DCB" w:rsidRDefault="007F3B9E" w:rsidP="007A0D95">
            <w:pPr>
              <w:pStyle w:val="TableText0"/>
              <w:jc w:val="center"/>
            </w:pPr>
            <w:r w:rsidRPr="00175DCB">
              <w:rPr>
                <w:szCs w:val="20"/>
              </w:rPr>
              <w:t>$</w:t>
            </w:r>
            <w:r w:rsidR="00DE546F">
              <w:rPr>
                <w:noProof/>
                <w:color w:val="000000"/>
                <w:szCs w:val="20"/>
                <w:highlight w:val="black"/>
              </w:rPr>
              <w:t>'''''''''''''''''''''''</w:t>
            </w:r>
            <w:r w:rsidR="00850EA8">
              <w:rPr>
                <w:color w:val="000000"/>
                <w:vertAlign w:val="superscript"/>
              </w:rPr>
              <w:t>3</w:t>
            </w:r>
          </w:p>
        </w:tc>
        <w:tc>
          <w:tcPr>
            <w:tcW w:w="653" w:type="pct"/>
            <w:gridSpan w:val="2"/>
            <w:shd w:val="clear" w:color="auto" w:fill="D9D9D9" w:themeFill="background1" w:themeFillShade="D9"/>
          </w:tcPr>
          <w:p w:rsidR="007F3B9E" w:rsidRPr="00175DCB" w:rsidRDefault="007F3B9E" w:rsidP="00E773A3">
            <w:pPr>
              <w:pStyle w:val="TableText0"/>
              <w:jc w:val="center"/>
            </w:pPr>
            <w:r w:rsidRPr="00175DCB">
              <w:rPr>
                <w:szCs w:val="20"/>
              </w:rPr>
              <w:t>$</w:t>
            </w:r>
            <w:r w:rsidR="00DE546F">
              <w:rPr>
                <w:noProof/>
                <w:color w:val="000000"/>
                <w:szCs w:val="20"/>
                <w:highlight w:val="black"/>
              </w:rPr>
              <w:t>''''''''''''''''''''''''''</w:t>
            </w:r>
            <w:r w:rsidR="00850EA8">
              <w:rPr>
                <w:color w:val="000000"/>
                <w:vertAlign w:val="superscript"/>
              </w:rPr>
              <w:t>3</w:t>
            </w:r>
            <w:r w:rsidRPr="00175DCB">
              <w:rPr>
                <w:szCs w:val="20"/>
              </w:rPr>
              <w:t xml:space="preserve"> </w:t>
            </w:r>
          </w:p>
        </w:tc>
        <w:tc>
          <w:tcPr>
            <w:tcW w:w="653" w:type="pct"/>
            <w:gridSpan w:val="2"/>
            <w:shd w:val="clear" w:color="auto" w:fill="D9D9D9" w:themeFill="background1" w:themeFillShade="D9"/>
          </w:tcPr>
          <w:p w:rsidR="007F3B9E" w:rsidRPr="00175DCB" w:rsidRDefault="007F3B9E" w:rsidP="00E773A3">
            <w:pPr>
              <w:pStyle w:val="TableText0"/>
              <w:jc w:val="center"/>
            </w:pPr>
            <w:r w:rsidRPr="00175DCB">
              <w:rPr>
                <w:szCs w:val="20"/>
              </w:rPr>
              <w:t>$</w:t>
            </w:r>
            <w:r w:rsidR="00DE546F">
              <w:rPr>
                <w:noProof/>
                <w:color w:val="000000"/>
                <w:szCs w:val="20"/>
                <w:highlight w:val="black"/>
              </w:rPr>
              <w:t>''''''''''''''''''''''''</w:t>
            </w:r>
            <w:r w:rsidR="00850EA8">
              <w:rPr>
                <w:color w:val="000000"/>
                <w:vertAlign w:val="superscript"/>
              </w:rPr>
              <w:t>3</w:t>
            </w:r>
            <w:r w:rsidRPr="00175DCB">
              <w:rPr>
                <w:szCs w:val="20"/>
              </w:rPr>
              <w:t xml:space="preserve"> </w:t>
            </w:r>
          </w:p>
        </w:tc>
        <w:tc>
          <w:tcPr>
            <w:tcW w:w="612" w:type="pct"/>
            <w:shd w:val="clear" w:color="auto" w:fill="D9D9D9" w:themeFill="background1" w:themeFillShade="D9"/>
          </w:tcPr>
          <w:p w:rsidR="007F3B9E" w:rsidRPr="00175DCB" w:rsidRDefault="007F3B9E" w:rsidP="00E773A3">
            <w:pPr>
              <w:pStyle w:val="TableText0"/>
              <w:jc w:val="center"/>
            </w:pPr>
            <w:r w:rsidRPr="00175DCB">
              <w:rPr>
                <w:szCs w:val="20"/>
              </w:rPr>
              <w:t>$</w:t>
            </w:r>
            <w:r w:rsidR="00DE546F">
              <w:rPr>
                <w:noProof/>
                <w:color w:val="000000"/>
                <w:szCs w:val="20"/>
                <w:highlight w:val="black"/>
              </w:rPr>
              <w:t>'''''''''''''''''''''''</w:t>
            </w:r>
            <w:r w:rsidR="00850EA8">
              <w:rPr>
                <w:color w:val="000000"/>
                <w:vertAlign w:val="superscript"/>
              </w:rPr>
              <w:t>3</w:t>
            </w:r>
            <w:r w:rsidRPr="00175DCB">
              <w:rPr>
                <w:szCs w:val="20"/>
              </w:rPr>
              <w:t xml:space="preserve"> </w:t>
            </w:r>
          </w:p>
        </w:tc>
      </w:tr>
      <w:tr w:rsidR="007F3B9E" w:rsidRPr="00175DCB" w:rsidTr="00B4669A">
        <w:tc>
          <w:tcPr>
            <w:tcW w:w="1123" w:type="pct"/>
            <w:gridSpan w:val="2"/>
            <w:shd w:val="clear" w:color="auto" w:fill="D9D9D9" w:themeFill="background1" w:themeFillShade="D9"/>
            <w:vAlign w:val="center"/>
          </w:tcPr>
          <w:p w:rsidR="007F3B9E" w:rsidRPr="00175DCB" w:rsidRDefault="007F3B9E" w:rsidP="00E773A3">
            <w:pPr>
              <w:pStyle w:val="TableText0"/>
              <w:rPr>
                <w:rFonts w:ascii="Times" w:hAnsi="Times"/>
              </w:rPr>
            </w:pPr>
            <w:r w:rsidRPr="00175DCB">
              <w:rPr>
                <w:sz w:val="19"/>
                <w:szCs w:val="19"/>
              </w:rPr>
              <w:t>Net cost to MBS/</w:t>
            </w:r>
            <w:r w:rsidRPr="00175DCB" w:rsidDel="00D244B6">
              <w:rPr>
                <w:sz w:val="19"/>
                <w:szCs w:val="19"/>
              </w:rPr>
              <w:t xml:space="preserve"> </w:t>
            </w:r>
            <w:r w:rsidRPr="00175DCB">
              <w:rPr>
                <w:sz w:val="19"/>
                <w:szCs w:val="19"/>
              </w:rPr>
              <w:t>Services Australia/other</w:t>
            </w:r>
          </w:p>
        </w:tc>
        <w:tc>
          <w:tcPr>
            <w:tcW w:w="652" w:type="pct"/>
            <w:gridSpan w:val="2"/>
            <w:shd w:val="clear" w:color="auto" w:fill="D9D9D9" w:themeFill="background1" w:themeFillShade="D9"/>
            <w:vAlign w:val="center"/>
          </w:tcPr>
          <w:p w:rsidR="007F3B9E" w:rsidRPr="00175DCB" w:rsidRDefault="007F3B9E" w:rsidP="00E773A3">
            <w:pPr>
              <w:pStyle w:val="TableText0"/>
              <w:jc w:val="center"/>
            </w:pPr>
            <w:r w:rsidRPr="00175DCB">
              <w:rPr>
                <w:rFonts w:cs="Arial"/>
                <w:iCs/>
                <w:color w:val="000000"/>
                <w:szCs w:val="20"/>
              </w:rPr>
              <w:t>$</w:t>
            </w:r>
            <w:r w:rsidR="00DE546F">
              <w:rPr>
                <w:rFonts w:cs="Arial"/>
                <w:iCs/>
                <w:noProof/>
                <w:color w:val="000000"/>
                <w:szCs w:val="20"/>
                <w:highlight w:val="black"/>
              </w:rPr>
              <w:t>'''''''''''''''</w:t>
            </w:r>
            <w:r w:rsidR="00850EA8">
              <w:rPr>
                <w:color w:val="000000"/>
                <w:vertAlign w:val="superscript"/>
              </w:rPr>
              <w:t>3</w:t>
            </w:r>
          </w:p>
        </w:tc>
        <w:tc>
          <w:tcPr>
            <w:tcW w:w="653" w:type="pct"/>
            <w:gridSpan w:val="2"/>
            <w:shd w:val="clear" w:color="auto" w:fill="D9D9D9" w:themeFill="background1" w:themeFillShade="D9"/>
            <w:vAlign w:val="center"/>
          </w:tcPr>
          <w:p w:rsidR="007F3B9E" w:rsidRPr="00175DCB" w:rsidRDefault="007F3B9E" w:rsidP="00E773A3">
            <w:pPr>
              <w:pStyle w:val="TableText0"/>
              <w:jc w:val="center"/>
            </w:pPr>
            <w:r w:rsidRPr="00175DCB">
              <w:rPr>
                <w:rFonts w:cs="Arial"/>
                <w:iCs/>
                <w:color w:val="000000"/>
                <w:szCs w:val="20"/>
              </w:rPr>
              <w:t>$</w:t>
            </w:r>
            <w:r w:rsidR="00DE546F">
              <w:rPr>
                <w:rFonts w:cs="Arial"/>
                <w:iCs/>
                <w:noProof/>
                <w:color w:val="000000"/>
                <w:szCs w:val="20"/>
                <w:highlight w:val="black"/>
              </w:rPr>
              <w:t>''''''''''''''''''''</w:t>
            </w:r>
            <w:r w:rsidR="00850EA8">
              <w:rPr>
                <w:color w:val="000000"/>
                <w:vertAlign w:val="superscript"/>
              </w:rPr>
              <w:t>3</w:t>
            </w:r>
          </w:p>
        </w:tc>
        <w:tc>
          <w:tcPr>
            <w:tcW w:w="653" w:type="pct"/>
            <w:gridSpan w:val="2"/>
            <w:shd w:val="clear" w:color="auto" w:fill="D9D9D9" w:themeFill="background1" w:themeFillShade="D9"/>
            <w:vAlign w:val="center"/>
          </w:tcPr>
          <w:p w:rsidR="007F3B9E" w:rsidRPr="00175DCB" w:rsidRDefault="007F3B9E" w:rsidP="00E773A3">
            <w:pPr>
              <w:pStyle w:val="TableText0"/>
              <w:jc w:val="center"/>
            </w:pPr>
            <w:r w:rsidRPr="00175DCB">
              <w:rPr>
                <w:rFonts w:cs="Arial"/>
                <w:iCs/>
                <w:color w:val="000000"/>
                <w:szCs w:val="20"/>
              </w:rPr>
              <w:t>$</w:t>
            </w:r>
            <w:r w:rsidR="00DE546F">
              <w:rPr>
                <w:rFonts w:cs="Arial"/>
                <w:iCs/>
                <w:noProof/>
                <w:color w:val="000000"/>
                <w:szCs w:val="20"/>
                <w:highlight w:val="black"/>
              </w:rPr>
              <w:t>'''''''''''''''''''</w:t>
            </w:r>
            <w:r w:rsidR="00850EA8">
              <w:rPr>
                <w:color w:val="000000"/>
                <w:vertAlign w:val="superscript"/>
              </w:rPr>
              <w:t>3</w:t>
            </w:r>
          </w:p>
        </w:tc>
        <w:tc>
          <w:tcPr>
            <w:tcW w:w="653" w:type="pct"/>
            <w:gridSpan w:val="2"/>
            <w:shd w:val="clear" w:color="auto" w:fill="D9D9D9" w:themeFill="background1" w:themeFillShade="D9"/>
            <w:vAlign w:val="center"/>
          </w:tcPr>
          <w:p w:rsidR="007F3B9E" w:rsidRPr="00175DCB" w:rsidRDefault="007F3B9E" w:rsidP="00E773A3">
            <w:pPr>
              <w:pStyle w:val="TableText0"/>
              <w:jc w:val="center"/>
            </w:pPr>
            <w:r w:rsidRPr="00175DCB">
              <w:rPr>
                <w:rFonts w:cs="Arial"/>
                <w:iCs/>
                <w:color w:val="000000"/>
                <w:szCs w:val="20"/>
              </w:rPr>
              <w:t>$</w:t>
            </w:r>
            <w:r w:rsidR="00DE546F">
              <w:rPr>
                <w:rFonts w:cs="Arial"/>
                <w:iCs/>
                <w:noProof/>
                <w:color w:val="000000"/>
                <w:szCs w:val="20"/>
                <w:highlight w:val="black"/>
              </w:rPr>
              <w:t>''''''''''''''''''</w:t>
            </w:r>
            <w:r w:rsidR="00850EA8">
              <w:rPr>
                <w:color w:val="000000"/>
                <w:vertAlign w:val="superscript"/>
              </w:rPr>
              <w:t>3</w:t>
            </w:r>
          </w:p>
        </w:tc>
        <w:tc>
          <w:tcPr>
            <w:tcW w:w="653" w:type="pct"/>
            <w:gridSpan w:val="2"/>
            <w:shd w:val="clear" w:color="auto" w:fill="D9D9D9" w:themeFill="background1" w:themeFillShade="D9"/>
            <w:vAlign w:val="center"/>
          </w:tcPr>
          <w:p w:rsidR="007F3B9E" w:rsidRPr="00175DCB" w:rsidRDefault="007F3B9E" w:rsidP="00E773A3">
            <w:pPr>
              <w:pStyle w:val="TableText0"/>
              <w:jc w:val="center"/>
            </w:pPr>
            <w:r w:rsidRPr="00175DCB">
              <w:rPr>
                <w:rFonts w:cs="Arial"/>
                <w:iCs/>
                <w:color w:val="000000"/>
                <w:szCs w:val="20"/>
              </w:rPr>
              <w:t>$</w:t>
            </w:r>
            <w:r w:rsidR="00DE546F">
              <w:rPr>
                <w:rFonts w:cs="Arial"/>
                <w:iCs/>
                <w:noProof/>
                <w:color w:val="000000"/>
                <w:szCs w:val="20"/>
                <w:highlight w:val="black"/>
              </w:rPr>
              <w:t>'''''''''''''''''''''</w:t>
            </w:r>
            <w:r w:rsidR="00850EA8">
              <w:rPr>
                <w:color w:val="000000"/>
                <w:vertAlign w:val="superscript"/>
              </w:rPr>
              <w:t>3</w:t>
            </w:r>
          </w:p>
        </w:tc>
        <w:tc>
          <w:tcPr>
            <w:tcW w:w="612" w:type="pct"/>
            <w:shd w:val="clear" w:color="auto" w:fill="D9D9D9" w:themeFill="background1" w:themeFillShade="D9"/>
            <w:vAlign w:val="center"/>
          </w:tcPr>
          <w:p w:rsidR="007F3B9E" w:rsidRPr="00175DCB" w:rsidRDefault="007F3B9E" w:rsidP="00E773A3">
            <w:pPr>
              <w:pStyle w:val="TableText0"/>
              <w:jc w:val="center"/>
            </w:pPr>
            <w:r w:rsidRPr="00175DCB">
              <w:rPr>
                <w:rFonts w:cs="Arial"/>
                <w:iCs/>
                <w:color w:val="000000"/>
                <w:szCs w:val="20"/>
              </w:rPr>
              <w:t>$</w:t>
            </w:r>
            <w:r w:rsidR="00DE546F">
              <w:rPr>
                <w:rFonts w:cs="Arial"/>
                <w:iCs/>
                <w:noProof/>
                <w:color w:val="000000"/>
                <w:szCs w:val="20"/>
                <w:highlight w:val="black"/>
              </w:rPr>
              <w:t>'''''''''''''''''''</w:t>
            </w:r>
            <w:r w:rsidR="00850EA8">
              <w:rPr>
                <w:color w:val="000000"/>
                <w:vertAlign w:val="superscript"/>
              </w:rPr>
              <w:t>3</w:t>
            </w:r>
          </w:p>
        </w:tc>
      </w:tr>
      <w:tr w:rsidR="007F3B9E" w:rsidRPr="00175DCB" w:rsidTr="00B4669A">
        <w:tc>
          <w:tcPr>
            <w:tcW w:w="1123" w:type="pct"/>
            <w:gridSpan w:val="2"/>
            <w:shd w:val="clear" w:color="auto" w:fill="D9D9D9" w:themeFill="background1" w:themeFillShade="D9"/>
            <w:vAlign w:val="center"/>
          </w:tcPr>
          <w:p w:rsidR="007F3B9E" w:rsidRPr="00175DCB" w:rsidRDefault="007F3B9E" w:rsidP="00E773A3">
            <w:pPr>
              <w:pStyle w:val="TableText0"/>
              <w:rPr>
                <w:sz w:val="19"/>
                <w:szCs w:val="19"/>
              </w:rPr>
            </w:pPr>
            <w:r w:rsidRPr="00175DCB">
              <w:rPr>
                <w:sz w:val="19"/>
                <w:szCs w:val="19"/>
              </w:rPr>
              <w:t>Net cost to PBS/RPBS/MBS/Services Australia</w:t>
            </w:r>
            <w:r w:rsidRPr="00175DCB">
              <w:rPr>
                <w:sz w:val="19"/>
                <w:szCs w:val="19"/>
                <w:vertAlign w:val="superscript"/>
              </w:rPr>
              <w:t>a</w:t>
            </w:r>
          </w:p>
        </w:tc>
        <w:tc>
          <w:tcPr>
            <w:tcW w:w="652" w:type="pct"/>
            <w:gridSpan w:val="2"/>
            <w:shd w:val="clear" w:color="auto" w:fill="D9D9D9" w:themeFill="background1" w:themeFillShade="D9"/>
            <w:vAlign w:val="center"/>
          </w:tcPr>
          <w:p w:rsidR="007F3B9E" w:rsidRPr="00175DCB" w:rsidRDefault="007F3B9E" w:rsidP="00E773A3">
            <w:pPr>
              <w:pStyle w:val="TableText0"/>
              <w:jc w:val="center"/>
            </w:pPr>
            <w:r w:rsidRPr="00175DCB">
              <w:rPr>
                <w:rFonts w:cs="Arial"/>
                <w:iCs/>
                <w:color w:val="000000"/>
                <w:szCs w:val="20"/>
              </w:rPr>
              <w:t>$</w:t>
            </w:r>
            <w:r w:rsidR="00DE546F">
              <w:rPr>
                <w:rFonts w:cs="Arial"/>
                <w:iCs/>
                <w:noProof/>
                <w:color w:val="000000"/>
                <w:szCs w:val="20"/>
                <w:highlight w:val="black"/>
              </w:rPr>
              <w:t>'''''''''''''''''''''''''</w:t>
            </w:r>
            <w:r w:rsidR="00850EA8">
              <w:rPr>
                <w:color w:val="000000"/>
                <w:vertAlign w:val="superscript"/>
              </w:rPr>
              <w:t>3</w:t>
            </w:r>
          </w:p>
        </w:tc>
        <w:tc>
          <w:tcPr>
            <w:tcW w:w="653" w:type="pct"/>
            <w:gridSpan w:val="2"/>
            <w:shd w:val="clear" w:color="auto" w:fill="D9D9D9" w:themeFill="background1" w:themeFillShade="D9"/>
            <w:vAlign w:val="center"/>
          </w:tcPr>
          <w:p w:rsidR="007F3B9E" w:rsidRPr="00175DCB" w:rsidRDefault="007F3B9E" w:rsidP="00E773A3">
            <w:pPr>
              <w:pStyle w:val="TableText0"/>
              <w:jc w:val="center"/>
            </w:pPr>
            <w:r w:rsidRPr="00175DCB">
              <w:rPr>
                <w:rFonts w:cs="Arial"/>
                <w:iCs/>
                <w:color w:val="000000"/>
                <w:szCs w:val="20"/>
              </w:rPr>
              <w:t>$</w:t>
            </w:r>
            <w:r w:rsidR="00DE546F">
              <w:rPr>
                <w:rFonts w:cs="Arial"/>
                <w:iCs/>
                <w:noProof/>
                <w:color w:val="000000"/>
                <w:szCs w:val="20"/>
                <w:highlight w:val="black"/>
              </w:rPr>
              <w:t>''''''''''''''''''''''''</w:t>
            </w:r>
            <w:r w:rsidR="00850EA8">
              <w:rPr>
                <w:color w:val="000000"/>
                <w:vertAlign w:val="superscript"/>
              </w:rPr>
              <w:t>3</w:t>
            </w:r>
          </w:p>
        </w:tc>
        <w:tc>
          <w:tcPr>
            <w:tcW w:w="653" w:type="pct"/>
            <w:gridSpan w:val="2"/>
            <w:shd w:val="clear" w:color="auto" w:fill="D9D9D9" w:themeFill="background1" w:themeFillShade="D9"/>
            <w:vAlign w:val="center"/>
          </w:tcPr>
          <w:p w:rsidR="007F3B9E" w:rsidRPr="00175DCB" w:rsidRDefault="007F3B9E" w:rsidP="00E773A3">
            <w:pPr>
              <w:pStyle w:val="TableText0"/>
              <w:jc w:val="center"/>
            </w:pPr>
            <w:r w:rsidRPr="00175DCB">
              <w:rPr>
                <w:rFonts w:cs="Arial"/>
                <w:iCs/>
                <w:color w:val="000000"/>
                <w:szCs w:val="20"/>
              </w:rPr>
              <w:t>$</w:t>
            </w:r>
            <w:r w:rsidR="00DE546F">
              <w:rPr>
                <w:rFonts w:cs="Arial"/>
                <w:iCs/>
                <w:noProof/>
                <w:color w:val="000000"/>
                <w:szCs w:val="20"/>
                <w:highlight w:val="black"/>
              </w:rPr>
              <w:t>''''''''''''''''''''''''</w:t>
            </w:r>
            <w:r w:rsidR="00850EA8">
              <w:rPr>
                <w:color w:val="000000"/>
                <w:vertAlign w:val="superscript"/>
              </w:rPr>
              <w:t>3</w:t>
            </w:r>
          </w:p>
        </w:tc>
        <w:tc>
          <w:tcPr>
            <w:tcW w:w="653" w:type="pct"/>
            <w:gridSpan w:val="2"/>
            <w:shd w:val="clear" w:color="auto" w:fill="D9D9D9" w:themeFill="background1" w:themeFillShade="D9"/>
            <w:vAlign w:val="center"/>
          </w:tcPr>
          <w:p w:rsidR="007F3B9E" w:rsidRPr="00175DCB" w:rsidRDefault="007F3B9E" w:rsidP="00E773A3">
            <w:pPr>
              <w:pStyle w:val="TableText0"/>
              <w:jc w:val="center"/>
            </w:pPr>
            <w:r w:rsidRPr="00175DCB">
              <w:rPr>
                <w:rFonts w:cs="Arial"/>
                <w:iCs/>
                <w:color w:val="000000"/>
                <w:szCs w:val="20"/>
              </w:rPr>
              <w:t>$</w:t>
            </w:r>
            <w:r w:rsidR="00DE546F">
              <w:rPr>
                <w:rFonts w:cs="Arial"/>
                <w:iCs/>
                <w:noProof/>
                <w:color w:val="000000"/>
                <w:szCs w:val="20"/>
                <w:highlight w:val="black"/>
              </w:rPr>
              <w:t>'''''''''''''''''''''''</w:t>
            </w:r>
            <w:r w:rsidR="00850EA8">
              <w:rPr>
                <w:color w:val="000000"/>
                <w:vertAlign w:val="superscript"/>
              </w:rPr>
              <w:t>3</w:t>
            </w:r>
          </w:p>
        </w:tc>
        <w:tc>
          <w:tcPr>
            <w:tcW w:w="653" w:type="pct"/>
            <w:gridSpan w:val="2"/>
            <w:shd w:val="clear" w:color="auto" w:fill="D9D9D9" w:themeFill="background1" w:themeFillShade="D9"/>
            <w:vAlign w:val="center"/>
          </w:tcPr>
          <w:p w:rsidR="007F3B9E" w:rsidRPr="00175DCB" w:rsidRDefault="007F3B9E" w:rsidP="00E773A3">
            <w:pPr>
              <w:pStyle w:val="TableText0"/>
              <w:jc w:val="center"/>
            </w:pPr>
            <w:r w:rsidRPr="00175DCB">
              <w:rPr>
                <w:rFonts w:cs="Arial"/>
                <w:iCs/>
                <w:color w:val="000000"/>
                <w:szCs w:val="20"/>
              </w:rPr>
              <w:t>$</w:t>
            </w:r>
            <w:r w:rsidR="00DE546F">
              <w:rPr>
                <w:rFonts w:cs="Arial"/>
                <w:iCs/>
                <w:noProof/>
                <w:color w:val="000000"/>
                <w:szCs w:val="20"/>
                <w:highlight w:val="black"/>
              </w:rPr>
              <w:t>'''''''''''''''''''''</w:t>
            </w:r>
            <w:r w:rsidR="00850EA8">
              <w:rPr>
                <w:color w:val="000000"/>
                <w:vertAlign w:val="superscript"/>
              </w:rPr>
              <w:t>3</w:t>
            </w:r>
          </w:p>
        </w:tc>
        <w:tc>
          <w:tcPr>
            <w:tcW w:w="612" w:type="pct"/>
            <w:shd w:val="clear" w:color="auto" w:fill="D9D9D9" w:themeFill="background1" w:themeFillShade="D9"/>
            <w:vAlign w:val="center"/>
          </w:tcPr>
          <w:p w:rsidR="007F3B9E" w:rsidRPr="00175DCB" w:rsidRDefault="007F3B9E" w:rsidP="00E773A3">
            <w:pPr>
              <w:pStyle w:val="TableText0"/>
              <w:jc w:val="center"/>
            </w:pPr>
            <w:r w:rsidRPr="00175DCB">
              <w:rPr>
                <w:rFonts w:cs="Arial"/>
                <w:iCs/>
                <w:color w:val="000000"/>
                <w:szCs w:val="20"/>
              </w:rPr>
              <w:t>$</w:t>
            </w:r>
            <w:r w:rsidR="00DE546F">
              <w:rPr>
                <w:rFonts w:cs="Arial"/>
                <w:iCs/>
                <w:noProof/>
                <w:color w:val="000000"/>
                <w:szCs w:val="20"/>
                <w:highlight w:val="black"/>
              </w:rPr>
              <w:t>'''''''''''''''''''''''</w:t>
            </w:r>
            <w:r w:rsidR="00850EA8">
              <w:rPr>
                <w:color w:val="000000"/>
                <w:vertAlign w:val="superscript"/>
              </w:rPr>
              <w:t>3</w:t>
            </w:r>
          </w:p>
        </w:tc>
      </w:tr>
    </w:tbl>
    <w:p w:rsidR="00BB7EC3" w:rsidRPr="00175DCB" w:rsidRDefault="00C7409E" w:rsidP="00F37ECA">
      <w:pPr>
        <w:pStyle w:val="TableFigureFooter"/>
        <w:keepNext/>
        <w:rPr>
          <w:rFonts w:cstheme="minorHAnsi"/>
        </w:rPr>
      </w:pPr>
      <w:r w:rsidRPr="00175DCB">
        <w:t xml:space="preserve">Source: </w:t>
      </w:r>
      <w:r w:rsidR="008B765F" w:rsidRPr="00175DCB">
        <w:t>Table 4 p9 of the minor submission</w:t>
      </w:r>
      <w:r w:rsidR="00864440" w:rsidRPr="00175DCB">
        <w:t>, Section</w:t>
      </w:r>
      <w:r w:rsidR="00C41CAD" w:rsidRPr="00175DCB">
        <w:t xml:space="preserve"> 4 workbook minor and Table 19 </w:t>
      </w:r>
      <w:r w:rsidR="00864440" w:rsidRPr="00175DCB">
        <w:rPr>
          <w:rFonts w:cstheme="minorHAnsi"/>
        </w:rPr>
        <w:t xml:space="preserve">mogamulizumab PBAC </w:t>
      </w:r>
      <w:r w:rsidR="00AE3A53">
        <w:rPr>
          <w:rFonts w:cstheme="minorHAnsi"/>
        </w:rPr>
        <w:t>PSD</w:t>
      </w:r>
      <w:r w:rsidR="00864440" w:rsidRPr="00175DCB">
        <w:rPr>
          <w:rFonts w:cstheme="minorHAnsi"/>
        </w:rPr>
        <w:t>, July 2020 PBAC Meeting</w:t>
      </w:r>
    </w:p>
    <w:p w:rsidR="00864440" w:rsidRPr="00175DCB" w:rsidRDefault="00D85BE1" w:rsidP="00F37ECA">
      <w:pPr>
        <w:pStyle w:val="TableFigureFooter"/>
        <w:keepNext/>
      </w:pPr>
      <w:r w:rsidRPr="00175DCB">
        <w:rPr>
          <w:vertAlign w:val="superscript"/>
        </w:rPr>
        <w:t>a</w:t>
      </w:r>
      <w:r w:rsidR="00AD571E" w:rsidRPr="00175DCB">
        <w:t xml:space="preserve"> </w:t>
      </w:r>
      <w:r w:rsidR="00463EE1" w:rsidRPr="00175DCB">
        <w:t>Cells L81 to L84 changed a</w:t>
      </w:r>
      <w:r w:rsidR="00C41CAD" w:rsidRPr="00175DCB">
        <w:t>s per Table 9</w:t>
      </w:r>
      <w:r w:rsidR="00463EE1" w:rsidRPr="00175DCB">
        <w:t xml:space="preserve"> to correct the dose per period</w:t>
      </w:r>
    </w:p>
    <w:p w:rsidR="00463EE1" w:rsidRDefault="00463EE1" w:rsidP="00F37ECA">
      <w:pPr>
        <w:pStyle w:val="TableFigureFooter"/>
        <w:keepNext/>
      </w:pPr>
      <w:r w:rsidRPr="00175DCB">
        <w:rPr>
          <w:vertAlign w:val="superscript"/>
        </w:rPr>
        <w:t>b</w:t>
      </w:r>
      <w:r w:rsidR="00D17227" w:rsidRPr="00175DCB">
        <w:t>Values</w:t>
      </w:r>
      <w:r w:rsidRPr="00175DCB">
        <w:t xml:space="preserve"> in Table 4, p9 of the minor submission corrected according to Section 4 workbook minor.</w:t>
      </w:r>
    </w:p>
    <w:p w:rsidR="00850EA8" w:rsidRPr="00B46CB6" w:rsidRDefault="00850EA8" w:rsidP="00F37ECA">
      <w:pPr>
        <w:pStyle w:val="TableFigureFooter"/>
        <w:keepNext/>
        <w:rPr>
          <w:i/>
        </w:rPr>
      </w:pPr>
      <w:r w:rsidRPr="00B46CB6">
        <w:rPr>
          <w:i/>
        </w:rPr>
        <w:t>The redacted values correspond to the following ranges:</w:t>
      </w:r>
    </w:p>
    <w:p w:rsidR="00850EA8" w:rsidRPr="00B46CB6" w:rsidRDefault="00850EA8" w:rsidP="00F37ECA">
      <w:pPr>
        <w:pStyle w:val="TableFigureFooter"/>
        <w:keepNext/>
        <w:rPr>
          <w:i/>
        </w:rPr>
      </w:pPr>
      <w:r w:rsidRPr="00B46CB6">
        <w:rPr>
          <w:i/>
          <w:vertAlign w:val="superscript"/>
        </w:rPr>
        <w:t>1</w:t>
      </w:r>
      <w:r w:rsidRPr="00B46CB6">
        <w:rPr>
          <w:i/>
        </w:rPr>
        <w:t>&lt;500</w:t>
      </w:r>
    </w:p>
    <w:p w:rsidR="00850EA8" w:rsidRPr="00B46CB6" w:rsidRDefault="00850EA8" w:rsidP="00F37ECA">
      <w:pPr>
        <w:pStyle w:val="TableFigureFooter"/>
        <w:keepNext/>
        <w:rPr>
          <w:i/>
        </w:rPr>
      </w:pPr>
      <w:r w:rsidRPr="00B46CB6">
        <w:rPr>
          <w:i/>
          <w:vertAlign w:val="superscript"/>
        </w:rPr>
        <w:t>2</w:t>
      </w:r>
      <w:r w:rsidRPr="00B46CB6">
        <w:rPr>
          <w:i/>
        </w:rPr>
        <w:t>500 to &lt;5,000</w:t>
      </w:r>
    </w:p>
    <w:p w:rsidR="00850EA8" w:rsidRPr="00B46CB6" w:rsidRDefault="00850EA8" w:rsidP="00F37ECA">
      <w:pPr>
        <w:pStyle w:val="TableFigureFooter"/>
        <w:keepNext/>
        <w:rPr>
          <w:i/>
        </w:rPr>
      </w:pPr>
      <w:r w:rsidRPr="00B46CB6">
        <w:rPr>
          <w:i/>
          <w:vertAlign w:val="superscript"/>
        </w:rPr>
        <w:t>3</w:t>
      </w:r>
      <w:r w:rsidRPr="00B46CB6">
        <w:rPr>
          <w:i/>
        </w:rPr>
        <w:t>$0 to &lt;$10 million</w:t>
      </w:r>
    </w:p>
    <w:p w:rsidR="00AD571E" w:rsidRPr="00175DCB" w:rsidRDefault="00397F2A" w:rsidP="00A076A5">
      <w:pPr>
        <w:pStyle w:val="3Bodytext"/>
      </w:pPr>
      <w:r w:rsidRPr="00175DCB">
        <w:t>W</w:t>
      </w:r>
      <w:r w:rsidR="00AD571E" w:rsidRPr="00175DCB">
        <w:t>hile administration costs were included in the economic model they were not included in the financial estimates. In addition, the estimated number of patients treated increased from that proposed in the July 2020 consideration of mogamulizumab despite the narrowing of the eligible population to MF and SS.</w:t>
      </w:r>
      <w:r w:rsidR="00666531" w:rsidRPr="00175DCB">
        <w:t xml:space="preserve"> This is mainly due to a higher proportion of patients assumed to be relapsed or refractory to prior systemic treatment (25% vs. 20%) and higher treatment uptake assumptions.</w:t>
      </w:r>
    </w:p>
    <w:p w:rsidR="00BA347C" w:rsidRPr="00175DCB" w:rsidRDefault="002D00D7" w:rsidP="00D85BE1">
      <w:pPr>
        <w:pStyle w:val="3Bodytext"/>
        <w:jc w:val="both"/>
      </w:pPr>
      <w:r w:rsidRPr="00175DCB">
        <w:t>The PBAC noted that a</w:t>
      </w:r>
      <w:r w:rsidR="00BA347C" w:rsidRPr="00175DCB">
        <w:t>s a minor submission, the financial estimates have not been independently evaluated.</w:t>
      </w:r>
    </w:p>
    <w:p w:rsidR="00C66FF3" w:rsidRPr="00175DCB" w:rsidRDefault="00C66FF3" w:rsidP="00C66FF3">
      <w:pPr>
        <w:pStyle w:val="3Bodytext"/>
        <w:numPr>
          <w:ilvl w:val="0"/>
          <w:numId w:val="0"/>
        </w:numPr>
        <w:jc w:val="both"/>
        <w:rPr>
          <w:i/>
        </w:rPr>
      </w:pPr>
      <w:r w:rsidRPr="00175DCB">
        <w:rPr>
          <w:i/>
        </w:rPr>
        <w:t>For more detail on PBAC’s view, see section 6 PBAC outcome.</w:t>
      </w:r>
    </w:p>
    <w:p w:rsidR="00C66FF3" w:rsidRPr="00175DCB" w:rsidRDefault="00C66FF3" w:rsidP="00C66FF3">
      <w:pPr>
        <w:keepNext/>
        <w:numPr>
          <w:ilvl w:val="0"/>
          <w:numId w:val="1"/>
        </w:numPr>
        <w:spacing w:before="240" w:after="120"/>
        <w:jc w:val="left"/>
        <w:outlineLvl w:val="0"/>
        <w:rPr>
          <w:rFonts w:asciiTheme="minorHAnsi" w:hAnsiTheme="minorHAnsi" w:cs="Arial"/>
          <w:b/>
          <w:snapToGrid w:val="0"/>
          <w:sz w:val="32"/>
          <w:szCs w:val="32"/>
        </w:rPr>
      </w:pPr>
      <w:r w:rsidRPr="00175DCB">
        <w:rPr>
          <w:rFonts w:asciiTheme="minorHAnsi" w:hAnsiTheme="minorHAnsi" w:cs="Arial"/>
          <w:b/>
          <w:snapToGrid w:val="0"/>
          <w:sz w:val="32"/>
          <w:szCs w:val="32"/>
        </w:rPr>
        <w:t>PBAC Outcome</w:t>
      </w:r>
    </w:p>
    <w:p w:rsidR="000858A3" w:rsidRPr="00175DCB" w:rsidRDefault="000858A3" w:rsidP="000858A3">
      <w:pPr>
        <w:pStyle w:val="3-BodyText"/>
        <w:numPr>
          <w:ilvl w:val="1"/>
          <w:numId w:val="1"/>
        </w:numPr>
        <w:rPr>
          <w:iCs/>
        </w:rPr>
      </w:pPr>
      <w:r w:rsidRPr="00175DCB">
        <w:rPr>
          <w:iCs/>
        </w:rPr>
        <w:t xml:space="preserve">The PBAC did not recommend the listing of mogamulizumab for the treatment of patients with relapsed or refractory cutaneous T cell lymphoma (CTCL). The PBAC considered </w:t>
      </w:r>
      <w:r w:rsidR="00344090" w:rsidRPr="00175DCB">
        <w:rPr>
          <w:iCs/>
        </w:rPr>
        <w:t xml:space="preserve">the outcome on which the economic analysis was based, overall response, was variable across trials and had an unclear impact on final patient </w:t>
      </w:r>
      <w:r w:rsidR="00995052" w:rsidRPr="00175DCB">
        <w:rPr>
          <w:iCs/>
        </w:rPr>
        <w:t>outcomes. In</w:t>
      </w:r>
      <w:r w:rsidRPr="00175DCB">
        <w:rPr>
          <w:iCs/>
        </w:rPr>
        <w:t xml:space="preserve"> addition, the PBAC considered </w:t>
      </w:r>
      <w:r w:rsidR="00B234C5" w:rsidRPr="00175DCB">
        <w:rPr>
          <w:iCs/>
        </w:rPr>
        <w:t xml:space="preserve">that mogamulizumab was not cost-effective at the price proposed in the submission on the basis that </w:t>
      </w:r>
      <w:r w:rsidRPr="00175DCB">
        <w:rPr>
          <w:iCs/>
        </w:rPr>
        <w:t xml:space="preserve">the incremental </w:t>
      </w:r>
      <w:r w:rsidR="005B0D85" w:rsidRPr="00175DCB">
        <w:rPr>
          <w:iCs/>
        </w:rPr>
        <w:t xml:space="preserve">cost per responder (ORR) </w:t>
      </w:r>
      <w:r w:rsidRPr="00175DCB">
        <w:rPr>
          <w:iCs/>
        </w:rPr>
        <w:t>was unacceptably high and uncertain.</w:t>
      </w:r>
    </w:p>
    <w:p w:rsidR="005B0D85" w:rsidRPr="00175DCB" w:rsidRDefault="005B0D85" w:rsidP="005B0D85">
      <w:pPr>
        <w:pStyle w:val="3-BodyText"/>
        <w:numPr>
          <w:ilvl w:val="1"/>
          <w:numId w:val="1"/>
        </w:numPr>
        <w:rPr>
          <w:iCs/>
        </w:rPr>
      </w:pPr>
      <w:r w:rsidRPr="00175DCB">
        <w:rPr>
          <w:iCs/>
        </w:rPr>
        <w:t>The PBAC welcomed the input from the</w:t>
      </w:r>
      <w:r w:rsidR="00673939" w:rsidRPr="00175DCB">
        <w:rPr>
          <w:iCs/>
        </w:rPr>
        <w:t xml:space="preserve"> </w:t>
      </w:r>
      <w:r w:rsidR="00673939" w:rsidRPr="00175DCB">
        <w:rPr>
          <w:rFonts w:cs="Arial"/>
          <w:bCs/>
          <w:snapToGrid w:val="0"/>
        </w:rPr>
        <w:t>Leukaemia Foundation</w:t>
      </w:r>
      <w:r w:rsidRPr="00175DCB">
        <w:rPr>
          <w:iCs/>
        </w:rPr>
        <w:t xml:space="preserve"> </w:t>
      </w:r>
      <w:r w:rsidR="00673939" w:rsidRPr="00175DCB">
        <w:rPr>
          <w:iCs/>
        </w:rPr>
        <w:t xml:space="preserve">which </w:t>
      </w:r>
      <w:r w:rsidRPr="00175DCB">
        <w:rPr>
          <w:iCs/>
        </w:rPr>
        <w:t xml:space="preserve">highlighted the need for new treatment options for patients with relapsed or refractory CTCL. </w:t>
      </w:r>
    </w:p>
    <w:p w:rsidR="00596DCB" w:rsidRPr="00175DCB" w:rsidRDefault="00B7641F" w:rsidP="005B0D85">
      <w:pPr>
        <w:pStyle w:val="3-BodyText"/>
        <w:numPr>
          <w:ilvl w:val="1"/>
          <w:numId w:val="1"/>
        </w:numPr>
        <w:rPr>
          <w:iCs/>
        </w:rPr>
      </w:pPr>
      <w:r w:rsidRPr="00175DCB">
        <w:rPr>
          <w:iCs/>
        </w:rPr>
        <w:t xml:space="preserve">The PBAC acknowledged that, consistent with the Committee’s July 2020 recommendation, the minor resubmission had excluded PBS subsidised access to mogamulizumab for CTCL subtypes such as LyP and pcALCL where </w:t>
      </w:r>
      <w:r w:rsidRPr="00175DCB">
        <w:rPr>
          <w:rFonts w:cstheme="minorHAnsi"/>
          <w:iCs/>
        </w:rPr>
        <w:t>≥</w:t>
      </w:r>
      <w:r w:rsidRPr="00175DCB">
        <w:rPr>
          <w:iCs/>
        </w:rPr>
        <w:t xml:space="preserve"> 95% of patients were alive at 5 years from a resubmission restriction (</w:t>
      </w:r>
      <w:r w:rsidRPr="00175DCB">
        <w:rPr>
          <w:rFonts w:cs="Calibri"/>
          <w:iCs/>
        </w:rPr>
        <w:t xml:space="preserve">paragraph 7.12, mogamulizumab PBAC </w:t>
      </w:r>
      <w:r w:rsidR="00AE3A53">
        <w:rPr>
          <w:rFonts w:cs="Calibri"/>
          <w:iCs/>
        </w:rPr>
        <w:t>PSD</w:t>
      </w:r>
      <w:r w:rsidRPr="00175DCB">
        <w:rPr>
          <w:rFonts w:cs="Calibri"/>
          <w:iCs/>
        </w:rPr>
        <w:t>, July 2020 PBAC Meeting)</w:t>
      </w:r>
      <w:r w:rsidRPr="00175DCB">
        <w:rPr>
          <w:iCs/>
        </w:rPr>
        <w:t>.</w:t>
      </w:r>
    </w:p>
    <w:p w:rsidR="00557DE5" w:rsidRPr="00175DCB" w:rsidRDefault="00B53D30" w:rsidP="005B0D85">
      <w:pPr>
        <w:pStyle w:val="3-BodyText"/>
        <w:numPr>
          <w:ilvl w:val="1"/>
          <w:numId w:val="1"/>
        </w:numPr>
        <w:rPr>
          <w:iCs/>
        </w:rPr>
      </w:pPr>
      <w:r w:rsidRPr="00175DCB">
        <w:rPr>
          <w:iCs/>
        </w:rPr>
        <w:t>The PBAC recalled that it had accepted the nomination of vorinostat as the main comparator and brentuximab vedotin as the secondary comparator</w:t>
      </w:r>
      <w:r w:rsidR="00B7641F" w:rsidRPr="00175DCB">
        <w:rPr>
          <w:iCs/>
        </w:rPr>
        <w:t xml:space="preserve"> (paragraph 7.3,</w:t>
      </w:r>
      <w:r w:rsidR="00B7641F" w:rsidRPr="00175DCB">
        <w:rPr>
          <w:rFonts w:cs="Calibri"/>
          <w:iCs/>
        </w:rPr>
        <w:t xml:space="preserve"> mogamulizumab PBAC </w:t>
      </w:r>
      <w:r w:rsidR="00AE3A53">
        <w:rPr>
          <w:rFonts w:cs="Calibri"/>
          <w:iCs/>
        </w:rPr>
        <w:t>PSD</w:t>
      </w:r>
      <w:r w:rsidR="00B7641F" w:rsidRPr="00175DCB">
        <w:rPr>
          <w:rFonts w:cs="Calibri"/>
          <w:iCs/>
        </w:rPr>
        <w:t>, July 2020 PBAC Meeting)</w:t>
      </w:r>
      <w:r w:rsidRPr="00175DCB">
        <w:rPr>
          <w:iCs/>
        </w:rPr>
        <w:t>. The PBAC noted that no formal claim was made in relation to the secondary comparator in the minor resubmission</w:t>
      </w:r>
      <w:r w:rsidR="00326ACB" w:rsidRPr="00175DCB">
        <w:rPr>
          <w:iCs/>
        </w:rPr>
        <w:t xml:space="preserve"> (see Table 1</w:t>
      </w:r>
      <w:r w:rsidR="00B7641F" w:rsidRPr="00175DCB">
        <w:rPr>
          <w:iCs/>
        </w:rPr>
        <w:t>)</w:t>
      </w:r>
      <w:r w:rsidRPr="00175DCB">
        <w:rPr>
          <w:iCs/>
        </w:rPr>
        <w:t>.</w:t>
      </w:r>
    </w:p>
    <w:p w:rsidR="00673939" w:rsidRPr="00175DCB" w:rsidRDefault="00872C35" w:rsidP="00C63409">
      <w:pPr>
        <w:pStyle w:val="3-BodyText"/>
        <w:numPr>
          <w:ilvl w:val="1"/>
          <w:numId w:val="1"/>
        </w:numPr>
        <w:rPr>
          <w:iCs/>
        </w:rPr>
      </w:pPr>
      <w:r w:rsidRPr="00175DCB">
        <w:rPr>
          <w:rFonts w:cstheme="minorHAnsi"/>
        </w:rPr>
        <w:t xml:space="preserve">The PBAC recalled that the vorinostat ORR in the MAVORIC trial was substantially lower than those reported in the P001 and P005 studies which formed the basis of the March 2017 recommendation for vorinostat listing on the PBS (paragraph 6.12, brentuximab </w:t>
      </w:r>
      <w:r w:rsidR="00B53D30" w:rsidRPr="00175DCB">
        <w:rPr>
          <w:rFonts w:cstheme="minorHAnsi"/>
        </w:rPr>
        <w:t xml:space="preserve">vedotin </w:t>
      </w:r>
      <w:r w:rsidRPr="00175DCB">
        <w:rPr>
          <w:rFonts w:cstheme="minorHAnsi"/>
        </w:rPr>
        <w:t xml:space="preserve">PSD, July 2018 PBAC Meeting). </w:t>
      </w:r>
      <w:r w:rsidR="0071435C" w:rsidRPr="00175DCB">
        <w:rPr>
          <w:rFonts w:cstheme="minorHAnsi"/>
        </w:rPr>
        <w:t xml:space="preserve">The PBAC also recalled that, in addition to differences in definitions of response, the relatively short duration of vorinostat treatment in the MAVORIC trial was a potential contributing factor </w:t>
      </w:r>
      <w:r w:rsidR="0071435C" w:rsidRPr="00175DCB">
        <w:rPr>
          <w:rFonts w:cs="Times New Roman"/>
        </w:rPr>
        <w:t>(</w:t>
      </w:r>
      <w:r w:rsidR="0071435C" w:rsidRPr="00175DCB">
        <w:rPr>
          <w:rFonts w:cstheme="minorHAnsi"/>
        </w:rPr>
        <w:t xml:space="preserve">paragraph 6.19, mogamulizumab PBAC </w:t>
      </w:r>
      <w:r w:rsidR="00AE3A53">
        <w:rPr>
          <w:rFonts w:cstheme="minorHAnsi"/>
        </w:rPr>
        <w:t>PSD</w:t>
      </w:r>
      <w:r w:rsidR="0071435C" w:rsidRPr="00175DCB">
        <w:rPr>
          <w:rFonts w:cstheme="minorHAnsi"/>
        </w:rPr>
        <w:t xml:space="preserve">, July 2020 PBAC Meeting). </w:t>
      </w:r>
      <w:r w:rsidRPr="00175DCB">
        <w:rPr>
          <w:rFonts w:cstheme="minorHAnsi"/>
        </w:rPr>
        <w:t>The PBAC noted that the ORR reported in MAVORIC now formed the basis of the trial-based cost per responder analysis presented</w:t>
      </w:r>
      <w:r w:rsidR="00612755" w:rsidRPr="00175DCB">
        <w:rPr>
          <w:rFonts w:cstheme="minorHAnsi"/>
        </w:rPr>
        <w:t>. The PBAC</w:t>
      </w:r>
      <w:r w:rsidR="0071435C" w:rsidRPr="00175DCB">
        <w:rPr>
          <w:rFonts w:cstheme="minorHAnsi"/>
        </w:rPr>
        <w:t xml:space="preserve"> </w:t>
      </w:r>
      <w:r w:rsidR="0071435C" w:rsidRPr="00175DCB">
        <w:rPr>
          <w:iCs/>
        </w:rPr>
        <w:t>considered</w:t>
      </w:r>
      <w:r w:rsidR="00E76E3C" w:rsidRPr="00175DCB">
        <w:rPr>
          <w:iCs/>
        </w:rPr>
        <w:t>,</w:t>
      </w:r>
      <w:r w:rsidR="0071435C" w:rsidRPr="00175DCB">
        <w:rPr>
          <w:iCs/>
        </w:rPr>
        <w:t xml:space="preserve"> </w:t>
      </w:r>
      <w:r w:rsidR="00E76E3C" w:rsidRPr="00175DCB">
        <w:rPr>
          <w:iCs/>
        </w:rPr>
        <w:t xml:space="preserve">given the variability in </w:t>
      </w:r>
      <w:r w:rsidR="00612755" w:rsidRPr="00175DCB">
        <w:rPr>
          <w:iCs/>
        </w:rPr>
        <w:t xml:space="preserve">response rates </w:t>
      </w:r>
      <w:r w:rsidR="00E76E3C" w:rsidRPr="00175DCB">
        <w:rPr>
          <w:iCs/>
        </w:rPr>
        <w:t xml:space="preserve">across the trials, </w:t>
      </w:r>
      <w:r w:rsidR="00612755" w:rsidRPr="00175DCB">
        <w:rPr>
          <w:iCs/>
        </w:rPr>
        <w:t>that the impact of achieving an overall response on final patient outcomes such as quality of life or survival was unclear</w:t>
      </w:r>
      <w:r w:rsidR="0071435C" w:rsidRPr="00175DCB">
        <w:rPr>
          <w:iCs/>
        </w:rPr>
        <w:t>.</w:t>
      </w:r>
      <w:r w:rsidR="00DE13BE" w:rsidRPr="00175DCB">
        <w:rPr>
          <w:iCs/>
        </w:rPr>
        <w:t xml:space="preserve"> </w:t>
      </w:r>
    </w:p>
    <w:p w:rsidR="000D07B6" w:rsidRPr="00175DCB" w:rsidRDefault="00D45E97" w:rsidP="000D07B6">
      <w:pPr>
        <w:pStyle w:val="3-BodyText"/>
        <w:numPr>
          <w:ilvl w:val="1"/>
          <w:numId w:val="1"/>
        </w:numPr>
        <w:rPr>
          <w:iCs/>
        </w:rPr>
      </w:pPr>
      <w:r w:rsidRPr="00175DCB">
        <w:rPr>
          <w:rFonts w:cs="Calibri"/>
          <w:iCs/>
        </w:rPr>
        <w:t xml:space="preserve">The PBAC noted that no additional clinical trial data were presented to inform the clinical claims of the minor submission. As such, the PBAC reaffirmed its July 2020 advice, that the extent of benefit, if any, for mogamulizumab versus vorinostat could not be determined from the available evidence, and therefore did not consider the claim of superior comparative effectiveness to be adequately supported (paragraph 7.7, mogamulizumab PBAC </w:t>
      </w:r>
      <w:r w:rsidR="00AE3A53">
        <w:rPr>
          <w:rFonts w:cs="Calibri"/>
          <w:iCs/>
        </w:rPr>
        <w:t>PSD</w:t>
      </w:r>
      <w:r w:rsidRPr="00175DCB">
        <w:rPr>
          <w:rFonts w:cs="Calibri"/>
          <w:iCs/>
        </w:rPr>
        <w:t xml:space="preserve">, July 2020 PBAC Meeting). </w:t>
      </w:r>
      <w:r w:rsidR="000D07B6" w:rsidRPr="00175DCB">
        <w:rPr>
          <w:rFonts w:cs="Calibri"/>
          <w:iCs/>
        </w:rPr>
        <w:t xml:space="preserve">The PBAC also reaffirmed its July 2020 advice that </w:t>
      </w:r>
      <w:r w:rsidR="000D07B6" w:rsidRPr="00175DCB">
        <w:rPr>
          <w:rFonts w:ascii="Calibri" w:hAnsi="Calibri" w:cs="Calibri"/>
        </w:rPr>
        <w:t xml:space="preserve">overall, </w:t>
      </w:r>
      <w:r w:rsidR="000D07B6" w:rsidRPr="00175DCB">
        <w:rPr>
          <w:rFonts w:ascii="Calibri" w:hAnsi="Calibri" w:cs="Calibri"/>
          <w:iCs/>
        </w:rPr>
        <w:t xml:space="preserve">the claim of non-inferior comparative safety versus vorinostat was reasonable </w:t>
      </w:r>
      <w:r w:rsidR="000D07B6" w:rsidRPr="00175DCB">
        <w:rPr>
          <w:rFonts w:cs="Calibri"/>
          <w:iCs/>
        </w:rPr>
        <w:t xml:space="preserve">(paragraph 7.8, mogamulizumab PBAC </w:t>
      </w:r>
      <w:r w:rsidR="00AE3A53">
        <w:rPr>
          <w:rFonts w:cs="Calibri"/>
          <w:iCs/>
        </w:rPr>
        <w:t>PSD</w:t>
      </w:r>
      <w:r w:rsidR="000D07B6" w:rsidRPr="00175DCB">
        <w:rPr>
          <w:rFonts w:cs="Calibri"/>
          <w:iCs/>
        </w:rPr>
        <w:t>, July 2020 PBAC Meeting)</w:t>
      </w:r>
      <w:r w:rsidR="000D07B6" w:rsidRPr="00175DCB">
        <w:rPr>
          <w:rFonts w:ascii="Calibri" w:hAnsi="Calibri" w:cs="Calibri"/>
          <w:iCs/>
        </w:rPr>
        <w:t>.</w:t>
      </w:r>
    </w:p>
    <w:p w:rsidR="0031092F" w:rsidRPr="00175DCB" w:rsidRDefault="00596DCB" w:rsidP="000D07B6">
      <w:pPr>
        <w:pStyle w:val="3-BodyText"/>
        <w:numPr>
          <w:ilvl w:val="1"/>
          <w:numId w:val="1"/>
        </w:numPr>
        <w:rPr>
          <w:rFonts w:cs="Calibri"/>
          <w:iCs/>
        </w:rPr>
      </w:pPr>
      <w:r w:rsidRPr="00175DCB">
        <w:rPr>
          <w:rFonts w:cs="Calibri"/>
          <w:iCs/>
        </w:rPr>
        <w:t>The PBAC acknowledged</w:t>
      </w:r>
      <w:r w:rsidR="00D45E97" w:rsidRPr="00175DCB">
        <w:rPr>
          <w:rFonts w:cs="Calibri"/>
          <w:iCs/>
        </w:rPr>
        <w:t xml:space="preserve"> that a</w:t>
      </w:r>
      <w:r w:rsidR="0071435C" w:rsidRPr="00175DCB">
        <w:rPr>
          <w:rFonts w:cs="Calibri"/>
          <w:iCs/>
        </w:rPr>
        <w:t xml:space="preserve"> </w:t>
      </w:r>
      <w:r w:rsidR="00326ACB" w:rsidRPr="00175DCB">
        <w:rPr>
          <w:rFonts w:cs="Calibri"/>
          <w:iCs/>
        </w:rPr>
        <w:t xml:space="preserve">trial-based cost per </w:t>
      </w:r>
      <w:r w:rsidR="0031092F" w:rsidRPr="00175DCB">
        <w:rPr>
          <w:rFonts w:cs="Calibri"/>
          <w:iCs/>
        </w:rPr>
        <w:t>responder approach wa</w:t>
      </w:r>
      <w:r w:rsidR="00D45E97" w:rsidRPr="00175DCB">
        <w:rPr>
          <w:rFonts w:cs="Calibri"/>
          <w:iCs/>
        </w:rPr>
        <w:t>s provided</w:t>
      </w:r>
      <w:r w:rsidR="001B3CA5" w:rsidRPr="00175DCB">
        <w:rPr>
          <w:rFonts w:cs="Calibri"/>
          <w:iCs/>
        </w:rPr>
        <w:t xml:space="preserve"> to address the Committees</w:t>
      </w:r>
      <w:r w:rsidR="0031092F" w:rsidRPr="00175DCB">
        <w:rPr>
          <w:rFonts w:cs="Calibri"/>
          <w:iCs/>
        </w:rPr>
        <w:t xml:space="preserve"> previous concerns that a cost-utility approach may not be appropriate. The </w:t>
      </w:r>
      <w:r w:rsidR="001B3CA5" w:rsidRPr="00175DCB">
        <w:rPr>
          <w:rFonts w:cs="Calibri"/>
          <w:iCs/>
        </w:rPr>
        <w:t xml:space="preserve">PBAC noted that the </w:t>
      </w:r>
      <w:r w:rsidR="0031092F" w:rsidRPr="00175DCB">
        <w:rPr>
          <w:iCs/>
        </w:rPr>
        <w:t>approach incorporated a revised vial price of $</w:t>
      </w:r>
      <w:r w:rsidR="00DE546F">
        <w:rPr>
          <w:iCs/>
          <w:noProof/>
          <w:color w:val="000000"/>
          <w:highlight w:val="black"/>
        </w:rPr>
        <w:t>''''''</w:t>
      </w:r>
      <w:r w:rsidR="0031092F" w:rsidRPr="00175DCB">
        <w:rPr>
          <w:iCs/>
        </w:rPr>
        <w:t xml:space="preserve"> (a</w:t>
      </w:r>
      <w:r w:rsidR="001B3CA5" w:rsidRPr="00175DCB">
        <w:rPr>
          <w:iCs/>
        </w:rPr>
        <w:t xml:space="preserve">pproved ex-manufacturer price) and resulted in a cost per responder (ORR) of </w:t>
      </w:r>
      <w:r w:rsidR="0031092F" w:rsidRPr="00175DCB">
        <w:rPr>
          <w:iCs/>
        </w:rPr>
        <w:t>$</w:t>
      </w:r>
      <w:r w:rsidR="00DE546F">
        <w:rPr>
          <w:iCs/>
          <w:noProof/>
          <w:color w:val="000000"/>
          <w:highlight w:val="black"/>
        </w:rPr>
        <w:t>''''''''''''''</w:t>
      </w:r>
      <w:r w:rsidR="00175DCB">
        <w:rPr>
          <w:iCs/>
        </w:rPr>
        <w:t xml:space="preserve">. </w:t>
      </w:r>
      <w:r w:rsidRPr="00175DCB">
        <w:rPr>
          <w:iCs/>
        </w:rPr>
        <w:t>Despite the revised vial price, t</w:t>
      </w:r>
      <w:r w:rsidR="00B53D30" w:rsidRPr="00175DCB">
        <w:rPr>
          <w:iCs/>
        </w:rPr>
        <w:t>he PBAC considered that the ICER presented was unacceptably high based on previous PBAC decisions, even in the context of difficult to treat and relatively rare diseases.</w:t>
      </w:r>
      <w:r w:rsidRPr="00175DCB">
        <w:rPr>
          <w:iCs/>
        </w:rPr>
        <w:t xml:space="preserve"> </w:t>
      </w:r>
    </w:p>
    <w:p w:rsidR="006519DD" w:rsidRPr="00175DCB" w:rsidRDefault="00671DEC" w:rsidP="006519DD">
      <w:pPr>
        <w:pStyle w:val="3Bodytext"/>
        <w:jc w:val="both"/>
        <w:rPr>
          <w:iCs/>
        </w:rPr>
      </w:pPr>
      <w:r w:rsidRPr="00175DCB">
        <w:rPr>
          <w:rFonts w:cs="Calibri"/>
          <w:iCs/>
        </w:rPr>
        <w:t xml:space="preserve">The PBAC considered the increase in the estimated number of patients treated from that proposed in the July 2020 consideration of mogamulizumab </w:t>
      </w:r>
      <w:r w:rsidR="00B75A53" w:rsidRPr="00175DCB">
        <w:rPr>
          <w:rFonts w:cs="Calibri"/>
          <w:iCs/>
        </w:rPr>
        <w:t xml:space="preserve">was </w:t>
      </w:r>
      <w:r w:rsidRPr="00175DCB">
        <w:rPr>
          <w:rFonts w:cs="Calibri"/>
          <w:iCs/>
        </w:rPr>
        <w:t>reasonable (see paragraph 5.22). However, t</w:t>
      </w:r>
      <w:r w:rsidR="006519DD" w:rsidRPr="00175DCB">
        <w:rPr>
          <w:rFonts w:cs="Calibri"/>
          <w:iCs/>
        </w:rPr>
        <w:t xml:space="preserve">he PBAC noted that </w:t>
      </w:r>
      <w:r w:rsidRPr="00175DCB">
        <w:t xml:space="preserve">administration costs were not included in the financial estimates and that </w:t>
      </w:r>
      <w:r w:rsidR="006519DD" w:rsidRPr="00175DCB">
        <w:rPr>
          <w:iCs/>
        </w:rPr>
        <w:t>an error identified in the minor submission calculations resulted in the estimated effective net cost to the PBS/RPBS increasing from $</w:t>
      </w:r>
      <w:r w:rsidR="00D2783A">
        <w:rPr>
          <w:iCs/>
        </w:rPr>
        <w:t>20 to &lt;$30</w:t>
      </w:r>
      <w:r w:rsidR="006519DD" w:rsidRPr="00175DCB">
        <w:rPr>
          <w:iCs/>
        </w:rPr>
        <w:t xml:space="preserve"> million to $</w:t>
      </w:r>
      <w:r w:rsidR="00D2783A">
        <w:rPr>
          <w:iCs/>
        </w:rPr>
        <w:t>30 to &lt;$40</w:t>
      </w:r>
      <w:r w:rsidR="006519DD" w:rsidRPr="00175DCB">
        <w:rPr>
          <w:iCs/>
        </w:rPr>
        <w:t xml:space="preserve"> million over the first 6 years of listing. </w:t>
      </w:r>
    </w:p>
    <w:p w:rsidR="00DE13BE" w:rsidRPr="00175DCB" w:rsidRDefault="00DE13BE" w:rsidP="00DE13BE">
      <w:pPr>
        <w:pStyle w:val="3Bodytext"/>
        <w:jc w:val="both"/>
        <w:rPr>
          <w:rFonts w:cs="Calibri"/>
          <w:iCs/>
        </w:rPr>
      </w:pPr>
      <w:r w:rsidRPr="00175DCB">
        <w:rPr>
          <w:rFonts w:cs="Calibri"/>
          <w:iCs/>
        </w:rPr>
        <w:t xml:space="preserve">The PBAC acknowledged the rarity of CTCL and the difficulty of conducting phase 3 trials in this population. However, the PBAC considered that a considerable price reduction would be required in </w:t>
      </w:r>
      <w:r w:rsidR="00942292" w:rsidRPr="00175DCB">
        <w:rPr>
          <w:rFonts w:cs="Calibri"/>
          <w:iCs/>
        </w:rPr>
        <w:t xml:space="preserve">any future resubmission in </w:t>
      </w:r>
      <w:r w:rsidRPr="00175DCB">
        <w:rPr>
          <w:rFonts w:cs="Calibri"/>
          <w:iCs/>
        </w:rPr>
        <w:t xml:space="preserve">order to show that mogamulizumab is cost-effective compared with vorinostat. </w:t>
      </w:r>
    </w:p>
    <w:p w:rsidR="002D00D7" w:rsidRPr="00175DCB" w:rsidRDefault="00C66FF3" w:rsidP="00DE13BE">
      <w:pPr>
        <w:pStyle w:val="3Bodytext"/>
        <w:jc w:val="both"/>
        <w:rPr>
          <w:rFonts w:cs="Calibri"/>
          <w:iCs/>
        </w:rPr>
      </w:pPr>
      <w:r w:rsidRPr="00175DCB">
        <w:rPr>
          <w:rFonts w:cs="Calibri"/>
          <w:iCs/>
        </w:rPr>
        <w:t xml:space="preserve">The PBAC noted that this submission is eligible for an Independent Review. </w:t>
      </w:r>
    </w:p>
    <w:p w:rsidR="00C66FF3" w:rsidRPr="00A47EA3" w:rsidRDefault="00C66FF3" w:rsidP="00C66FF3">
      <w:pPr>
        <w:spacing w:before="240"/>
        <w:rPr>
          <w:rFonts w:asciiTheme="minorHAnsi" w:hAnsiTheme="minorHAnsi" w:cs="Arial"/>
          <w:b/>
          <w:bCs/>
          <w:snapToGrid w:val="0"/>
        </w:rPr>
      </w:pPr>
      <w:r w:rsidRPr="00A47EA3">
        <w:rPr>
          <w:rFonts w:asciiTheme="minorHAnsi" w:hAnsiTheme="minorHAnsi" w:cs="Arial"/>
          <w:b/>
          <w:bCs/>
          <w:snapToGrid w:val="0"/>
        </w:rPr>
        <w:t>Outcome:</w:t>
      </w:r>
    </w:p>
    <w:p w:rsidR="00C66FF3" w:rsidRDefault="00C66FF3" w:rsidP="00C66FF3">
      <w:pPr>
        <w:rPr>
          <w:rFonts w:asciiTheme="minorHAnsi" w:hAnsiTheme="minorHAnsi" w:cs="Arial"/>
          <w:bCs/>
          <w:snapToGrid w:val="0"/>
        </w:rPr>
      </w:pPr>
      <w:r w:rsidRPr="00A47EA3">
        <w:rPr>
          <w:rFonts w:asciiTheme="minorHAnsi" w:hAnsiTheme="minorHAnsi" w:cs="Arial"/>
          <w:bCs/>
          <w:snapToGrid w:val="0"/>
        </w:rPr>
        <w:t xml:space="preserve">Rejected </w:t>
      </w:r>
    </w:p>
    <w:p w:rsidR="00C0513E" w:rsidRPr="00A47EA3" w:rsidRDefault="00C0513E" w:rsidP="00C66FF3">
      <w:pPr>
        <w:rPr>
          <w:rFonts w:asciiTheme="minorHAnsi" w:hAnsiTheme="minorHAnsi" w:cs="Arial"/>
          <w:bCs/>
          <w:snapToGrid w:val="0"/>
        </w:rPr>
      </w:pPr>
    </w:p>
    <w:p w:rsidR="00C0513E" w:rsidRPr="00B46CB6" w:rsidRDefault="00C0513E" w:rsidP="00B46CB6">
      <w:pPr>
        <w:keepNext/>
        <w:numPr>
          <w:ilvl w:val="0"/>
          <w:numId w:val="1"/>
        </w:numPr>
        <w:spacing w:before="240" w:after="120"/>
        <w:jc w:val="left"/>
        <w:outlineLvl w:val="0"/>
        <w:rPr>
          <w:rFonts w:asciiTheme="minorHAnsi" w:hAnsiTheme="minorHAnsi" w:cs="Arial"/>
          <w:b/>
          <w:snapToGrid w:val="0"/>
          <w:sz w:val="32"/>
          <w:szCs w:val="32"/>
        </w:rPr>
      </w:pPr>
      <w:r w:rsidRPr="00B46CB6">
        <w:rPr>
          <w:rFonts w:asciiTheme="minorHAnsi" w:hAnsiTheme="minorHAnsi" w:cs="Arial"/>
          <w:b/>
          <w:snapToGrid w:val="0"/>
          <w:sz w:val="32"/>
          <w:szCs w:val="32"/>
        </w:rPr>
        <w:t>Context for Decision</w:t>
      </w:r>
    </w:p>
    <w:p w:rsidR="00C0513E" w:rsidRPr="00B46CB6" w:rsidRDefault="00C0513E" w:rsidP="00B46CB6">
      <w:pPr>
        <w:pStyle w:val="3-BodyText"/>
        <w:numPr>
          <w:ilvl w:val="0"/>
          <w:numId w:val="0"/>
        </w:numPr>
        <w:ind w:left="720"/>
        <w:rPr>
          <w:iCs/>
        </w:rPr>
      </w:pPr>
      <w:r w:rsidRPr="00B46CB6">
        <w:rPr>
          <w:i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C0513E" w:rsidRPr="00B46CB6" w:rsidRDefault="00C0513E" w:rsidP="00B46CB6">
      <w:pPr>
        <w:keepNext/>
        <w:numPr>
          <w:ilvl w:val="0"/>
          <w:numId w:val="1"/>
        </w:numPr>
        <w:spacing w:before="240" w:after="120"/>
        <w:jc w:val="left"/>
        <w:outlineLvl w:val="0"/>
        <w:rPr>
          <w:rFonts w:asciiTheme="minorHAnsi" w:hAnsiTheme="minorHAnsi" w:cs="Arial"/>
          <w:b/>
          <w:snapToGrid w:val="0"/>
          <w:sz w:val="32"/>
          <w:szCs w:val="32"/>
        </w:rPr>
      </w:pPr>
      <w:r w:rsidRPr="00B46CB6">
        <w:rPr>
          <w:rFonts w:asciiTheme="minorHAnsi" w:hAnsiTheme="minorHAnsi" w:cs="Arial"/>
          <w:b/>
          <w:snapToGrid w:val="0"/>
          <w:sz w:val="32"/>
          <w:szCs w:val="32"/>
        </w:rPr>
        <w:t>Sponsor’s Comment</w:t>
      </w:r>
    </w:p>
    <w:p w:rsidR="00C0513E" w:rsidRPr="007A0D95" w:rsidRDefault="00C0513E" w:rsidP="00B46CB6">
      <w:pPr>
        <w:pStyle w:val="3-BodyText"/>
        <w:numPr>
          <w:ilvl w:val="0"/>
          <w:numId w:val="0"/>
        </w:numPr>
        <w:ind w:left="720"/>
        <w:rPr>
          <w:iCs/>
        </w:rPr>
      </w:pPr>
      <w:r w:rsidRPr="007A0D95">
        <w:rPr>
          <w:iCs/>
        </w:rPr>
        <w:t>The sponsor had no comment.</w:t>
      </w:r>
    </w:p>
    <w:p w:rsidR="004B2E98" w:rsidRPr="00175DCB" w:rsidRDefault="004B2E98" w:rsidP="00A076A5">
      <w:pPr>
        <w:widowControl w:val="0"/>
        <w:rPr>
          <w:rFonts w:asciiTheme="minorHAnsi" w:hAnsiTheme="minorHAnsi" w:cs="Arial"/>
          <w:b/>
          <w:snapToGrid w:val="0"/>
          <w:sz w:val="32"/>
          <w:szCs w:val="32"/>
          <w:highlight w:val="yellow"/>
        </w:rPr>
      </w:pPr>
    </w:p>
    <w:sectPr w:rsidR="004B2E98" w:rsidRPr="00175DCB" w:rsidSect="00A076A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4E6" w:rsidRDefault="003B44E6">
      <w:r>
        <w:separator/>
      </w:r>
    </w:p>
    <w:p w:rsidR="003B44E6" w:rsidRDefault="003B44E6"/>
  </w:endnote>
  <w:endnote w:type="continuationSeparator" w:id="0">
    <w:p w:rsidR="003B44E6" w:rsidRDefault="003B44E6">
      <w:r>
        <w:continuationSeparator/>
      </w:r>
    </w:p>
    <w:p w:rsidR="003B44E6" w:rsidRDefault="003B44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722D5C" w:rsidTr="005A3173">
      <w:trPr>
        <w:trHeight w:val="151"/>
      </w:trPr>
      <w:tc>
        <w:tcPr>
          <w:tcW w:w="2250" w:type="pct"/>
          <w:tcBorders>
            <w:top w:val="nil"/>
            <w:left w:val="nil"/>
            <w:bottom w:val="single" w:sz="4" w:space="0" w:color="4F81BD"/>
            <w:right w:val="nil"/>
          </w:tcBorders>
        </w:tcPr>
        <w:p w:rsidR="00722D5C" w:rsidRPr="005A3173" w:rsidRDefault="00722D5C" w:rsidP="005A3173">
          <w:pPr>
            <w:pStyle w:val="Header"/>
            <w:spacing w:line="276" w:lineRule="auto"/>
            <w:rPr>
              <w:rFonts w:eastAsia="MS Gothic"/>
              <w:b/>
              <w:bCs/>
              <w:color w:val="4F81BD"/>
            </w:rPr>
          </w:pPr>
        </w:p>
      </w:tc>
      <w:tc>
        <w:tcPr>
          <w:tcW w:w="500" w:type="pct"/>
          <w:vMerge w:val="restart"/>
          <w:noWrap/>
          <w:vAlign w:val="center"/>
          <w:hideMark/>
        </w:tcPr>
        <w:p w:rsidR="00722D5C" w:rsidRPr="005A3173" w:rsidRDefault="00722D5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22D5C" w:rsidRPr="005A3173" w:rsidRDefault="00722D5C" w:rsidP="005A3173">
          <w:pPr>
            <w:pStyle w:val="Header"/>
            <w:spacing w:line="276" w:lineRule="auto"/>
            <w:rPr>
              <w:rFonts w:eastAsia="MS Gothic"/>
              <w:b/>
              <w:bCs/>
              <w:color w:val="4F81BD"/>
            </w:rPr>
          </w:pPr>
        </w:p>
      </w:tc>
    </w:tr>
    <w:tr w:rsidR="00722D5C" w:rsidTr="005A3173">
      <w:trPr>
        <w:trHeight w:val="150"/>
      </w:trPr>
      <w:tc>
        <w:tcPr>
          <w:tcW w:w="2250" w:type="pct"/>
          <w:tcBorders>
            <w:top w:val="single" w:sz="4" w:space="0" w:color="4F81BD"/>
            <w:left w:val="nil"/>
            <w:bottom w:val="nil"/>
            <w:right w:val="nil"/>
          </w:tcBorders>
        </w:tcPr>
        <w:p w:rsidR="00722D5C" w:rsidRPr="005A3173" w:rsidRDefault="00722D5C" w:rsidP="005A3173">
          <w:pPr>
            <w:pStyle w:val="Header"/>
            <w:spacing w:line="276" w:lineRule="auto"/>
            <w:rPr>
              <w:rFonts w:eastAsia="MS Gothic"/>
              <w:b/>
              <w:bCs/>
              <w:color w:val="4F81BD"/>
            </w:rPr>
          </w:pPr>
        </w:p>
      </w:tc>
      <w:tc>
        <w:tcPr>
          <w:tcW w:w="0" w:type="auto"/>
          <w:vMerge/>
          <w:vAlign w:val="center"/>
          <w:hideMark/>
        </w:tcPr>
        <w:p w:rsidR="00722D5C" w:rsidRPr="005A3173" w:rsidRDefault="00722D5C" w:rsidP="005A3173">
          <w:pPr>
            <w:rPr>
              <w:color w:val="365F91"/>
              <w:sz w:val="22"/>
              <w:szCs w:val="22"/>
            </w:rPr>
          </w:pPr>
        </w:p>
      </w:tc>
      <w:tc>
        <w:tcPr>
          <w:tcW w:w="2250" w:type="pct"/>
          <w:tcBorders>
            <w:top w:val="single" w:sz="4" w:space="0" w:color="4F81BD"/>
            <w:left w:val="nil"/>
            <w:bottom w:val="nil"/>
            <w:right w:val="nil"/>
          </w:tcBorders>
        </w:tcPr>
        <w:p w:rsidR="00722D5C" w:rsidRPr="005A3173" w:rsidRDefault="00722D5C" w:rsidP="005A3173">
          <w:pPr>
            <w:pStyle w:val="Header"/>
            <w:spacing w:line="276" w:lineRule="auto"/>
            <w:rPr>
              <w:rFonts w:eastAsia="MS Gothic"/>
              <w:b/>
              <w:bCs/>
              <w:color w:val="4F81BD"/>
            </w:rPr>
          </w:pPr>
        </w:p>
      </w:tc>
    </w:tr>
  </w:tbl>
  <w:p w:rsidR="00722D5C" w:rsidRDefault="00722D5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2D5C" w:rsidRDefault="00722D5C">
    <w:pPr>
      <w:pStyle w:val="Footer"/>
    </w:pPr>
  </w:p>
  <w:p w:rsidR="00722D5C" w:rsidRDefault="00722D5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D5C" w:rsidRDefault="00722D5C">
    <w:pPr>
      <w:pStyle w:val="Footer"/>
      <w:jc w:val="center"/>
    </w:pPr>
  </w:p>
  <w:p w:rsidR="00722D5C" w:rsidRDefault="00A42EFE">
    <w:pPr>
      <w:pStyle w:val="Footer"/>
      <w:jc w:val="center"/>
    </w:pPr>
    <w:sdt>
      <w:sdtPr>
        <w:id w:val="505104928"/>
        <w:docPartObj>
          <w:docPartGallery w:val="Page Numbers (Bottom of Page)"/>
          <w:docPartUnique/>
        </w:docPartObj>
      </w:sdtPr>
      <w:sdtEndPr>
        <w:rPr>
          <w:noProof/>
        </w:rPr>
      </w:sdtEndPr>
      <w:sdtContent>
        <w:r w:rsidR="00722D5C" w:rsidRPr="00A02C52">
          <w:rPr>
            <w:b/>
          </w:rPr>
          <w:fldChar w:fldCharType="begin"/>
        </w:r>
        <w:r w:rsidR="00722D5C" w:rsidRPr="00A02C52">
          <w:rPr>
            <w:b/>
          </w:rPr>
          <w:instrText xml:space="preserve"> PAGE   \* MERGEFORMAT </w:instrText>
        </w:r>
        <w:r w:rsidR="00722D5C" w:rsidRPr="00A02C52">
          <w:rPr>
            <w:b/>
          </w:rPr>
          <w:fldChar w:fldCharType="separate"/>
        </w:r>
        <w:r>
          <w:rPr>
            <w:b/>
            <w:noProof/>
          </w:rPr>
          <w:t>1</w:t>
        </w:r>
        <w:r w:rsidR="00722D5C" w:rsidRPr="00A02C52">
          <w:rPr>
            <w:b/>
            <w:noProof/>
          </w:rPr>
          <w:fldChar w:fldCharType="end"/>
        </w:r>
      </w:sdtContent>
    </w:sdt>
  </w:p>
  <w:p w:rsidR="00722D5C" w:rsidRPr="00E10293" w:rsidRDefault="00722D5C" w:rsidP="00A510E4">
    <w:pPr>
      <w:pStyle w:val="PBACFooter"/>
      <w:rPr>
        <w:rFonts w:asciiTheme="minorHAnsi" w:hAnsiTheme="minorHAnsi" w:cstheme="minorHAnsi"/>
        <w:b w:val="0"/>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722D5C" w:rsidTr="005A3173">
      <w:trPr>
        <w:trHeight w:val="151"/>
      </w:trPr>
      <w:tc>
        <w:tcPr>
          <w:tcW w:w="2250" w:type="pct"/>
          <w:tcBorders>
            <w:top w:val="nil"/>
            <w:left w:val="nil"/>
            <w:bottom w:val="single" w:sz="4" w:space="0" w:color="4F81BD"/>
            <w:right w:val="nil"/>
          </w:tcBorders>
        </w:tcPr>
        <w:p w:rsidR="00722D5C" w:rsidRPr="005A3173" w:rsidRDefault="00722D5C" w:rsidP="005A3173">
          <w:pPr>
            <w:pStyle w:val="Header"/>
            <w:spacing w:line="276" w:lineRule="auto"/>
            <w:rPr>
              <w:rFonts w:eastAsia="MS Gothic"/>
              <w:b/>
              <w:bCs/>
              <w:color w:val="4F81BD"/>
            </w:rPr>
          </w:pPr>
        </w:p>
      </w:tc>
      <w:tc>
        <w:tcPr>
          <w:tcW w:w="500" w:type="pct"/>
          <w:vMerge w:val="restart"/>
          <w:noWrap/>
          <w:vAlign w:val="center"/>
          <w:hideMark/>
        </w:tcPr>
        <w:p w:rsidR="00722D5C" w:rsidRPr="005A3173" w:rsidRDefault="00722D5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22D5C" w:rsidRPr="005A3173" w:rsidRDefault="00722D5C" w:rsidP="005A3173">
          <w:pPr>
            <w:pStyle w:val="Header"/>
            <w:spacing w:line="276" w:lineRule="auto"/>
            <w:rPr>
              <w:rFonts w:eastAsia="MS Gothic"/>
              <w:b/>
              <w:bCs/>
              <w:color w:val="4F81BD"/>
            </w:rPr>
          </w:pPr>
        </w:p>
      </w:tc>
    </w:tr>
    <w:tr w:rsidR="00722D5C" w:rsidTr="005A3173">
      <w:trPr>
        <w:trHeight w:val="150"/>
      </w:trPr>
      <w:tc>
        <w:tcPr>
          <w:tcW w:w="2250" w:type="pct"/>
          <w:tcBorders>
            <w:top w:val="single" w:sz="4" w:space="0" w:color="4F81BD"/>
            <w:left w:val="nil"/>
            <w:bottom w:val="nil"/>
            <w:right w:val="nil"/>
          </w:tcBorders>
        </w:tcPr>
        <w:p w:rsidR="00722D5C" w:rsidRPr="005A3173" w:rsidRDefault="00722D5C" w:rsidP="005A3173">
          <w:pPr>
            <w:pStyle w:val="Header"/>
            <w:spacing w:line="276" w:lineRule="auto"/>
            <w:rPr>
              <w:rFonts w:eastAsia="MS Gothic"/>
              <w:b/>
              <w:bCs/>
              <w:color w:val="4F81BD"/>
            </w:rPr>
          </w:pPr>
        </w:p>
      </w:tc>
      <w:tc>
        <w:tcPr>
          <w:tcW w:w="0" w:type="auto"/>
          <w:vMerge/>
          <w:vAlign w:val="center"/>
          <w:hideMark/>
        </w:tcPr>
        <w:p w:rsidR="00722D5C" w:rsidRPr="005A3173" w:rsidRDefault="00722D5C" w:rsidP="005A3173">
          <w:pPr>
            <w:rPr>
              <w:color w:val="365F91"/>
              <w:sz w:val="22"/>
              <w:szCs w:val="22"/>
            </w:rPr>
          </w:pPr>
        </w:p>
      </w:tc>
      <w:tc>
        <w:tcPr>
          <w:tcW w:w="2250" w:type="pct"/>
          <w:tcBorders>
            <w:top w:val="single" w:sz="4" w:space="0" w:color="4F81BD"/>
            <w:left w:val="nil"/>
            <w:bottom w:val="nil"/>
            <w:right w:val="nil"/>
          </w:tcBorders>
        </w:tcPr>
        <w:p w:rsidR="00722D5C" w:rsidRPr="005A3173" w:rsidRDefault="00722D5C"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722D5C" w:rsidTr="005A3173">
      <w:trPr>
        <w:trHeight w:val="151"/>
      </w:trPr>
      <w:tc>
        <w:tcPr>
          <w:tcW w:w="2250" w:type="pct"/>
          <w:tcBorders>
            <w:top w:val="nil"/>
            <w:left w:val="nil"/>
            <w:bottom w:val="single" w:sz="4" w:space="0" w:color="4F81BD"/>
            <w:right w:val="nil"/>
          </w:tcBorders>
        </w:tcPr>
        <w:p w:rsidR="00722D5C" w:rsidRPr="005A3173" w:rsidRDefault="00722D5C" w:rsidP="005A3173">
          <w:pPr>
            <w:pStyle w:val="Header"/>
            <w:spacing w:line="276" w:lineRule="auto"/>
            <w:rPr>
              <w:rFonts w:eastAsia="MS Gothic"/>
              <w:b/>
              <w:bCs/>
              <w:color w:val="4F81BD"/>
            </w:rPr>
          </w:pPr>
        </w:p>
      </w:tc>
      <w:tc>
        <w:tcPr>
          <w:tcW w:w="500" w:type="pct"/>
          <w:vMerge w:val="restart"/>
          <w:noWrap/>
          <w:vAlign w:val="center"/>
          <w:hideMark/>
        </w:tcPr>
        <w:p w:rsidR="00722D5C" w:rsidRPr="005A3173" w:rsidRDefault="00722D5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22D5C" w:rsidRPr="005A3173" w:rsidRDefault="00722D5C" w:rsidP="005A3173">
          <w:pPr>
            <w:pStyle w:val="Header"/>
            <w:spacing w:line="276" w:lineRule="auto"/>
            <w:rPr>
              <w:rFonts w:eastAsia="MS Gothic"/>
              <w:b/>
              <w:bCs/>
              <w:color w:val="4F81BD"/>
            </w:rPr>
          </w:pPr>
        </w:p>
      </w:tc>
    </w:tr>
    <w:tr w:rsidR="00722D5C" w:rsidTr="005A3173">
      <w:trPr>
        <w:trHeight w:val="150"/>
      </w:trPr>
      <w:tc>
        <w:tcPr>
          <w:tcW w:w="2250" w:type="pct"/>
          <w:tcBorders>
            <w:top w:val="single" w:sz="4" w:space="0" w:color="4F81BD"/>
            <w:left w:val="nil"/>
            <w:bottom w:val="nil"/>
            <w:right w:val="nil"/>
          </w:tcBorders>
        </w:tcPr>
        <w:p w:rsidR="00722D5C" w:rsidRPr="005A3173" w:rsidRDefault="00722D5C" w:rsidP="005A3173">
          <w:pPr>
            <w:pStyle w:val="Header"/>
            <w:spacing w:line="276" w:lineRule="auto"/>
            <w:rPr>
              <w:rFonts w:eastAsia="MS Gothic"/>
              <w:b/>
              <w:bCs/>
              <w:color w:val="4F81BD"/>
            </w:rPr>
          </w:pPr>
        </w:p>
      </w:tc>
      <w:tc>
        <w:tcPr>
          <w:tcW w:w="0" w:type="auto"/>
          <w:vMerge/>
          <w:vAlign w:val="center"/>
          <w:hideMark/>
        </w:tcPr>
        <w:p w:rsidR="00722D5C" w:rsidRPr="005A3173" w:rsidRDefault="00722D5C" w:rsidP="005A3173">
          <w:pPr>
            <w:rPr>
              <w:color w:val="365F91"/>
              <w:sz w:val="22"/>
              <w:szCs w:val="22"/>
            </w:rPr>
          </w:pPr>
        </w:p>
      </w:tc>
      <w:tc>
        <w:tcPr>
          <w:tcW w:w="2250" w:type="pct"/>
          <w:tcBorders>
            <w:top w:val="single" w:sz="4" w:space="0" w:color="4F81BD"/>
            <w:left w:val="nil"/>
            <w:bottom w:val="nil"/>
            <w:right w:val="nil"/>
          </w:tcBorders>
        </w:tcPr>
        <w:p w:rsidR="00722D5C" w:rsidRPr="005A3173" w:rsidRDefault="00722D5C" w:rsidP="005A3173">
          <w:pPr>
            <w:pStyle w:val="Header"/>
            <w:spacing w:line="276" w:lineRule="auto"/>
            <w:rPr>
              <w:rFonts w:eastAsia="MS Gothic"/>
              <w:b/>
              <w:bCs/>
              <w:color w:val="4F81BD"/>
            </w:rPr>
          </w:pPr>
        </w:p>
      </w:tc>
    </w:tr>
  </w:tbl>
  <w:p w:rsidR="00722D5C" w:rsidRPr="007C0F57" w:rsidRDefault="00722D5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rsidR="00722D5C" w:rsidRPr="007C0F57" w:rsidRDefault="00722D5C" w:rsidP="007C0F57">
    <w:pPr>
      <w:pStyle w:val="Footer"/>
      <w:jc w:val="center"/>
      <w:rPr>
        <w:b/>
        <w:i/>
        <w:sz w:val="20"/>
        <w:szCs w:val="20"/>
      </w:rPr>
    </w:pPr>
    <w:r w:rsidRPr="007C0F57">
      <w:rPr>
        <w:b/>
        <w:i/>
        <w:sz w:val="20"/>
        <w:szCs w:val="20"/>
      </w:rPr>
      <w:t>Commercial-in-Confidence</w:t>
    </w:r>
  </w:p>
  <w:p w:rsidR="00722D5C" w:rsidRDefault="00722D5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4E6" w:rsidRDefault="003B44E6">
      <w:r>
        <w:separator/>
      </w:r>
    </w:p>
    <w:p w:rsidR="003B44E6" w:rsidRDefault="003B44E6"/>
  </w:footnote>
  <w:footnote w:type="continuationSeparator" w:id="0">
    <w:p w:rsidR="003B44E6" w:rsidRDefault="003B44E6">
      <w:r>
        <w:continuationSeparator/>
      </w:r>
    </w:p>
    <w:p w:rsidR="003B44E6" w:rsidRDefault="003B44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722D5C" w:rsidRPr="008E0D90" w:rsidTr="00A06225">
      <w:trPr>
        <w:trHeight w:val="151"/>
      </w:trPr>
      <w:tc>
        <w:tcPr>
          <w:tcW w:w="2389" w:type="pct"/>
          <w:tcBorders>
            <w:top w:val="nil"/>
            <w:left w:val="nil"/>
            <w:bottom w:val="single" w:sz="4" w:space="0" w:color="4F81BD"/>
            <w:right w:val="nil"/>
          </w:tcBorders>
        </w:tcPr>
        <w:p w:rsidR="00722D5C" w:rsidRPr="00A06225" w:rsidRDefault="00722D5C">
          <w:pPr>
            <w:pStyle w:val="Header"/>
            <w:spacing w:line="276" w:lineRule="auto"/>
            <w:rPr>
              <w:rFonts w:ascii="Cambria" w:eastAsia="MS Gothic" w:hAnsi="Cambria"/>
              <w:b/>
              <w:bCs/>
              <w:color w:val="4F81BD"/>
            </w:rPr>
          </w:pPr>
        </w:p>
      </w:tc>
      <w:tc>
        <w:tcPr>
          <w:tcW w:w="333" w:type="pct"/>
          <w:vMerge w:val="restart"/>
          <w:noWrap/>
          <w:vAlign w:val="center"/>
          <w:hideMark/>
        </w:tcPr>
        <w:p w:rsidR="00722D5C" w:rsidRPr="00A06225" w:rsidRDefault="00722D5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22D5C" w:rsidRPr="00A06225" w:rsidRDefault="00722D5C">
          <w:pPr>
            <w:pStyle w:val="Header"/>
            <w:spacing w:line="276" w:lineRule="auto"/>
            <w:rPr>
              <w:rFonts w:ascii="Cambria" w:eastAsia="MS Gothic" w:hAnsi="Cambria"/>
              <w:b/>
              <w:bCs/>
              <w:color w:val="4F81BD"/>
            </w:rPr>
          </w:pPr>
        </w:p>
      </w:tc>
    </w:tr>
    <w:tr w:rsidR="00722D5C" w:rsidRPr="008E0D90" w:rsidTr="00A06225">
      <w:trPr>
        <w:trHeight w:val="150"/>
      </w:trPr>
      <w:tc>
        <w:tcPr>
          <w:tcW w:w="2389" w:type="pct"/>
          <w:tcBorders>
            <w:top w:val="single" w:sz="4" w:space="0" w:color="4F81BD"/>
            <w:left w:val="nil"/>
            <w:bottom w:val="nil"/>
            <w:right w:val="nil"/>
          </w:tcBorders>
        </w:tcPr>
        <w:p w:rsidR="00722D5C" w:rsidRPr="00A06225" w:rsidRDefault="00722D5C">
          <w:pPr>
            <w:pStyle w:val="Header"/>
            <w:spacing w:line="276" w:lineRule="auto"/>
            <w:rPr>
              <w:rFonts w:ascii="Cambria" w:eastAsia="MS Gothic" w:hAnsi="Cambria"/>
              <w:b/>
              <w:bCs/>
              <w:color w:val="4F81BD"/>
            </w:rPr>
          </w:pPr>
        </w:p>
      </w:tc>
      <w:tc>
        <w:tcPr>
          <w:tcW w:w="0" w:type="auto"/>
          <w:vMerge/>
          <w:vAlign w:val="center"/>
          <w:hideMark/>
        </w:tcPr>
        <w:p w:rsidR="00722D5C" w:rsidRPr="00A06225" w:rsidRDefault="00722D5C">
          <w:pPr>
            <w:rPr>
              <w:rFonts w:ascii="Cambria" w:hAnsi="Cambria"/>
              <w:color w:val="4F81BD"/>
              <w:sz w:val="22"/>
              <w:szCs w:val="22"/>
            </w:rPr>
          </w:pPr>
        </w:p>
      </w:tc>
      <w:tc>
        <w:tcPr>
          <w:tcW w:w="2278" w:type="pct"/>
          <w:tcBorders>
            <w:top w:val="single" w:sz="4" w:space="0" w:color="4F81BD"/>
            <w:left w:val="nil"/>
            <w:bottom w:val="nil"/>
            <w:right w:val="nil"/>
          </w:tcBorders>
        </w:tcPr>
        <w:p w:rsidR="00722D5C" w:rsidRPr="00A06225" w:rsidRDefault="00722D5C">
          <w:pPr>
            <w:pStyle w:val="Header"/>
            <w:spacing w:line="276" w:lineRule="auto"/>
            <w:rPr>
              <w:rFonts w:ascii="Cambria" w:eastAsia="MS Gothic" w:hAnsi="Cambria"/>
              <w:b/>
              <w:bCs/>
              <w:color w:val="4F81BD"/>
            </w:rPr>
          </w:pPr>
        </w:p>
      </w:tc>
    </w:tr>
  </w:tbl>
  <w:p w:rsidR="00722D5C" w:rsidRDefault="00722D5C">
    <w:pPr>
      <w:pStyle w:val="Header"/>
    </w:pPr>
  </w:p>
  <w:p w:rsidR="00722D5C" w:rsidRDefault="00722D5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D5C" w:rsidRPr="00A02C52" w:rsidRDefault="00722D5C" w:rsidP="00A02C52">
    <w:pPr>
      <w:tabs>
        <w:tab w:val="center" w:pos="4153"/>
        <w:tab w:val="right" w:pos="8306"/>
      </w:tabs>
      <w:autoSpaceDE w:val="0"/>
      <w:autoSpaceDN w:val="0"/>
      <w:adjustRightInd w:val="0"/>
      <w:ind w:left="360"/>
      <w:jc w:val="center"/>
      <w:rPr>
        <w:rFonts w:asciiTheme="minorHAnsi" w:hAnsiTheme="minorHAnsi" w:cstheme="minorHAnsi"/>
        <w:i/>
        <w:iCs/>
      </w:rPr>
    </w:pPr>
    <w:r>
      <w:rPr>
        <w:rFonts w:asciiTheme="minorHAnsi" w:hAnsiTheme="minorHAnsi" w:cstheme="minorHAnsi"/>
        <w:i/>
        <w:iCs/>
      </w:rPr>
      <w:t>Public Summary Document – November 2020</w:t>
    </w:r>
    <w:r w:rsidRPr="00A02C52">
      <w:rPr>
        <w:rFonts w:asciiTheme="minorHAnsi" w:hAnsiTheme="minorHAnsi" w:cstheme="minorHAnsi"/>
        <w:i/>
        <w:iCs/>
      </w:rPr>
      <w:t xml:space="preserve"> PBAC Meeting</w:t>
    </w:r>
  </w:p>
  <w:p w:rsidR="00722D5C" w:rsidRDefault="00722D5C"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F65" w:rsidRDefault="00B80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D4F5CB9"/>
    <w:multiLevelType w:val="hybridMultilevel"/>
    <w:tmpl w:val="E26267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84D033C"/>
    <w:multiLevelType w:val="multilevel"/>
    <w:tmpl w:val="E850E6E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C95B7A"/>
    <w:multiLevelType w:val="hybridMultilevel"/>
    <w:tmpl w:val="C32AB40C"/>
    <w:lvl w:ilvl="0" w:tplc="BA20F958">
      <w:numFmt w:val="bullet"/>
      <w:pStyle w:val="Table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5"/>
  </w:num>
  <w:num w:numId="4">
    <w:abstractNumId w:val="4"/>
  </w:num>
  <w:num w:numId="5">
    <w:abstractNumId w:val="3"/>
  </w:num>
  <w:num w:numId="6">
    <w:abstractNumId w:val="1"/>
  </w:num>
  <w:num w:numId="7">
    <w:abstractNumId w:val="6"/>
  </w:num>
  <w:num w:numId="8">
    <w:abstractNumId w:val="2"/>
  </w:num>
  <w:num w:numId="9">
    <w:abstractNumId w:val="5"/>
  </w:num>
  <w:num w:numId="10">
    <w:abstractNumId w:val="5"/>
  </w:num>
  <w:num w:numId="11">
    <w:abstractNumId w:val="0"/>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393"/>
    <w:rsid w:val="00001663"/>
    <w:rsid w:val="000025AD"/>
    <w:rsid w:val="0000335D"/>
    <w:rsid w:val="00003C9A"/>
    <w:rsid w:val="000108C9"/>
    <w:rsid w:val="00011A59"/>
    <w:rsid w:val="00016A41"/>
    <w:rsid w:val="000214D1"/>
    <w:rsid w:val="0002464A"/>
    <w:rsid w:val="0002585E"/>
    <w:rsid w:val="0003106B"/>
    <w:rsid w:val="000315E9"/>
    <w:rsid w:val="00034905"/>
    <w:rsid w:val="000421A1"/>
    <w:rsid w:val="0004240E"/>
    <w:rsid w:val="00044078"/>
    <w:rsid w:val="00044E26"/>
    <w:rsid w:val="00045E26"/>
    <w:rsid w:val="000514B5"/>
    <w:rsid w:val="0005608A"/>
    <w:rsid w:val="00060E64"/>
    <w:rsid w:val="0006304A"/>
    <w:rsid w:val="00066755"/>
    <w:rsid w:val="000727CD"/>
    <w:rsid w:val="000763D5"/>
    <w:rsid w:val="00077143"/>
    <w:rsid w:val="00082169"/>
    <w:rsid w:val="000858A3"/>
    <w:rsid w:val="00086807"/>
    <w:rsid w:val="00086991"/>
    <w:rsid w:val="000918CB"/>
    <w:rsid w:val="00091B06"/>
    <w:rsid w:val="000951C4"/>
    <w:rsid w:val="0009580B"/>
    <w:rsid w:val="00095ADA"/>
    <w:rsid w:val="000969AD"/>
    <w:rsid w:val="000A3AA2"/>
    <w:rsid w:val="000A44B2"/>
    <w:rsid w:val="000A4966"/>
    <w:rsid w:val="000A52F6"/>
    <w:rsid w:val="000A6C11"/>
    <w:rsid w:val="000B44C3"/>
    <w:rsid w:val="000B558D"/>
    <w:rsid w:val="000C4BAB"/>
    <w:rsid w:val="000C5F95"/>
    <w:rsid w:val="000C6996"/>
    <w:rsid w:val="000D07B6"/>
    <w:rsid w:val="000D09E9"/>
    <w:rsid w:val="000D113F"/>
    <w:rsid w:val="000D23BA"/>
    <w:rsid w:val="000E4F69"/>
    <w:rsid w:val="000E5EA1"/>
    <w:rsid w:val="000E681E"/>
    <w:rsid w:val="000F0003"/>
    <w:rsid w:val="000F2AD8"/>
    <w:rsid w:val="000F3384"/>
    <w:rsid w:val="000F46A0"/>
    <w:rsid w:val="000F4E6A"/>
    <w:rsid w:val="000F7354"/>
    <w:rsid w:val="00101ABE"/>
    <w:rsid w:val="00102202"/>
    <w:rsid w:val="00104227"/>
    <w:rsid w:val="001107BF"/>
    <w:rsid w:val="00113428"/>
    <w:rsid w:val="00113649"/>
    <w:rsid w:val="0012417C"/>
    <w:rsid w:val="0012749D"/>
    <w:rsid w:val="00131C52"/>
    <w:rsid w:val="00137AE6"/>
    <w:rsid w:val="00142395"/>
    <w:rsid w:val="00142714"/>
    <w:rsid w:val="001452ED"/>
    <w:rsid w:val="00145873"/>
    <w:rsid w:val="00147D84"/>
    <w:rsid w:val="001549C1"/>
    <w:rsid w:val="00154EED"/>
    <w:rsid w:val="0016171C"/>
    <w:rsid w:val="00162BDD"/>
    <w:rsid w:val="00162D4E"/>
    <w:rsid w:val="00163329"/>
    <w:rsid w:val="00164623"/>
    <w:rsid w:val="001652DE"/>
    <w:rsid w:val="00165B64"/>
    <w:rsid w:val="00175DCB"/>
    <w:rsid w:val="00180713"/>
    <w:rsid w:val="00180720"/>
    <w:rsid w:val="001830CE"/>
    <w:rsid w:val="0018643B"/>
    <w:rsid w:val="00187258"/>
    <w:rsid w:val="00196307"/>
    <w:rsid w:val="001A0CDC"/>
    <w:rsid w:val="001A33EA"/>
    <w:rsid w:val="001A423C"/>
    <w:rsid w:val="001A4C4F"/>
    <w:rsid w:val="001A76FB"/>
    <w:rsid w:val="001B017F"/>
    <w:rsid w:val="001B1CBD"/>
    <w:rsid w:val="001B2354"/>
    <w:rsid w:val="001B2BBC"/>
    <w:rsid w:val="001B3A40"/>
    <w:rsid w:val="001B3CA5"/>
    <w:rsid w:val="001B3FFE"/>
    <w:rsid w:val="001B5129"/>
    <w:rsid w:val="001B5F59"/>
    <w:rsid w:val="001C0872"/>
    <w:rsid w:val="001C0B4C"/>
    <w:rsid w:val="001C1195"/>
    <w:rsid w:val="001C2E42"/>
    <w:rsid w:val="001C6B29"/>
    <w:rsid w:val="001D1F5F"/>
    <w:rsid w:val="001E06D2"/>
    <w:rsid w:val="001E2638"/>
    <w:rsid w:val="001F005B"/>
    <w:rsid w:val="001F1850"/>
    <w:rsid w:val="001F3189"/>
    <w:rsid w:val="002003EB"/>
    <w:rsid w:val="00203FAC"/>
    <w:rsid w:val="00213CFB"/>
    <w:rsid w:val="0021553C"/>
    <w:rsid w:val="0021557B"/>
    <w:rsid w:val="00216590"/>
    <w:rsid w:val="002174FD"/>
    <w:rsid w:val="00217BE1"/>
    <w:rsid w:val="00224E7B"/>
    <w:rsid w:val="00234252"/>
    <w:rsid w:val="00237AC6"/>
    <w:rsid w:val="00244490"/>
    <w:rsid w:val="00245B9C"/>
    <w:rsid w:val="00253499"/>
    <w:rsid w:val="002551A4"/>
    <w:rsid w:val="00257664"/>
    <w:rsid w:val="00265151"/>
    <w:rsid w:val="00266509"/>
    <w:rsid w:val="00271BA1"/>
    <w:rsid w:val="002751D7"/>
    <w:rsid w:val="002762FA"/>
    <w:rsid w:val="00277505"/>
    <w:rsid w:val="002823B6"/>
    <w:rsid w:val="0028788E"/>
    <w:rsid w:val="00290798"/>
    <w:rsid w:val="00290D50"/>
    <w:rsid w:val="00294274"/>
    <w:rsid w:val="0029458F"/>
    <w:rsid w:val="00297F31"/>
    <w:rsid w:val="002A0E04"/>
    <w:rsid w:val="002A104C"/>
    <w:rsid w:val="002A1EF7"/>
    <w:rsid w:val="002A494D"/>
    <w:rsid w:val="002A4960"/>
    <w:rsid w:val="002B0AE0"/>
    <w:rsid w:val="002B1AE6"/>
    <w:rsid w:val="002B1D51"/>
    <w:rsid w:val="002B2DE8"/>
    <w:rsid w:val="002B30F8"/>
    <w:rsid w:val="002B3129"/>
    <w:rsid w:val="002B388A"/>
    <w:rsid w:val="002B5596"/>
    <w:rsid w:val="002C212F"/>
    <w:rsid w:val="002C7485"/>
    <w:rsid w:val="002D00D7"/>
    <w:rsid w:val="002D283A"/>
    <w:rsid w:val="002D4543"/>
    <w:rsid w:val="002E3153"/>
    <w:rsid w:val="002E5292"/>
    <w:rsid w:val="002E72CA"/>
    <w:rsid w:val="002F600D"/>
    <w:rsid w:val="00300AD6"/>
    <w:rsid w:val="00300B1B"/>
    <w:rsid w:val="003019D0"/>
    <w:rsid w:val="00301BA7"/>
    <w:rsid w:val="003064AF"/>
    <w:rsid w:val="0031092F"/>
    <w:rsid w:val="00310B68"/>
    <w:rsid w:val="00310B90"/>
    <w:rsid w:val="003131AC"/>
    <w:rsid w:val="00317C6C"/>
    <w:rsid w:val="00317E2B"/>
    <w:rsid w:val="00320CD3"/>
    <w:rsid w:val="00326ACB"/>
    <w:rsid w:val="00326E79"/>
    <w:rsid w:val="00327069"/>
    <w:rsid w:val="00327C98"/>
    <w:rsid w:val="003301B1"/>
    <w:rsid w:val="00331189"/>
    <w:rsid w:val="0033141F"/>
    <w:rsid w:val="0033263D"/>
    <w:rsid w:val="0033518A"/>
    <w:rsid w:val="0033559F"/>
    <w:rsid w:val="003367EF"/>
    <w:rsid w:val="00341AE4"/>
    <w:rsid w:val="00344090"/>
    <w:rsid w:val="003476EE"/>
    <w:rsid w:val="003541DD"/>
    <w:rsid w:val="00356E5B"/>
    <w:rsid w:val="003736C9"/>
    <w:rsid w:val="00374C31"/>
    <w:rsid w:val="00384988"/>
    <w:rsid w:val="003872CF"/>
    <w:rsid w:val="00395498"/>
    <w:rsid w:val="0039782C"/>
    <w:rsid w:val="00397F2A"/>
    <w:rsid w:val="003A4003"/>
    <w:rsid w:val="003A5B4A"/>
    <w:rsid w:val="003A5D95"/>
    <w:rsid w:val="003B23C5"/>
    <w:rsid w:val="003B2A75"/>
    <w:rsid w:val="003B30BB"/>
    <w:rsid w:val="003B44E6"/>
    <w:rsid w:val="003B6124"/>
    <w:rsid w:val="003B7450"/>
    <w:rsid w:val="003C093A"/>
    <w:rsid w:val="003C1ECF"/>
    <w:rsid w:val="003C2FB5"/>
    <w:rsid w:val="003D24C5"/>
    <w:rsid w:val="003D4AC4"/>
    <w:rsid w:val="003D63B7"/>
    <w:rsid w:val="003D74C5"/>
    <w:rsid w:val="003E468B"/>
    <w:rsid w:val="003E62BD"/>
    <w:rsid w:val="003F0C3A"/>
    <w:rsid w:val="003F3079"/>
    <w:rsid w:val="003F3228"/>
    <w:rsid w:val="003F5C8C"/>
    <w:rsid w:val="003F63CE"/>
    <w:rsid w:val="003F775A"/>
    <w:rsid w:val="00400E55"/>
    <w:rsid w:val="0040128E"/>
    <w:rsid w:val="0040216B"/>
    <w:rsid w:val="004028C2"/>
    <w:rsid w:val="00405F56"/>
    <w:rsid w:val="004252EC"/>
    <w:rsid w:val="00430D39"/>
    <w:rsid w:val="004465BD"/>
    <w:rsid w:val="00446938"/>
    <w:rsid w:val="00455235"/>
    <w:rsid w:val="00461A44"/>
    <w:rsid w:val="00462F97"/>
    <w:rsid w:val="00463EE1"/>
    <w:rsid w:val="00466ADA"/>
    <w:rsid w:val="004702BB"/>
    <w:rsid w:val="0047494B"/>
    <w:rsid w:val="00476245"/>
    <w:rsid w:val="00477A9B"/>
    <w:rsid w:val="00483035"/>
    <w:rsid w:val="00485940"/>
    <w:rsid w:val="004904B9"/>
    <w:rsid w:val="00491A13"/>
    <w:rsid w:val="00496662"/>
    <w:rsid w:val="004A2484"/>
    <w:rsid w:val="004A5A85"/>
    <w:rsid w:val="004A5CE5"/>
    <w:rsid w:val="004A71D1"/>
    <w:rsid w:val="004A74F3"/>
    <w:rsid w:val="004A7C5B"/>
    <w:rsid w:val="004B1845"/>
    <w:rsid w:val="004B2E98"/>
    <w:rsid w:val="004B3A85"/>
    <w:rsid w:val="004B5640"/>
    <w:rsid w:val="004C03D0"/>
    <w:rsid w:val="004C1BD7"/>
    <w:rsid w:val="004C31FE"/>
    <w:rsid w:val="004C524C"/>
    <w:rsid w:val="004C5FFA"/>
    <w:rsid w:val="004C691D"/>
    <w:rsid w:val="004C6C07"/>
    <w:rsid w:val="004D4FF6"/>
    <w:rsid w:val="004E692D"/>
    <w:rsid w:val="004E6C04"/>
    <w:rsid w:val="004E7D87"/>
    <w:rsid w:val="004F10F5"/>
    <w:rsid w:val="004F2553"/>
    <w:rsid w:val="00501554"/>
    <w:rsid w:val="00502AFE"/>
    <w:rsid w:val="005037F7"/>
    <w:rsid w:val="00503AD7"/>
    <w:rsid w:val="00504E0C"/>
    <w:rsid w:val="005109D4"/>
    <w:rsid w:val="00513211"/>
    <w:rsid w:val="00514CD7"/>
    <w:rsid w:val="00520D6A"/>
    <w:rsid w:val="00522DB6"/>
    <w:rsid w:val="005258E4"/>
    <w:rsid w:val="0052792D"/>
    <w:rsid w:val="005319B2"/>
    <w:rsid w:val="00532402"/>
    <w:rsid w:val="00532C74"/>
    <w:rsid w:val="00534E2E"/>
    <w:rsid w:val="00544552"/>
    <w:rsid w:val="00545130"/>
    <w:rsid w:val="00551910"/>
    <w:rsid w:val="0055286A"/>
    <w:rsid w:val="00555408"/>
    <w:rsid w:val="00555745"/>
    <w:rsid w:val="0055680A"/>
    <w:rsid w:val="00557D4F"/>
    <w:rsid w:val="00557DE5"/>
    <w:rsid w:val="00560FBA"/>
    <w:rsid w:val="005631F0"/>
    <w:rsid w:val="0056484E"/>
    <w:rsid w:val="005764CD"/>
    <w:rsid w:val="00577C4D"/>
    <w:rsid w:val="00580532"/>
    <w:rsid w:val="00581932"/>
    <w:rsid w:val="005963BB"/>
    <w:rsid w:val="00596DCB"/>
    <w:rsid w:val="005A07CF"/>
    <w:rsid w:val="005A3173"/>
    <w:rsid w:val="005A3223"/>
    <w:rsid w:val="005A3DA3"/>
    <w:rsid w:val="005A52C4"/>
    <w:rsid w:val="005B0D85"/>
    <w:rsid w:val="005C3DE1"/>
    <w:rsid w:val="005C4F73"/>
    <w:rsid w:val="005D03AB"/>
    <w:rsid w:val="005D44CD"/>
    <w:rsid w:val="005D5017"/>
    <w:rsid w:val="005D63FA"/>
    <w:rsid w:val="005E0D82"/>
    <w:rsid w:val="005E1333"/>
    <w:rsid w:val="005E3136"/>
    <w:rsid w:val="005E507D"/>
    <w:rsid w:val="005E6DDD"/>
    <w:rsid w:val="005E7A46"/>
    <w:rsid w:val="00601A91"/>
    <w:rsid w:val="00602BA3"/>
    <w:rsid w:val="00605B63"/>
    <w:rsid w:val="00605F9A"/>
    <w:rsid w:val="00606EED"/>
    <w:rsid w:val="0061085F"/>
    <w:rsid w:val="00612755"/>
    <w:rsid w:val="00612E34"/>
    <w:rsid w:val="00614159"/>
    <w:rsid w:val="00614711"/>
    <w:rsid w:val="00616C5F"/>
    <w:rsid w:val="00616DAC"/>
    <w:rsid w:val="006176A2"/>
    <w:rsid w:val="00617C00"/>
    <w:rsid w:val="006263BF"/>
    <w:rsid w:val="0062748A"/>
    <w:rsid w:val="00630A2C"/>
    <w:rsid w:val="00631FEF"/>
    <w:rsid w:val="0063682E"/>
    <w:rsid w:val="00642DA8"/>
    <w:rsid w:val="006436CD"/>
    <w:rsid w:val="00651169"/>
    <w:rsid w:val="006519DD"/>
    <w:rsid w:val="00653D69"/>
    <w:rsid w:val="006552E6"/>
    <w:rsid w:val="00655794"/>
    <w:rsid w:val="00657C63"/>
    <w:rsid w:val="00666531"/>
    <w:rsid w:val="006670BE"/>
    <w:rsid w:val="00670A76"/>
    <w:rsid w:val="006711AA"/>
    <w:rsid w:val="00671DEC"/>
    <w:rsid w:val="00672B57"/>
    <w:rsid w:val="00673939"/>
    <w:rsid w:val="00673F1F"/>
    <w:rsid w:val="00675622"/>
    <w:rsid w:val="0067747D"/>
    <w:rsid w:val="006818D5"/>
    <w:rsid w:val="00681CA4"/>
    <w:rsid w:val="00684555"/>
    <w:rsid w:val="0069039D"/>
    <w:rsid w:val="006906DB"/>
    <w:rsid w:val="00690E7C"/>
    <w:rsid w:val="00691E6C"/>
    <w:rsid w:val="00693DFB"/>
    <w:rsid w:val="0069501D"/>
    <w:rsid w:val="00695213"/>
    <w:rsid w:val="00696129"/>
    <w:rsid w:val="006972A4"/>
    <w:rsid w:val="00697CF2"/>
    <w:rsid w:val="006A12A5"/>
    <w:rsid w:val="006A1781"/>
    <w:rsid w:val="006A5E20"/>
    <w:rsid w:val="006B0D94"/>
    <w:rsid w:val="006B485D"/>
    <w:rsid w:val="006C334C"/>
    <w:rsid w:val="006C708E"/>
    <w:rsid w:val="006D14E7"/>
    <w:rsid w:val="006D4444"/>
    <w:rsid w:val="006D6493"/>
    <w:rsid w:val="006D6EC7"/>
    <w:rsid w:val="006E1BCD"/>
    <w:rsid w:val="006E1E7F"/>
    <w:rsid w:val="006F06A1"/>
    <w:rsid w:val="006F0A71"/>
    <w:rsid w:val="006F40C2"/>
    <w:rsid w:val="006F5125"/>
    <w:rsid w:val="006F733D"/>
    <w:rsid w:val="00702B6F"/>
    <w:rsid w:val="00706A2F"/>
    <w:rsid w:val="0070718E"/>
    <w:rsid w:val="00710259"/>
    <w:rsid w:val="0071031F"/>
    <w:rsid w:val="0071340B"/>
    <w:rsid w:val="0071435C"/>
    <w:rsid w:val="00715BBB"/>
    <w:rsid w:val="007174BB"/>
    <w:rsid w:val="0072025D"/>
    <w:rsid w:val="00722D5C"/>
    <w:rsid w:val="00730120"/>
    <w:rsid w:val="00730A93"/>
    <w:rsid w:val="0073137C"/>
    <w:rsid w:val="007353D3"/>
    <w:rsid w:val="0074156B"/>
    <w:rsid w:val="00747092"/>
    <w:rsid w:val="00752716"/>
    <w:rsid w:val="0075402B"/>
    <w:rsid w:val="007555E8"/>
    <w:rsid w:val="007571E5"/>
    <w:rsid w:val="00757F45"/>
    <w:rsid w:val="0076004C"/>
    <w:rsid w:val="0076420C"/>
    <w:rsid w:val="00765F18"/>
    <w:rsid w:val="00771D07"/>
    <w:rsid w:val="00773BE3"/>
    <w:rsid w:val="007743DD"/>
    <w:rsid w:val="00774E2C"/>
    <w:rsid w:val="007753C2"/>
    <w:rsid w:val="007827E6"/>
    <w:rsid w:val="007838B8"/>
    <w:rsid w:val="0078769D"/>
    <w:rsid w:val="007915BA"/>
    <w:rsid w:val="00793224"/>
    <w:rsid w:val="007A0D95"/>
    <w:rsid w:val="007A13BA"/>
    <w:rsid w:val="007A657D"/>
    <w:rsid w:val="007B3DDC"/>
    <w:rsid w:val="007B72A6"/>
    <w:rsid w:val="007B7F15"/>
    <w:rsid w:val="007C0F57"/>
    <w:rsid w:val="007C40B6"/>
    <w:rsid w:val="007C4E83"/>
    <w:rsid w:val="007C729F"/>
    <w:rsid w:val="007C7DD6"/>
    <w:rsid w:val="007D503D"/>
    <w:rsid w:val="007E1D28"/>
    <w:rsid w:val="007F0021"/>
    <w:rsid w:val="007F2641"/>
    <w:rsid w:val="007F3B9E"/>
    <w:rsid w:val="007F7C36"/>
    <w:rsid w:val="00803137"/>
    <w:rsid w:val="00806796"/>
    <w:rsid w:val="00811CC0"/>
    <w:rsid w:val="00812738"/>
    <w:rsid w:val="008151D6"/>
    <w:rsid w:val="008168D3"/>
    <w:rsid w:val="00821527"/>
    <w:rsid w:val="008268BB"/>
    <w:rsid w:val="00826F6D"/>
    <w:rsid w:val="008306F3"/>
    <w:rsid w:val="00830E40"/>
    <w:rsid w:val="00835C62"/>
    <w:rsid w:val="00846056"/>
    <w:rsid w:val="00847EC0"/>
    <w:rsid w:val="00850EA8"/>
    <w:rsid w:val="00855FD6"/>
    <w:rsid w:val="00856DDD"/>
    <w:rsid w:val="00863E68"/>
    <w:rsid w:val="00864440"/>
    <w:rsid w:val="008647B5"/>
    <w:rsid w:val="00872C35"/>
    <w:rsid w:val="00875DCB"/>
    <w:rsid w:val="0087660D"/>
    <w:rsid w:val="00882085"/>
    <w:rsid w:val="00883188"/>
    <w:rsid w:val="00897D58"/>
    <w:rsid w:val="00897F22"/>
    <w:rsid w:val="008A0B39"/>
    <w:rsid w:val="008A1956"/>
    <w:rsid w:val="008A4937"/>
    <w:rsid w:val="008A50F1"/>
    <w:rsid w:val="008A59D9"/>
    <w:rsid w:val="008A6819"/>
    <w:rsid w:val="008B2EC0"/>
    <w:rsid w:val="008B55A0"/>
    <w:rsid w:val="008B765F"/>
    <w:rsid w:val="008D1B5C"/>
    <w:rsid w:val="008D3C82"/>
    <w:rsid w:val="008D447E"/>
    <w:rsid w:val="008D7A41"/>
    <w:rsid w:val="008E2C72"/>
    <w:rsid w:val="008E3680"/>
    <w:rsid w:val="008E5870"/>
    <w:rsid w:val="008F0213"/>
    <w:rsid w:val="008F1434"/>
    <w:rsid w:val="008F54C3"/>
    <w:rsid w:val="008F7355"/>
    <w:rsid w:val="008F7744"/>
    <w:rsid w:val="009023DC"/>
    <w:rsid w:val="009027C5"/>
    <w:rsid w:val="009067B7"/>
    <w:rsid w:val="00911C69"/>
    <w:rsid w:val="00916E43"/>
    <w:rsid w:val="00917D69"/>
    <w:rsid w:val="00926560"/>
    <w:rsid w:val="00930937"/>
    <w:rsid w:val="00930FA5"/>
    <w:rsid w:val="009324A6"/>
    <w:rsid w:val="0093351E"/>
    <w:rsid w:val="00933E6C"/>
    <w:rsid w:val="00936366"/>
    <w:rsid w:val="00936E3D"/>
    <w:rsid w:val="009370DD"/>
    <w:rsid w:val="00937958"/>
    <w:rsid w:val="00941602"/>
    <w:rsid w:val="00942160"/>
    <w:rsid w:val="00942292"/>
    <w:rsid w:val="00943EE0"/>
    <w:rsid w:val="00946A2B"/>
    <w:rsid w:val="0095146F"/>
    <w:rsid w:val="00954B74"/>
    <w:rsid w:val="00957944"/>
    <w:rsid w:val="009602C5"/>
    <w:rsid w:val="00962223"/>
    <w:rsid w:val="0096676F"/>
    <w:rsid w:val="00966D0D"/>
    <w:rsid w:val="0096783C"/>
    <w:rsid w:val="009722B3"/>
    <w:rsid w:val="00974C21"/>
    <w:rsid w:val="00975948"/>
    <w:rsid w:val="00977BF3"/>
    <w:rsid w:val="009803E4"/>
    <w:rsid w:val="00980B0E"/>
    <w:rsid w:val="009836A3"/>
    <w:rsid w:val="009855A8"/>
    <w:rsid w:val="009913F4"/>
    <w:rsid w:val="0099465B"/>
    <w:rsid w:val="00995052"/>
    <w:rsid w:val="009A0CDD"/>
    <w:rsid w:val="009A1800"/>
    <w:rsid w:val="009A3168"/>
    <w:rsid w:val="009A61CA"/>
    <w:rsid w:val="009B0C64"/>
    <w:rsid w:val="009B0F67"/>
    <w:rsid w:val="009B722A"/>
    <w:rsid w:val="009C2253"/>
    <w:rsid w:val="009C703C"/>
    <w:rsid w:val="009D206E"/>
    <w:rsid w:val="009D3CAA"/>
    <w:rsid w:val="009D45CB"/>
    <w:rsid w:val="009D6532"/>
    <w:rsid w:val="009E2E8E"/>
    <w:rsid w:val="009E40E1"/>
    <w:rsid w:val="009E64DE"/>
    <w:rsid w:val="009F0EFA"/>
    <w:rsid w:val="009F4E46"/>
    <w:rsid w:val="009F5B65"/>
    <w:rsid w:val="009F5F2E"/>
    <w:rsid w:val="00A01432"/>
    <w:rsid w:val="00A02C52"/>
    <w:rsid w:val="00A06225"/>
    <w:rsid w:val="00A076A5"/>
    <w:rsid w:val="00A1263F"/>
    <w:rsid w:val="00A128E6"/>
    <w:rsid w:val="00A14074"/>
    <w:rsid w:val="00A144D3"/>
    <w:rsid w:val="00A22AC3"/>
    <w:rsid w:val="00A23F3F"/>
    <w:rsid w:val="00A24067"/>
    <w:rsid w:val="00A2603B"/>
    <w:rsid w:val="00A2744D"/>
    <w:rsid w:val="00A3103D"/>
    <w:rsid w:val="00A3110D"/>
    <w:rsid w:val="00A34E6C"/>
    <w:rsid w:val="00A36398"/>
    <w:rsid w:val="00A37C8D"/>
    <w:rsid w:val="00A4020E"/>
    <w:rsid w:val="00A40FB5"/>
    <w:rsid w:val="00A42826"/>
    <w:rsid w:val="00A429B3"/>
    <w:rsid w:val="00A42EFE"/>
    <w:rsid w:val="00A47EA3"/>
    <w:rsid w:val="00A510E4"/>
    <w:rsid w:val="00A5273B"/>
    <w:rsid w:val="00A53A9D"/>
    <w:rsid w:val="00A55FEE"/>
    <w:rsid w:val="00A57422"/>
    <w:rsid w:val="00A60220"/>
    <w:rsid w:val="00A603F2"/>
    <w:rsid w:val="00A62C1A"/>
    <w:rsid w:val="00A6426D"/>
    <w:rsid w:val="00A665C1"/>
    <w:rsid w:val="00A673A4"/>
    <w:rsid w:val="00A70622"/>
    <w:rsid w:val="00A70977"/>
    <w:rsid w:val="00A70D58"/>
    <w:rsid w:val="00A744F9"/>
    <w:rsid w:val="00A77613"/>
    <w:rsid w:val="00A81851"/>
    <w:rsid w:val="00A8390C"/>
    <w:rsid w:val="00A8404E"/>
    <w:rsid w:val="00A86AE0"/>
    <w:rsid w:val="00A928BD"/>
    <w:rsid w:val="00A97DE9"/>
    <w:rsid w:val="00AA12CD"/>
    <w:rsid w:val="00AA1EAF"/>
    <w:rsid w:val="00AA4D1C"/>
    <w:rsid w:val="00AA52FD"/>
    <w:rsid w:val="00AB5856"/>
    <w:rsid w:val="00AC0079"/>
    <w:rsid w:val="00AC0083"/>
    <w:rsid w:val="00AC193C"/>
    <w:rsid w:val="00AC1ADA"/>
    <w:rsid w:val="00AC36F0"/>
    <w:rsid w:val="00AC4DE5"/>
    <w:rsid w:val="00AC5206"/>
    <w:rsid w:val="00AD4322"/>
    <w:rsid w:val="00AD571E"/>
    <w:rsid w:val="00AD61B0"/>
    <w:rsid w:val="00AE11A5"/>
    <w:rsid w:val="00AE13E2"/>
    <w:rsid w:val="00AE22D3"/>
    <w:rsid w:val="00AE3A53"/>
    <w:rsid w:val="00AE5A49"/>
    <w:rsid w:val="00AF62DF"/>
    <w:rsid w:val="00AF68CC"/>
    <w:rsid w:val="00AF70D7"/>
    <w:rsid w:val="00B019F2"/>
    <w:rsid w:val="00B06478"/>
    <w:rsid w:val="00B07CFB"/>
    <w:rsid w:val="00B1059E"/>
    <w:rsid w:val="00B1341B"/>
    <w:rsid w:val="00B16273"/>
    <w:rsid w:val="00B170A5"/>
    <w:rsid w:val="00B176C8"/>
    <w:rsid w:val="00B17EE5"/>
    <w:rsid w:val="00B205AA"/>
    <w:rsid w:val="00B22E84"/>
    <w:rsid w:val="00B233AD"/>
    <w:rsid w:val="00B234C5"/>
    <w:rsid w:val="00B23E25"/>
    <w:rsid w:val="00B25F75"/>
    <w:rsid w:val="00B26B3F"/>
    <w:rsid w:val="00B2778F"/>
    <w:rsid w:val="00B33635"/>
    <w:rsid w:val="00B3490B"/>
    <w:rsid w:val="00B35731"/>
    <w:rsid w:val="00B42AF4"/>
    <w:rsid w:val="00B43E90"/>
    <w:rsid w:val="00B4669A"/>
    <w:rsid w:val="00B467DC"/>
    <w:rsid w:val="00B46CB6"/>
    <w:rsid w:val="00B53D30"/>
    <w:rsid w:val="00B56118"/>
    <w:rsid w:val="00B6500D"/>
    <w:rsid w:val="00B6617C"/>
    <w:rsid w:val="00B6773F"/>
    <w:rsid w:val="00B70877"/>
    <w:rsid w:val="00B70EB3"/>
    <w:rsid w:val="00B7525E"/>
    <w:rsid w:val="00B75A53"/>
    <w:rsid w:val="00B760FB"/>
    <w:rsid w:val="00B7641F"/>
    <w:rsid w:val="00B767AB"/>
    <w:rsid w:val="00B801BA"/>
    <w:rsid w:val="00B80F65"/>
    <w:rsid w:val="00B84D5C"/>
    <w:rsid w:val="00BA2DA8"/>
    <w:rsid w:val="00BA347C"/>
    <w:rsid w:val="00BB3B04"/>
    <w:rsid w:val="00BB5C49"/>
    <w:rsid w:val="00BB69F5"/>
    <w:rsid w:val="00BB7EC3"/>
    <w:rsid w:val="00BC235D"/>
    <w:rsid w:val="00BC4B9A"/>
    <w:rsid w:val="00BD02C3"/>
    <w:rsid w:val="00BD0B22"/>
    <w:rsid w:val="00BD5DC2"/>
    <w:rsid w:val="00BD7483"/>
    <w:rsid w:val="00BD784C"/>
    <w:rsid w:val="00BE020A"/>
    <w:rsid w:val="00BE13DF"/>
    <w:rsid w:val="00BE5563"/>
    <w:rsid w:val="00BE776C"/>
    <w:rsid w:val="00BF092C"/>
    <w:rsid w:val="00BF1C23"/>
    <w:rsid w:val="00BF27A0"/>
    <w:rsid w:val="00BF4CB6"/>
    <w:rsid w:val="00C00DA7"/>
    <w:rsid w:val="00C04CDE"/>
    <w:rsid w:val="00C0513E"/>
    <w:rsid w:val="00C12768"/>
    <w:rsid w:val="00C12D70"/>
    <w:rsid w:val="00C21B09"/>
    <w:rsid w:val="00C25EDE"/>
    <w:rsid w:val="00C2673A"/>
    <w:rsid w:val="00C27B58"/>
    <w:rsid w:val="00C35996"/>
    <w:rsid w:val="00C41CAD"/>
    <w:rsid w:val="00C43702"/>
    <w:rsid w:val="00C45494"/>
    <w:rsid w:val="00C4747E"/>
    <w:rsid w:val="00C5151E"/>
    <w:rsid w:val="00C5342C"/>
    <w:rsid w:val="00C53B2B"/>
    <w:rsid w:val="00C60272"/>
    <w:rsid w:val="00C603D4"/>
    <w:rsid w:val="00C60658"/>
    <w:rsid w:val="00C6256A"/>
    <w:rsid w:val="00C63409"/>
    <w:rsid w:val="00C66FF3"/>
    <w:rsid w:val="00C67985"/>
    <w:rsid w:val="00C710E2"/>
    <w:rsid w:val="00C71C3F"/>
    <w:rsid w:val="00C7409E"/>
    <w:rsid w:val="00C74D6D"/>
    <w:rsid w:val="00C76E76"/>
    <w:rsid w:val="00C77891"/>
    <w:rsid w:val="00C81106"/>
    <w:rsid w:val="00C85407"/>
    <w:rsid w:val="00C913CC"/>
    <w:rsid w:val="00C91449"/>
    <w:rsid w:val="00C92D10"/>
    <w:rsid w:val="00CA13E8"/>
    <w:rsid w:val="00CA48D9"/>
    <w:rsid w:val="00CB1193"/>
    <w:rsid w:val="00CB4767"/>
    <w:rsid w:val="00CB493D"/>
    <w:rsid w:val="00CB706A"/>
    <w:rsid w:val="00CC3B97"/>
    <w:rsid w:val="00CD7957"/>
    <w:rsid w:val="00CE10C4"/>
    <w:rsid w:val="00CE27B5"/>
    <w:rsid w:val="00CE2CC5"/>
    <w:rsid w:val="00CE5F3B"/>
    <w:rsid w:val="00CE6DAF"/>
    <w:rsid w:val="00CF24DE"/>
    <w:rsid w:val="00CF410A"/>
    <w:rsid w:val="00D02007"/>
    <w:rsid w:val="00D0321E"/>
    <w:rsid w:val="00D07A8A"/>
    <w:rsid w:val="00D1455A"/>
    <w:rsid w:val="00D17227"/>
    <w:rsid w:val="00D22093"/>
    <w:rsid w:val="00D2783A"/>
    <w:rsid w:val="00D31150"/>
    <w:rsid w:val="00D3138B"/>
    <w:rsid w:val="00D3280C"/>
    <w:rsid w:val="00D3406A"/>
    <w:rsid w:val="00D40B11"/>
    <w:rsid w:val="00D441F1"/>
    <w:rsid w:val="00D4572C"/>
    <w:rsid w:val="00D45E97"/>
    <w:rsid w:val="00D469B2"/>
    <w:rsid w:val="00D544D3"/>
    <w:rsid w:val="00D54B09"/>
    <w:rsid w:val="00D616AB"/>
    <w:rsid w:val="00D65658"/>
    <w:rsid w:val="00D673CC"/>
    <w:rsid w:val="00D72B6F"/>
    <w:rsid w:val="00D741EB"/>
    <w:rsid w:val="00D7679C"/>
    <w:rsid w:val="00D820F3"/>
    <w:rsid w:val="00D83605"/>
    <w:rsid w:val="00D84934"/>
    <w:rsid w:val="00D85BE1"/>
    <w:rsid w:val="00D91271"/>
    <w:rsid w:val="00D919F5"/>
    <w:rsid w:val="00D94F03"/>
    <w:rsid w:val="00D9548F"/>
    <w:rsid w:val="00D96789"/>
    <w:rsid w:val="00DA07EE"/>
    <w:rsid w:val="00DA0A82"/>
    <w:rsid w:val="00DA0D14"/>
    <w:rsid w:val="00DA1FC9"/>
    <w:rsid w:val="00DA2CB5"/>
    <w:rsid w:val="00DA4BAC"/>
    <w:rsid w:val="00DB0151"/>
    <w:rsid w:val="00DB45C2"/>
    <w:rsid w:val="00DC2C3E"/>
    <w:rsid w:val="00DC3862"/>
    <w:rsid w:val="00DC4880"/>
    <w:rsid w:val="00DE13BE"/>
    <w:rsid w:val="00DE546F"/>
    <w:rsid w:val="00DE602F"/>
    <w:rsid w:val="00DE6D27"/>
    <w:rsid w:val="00DF01F8"/>
    <w:rsid w:val="00DF217D"/>
    <w:rsid w:val="00DF26A7"/>
    <w:rsid w:val="00DF3277"/>
    <w:rsid w:val="00DF3E79"/>
    <w:rsid w:val="00DF7919"/>
    <w:rsid w:val="00E0207E"/>
    <w:rsid w:val="00E03912"/>
    <w:rsid w:val="00E078D9"/>
    <w:rsid w:val="00E10293"/>
    <w:rsid w:val="00E15627"/>
    <w:rsid w:val="00E164B3"/>
    <w:rsid w:val="00E16910"/>
    <w:rsid w:val="00E24E09"/>
    <w:rsid w:val="00E27234"/>
    <w:rsid w:val="00E3495C"/>
    <w:rsid w:val="00E353F2"/>
    <w:rsid w:val="00E42BDB"/>
    <w:rsid w:val="00E567CE"/>
    <w:rsid w:val="00E57A66"/>
    <w:rsid w:val="00E57EEB"/>
    <w:rsid w:val="00E62D94"/>
    <w:rsid w:val="00E64F37"/>
    <w:rsid w:val="00E65E54"/>
    <w:rsid w:val="00E661C7"/>
    <w:rsid w:val="00E76E3C"/>
    <w:rsid w:val="00E773A3"/>
    <w:rsid w:val="00E80155"/>
    <w:rsid w:val="00E8134B"/>
    <w:rsid w:val="00E81E0D"/>
    <w:rsid w:val="00E81F28"/>
    <w:rsid w:val="00E848C0"/>
    <w:rsid w:val="00E86430"/>
    <w:rsid w:val="00E91B96"/>
    <w:rsid w:val="00E93D1E"/>
    <w:rsid w:val="00E941A1"/>
    <w:rsid w:val="00E95CE3"/>
    <w:rsid w:val="00EA252F"/>
    <w:rsid w:val="00EA255A"/>
    <w:rsid w:val="00EA2825"/>
    <w:rsid w:val="00EA289A"/>
    <w:rsid w:val="00EA6518"/>
    <w:rsid w:val="00EA7466"/>
    <w:rsid w:val="00EA7EDE"/>
    <w:rsid w:val="00EB0B63"/>
    <w:rsid w:val="00EB1936"/>
    <w:rsid w:val="00EB37BE"/>
    <w:rsid w:val="00EB5088"/>
    <w:rsid w:val="00ED1644"/>
    <w:rsid w:val="00ED2593"/>
    <w:rsid w:val="00ED7D55"/>
    <w:rsid w:val="00ED7D9C"/>
    <w:rsid w:val="00EE31A2"/>
    <w:rsid w:val="00EF0069"/>
    <w:rsid w:val="00EF44A0"/>
    <w:rsid w:val="00EF4FED"/>
    <w:rsid w:val="00EF6FB3"/>
    <w:rsid w:val="00F007C6"/>
    <w:rsid w:val="00F0172E"/>
    <w:rsid w:val="00F03F93"/>
    <w:rsid w:val="00F050BD"/>
    <w:rsid w:val="00F05657"/>
    <w:rsid w:val="00F05C36"/>
    <w:rsid w:val="00F17ED6"/>
    <w:rsid w:val="00F209E2"/>
    <w:rsid w:val="00F25578"/>
    <w:rsid w:val="00F258E5"/>
    <w:rsid w:val="00F25B9C"/>
    <w:rsid w:val="00F26CC6"/>
    <w:rsid w:val="00F27CA4"/>
    <w:rsid w:val="00F300BC"/>
    <w:rsid w:val="00F30A9A"/>
    <w:rsid w:val="00F3263C"/>
    <w:rsid w:val="00F3334E"/>
    <w:rsid w:val="00F36CCB"/>
    <w:rsid w:val="00F374E5"/>
    <w:rsid w:val="00F37B93"/>
    <w:rsid w:val="00F37BAD"/>
    <w:rsid w:val="00F37ECA"/>
    <w:rsid w:val="00F420D6"/>
    <w:rsid w:val="00F43AF2"/>
    <w:rsid w:val="00F46824"/>
    <w:rsid w:val="00F5007E"/>
    <w:rsid w:val="00F50EC4"/>
    <w:rsid w:val="00F52232"/>
    <w:rsid w:val="00F550CF"/>
    <w:rsid w:val="00F557AF"/>
    <w:rsid w:val="00F57A6D"/>
    <w:rsid w:val="00F638CC"/>
    <w:rsid w:val="00F64C9E"/>
    <w:rsid w:val="00F64CC1"/>
    <w:rsid w:val="00F72317"/>
    <w:rsid w:val="00F80475"/>
    <w:rsid w:val="00F8247A"/>
    <w:rsid w:val="00F82E5C"/>
    <w:rsid w:val="00F92ED7"/>
    <w:rsid w:val="00F9629A"/>
    <w:rsid w:val="00F97EFC"/>
    <w:rsid w:val="00FA1BDD"/>
    <w:rsid w:val="00FA305C"/>
    <w:rsid w:val="00FA4DD5"/>
    <w:rsid w:val="00FA5883"/>
    <w:rsid w:val="00FA6055"/>
    <w:rsid w:val="00FB0B39"/>
    <w:rsid w:val="00FB322F"/>
    <w:rsid w:val="00FB442F"/>
    <w:rsid w:val="00FC118C"/>
    <w:rsid w:val="00FC1929"/>
    <w:rsid w:val="00FC5B46"/>
    <w:rsid w:val="00FD6D8E"/>
    <w:rsid w:val="00FE0663"/>
    <w:rsid w:val="00FE0E94"/>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914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PBAC table"/>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character" w:customStyle="1" w:styleId="SmallBold">
    <w:name w:val="Small Bold"/>
    <w:basedOn w:val="DefaultParagraphFont"/>
    <w:uiPriority w:val="4"/>
    <w:qFormat/>
    <w:rsid w:val="00CD7957"/>
    <w:rPr>
      <w:rFonts w:ascii="Calibri" w:hAnsi="Calibri"/>
      <w:b/>
      <w:sz w:val="20"/>
      <w:lang w:val="en-AU"/>
    </w:rPr>
  </w:style>
  <w:style w:type="paragraph" w:customStyle="1" w:styleId="Table">
    <w:name w:val="Table"/>
    <w:basedOn w:val="Normal"/>
    <w:link w:val="TableChar"/>
    <w:qFormat/>
    <w:rsid w:val="00CD7957"/>
    <w:pPr>
      <w:jc w:val="left"/>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CD7957"/>
    <w:rPr>
      <w:rFonts w:ascii="Candara" w:eastAsiaTheme="majorEastAsia" w:hAnsi="Candara" w:cstheme="majorBidi"/>
      <w:szCs w:val="22"/>
      <w:lang w:eastAsia="en-US" w:bidi="en-US"/>
    </w:rPr>
  </w:style>
  <w:style w:type="character" w:customStyle="1" w:styleId="Small">
    <w:name w:val="Small"/>
    <w:basedOn w:val="DefaultParagraphFont"/>
    <w:uiPriority w:val="4"/>
    <w:qFormat/>
    <w:rsid w:val="00CD7957"/>
    <w:rPr>
      <w:rFonts w:ascii="Candara" w:hAnsi="Candara"/>
      <w:sz w:val="20"/>
    </w:rPr>
  </w:style>
  <w:style w:type="paragraph" w:styleId="BodyTextIndent">
    <w:name w:val="Body Text Indent"/>
    <w:basedOn w:val="Normal"/>
    <w:link w:val="BodyTextIndentChar"/>
    <w:rsid w:val="00C67985"/>
    <w:pPr>
      <w:spacing w:after="120"/>
      <w:ind w:left="283"/>
    </w:pPr>
    <w:rPr>
      <w:rFonts w:cs="Arial"/>
    </w:rPr>
  </w:style>
  <w:style w:type="character" w:customStyle="1" w:styleId="BodyTextIndentChar">
    <w:name w:val="Body Text Indent Char"/>
    <w:basedOn w:val="DefaultParagraphFont"/>
    <w:link w:val="BodyTextIndent"/>
    <w:rsid w:val="00C67985"/>
    <w:rPr>
      <w:rFonts w:ascii="Calibri" w:hAnsi="Calibri" w:cs="Arial"/>
      <w:sz w:val="24"/>
      <w:szCs w:val="24"/>
    </w:rPr>
  </w:style>
  <w:style w:type="paragraph" w:customStyle="1" w:styleId="TableCentre">
    <w:name w:val="Table Centre"/>
    <w:basedOn w:val="Normal"/>
    <w:qFormat/>
    <w:rsid w:val="00BD5DC2"/>
    <w:pPr>
      <w:jc w:val="center"/>
    </w:pPr>
    <w:rPr>
      <w:rFonts w:eastAsiaTheme="majorEastAsia" w:cstheme="majorBidi"/>
      <w:sz w:val="20"/>
      <w:szCs w:val="22"/>
      <w:lang w:eastAsia="en-US" w:bidi="en-US"/>
    </w:rPr>
  </w:style>
  <w:style w:type="paragraph" w:customStyle="1" w:styleId="TableNotes18">
    <w:name w:val="TableNotes+18"/>
    <w:basedOn w:val="Normal"/>
    <w:rsid w:val="007A13BA"/>
    <w:pPr>
      <w:keepLines/>
      <w:spacing w:after="360"/>
      <w:ind w:left="720"/>
      <w:jc w:val="left"/>
    </w:pPr>
    <w:rPr>
      <w:rFonts w:ascii="Arial Narrow" w:hAnsi="Arial Narrow" w:cs="Arial Narrow"/>
      <w:snapToGrid w:val="0"/>
      <w:sz w:val="18"/>
      <w:szCs w:val="18"/>
    </w:rPr>
  </w:style>
  <w:style w:type="table" w:customStyle="1" w:styleId="Summarybox1">
    <w:name w:val="Summary box1"/>
    <w:basedOn w:val="TableNormal"/>
    <w:next w:val="TableGrid"/>
    <w:uiPriority w:val="59"/>
    <w:rsid w:val="008B55A0"/>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Tabletext"/>
    <w:qFormat/>
    <w:rsid w:val="004A74F3"/>
    <w:pPr>
      <w:numPr>
        <w:numId w:val="7"/>
      </w:numPr>
      <w:tabs>
        <w:tab w:val="left" w:pos="416"/>
        <w:tab w:val="left" w:pos="582"/>
      </w:tabs>
      <w:spacing w:after="0"/>
      <w:ind w:left="360"/>
      <w:contextualSpacing/>
    </w:pPr>
    <w:rPr>
      <w:rFonts w:asciiTheme="minorHAnsi" w:hAnsiTheme="minorHAnsi"/>
    </w:rPr>
  </w:style>
  <w:style w:type="paragraph" w:customStyle="1" w:styleId="EndNoteBibliography">
    <w:name w:val="EndNote Bibliography"/>
    <w:basedOn w:val="Normal"/>
    <w:link w:val="EndNoteBibliographyChar"/>
    <w:rsid w:val="00E86430"/>
    <w:pPr>
      <w:spacing w:after="200"/>
      <w:jc w:val="left"/>
    </w:pPr>
    <w:rPr>
      <w:rFonts w:ascii="Candara" w:eastAsiaTheme="majorEastAsia" w:hAnsi="Candara" w:cstheme="majorBidi"/>
      <w:noProof/>
      <w:szCs w:val="22"/>
      <w:lang w:val="en-US" w:eastAsia="en-US" w:bidi="en-US"/>
    </w:rPr>
  </w:style>
  <w:style w:type="character" w:customStyle="1" w:styleId="EndNoteBibliographyChar">
    <w:name w:val="EndNote Bibliography Char"/>
    <w:basedOn w:val="DefaultParagraphFont"/>
    <w:link w:val="EndNoteBibliography"/>
    <w:rsid w:val="00E86430"/>
    <w:rPr>
      <w:rFonts w:ascii="Candara" w:eastAsiaTheme="majorEastAsia" w:hAnsi="Candara" w:cstheme="majorBidi"/>
      <w:noProof/>
      <w:sz w:val="24"/>
      <w:szCs w:val="22"/>
      <w:lang w:val="en-US" w:eastAsia="en-US" w:bidi="en-US"/>
    </w:rPr>
  </w:style>
  <w:style w:type="paragraph" w:styleId="Revision">
    <w:name w:val="Revision"/>
    <w:hidden/>
    <w:uiPriority w:val="71"/>
    <w:semiHidden/>
    <w:rsid w:val="00326ACB"/>
    <w:rPr>
      <w:rFonts w:ascii="Calibri" w:hAnsi="Calibri"/>
      <w:sz w:val="24"/>
      <w:szCs w:val="24"/>
    </w:rPr>
  </w:style>
  <w:style w:type="paragraph" w:styleId="NormalWeb">
    <w:name w:val="Normal (Web)"/>
    <w:basedOn w:val="Normal"/>
    <w:uiPriority w:val="99"/>
    <w:semiHidden/>
    <w:unhideWhenUsed/>
    <w:rsid w:val="00086807"/>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30907330">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86631-558E-4C3C-9CAD-2AC1E0B1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6166</Words>
  <Characters>36988</Characters>
  <Application>Microsoft Office Word</Application>
  <DocSecurity>0</DocSecurity>
  <Lines>308</Lines>
  <Paragraphs>86</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7.09	MOGAMULIZUMAB,  Solution concentrate for I.V. infusion 20 mg in 5 mL,  Pote</vt:lpstr>
      <vt:lpstr>Purpose of Application </vt:lpstr>
      <vt:lpstr>Background </vt:lpstr>
      <vt:lpstr>    Registration status</vt:lpstr>
      <vt:lpstr>    Previous PBAC consideration </vt:lpstr>
      <vt:lpstr>Requested listing</vt:lpstr>
      <vt:lpstr>Comparator </vt:lpstr>
      <vt:lpstr>Consideration of the evidence</vt:lpstr>
      <vt:lpstr>    Sponsor hearing</vt:lpstr>
      <vt:lpstr>    Consumer comments</vt:lpstr>
      <vt:lpstr>    Clinical trials </vt:lpstr>
      <vt:lpstr>    Comparative effectiveness</vt:lpstr>
      <vt:lpstr>    Economic analysis </vt:lpstr>
      <vt:lpstr>    Drug cost/patient/year: $'''''''''''''''''''</vt:lpstr>
      <vt:lpstr>    Estimated PBS usage &amp; financial implications</vt:lpstr>
      <vt:lpstr>PBAC Outcome</vt:lpstr>
      <vt:lpstr>Context for Decision</vt:lpstr>
      <vt:lpstr>Sponsor’s Comment</vt:lpstr>
    </vt:vector>
  </TitlesOfParts>
  <Company/>
  <LinksUpToDate>false</LinksUpToDate>
  <CharactersWithSpaces>43068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2021-03-05T00:53:00Z</dcterms:created>
  <dcterms:modified xsi:type="dcterms:W3CDTF">2021-03-05T03:17:00Z</dcterms:modified>
</cp:coreProperties>
</file>